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95CF2" w:rsidRPr="006E2F58" w14:paraId="2902FB2F" w14:textId="77777777" w:rsidTr="0068367F">
        <w:trPr>
          <w:trHeight w:hRule="exact" w:val="418"/>
          <w:jc w:val="center"/>
        </w:trPr>
        <w:tc>
          <w:tcPr>
            <w:tcW w:w="8721" w:type="dxa"/>
            <w:gridSpan w:val="2"/>
          </w:tcPr>
          <w:p w14:paraId="091295A1" w14:textId="77777777" w:rsidR="00695CF2" w:rsidRPr="006E2F58" w:rsidRDefault="00695CF2" w:rsidP="006E2F58">
            <w:pPr>
              <w:pStyle w:val="a3"/>
              <w:jc w:val="center"/>
              <w:rPr>
                <w:rFonts w:ascii="Tahoma" w:hAnsi="Tahoma" w:cs="Tahoma"/>
                <w:color w:val="000080"/>
                <w:rtl/>
              </w:rPr>
            </w:pPr>
            <w:bookmarkStart w:id="0" w:name="LastJudge"/>
            <w:r w:rsidRPr="006E2F58">
              <w:rPr>
                <w:rFonts w:ascii="Tahoma" w:hAnsi="Tahoma" w:cs="Tahoma"/>
                <w:b/>
                <w:bCs/>
                <w:color w:val="000080"/>
                <w:rtl/>
              </w:rPr>
              <w:t>בית משפט השלום בקריות</w:t>
            </w:r>
          </w:p>
        </w:tc>
      </w:tr>
      <w:tr w:rsidR="00695CF2" w:rsidRPr="006E2F58" w14:paraId="34D380FA" w14:textId="77777777" w:rsidTr="0068367F">
        <w:trPr>
          <w:trHeight w:val="337"/>
          <w:jc w:val="center"/>
        </w:trPr>
        <w:tc>
          <w:tcPr>
            <w:tcW w:w="5054" w:type="dxa"/>
          </w:tcPr>
          <w:p w14:paraId="726B0EAA" w14:textId="77777777" w:rsidR="00695CF2" w:rsidRPr="006E2F58" w:rsidRDefault="00695CF2" w:rsidP="006E2F58">
            <w:pPr>
              <w:rPr>
                <w:rFonts w:cs="FrankRuehl"/>
                <w:sz w:val="28"/>
                <w:szCs w:val="28"/>
                <w:rtl/>
              </w:rPr>
            </w:pPr>
            <w:r w:rsidRPr="006E2F58">
              <w:rPr>
                <w:rFonts w:cs="FrankRuehl"/>
                <w:sz w:val="28"/>
                <w:szCs w:val="28"/>
                <w:rtl/>
              </w:rPr>
              <w:t>ת"פ</w:t>
            </w:r>
            <w:r w:rsidRPr="006E2F58">
              <w:rPr>
                <w:rFonts w:cs="FrankRuehl" w:hint="cs"/>
                <w:sz w:val="28"/>
                <w:szCs w:val="28"/>
                <w:rtl/>
              </w:rPr>
              <w:t xml:space="preserve"> </w:t>
            </w:r>
            <w:r w:rsidRPr="006E2F58">
              <w:rPr>
                <w:rFonts w:cs="FrankRuehl"/>
                <w:sz w:val="28"/>
                <w:szCs w:val="28"/>
                <w:rtl/>
              </w:rPr>
              <w:t>8468-10-15</w:t>
            </w:r>
            <w:r w:rsidRPr="006E2F58">
              <w:rPr>
                <w:rFonts w:cs="FrankRuehl" w:hint="cs"/>
                <w:sz w:val="28"/>
                <w:szCs w:val="28"/>
                <w:rtl/>
              </w:rPr>
              <w:t xml:space="preserve"> </w:t>
            </w:r>
            <w:r w:rsidRPr="006E2F58">
              <w:rPr>
                <w:rFonts w:cs="FrankRuehl"/>
                <w:sz w:val="28"/>
                <w:szCs w:val="28"/>
                <w:rtl/>
              </w:rPr>
              <w:t>מדינת ישראל נ' אסטגסי</w:t>
            </w:r>
          </w:p>
          <w:p w14:paraId="101E92BC" w14:textId="77777777" w:rsidR="00695CF2" w:rsidRPr="006E2F58" w:rsidRDefault="00695CF2" w:rsidP="006E2F58">
            <w:pPr>
              <w:pStyle w:val="a3"/>
              <w:rPr>
                <w:rFonts w:cs="FrankRuehl"/>
                <w:sz w:val="28"/>
                <w:szCs w:val="28"/>
                <w:rtl/>
              </w:rPr>
            </w:pPr>
          </w:p>
        </w:tc>
        <w:tc>
          <w:tcPr>
            <w:tcW w:w="3667" w:type="dxa"/>
          </w:tcPr>
          <w:p w14:paraId="7FEFFD40" w14:textId="77777777" w:rsidR="00695CF2" w:rsidRPr="006E2F58" w:rsidRDefault="00695CF2" w:rsidP="006E2F58">
            <w:pPr>
              <w:pStyle w:val="a3"/>
              <w:jc w:val="right"/>
              <w:rPr>
                <w:rFonts w:cs="FrankRuehl"/>
                <w:sz w:val="28"/>
                <w:szCs w:val="28"/>
                <w:rtl/>
              </w:rPr>
            </w:pPr>
          </w:p>
        </w:tc>
      </w:tr>
    </w:tbl>
    <w:p w14:paraId="3107D30F" w14:textId="77777777" w:rsidR="00695CF2" w:rsidRPr="006E2F58" w:rsidRDefault="00695CF2" w:rsidP="00695CF2">
      <w:pPr>
        <w:pStyle w:val="a3"/>
        <w:rPr>
          <w:rtl/>
        </w:rPr>
      </w:pPr>
      <w:r w:rsidRPr="006E2F58">
        <w:rPr>
          <w:rFonts w:hint="cs"/>
          <w:rtl/>
        </w:rPr>
        <w:t xml:space="preserve"> </w:t>
      </w:r>
    </w:p>
    <w:p w14:paraId="1438B0EE" w14:textId="77777777" w:rsidR="00695CF2" w:rsidRPr="006E2F58" w:rsidRDefault="00695CF2" w:rsidP="00695CF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95CF2" w:rsidRPr="006E2F58" w14:paraId="4584BDB1" w14:textId="77777777" w:rsidTr="006E2F58">
        <w:trPr>
          <w:trHeight w:val="295"/>
          <w:jc w:val="center"/>
        </w:trPr>
        <w:tc>
          <w:tcPr>
            <w:tcW w:w="923" w:type="dxa"/>
            <w:tcBorders>
              <w:top w:val="nil"/>
              <w:left w:val="nil"/>
              <w:bottom w:val="nil"/>
              <w:right w:val="nil"/>
            </w:tcBorders>
            <w:shd w:val="clear" w:color="auto" w:fill="auto"/>
          </w:tcPr>
          <w:p w14:paraId="5DE86311" w14:textId="77777777" w:rsidR="00695CF2" w:rsidRPr="006E2F58" w:rsidRDefault="00695CF2" w:rsidP="006E2F58">
            <w:pPr>
              <w:jc w:val="both"/>
              <w:rPr>
                <w:rFonts w:ascii="Arial" w:hAnsi="Arial"/>
              </w:rPr>
            </w:pPr>
            <w:r w:rsidRPr="006E2F58">
              <w:rPr>
                <w:rFonts w:ascii="Arial" w:hAnsi="Arial" w:hint="cs"/>
                <w:rtl/>
              </w:rPr>
              <w:t>ב</w:t>
            </w:r>
            <w:r w:rsidRPr="006E2F58">
              <w:rPr>
                <w:rFonts w:ascii="Arial" w:hAnsi="Arial"/>
                <w:rtl/>
              </w:rPr>
              <w:t xml:space="preserve">פני </w:t>
            </w:r>
          </w:p>
        </w:tc>
        <w:tc>
          <w:tcPr>
            <w:tcW w:w="7897" w:type="dxa"/>
            <w:gridSpan w:val="2"/>
            <w:tcBorders>
              <w:top w:val="nil"/>
              <w:left w:val="nil"/>
              <w:bottom w:val="nil"/>
              <w:right w:val="nil"/>
            </w:tcBorders>
            <w:shd w:val="clear" w:color="auto" w:fill="auto"/>
          </w:tcPr>
          <w:p w14:paraId="372D5D64" w14:textId="77777777" w:rsidR="00695CF2" w:rsidRPr="006E2F58" w:rsidRDefault="00695CF2" w:rsidP="006E2F58">
            <w:pPr>
              <w:rPr>
                <w:rFonts w:ascii="Arial" w:hAnsi="Arial"/>
                <w:b/>
                <w:bCs/>
                <w:rtl/>
              </w:rPr>
            </w:pPr>
            <w:r w:rsidRPr="006E2F58">
              <w:rPr>
                <w:rFonts w:ascii="Arial" w:hAnsi="Arial" w:hint="cs"/>
                <w:b/>
                <w:bCs/>
                <w:rtl/>
              </w:rPr>
              <w:t>כבוד ה</w:t>
            </w:r>
            <w:r w:rsidRPr="006E2F58">
              <w:rPr>
                <w:rFonts w:hint="cs"/>
                <w:rtl/>
              </w:rPr>
              <w:t>שופט</w:t>
            </w:r>
            <w:r w:rsidRPr="006E2F58">
              <w:rPr>
                <w:rFonts w:ascii="Arial" w:hAnsi="Arial" w:hint="cs"/>
                <w:b/>
                <w:bCs/>
                <w:rtl/>
              </w:rPr>
              <w:t xml:space="preserve">  </w:t>
            </w:r>
            <w:r w:rsidRPr="006E2F58">
              <w:rPr>
                <w:rFonts w:hint="cs"/>
                <w:rtl/>
              </w:rPr>
              <w:t>יוסי טורס</w:t>
            </w:r>
          </w:p>
          <w:p w14:paraId="6264937A" w14:textId="77777777" w:rsidR="00695CF2" w:rsidRPr="006E2F58" w:rsidRDefault="00695CF2" w:rsidP="006E2F58">
            <w:pPr>
              <w:rPr>
                <w:rtl/>
              </w:rPr>
            </w:pPr>
          </w:p>
          <w:p w14:paraId="477A9A78" w14:textId="77777777" w:rsidR="00695CF2" w:rsidRPr="006E2F58" w:rsidRDefault="00695CF2" w:rsidP="006E2F58">
            <w:pPr>
              <w:jc w:val="both"/>
              <w:rPr>
                <w:rFonts w:ascii="Arial" w:hAnsi="Arial"/>
              </w:rPr>
            </w:pPr>
          </w:p>
        </w:tc>
      </w:tr>
      <w:tr w:rsidR="00695CF2" w:rsidRPr="006E2F58" w14:paraId="7DAB6B59" w14:textId="77777777" w:rsidTr="006E2F58">
        <w:trPr>
          <w:trHeight w:val="355"/>
          <w:jc w:val="center"/>
        </w:trPr>
        <w:tc>
          <w:tcPr>
            <w:tcW w:w="923" w:type="dxa"/>
            <w:tcBorders>
              <w:top w:val="nil"/>
              <w:left w:val="nil"/>
              <w:bottom w:val="nil"/>
              <w:right w:val="nil"/>
            </w:tcBorders>
            <w:shd w:val="clear" w:color="auto" w:fill="auto"/>
          </w:tcPr>
          <w:p w14:paraId="106E0FD0" w14:textId="77777777" w:rsidR="00695CF2" w:rsidRPr="006E2F58" w:rsidRDefault="00695CF2" w:rsidP="006E2F58">
            <w:pPr>
              <w:jc w:val="both"/>
              <w:rPr>
                <w:rFonts w:ascii="Arial" w:hAnsi="Arial"/>
                <w:b/>
                <w:bCs/>
              </w:rPr>
            </w:pPr>
            <w:bookmarkStart w:id="1" w:name="FirstAppellant"/>
            <w:r w:rsidRPr="006E2F58">
              <w:rPr>
                <w:rFonts w:ascii="Arial" w:hAnsi="Arial" w:hint="cs"/>
                <w:b/>
                <w:bCs/>
                <w:rtl/>
              </w:rPr>
              <w:t>בעניין:</w:t>
            </w:r>
          </w:p>
        </w:tc>
        <w:tc>
          <w:tcPr>
            <w:tcW w:w="4126" w:type="dxa"/>
            <w:tcBorders>
              <w:top w:val="nil"/>
              <w:left w:val="nil"/>
              <w:bottom w:val="nil"/>
              <w:right w:val="nil"/>
            </w:tcBorders>
            <w:shd w:val="clear" w:color="auto" w:fill="auto"/>
          </w:tcPr>
          <w:p w14:paraId="6961503D" w14:textId="77777777" w:rsidR="00695CF2" w:rsidRPr="006E2F58" w:rsidRDefault="00695CF2" w:rsidP="006E2F58">
            <w:pPr>
              <w:rPr>
                <w:b/>
                <w:bCs/>
              </w:rPr>
            </w:pPr>
            <w:r w:rsidRPr="006E2F58">
              <w:rPr>
                <w:rFonts w:hint="cs"/>
                <w:b/>
                <w:bCs/>
                <w:rtl/>
              </w:rPr>
              <w:t>מדינת ישראל</w:t>
            </w:r>
          </w:p>
        </w:tc>
        <w:tc>
          <w:tcPr>
            <w:tcW w:w="3771" w:type="dxa"/>
            <w:tcBorders>
              <w:top w:val="nil"/>
              <w:left w:val="nil"/>
              <w:bottom w:val="nil"/>
              <w:right w:val="nil"/>
            </w:tcBorders>
            <w:shd w:val="clear" w:color="auto" w:fill="auto"/>
          </w:tcPr>
          <w:p w14:paraId="55501E68" w14:textId="77777777" w:rsidR="00695CF2" w:rsidRPr="006E2F58" w:rsidRDefault="00695CF2" w:rsidP="006E2F58">
            <w:pPr>
              <w:jc w:val="both"/>
              <w:rPr>
                <w:rFonts w:ascii="Arial" w:hAnsi="Arial"/>
                <w:b/>
                <w:bCs/>
              </w:rPr>
            </w:pPr>
          </w:p>
        </w:tc>
      </w:tr>
      <w:bookmarkEnd w:id="1"/>
      <w:tr w:rsidR="00695CF2" w:rsidRPr="006E2F58" w14:paraId="163C2785" w14:textId="77777777" w:rsidTr="006E2F58">
        <w:trPr>
          <w:trHeight w:val="355"/>
          <w:jc w:val="center"/>
        </w:trPr>
        <w:tc>
          <w:tcPr>
            <w:tcW w:w="923" w:type="dxa"/>
            <w:tcBorders>
              <w:top w:val="nil"/>
              <w:left w:val="nil"/>
              <w:bottom w:val="nil"/>
              <w:right w:val="nil"/>
            </w:tcBorders>
            <w:shd w:val="clear" w:color="auto" w:fill="auto"/>
          </w:tcPr>
          <w:p w14:paraId="344220EE" w14:textId="77777777" w:rsidR="00695CF2" w:rsidRPr="006E2F58" w:rsidRDefault="00695CF2" w:rsidP="006E2F58">
            <w:pPr>
              <w:jc w:val="both"/>
              <w:rPr>
                <w:rFonts w:ascii="Arial" w:hAnsi="Arial"/>
                <w:b/>
                <w:bCs/>
                <w:rtl/>
              </w:rPr>
            </w:pPr>
          </w:p>
        </w:tc>
        <w:tc>
          <w:tcPr>
            <w:tcW w:w="4126" w:type="dxa"/>
            <w:tcBorders>
              <w:top w:val="nil"/>
              <w:left w:val="nil"/>
              <w:bottom w:val="nil"/>
              <w:right w:val="nil"/>
            </w:tcBorders>
            <w:shd w:val="clear" w:color="auto" w:fill="auto"/>
          </w:tcPr>
          <w:p w14:paraId="67F61E01" w14:textId="77777777" w:rsidR="00695CF2" w:rsidRPr="006E2F58" w:rsidRDefault="00695CF2" w:rsidP="006E2F58">
            <w:pPr>
              <w:jc w:val="both"/>
              <w:rPr>
                <w:b/>
                <w:bCs/>
                <w:rtl/>
              </w:rPr>
            </w:pPr>
          </w:p>
        </w:tc>
        <w:tc>
          <w:tcPr>
            <w:tcW w:w="3771" w:type="dxa"/>
            <w:tcBorders>
              <w:top w:val="nil"/>
              <w:left w:val="nil"/>
              <w:bottom w:val="nil"/>
              <w:right w:val="nil"/>
            </w:tcBorders>
            <w:shd w:val="clear" w:color="auto" w:fill="auto"/>
          </w:tcPr>
          <w:p w14:paraId="67E9FA81" w14:textId="77777777" w:rsidR="00695CF2" w:rsidRPr="006E2F58" w:rsidRDefault="00695CF2" w:rsidP="006E2F58">
            <w:pPr>
              <w:jc w:val="right"/>
              <w:rPr>
                <w:rFonts w:ascii="Arial" w:hAnsi="Arial"/>
                <w:b/>
                <w:bCs/>
                <w:rtl/>
              </w:rPr>
            </w:pPr>
            <w:r w:rsidRPr="006E2F58">
              <w:rPr>
                <w:rFonts w:ascii="Arial" w:hAnsi="Arial" w:hint="cs"/>
                <w:b/>
                <w:bCs/>
                <w:rtl/>
              </w:rPr>
              <w:t>ה</w:t>
            </w:r>
            <w:r w:rsidRPr="006E2F58">
              <w:rPr>
                <w:rFonts w:hint="cs"/>
                <w:b/>
                <w:bCs/>
                <w:rtl/>
              </w:rPr>
              <w:t>מאשימה</w:t>
            </w:r>
          </w:p>
        </w:tc>
      </w:tr>
      <w:tr w:rsidR="00695CF2" w:rsidRPr="006E2F58" w14:paraId="30B02D2F" w14:textId="77777777" w:rsidTr="006E2F58">
        <w:trPr>
          <w:trHeight w:val="355"/>
          <w:jc w:val="center"/>
        </w:trPr>
        <w:tc>
          <w:tcPr>
            <w:tcW w:w="923" w:type="dxa"/>
            <w:tcBorders>
              <w:top w:val="nil"/>
              <w:left w:val="nil"/>
              <w:bottom w:val="nil"/>
              <w:right w:val="nil"/>
            </w:tcBorders>
            <w:shd w:val="clear" w:color="auto" w:fill="auto"/>
          </w:tcPr>
          <w:p w14:paraId="1CC4C813" w14:textId="77777777" w:rsidR="00695CF2" w:rsidRPr="006E2F58" w:rsidRDefault="00695CF2" w:rsidP="006E2F58">
            <w:pPr>
              <w:jc w:val="both"/>
              <w:rPr>
                <w:rFonts w:ascii="Arial" w:hAnsi="Arial"/>
                <w:b/>
                <w:bCs/>
                <w:rtl/>
              </w:rPr>
            </w:pPr>
          </w:p>
        </w:tc>
        <w:tc>
          <w:tcPr>
            <w:tcW w:w="7897" w:type="dxa"/>
            <w:gridSpan w:val="2"/>
            <w:tcBorders>
              <w:top w:val="nil"/>
              <w:left w:val="nil"/>
              <w:bottom w:val="nil"/>
              <w:right w:val="nil"/>
            </w:tcBorders>
            <w:shd w:val="clear" w:color="auto" w:fill="auto"/>
          </w:tcPr>
          <w:p w14:paraId="443C4191" w14:textId="77777777" w:rsidR="00695CF2" w:rsidRPr="006E2F58" w:rsidRDefault="00695CF2" w:rsidP="006E2F58">
            <w:pPr>
              <w:jc w:val="center"/>
              <w:rPr>
                <w:rFonts w:ascii="Arial" w:hAnsi="Arial"/>
                <w:b/>
                <w:bCs/>
                <w:rtl/>
              </w:rPr>
            </w:pPr>
          </w:p>
          <w:p w14:paraId="56AC2826" w14:textId="77777777" w:rsidR="00695CF2" w:rsidRPr="006E2F58" w:rsidRDefault="00695CF2" w:rsidP="006E2F58">
            <w:pPr>
              <w:jc w:val="center"/>
              <w:rPr>
                <w:rFonts w:ascii="Arial" w:hAnsi="Arial"/>
                <w:b/>
                <w:bCs/>
                <w:rtl/>
              </w:rPr>
            </w:pPr>
            <w:r w:rsidRPr="006E2F58">
              <w:rPr>
                <w:rFonts w:ascii="Arial" w:hAnsi="Arial"/>
                <w:b/>
                <w:bCs/>
                <w:rtl/>
              </w:rPr>
              <w:t>נגד</w:t>
            </w:r>
          </w:p>
          <w:p w14:paraId="258D16CB" w14:textId="77777777" w:rsidR="00695CF2" w:rsidRPr="006E2F58" w:rsidRDefault="00695CF2" w:rsidP="006E2F58">
            <w:pPr>
              <w:jc w:val="both"/>
              <w:rPr>
                <w:rFonts w:ascii="Arial" w:hAnsi="Arial"/>
                <w:b/>
                <w:bCs/>
              </w:rPr>
            </w:pPr>
          </w:p>
        </w:tc>
      </w:tr>
      <w:tr w:rsidR="00695CF2" w:rsidRPr="006E2F58" w14:paraId="5B570A92" w14:textId="77777777" w:rsidTr="006E2F58">
        <w:trPr>
          <w:trHeight w:val="355"/>
          <w:jc w:val="center"/>
        </w:trPr>
        <w:tc>
          <w:tcPr>
            <w:tcW w:w="923" w:type="dxa"/>
            <w:tcBorders>
              <w:top w:val="nil"/>
              <w:left w:val="nil"/>
              <w:bottom w:val="nil"/>
              <w:right w:val="nil"/>
            </w:tcBorders>
            <w:shd w:val="clear" w:color="auto" w:fill="auto"/>
          </w:tcPr>
          <w:p w14:paraId="71C229D4" w14:textId="77777777" w:rsidR="00695CF2" w:rsidRPr="006E2F58" w:rsidRDefault="00695CF2" w:rsidP="006E2F58">
            <w:pPr>
              <w:rPr>
                <w:rFonts w:ascii="Arial" w:hAnsi="Arial"/>
                <w:b/>
                <w:bCs/>
                <w:rtl/>
              </w:rPr>
            </w:pPr>
          </w:p>
        </w:tc>
        <w:tc>
          <w:tcPr>
            <w:tcW w:w="4126" w:type="dxa"/>
            <w:tcBorders>
              <w:top w:val="nil"/>
              <w:left w:val="nil"/>
              <w:bottom w:val="nil"/>
              <w:right w:val="nil"/>
            </w:tcBorders>
            <w:shd w:val="clear" w:color="auto" w:fill="auto"/>
          </w:tcPr>
          <w:p w14:paraId="40CBAE57" w14:textId="77777777" w:rsidR="00695CF2" w:rsidRPr="006E2F58" w:rsidRDefault="00695CF2" w:rsidP="006E2F58">
            <w:pPr>
              <w:rPr>
                <w:b/>
                <w:bCs/>
                <w:rtl/>
              </w:rPr>
            </w:pPr>
            <w:r w:rsidRPr="006E2F58">
              <w:rPr>
                <w:rFonts w:hint="cs"/>
                <w:b/>
                <w:bCs/>
                <w:rtl/>
              </w:rPr>
              <w:t>חנניה אסטגסי</w:t>
            </w:r>
          </w:p>
        </w:tc>
        <w:tc>
          <w:tcPr>
            <w:tcW w:w="3771" w:type="dxa"/>
            <w:tcBorders>
              <w:top w:val="nil"/>
              <w:left w:val="nil"/>
              <w:bottom w:val="nil"/>
              <w:right w:val="nil"/>
            </w:tcBorders>
            <w:shd w:val="clear" w:color="auto" w:fill="auto"/>
          </w:tcPr>
          <w:p w14:paraId="60EC110D" w14:textId="77777777" w:rsidR="00695CF2" w:rsidRPr="006E2F58" w:rsidRDefault="00695CF2" w:rsidP="006E2F58">
            <w:pPr>
              <w:jc w:val="right"/>
              <w:rPr>
                <w:rFonts w:ascii="Arial" w:hAnsi="Arial"/>
                <w:b/>
                <w:bCs/>
              </w:rPr>
            </w:pPr>
          </w:p>
        </w:tc>
      </w:tr>
      <w:tr w:rsidR="00695CF2" w:rsidRPr="006E2F58" w14:paraId="0B5DF607" w14:textId="77777777" w:rsidTr="006E2F58">
        <w:trPr>
          <w:trHeight w:val="355"/>
          <w:jc w:val="center"/>
        </w:trPr>
        <w:tc>
          <w:tcPr>
            <w:tcW w:w="923" w:type="dxa"/>
            <w:tcBorders>
              <w:top w:val="nil"/>
              <w:left w:val="nil"/>
              <w:bottom w:val="nil"/>
              <w:right w:val="nil"/>
            </w:tcBorders>
            <w:shd w:val="clear" w:color="auto" w:fill="auto"/>
          </w:tcPr>
          <w:p w14:paraId="353D5DA1" w14:textId="77777777" w:rsidR="00695CF2" w:rsidRPr="006E2F58" w:rsidRDefault="00695CF2" w:rsidP="006E2F58">
            <w:pPr>
              <w:jc w:val="both"/>
              <w:rPr>
                <w:rFonts w:ascii="Arial" w:hAnsi="Arial"/>
                <w:b/>
                <w:bCs/>
                <w:rtl/>
              </w:rPr>
            </w:pPr>
          </w:p>
        </w:tc>
        <w:tc>
          <w:tcPr>
            <w:tcW w:w="4126" w:type="dxa"/>
            <w:tcBorders>
              <w:top w:val="nil"/>
              <w:left w:val="nil"/>
              <w:bottom w:val="nil"/>
              <w:right w:val="nil"/>
            </w:tcBorders>
            <w:shd w:val="clear" w:color="auto" w:fill="auto"/>
          </w:tcPr>
          <w:p w14:paraId="0E3DB41F" w14:textId="77777777" w:rsidR="00695CF2" w:rsidRPr="006E2F58" w:rsidRDefault="00695CF2" w:rsidP="006E2F58">
            <w:pPr>
              <w:jc w:val="both"/>
              <w:rPr>
                <w:b/>
                <w:bCs/>
                <w:rtl/>
              </w:rPr>
            </w:pPr>
          </w:p>
        </w:tc>
        <w:tc>
          <w:tcPr>
            <w:tcW w:w="3771" w:type="dxa"/>
            <w:tcBorders>
              <w:top w:val="nil"/>
              <w:left w:val="nil"/>
              <w:bottom w:val="nil"/>
              <w:right w:val="nil"/>
            </w:tcBorders>
            <w:shd w:val="clear" w:color="auto" w:fill="auto"/>
          </w:tcPr>
          <w:p w14:paraId="7033B970" w14:textId="77777777" w:rsidR="00695CF2" w:rsidRPr="006E2F58" w:rsidRDefault="00695CF2" w:rsidP="006E2F58">
            <w:pPr>
              <w:jc w:val="right"/>
              <w:rPr>
                <w:rFonts w:ascii="Arial" w:hAnsi="Arial"/>
                <w:b/>
                <w:bCs/>
              </w:rPr>
            </w:pPr>
            <w:r w:rsidRPr="006E2F58">
              <w:rPr>
                <w:rFonts w:ascii="Arial" w:hAnsi="Arial" w:hint="cs"/>
                <w:b/>
                <w:bCs/>
                <w:rtl/>
              </w:rPr>
              <w:t>ה</w:t>
            </w:r>
            <w:r w:rsidRPr="006E2F58">
              <w:rPr>
                <w:rFonts w:hint="cs"/>
                <w:b/>
                <w:bCs/>
                <w:rtl/>
              </w:rPr>
              <w:t>נאשם</w:t>
            </w:r>
          </w:p>
        </w:tc>
      </w:tr>
    </w:tbl>
    <w:p w14:paraId="2EB4133B" w14:textId="77777777" w:rsidR="0068367F" w:rsidRPr="0068367F" w:rsidRDefault="0068367F" w:rsidP="0068367F">
      <w:pPr>
        <w:spacing w:after="120" w:line="240" w:lineRule="exact"/>
        <w:ind w:left="283" w:hanging="283"/>
        <w:jc w:val="both"/>
        <w:rPr>
          <w:rFonts w:ascii="FrankRuehl" w:hAnsi="FrankRuehl" w:cs="FrankRuehl"/>
          <w:rtl/>
        </w:rPr>
      </w:pPr>
      <w:bookmarkStart w:id="2" w:name="LawTable"/>
      <w:bookmarkEnd w:id="2"/>
    </w:p>
    <w:p w14:paraId="4D528A1C" w14:textId="77777777" w:rsidR="0068367F" w:rsidRPr="0068367F" w:rsidRDefault="0068367F" w:rsidP="0068367F">
      <w:pPr>
        <w:spacing w:after="120" w:line="240" w:lineRule="exact"/>
        <w:ind w:left="283" w:hanging="283"/>
        <w:jc w:val="both"/>
        <w:rPr>
          <w:rFonts w:ascii="FrankRuehl" w:hAnsi="FrankRuehl" w:cs="FrankRuehl"/>
          <w:rtl/>
        </w:rPr>
      </w:pPr>
      <w:r w:rsidRPr="0068367F">
        <w:rPr>
          <w:rFonts w:ascii="FrankRuehl" w:hAnsi="FrankRuehl" w:cs="FrankRuehl"/>
          <w:rtl/>
        </w:rPr>
        <w:t xml:space="preserve">חקיקה שאוזכרה: </w:t>
      </w:r>
    </w:p>
    <w:p w14:paraId="72893F8B" w14:textId="77777777" w:rsidR="0068367F" w:rsidRPr="0068367F" w:rsidRDefault="0068367F" w:rsidP="0068367F">
      <w:pPr>
        <w:spacing w:after="120" w:line="240" w:lineRule="exact"/>
        <w:ind w:left="283" w:hanging="283"/>
        <w:jc w:val="both"/>
        <w:rPr>
          <w:rFonts w:ascii="FrankRuehl" w:hAnsi="FrankRuehl" w:cs="FrankRuehl"/>
          <w:rtl/>
        </w:rPr>
      </w:pPr>
      <w:hyperlink r:id="rId7" w:history="1">
        <w:r w:rsidRPr="0068367F">
          <w:rPr>
            <w:rFonts w:ascii="FrankRuehl" w:hAnsi="FrankRuehl" w:cs="FrankRuehl"/>
            <w:color w:val="0000FF"/>
            <w:u w:val="single"/>
            <w:rtl/>
          </w:rPr>
          <w:t>פקודת הסמים המסוכנים [נוסח חדש], תשל"ג-1973</w:t>
        </w:r>
      </w:hyperlink>
      <w:r w:rsidRPr="0068367F">
        <w:rPr>
          <w:rFonts w:ascii="FrankRuehl" w:hAnsi="FrankRuehl" w:cs="FrankRuehl"/>
          <w:rtl/>
        </w:rPr>
        <w:t xml:space="preserve">: סע'  </w:t>
      </w:r>
      <w:hyperlink r:id="rId8" w:history="1">
        <w:r w:rsidRPr="0068367F">
          <w:rPr>
            <w:rFonts w:ascii="FrankRuehl" w:hAnsi="FrankRuehl" w:cs="FrankRuehl"/>
            <w:color w:val="0000FF"/>
            <w:u w:val="single"/>
            <w:rtl/>
          </w:rPr>
          <w:t>6</w:t>
        </w:r>
      </w:hyperlink>
      <w:r w:rsidRPr="0068367F">
        <w:rPr>
          <w:rFonts w:ascii="FrankRuehl" w:hAnsi="FrankRuehl" w:cs="FrankRuehl"/>
          <w:rtl/>
        </w:rPr>
        <w:t xml:space="preserve">, </w:t>
      </w:r>
      <w:hyperlink r:id="rId9" w:history="1">
        <w:r w:rsidRPr="0068367F">
          <w:rPr>
            <w:rFonts w:ascii="FrankRuehl" w:hAnsi="FrankRuehl" w:cs="FrankRuehl"/>
            <w:color w:val="0000FF"/>
            <w:u w:val="single"/>
            <w:rtl/>
          </w:rPr>
          <w:t>7</w:t>
        </w:r>
      </w:hyperlink>
    </w:p>
    <w:p w14:paraId="16579C81" w14:textId="77777777" w:rsidR="0068367F" w:rsidRPr="0068367F" w:rsidRDefault="0068367F" w:rsidP="0068367F">
      <w:pPr>
        <w:spacing w:after="120" w:line="240" w:lineRule="exact"/>
        <w:ind w:left="283" w:hanging="283"/>
        <w:jc w:val="both"/>
        <w:rPr>
          <w:rFonts w:ascii="FrankRuehl" w:hAnsi="FrankRuehl" w:cs="FrankRuehl"/>
          <w:rtl/>
        </w:rPr>
      </w:pPr>
      <w:hyperlink r:id="rId10" w:history="1">
        <w:r w:rsidRPr="0068367F">
          <w:rPr>
            <w:rFonts w:ascii="FrankRuehl" w:hAnsi="FrankRuehl" w:cs="FrankRuehl"/>
            <w:color w:val="0000FF"/>
            <w:u w:val="single"/>
            <w:rtl/>
          </w:rPr>
          <w:t>חוק העונשין, תשל"ז-1977</w:t>
        </w:r>
      </w:hyperlink>
      <w:r w:rsidRPr="0068367F">
        <w:rPr>
          <w:rFonts w:ascii="FrankRuehl" w:hAnsi="FrankRuehl" w:cs="FrankRuehl"/>
          <w:rtl/>
        </w:rPr>
        <w:t xml:space="preserve">: סע'  </w:t>
      </w:r>
      <w:hyperlink r:id="rId11" w:history="1">
        <w:r w:rsidRPr="0068367F">
          <w:rPr>
            <w:rFonts w:ascii="FrankRuehl" w:hAnsi="FrankRuehl" w:cs="FrankRuehl"/>
            <w:color w:val="0000FF"/>
            <w:u w:val="single"/>
            <w:rtl/>
          </w:rPr>
          <w:t>40ט'</w:t>
        </w:r>
      </w:hyperlink>
      <w:r w:rsidRPr="0068367F">
        <w:rPr>
          <w:rFonts w:ascii="FrankRuehl" w:hAnsi="FrankRuehl" w:cs="FrankRuehl"/>
          <w:rtl/>
        </w:rPr>
        <w:t xml:space="preserve">, </w:t>
      </w:r>
      <w:hyperlink r:id="rId12" w:history="1">
        <w:r w:rsidRPr="0068367F">
          <w:rPr>
            <w:rFonts w:ascii="FrankRuehl" w:hAnsi="FrankRuehl" w:cs="FrankRuehl"/>
            <w:color w:val="0000FF"/>
            <w:u w:val="single"/>
            <w:rtl/>
          </w:rPr>
          <w:t>40י'(א)</w:t>
        </w:r>
      </w:hyperlink>
      <w:r w:rsidRPr="0068367F">
        <w:rPr>
          <w:rFonts w:ascii="FrankRuehl" w:hAnsi="FrankRuehl" w:cs="FrankRuehl"/>
          <w:rtl/>
        </w:rPr>
        <w:t xml:space="preserve">, </w:t>
      </w:r>
      <w:hyperlink r:id="rId13" w:history="1">
        <w:r w:rsidRPr="0068367F">
          <w:rPr>
            <w:rFonts w:ascii="FrankRuehl" w:hAnsi="FrankRuehl" w:cs="FrankRuehl"/>
            <w:color w:val="0000FF"/>
            <w:u w:val="single"/>
            <w:rtl/>
          </w:rPr>
          <w:t>40י(ג)).</w:t>
        </w:r>
      </w:hyperlink>
    </w:p>
    <w:p w14:paraId="3A1BAEA5" w14:textId="77777777" w:rsidR="0068367F" w:rsidRPr="0068367F" w:rsidRDefault="0068367F" w:rsidP="0068367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5CF2" w14:paraId="5AA8E9E3" w14:textId="77777777" w:rsidTr="006E2F58">
        <w:trPr>
          <w:trHeight w:val="355"/>
          <w:jc w:val="center"/>
        </w:trPr>
        <w:tc>
          <w:tcPr>
            <w:tcW w:w="8820" w:type="dxa"/>
            <w:tcBorders>
              <w:top w:val="nil"/>
              <w:left w:val="nil"/>
              <w:bottom w:val="nil"/>
              <w:right w:val="nil"/>
            </w:tcBorders>
            <w:shd w:val="clear" w:color="auto" w:fill="auto"/>
          </w:tcPr>
          <w:p w14:paraId="5307C91B" w14:textId="77777777" w:rsidR="006E2F58" w:rsidRPr="006E2F58" w:rsidRDefault="006E2F58" w:rsidP="006E2F58">
            <w:pPr>
              <w:jc w:val="center"/>
              <w:rPr>
                <w:rFonts w:ascii="Arial" w:hAnsi="Arial" w:cs="FrankRuehl"/>
                <w:b/>
                <w:bCs/>
                <w:sz w:val="32"/>
                <w:szCs w:val="32"/>
                <w:u w:val="single"/>
                <w:rtl/>
              </w:rPr>
            </w:pPr>
            <w:bookmarkStart w:id="3" w:name="LawTable_End"/>
            <w:bookmarkStart w:id="4" w:name="PsakDin" w:colFirst="0" w:colLast="0"/>
            <w:bookmarkEnd w:id="0"/>
            <w:bookmarkEnd w:id="3"/>
            <w:r w:rsidRPr="006E2F58">
              <w:rPr>
                <w:rFonts w:ascii="Arial" w:hAnsi="Arial" w:cs="FrankRuehl"/>
                <w:b/>
                <w:bCs/>
                <w:sz w:val="32"/>
                <w:szCs w:val="32"/>
                <w:u w:val="single"/>
                <w:rtl/>
              </w:rPr>
              <w:t>גזר דין</w:t>
            </w:r>
          </w:p>
          <w:p w14:paraId="6CBAF07D" w14:textId="77777777" w:rsidR="00695CF2" w:rsidRPr="006E2F58" w:rsidRDefault="00695CF2" w:rsidP="006E2F58">
            <w:pPr>
              <w:jc w:val="center"/>
              <w:rPr>
                <w:rFonts w:ascii="Arial" w:hAnsi="Arial" w:cs="FrankRuehl"/>
                <w:bCs/>
                <w:sz w:val="32"/>
                <w:szCs w:val="32"/>
                <w:u w:val="single"/>
                <w:rtl/>
              </w:rPr>
            </w:pPr>
          </w:p>
        </w:tc>
      </w:tr>
      <w:bookmarkEnd w:id="4"/>
    </w:tbl>
    <w:p w14:paraId="1D219AAF" w14:textId="77777777" w:rsidR="00695CF2" w:rsidRPr="00B05847" w:rsidRDefault="00695CF2" w:rsidP="00695CF2">
      <w:pPr>
        <w:rPr>
          <w:rFonts w:ascii="Arial" w:hAnsi="Arial"/>
          <w:rtl/>
        </w:rPr>
      </w:pPr>
    </w:p>
    <w:p w14:paraId="2D37F0A9" w14:textId="77777777" w:rsidR="00695CF2" w:rsidRPr="00B05847" w:rsidRDefault="00695CF2" w:rsidP="00695CF2">
      <w:pPr>
        <w:rPr>
          <w:rFonts w:ascii="Arial" w:hAnsi="Arial"/>
          <w:rtl/>
        </w:rPr>
      </w:pPr>
    </w:p>
    <w:p w14:paraId="56184900" w14:textId="77777777" w:rsidR="00695CF2" w:rsidRPr="00B05847" w:rsidRDefault="00695CF2" w:rsidP="00695CF2">
      <w:pPr>
        <w:rPr>
          <w:rtl/>
        </w:rPr>
      </w:pPr>
    </w:p>
    <w:p w14:paraId="7CB57B62" w14:textId="77777777" w:rsidR="00695CF2" w:rsidRPr="00BE31D7" w:rsidRDefault="00695CF2" w:rsidP="00695CF2">
      <w:pPr>
        <w:ind w:firstLine="360"/>
        <w:rPr>
          <w:b/>
          <w:bCs/>
          <w:u w:val="single"/>
          <w:rtl/>
        </w:rPr>
      </w:pPr>
      <w:r w:rsidRPr="00BE31D7">
        <w:rPr>
          <w:rFonts w:hint="cs"/>
          <w:b/>
          <w:bCs/>
          <w:u w:val="single"/>
          <w:rtl/>
        </w:rPr>
        <w:t xml:space="preserve">כתב האישום </w:t>
      </w:r>
    </w:p>
    <w:p w14:paraId="594B5E81" w14:textId="77777777" w:rsidR="00695CF2" w:rsidRPr="00BE31D7" w:rsidRDefault="00695CF2" w:rsidP="00695CF2">
      <w:pPr>
        <w:rPr>
          <w:rtl/>
        </w:rPr>
      </w:pPr>
    </w:p>
    <w:p w14:paraId="3B75571A" w14:textId="77777777" w:rsidR="00695CF2" w:rsidRPr="00BE31D7" w:rsidRDefault="00695CF2" w:rsidP="00695CF2">
      <w:pPr>
        <w:rPr>
          <w:rtl/>
        </w:rPr>
      </w:pPr>
    </w:p>
    <w:p w14:paraId="1F9B4AED" w14:textId="77777777" w:rsidR="00695CF2" w:rsidRPr="00BE31D7" w:rsidRDefault="00695CF2" w:rsidP="00695CF2">
      <w:pPr>
        <w:numPr>
          <w:ilvl w:val="0"/>
          <w:numId w:val="1"/>
        </w:numPr>
        <w:spacing w:line="360" w:lineRule="auto"/>
        <w:jc w:val="both"/>
        <w:rPr>
          <w:rtl/>
        </w:rPr>
      </w:pPr>
      <w:bookmarkStart w:id="5" w:name="ABSTRACT_START"/>
      <w:bookmarkEnd w:id="5"/>
      <w:r w:rsidRPr="00BE31D7">
        <w:rPr>
          <w:rFonts w:hint="cs"/>
          <w:rtl/>
        </w:rPr>
        <w:t xml:space="preserve">הנאשם הורשע על פי הודאתו בעבירה של גידול, יצור והכנת סמים מסוכנים, לפי </w:t>
      </w:r>
      <w:hyperlink r:id="rId14" w:history="1">
        <w:r w:rsidR="0068367F" w:rsidRPr="0068367F">
          <w:rPr>
            <w:color w:val="0000FF"/>
            <w:u w:val="single"/>
            <w:rtl/>
          </w:rPr>
          <w:t>סעיף 6</w:t>
        </w:r>
      </w:hyperlink>
      <w:r w:rsidRPr="00BE31D7">
        <w:rPr>
          <w:rFonts w:hint="cs"/>
          <w:rtl/>
        </w:rPr>
        <w:t xml:space="preserve"> ל</w:t>
      </w:r>
      <w:hyperlink r:id="rId15" w:history="1">
        <w:r w:rsidR="006E2F58" w:rsidRPr="006E2F58">
          <w:rPr>
            <w:color w:val="0000FF"/>
            <w:u w:val="single"/>
            <w:rtl/>
          </w:rPr>
          <w:t>פקודת הסמים המסוכנים</w:t>
        </w:r>
      </w:hyperlink>
      <w:r w:rsidRPr="00BE31D7">
        <w:rPr>
          <w:rFonts w:hint="cs"/>
          <w:rtl/>
        </w:rPr>
        <w:t xml:space="preserve"> (נוסח חדש), תשל"ג-1973. </w:t>
      </w:r>
    </w:p>
    <w:p w14:paraId="23962EB5" w14:textId="77777777" w:rsidR="00695CF2" w:rsidRPr="00BE31D7" w:rsidRDefault="00695CF2" w:rsidP="00695CF2">
      <w:pPr>
        <w:spacing w:line="360" w:lineRule="auto"/>
        <w:ind w:left="720"/>
        <w:contextualSpacing/>
        <w:jc w:val="both"/>
      </w:pPr>
      <w:bookmarkStart w:id="6" w:name="ABSTRACT_END"/>
      <w:bookmarkEnd w:id="6"/>
    </w:p>
    <w:p w14:paraId="538A899A" w14:textId="77777777" w:rsidR="00695CF2" w:rsidRPr="00BE31D7" w:rsidRDefault="00695CF2" w:rsidP="00695CF2">
      <w:pPr>
        <w:numPr>
          <w:ilvl w:val="0"/>
          <w:numId w:val="1"/>
        </w:numPr>
        <w:spacing w:line="360" w:lineRule="auto"/>
        <w:jc w:val="both"/>
      </w:pPr>
      <w:r w:rsidRPr="00BE31D7">
        <w:rPr>
          <w:rFonts w:hint="cs"/>
          <w:rtl/>
        </w:rPr>
        <w:t>בהתאם לעובדות כתב האישום, ביום 16.9.14 גידל הנאשם בביתו 79 עציצים של סם מסוכן מסוג קנבוס במשקל כולל של 6.15 ק"ג. כמו כן נמצאו בביתו כלים ששימשו לגידול הסמים כגון: גופי תאורה, מאוורר, מד טמפרטורה, חומרי דשן וצנרת השקיה.</w:t>
      </w:r>
    </w:p>
    <w:p w14:paraId="04CDCD76" w14:textId="77777777" w:rsidR="00695CF2" w:rsidRPr="00BE31D7" w:rsidRDefault="00695CF2" w:rsidP="00695CF2">
      <w:pPr>
        <w:spacing w:line="360" w:lineRule="auto"/>
        <w:ind w:left="720"/>
        <w:contextualSpacing/>
        <w:jc w:val="both"/>
        <w:rPr>
          <w:b/>
          <w:bCs/>
          <w:u w:val="single"/>
          <w:rtl/>
        </w:rPr>
      </w:pPr>
    </w:p>
    <w:p w14:paraId="664FECA6" w14:textId="77777777" w:rsidR="00695CF2" w:rsidRPr="00BE31D7" w:rsidRDefault="00695CF2" w:rsidP="00695CF2">
      <w:pPr>
        <w:spacing w:line="360" w:lineRule="auto"/>
        <w:ind w:firstLine="360"/>
        <w:jc w:val="both"/>
        <w:rPr>
          <w:b/>
          <w:bCs/>
          <w:u w:val="single"/>
          <w:rtl/>
        </w:rPr>
      </w:pPr>
      <w:r w:rsidRPr="00BE31D7">
        <w:rPr>
          <w:rFonts w:hint="cs"/>
          <w:b/>
          <w:bCs/>
          <w:u w:val="single"/>
          <w:rtl/>
        </w:rPr>
        <w:t>תסקיר שירות המבחן</w:t>
      </w:r>
    </w:p>
    <w:p w14:paraId="233692C5" w14:textId="77777777" w:rsidR="00695CF2" w:rsidRPr="00BE31D7" w:rsidRDefault="00695CF2" w:rsidP="00695CF2">
      <w:pPr>
        <w:spacing w:line="360" w:lineRule="auto"/>
        <w:jc w:val="both"/>
        <w:rPr>
          <w:b/>
          <w:bCs/>
          <w:u w:val="single"/>
          <w:rtl/>
        </w:rPr>
      </w:pPr>
    </w:p>
    <w:p w14:paraId="7FA949B5" w14:textId="77777777" w:rsidR="00695CF2" w:rsidRPr="00BE31D7" w:rsidRDefault="00695CF2" w:rsidP="00695CF2">
      <w:pPr>
        <w:numPr>
          <w:ilvl w:val="0"/>
          <w:numId w:val="1"/>
        </w:numPr>
        <w:spacing w:line="360" w:lineRule="auto"/>
        <w:contextualSpacing/>
        <w:jc w:val="both"/>
        <w:rPr>
          <w:rtl/>
        </w:rPr>
      </w:pPr>
      <w:r w:rsidRPr="00BE31D7">
        <w:rPr>
          <w:rFonts w:hint="cs"/>
          <w:rtl/>
        </w:rPr>
        <w:t>בהתאם להסכמת הצדדים התקבל תסקיר מטעם שירות המבחן. מהתסקיר עולות נסיבות חייו הקשות של הנאשם הכוללות</w:t>
      </w:r>
      <w:r w:rsidRPr="00BE31D7">
        <w:rPr>
          <w:rFonts w:hint="cs"/>
          <w:b/>
          <w:bCs/>
          <w:rtl/>
        </w:rPr>
        <w:t xml:space="preserve"> </w:t>
      </w:r>
      <w:r w:rsidRPr="00BE31D7">
        <w:rPr>
          <w:rFonts w:hint="cs"/>
          <w:rtl/>
        </w:rPr>
        <w:t xml:space="preserve">התמכרות לסמים, נשירה מלימודים בגיל צעיר וחיים בבדידות. שירות המבחן התרשם כי הנאשם חבר לחברה שולית ומתקשה לשמור על גבולות. </w:t>
      </w:r>
      <w:r w:rsidRPr="00BE31D7">
        <w:rPr>
          <w:rFonts w:hint="cs"/>
          <w:rtl/>
        </w:rPr>
        <w:lastRenderedPageBreak/>
        <w:t>ביחס לאפשרות שילובו בגמילה, ציין שירות המבחן כי הנאשם, על פי דבריו, חסר כוחות ורצון לעשות כן וא</w:t>
      </w:r>
      <w:r>
        <w:rPr>
          <w:rFonts w:hint="cs"/>
          <w:rtl/>
        </w:rPr>
        <w:t>ף מעדיף עונש מאסר על פני גמילה.</w:t>
      </w:r>
      <w:r w:rsidRPr="00BE31D7">
        <w:rPr>
          <w:rFonts w:hint="cs"/>
          <w:rtl/>
        </w:rPr>
        <w:t xml:space="preserve"> מכאן העריך שירות המבחן כי קיים סיכון להישנות עבירות דומות בעתיד, ובשל היעדר אפיק שיקומי לא בא בהמלצה בעניינו.</w:t>
      </w:r>
    </w:p>
    <w:p w14:paraId="1C7DA329" w14:textId="77777777" w:rsidR="00695CF2" w:rsidRPr="00BE31D7" w:rsidRDefault="00695CF2" w:rsidP="00695CF2">
      <w:pPr>
        <w:spacing w:line="360" w:lineRule="auto"/>
        <w:ind w:left="720"/>
        <w:contextualSpacing/>
        <w:jc w:val="both"/>
        <w:rPr>
          <w:b/>
          <w:bCs/>
          <w:u w:val="single"/>
        </w:rPr>
      </w:pPr>
    </w:p>
    <w:p w14:paraId="1AE91FDB" w14:textId="77777777" w:rsidR="00695CF2" w:rsidRDefault="00695CF2" w:rsidP="00695CF2">
      <w:pPr>
        <w:spacing w:line="360" w:lineRule="auto"/>
        <w:ind w:firstLine="360"/>
        <w:jc w:val="both"/>
        <w:rPr>
          <w:b/>
          <w:bCs/>
          <w:u w:val="single"/>
          <w:rtl/>
        </w:rPr>
      </w:pPr>
    </w:p>
    <w:p w14:paraId="7C77E4BA" w14:textId="77777777" w:rsidR="00695CF2" w:rsidRDefault="00695CF2" w:rsidP="00695CF2">
      <w:pPr>
        <w:spacing w:line="360" w:lineRule="auto"/>
        <w:ind w:firstLine="360"/>
        <w:jc w:val="both"/>
        <w:rPr>
          <w:b/>
          <w:bCs/>
          <w:u w:val="single"/>
          <w:rtl/>
        </w:rPr>
      </w:pPr>
    </w:p>
    <w:p w14:paraId="1E8EC169" w14:textId="77777777" w:rsidR="00695CF2" w:rsidRDefault="00695CF2" w:rsidP="00695CF2">
      <w:pPr>
        <w:spacing w:line="360" w:lineRule="auto"/>
        <w:ind w:firstLine="360"/>
        <w:jc w:val="both"/>
        <w:rPr>
          <w:b/>
          <w:bCs/>
          <w:u w:val="single"/>
          <w:rtl/>
        </w:rPr>
      </w:pPr>
    </w:p>
    <w:p w14:paraId="659EAD23" w14:textId="77777777" w:rsidR="00695CF2" w:rsidRPr="00BE31D7" w:rsidRDefault="00695CF2" w:rsidP="00695CF2">
      <w:pPr>
        <w:spacing w:line="360" w:lineRule="auto"/>
        <w:ind w:firstLine="360"/>
        <w:jc w:val="both"/>
        <w:rPr>
          <w:b/>
          <w:bCs/>
          <w:u w:val="single"/>
          <w:rtl/>
        </w:rPr>
      </w:pPr>
      <w:r w:rsidRPr="00BE31D7">
        <w:rPr>
          <w:rFonts w:hint="cs"/>
          <w:b/>
          <w:bCs/>
          <w:u w:val="single"/>
          <w:rtl/>
        </w:rPr>
        <w:t>טיעוני הצדדים לעונש</w:t>
      </w:r>
    </w:p>
    <w:p w14:paraId="1365094F" w14:textId="77777777" w:rsidR="00695CF2" w:rsidRPr="00BE31D7" w:rsidRDefault="00695CF2" w:rsidP="00695CF2">
      <w:pPr>
        <w:spacing w:line="360" w:lineRule="auto"/>
        <w:ind w:left="720"/>
        <w:contextualSpacing/>
        <w:jc w:val="both"/>
        <w:rPr>
          <w:b/>
          <w:bCs/>
          <w:u w:val="single"/>
          <w:rtl/>
        </w:rPr>
      </w:pPr>
    </w:p>
    <w:p w14:paraId="2622DD43" w14:textId="77777777" w:rsidR="00695CF2" w:rsidRDefault="00695CF2" w:rsidP="00695CF2">
      <w:pPr>
        <w:numPr>
          <w:ilvl w:val="0"/>
          <w:numId w:val="1"/>
        </w:numPr>
        <w:spacing w:line="360" w:lineRule="auto"/>
        <w:jc w:val="both"/>
      </w:pPr>
      <w:r w:rsidRPr="00BE31D7">
        <w:rPr>
          <w:rFonts w:hint="cs"/>
          <w:rtl/>
        </w:rPr>
        <w:t xml:space="preserve">ב"כ המאשימה הפנה לחומרת מעשיו של הנאשם וטען כי בעבירת גידול סם נפגעים ערכים הדומים לאלו הנפגעים בעבירות סחר והפצה. עוד נטען כי מדובר בעבירה שקדמו לה תכנון, והשקעת משאבים. צוין גם שמדובר בכמות בלתי מבוטלת – 79 שתילים. המאשימה ציינה כי תופעת מעבדות הסמים בבתים, הפכה נפוצה בשנים האחרונות והן צצות </w:t>
      </w:r>
      <w:r>
        <w:rPr>
          <w:rFonts w:hint="cs"/>
          <w:rtl/>
        </w:rPr>
        <w:t>"</w:t>
      </w:r>
      <w:r w:rsidRPr="00BE31D7">
        <w:rPr>
          <w:rFonts w:hint="cs"/>
          <w:rtl/>
        </w:rPr>
        <w:t>כפטריות לאחר הגשם" ולכן יש להחמיר בענישה לצורך הרתעה. לאור כך הוצע  מתחם ענישה הנע בין 10 חודשי מאסר בפועל ועד 36 חודשי מאסר בפועל. ביחס לעונש הראוי שיש להשית על הנאשם, הפנתה המאשימה לתסקיר השלילי בו ציין הנאשם כי הוא מעדיף עונש מאסר על פני טיפול וגמילה. לפיכך ביקשה להשית עליו עונש מאסר במתחם הענישה שהוצע, מאסר מותנה, וקנס כספי גבוה. יצוין כי ב"כ המאשימה הבהיר כי הגם ששירות המבחן התייחס לעבר פלילי ישן של הנאשם, כיום כל העבירות הקודמות נמחקו מהמרשם הפלילי.</w:t>
      </w:r>
    </w:p>
    <w:p w14:paraId="228F2AB5" w14:textId="77777777" w:rsidR="00695CF2" w:rsidRDefault="00695CF2" w:rsidP="00695CF2">
      <w:pPr>
        <w:spacing w:line="360" w:lineRule="auto"/>
        <w:ind w:left="720"/>
        <w:jc w:val="both"/>
      </w:pPr>
    </w:p>
    <w:p w14:paraId="696633A6" w14:textId="77777777" w:rsidR="00695CF2" w:rsidRDefault="00695CF2" w:rsidP="00695CF2">
      <w:pPr>
        <w:numPr>
          <w:ilvl w:val="0"/>
          <w:numId w:val="1"/>
        </w:numPr>
        <w:spacing w:line="360" w:lineRule="auto"/>
        <w:jc w:val="both"/>
      </w:pPr>
      <w:r w:rsidRPr="00BE31D7">
        <w:rPr>
          <w:rFonts w:hint="cs"/>
          <w:rtl/>
        </w:rPr>
        <w:t>ב"כ הנאשם טען כי אין לראות בשימוש בכלים כנסיבה לחומרה שכן מדובר בנסיבה אינהרנטית לעבירה עצמה</w:t>
      </w:r>
      <w:r>
        <w:rPr>
          <w:rFonts w:hint="cs"/>
          <w:rtl/>
        </w:rPr>
        <w:t xml:space="preserve">, שהרי לא ייתכן לדידו גידול סם </w:t>
      </w:r>
      <w:r w:rsidRPr="00BE31D7">
        <w:rPr>
          <w:rFonts w:hint="cs"/>
          <w:rtl/>
        </w:rPr>
        <w:t xml:space="preserve">ללא כלים מתאימים. הסנגור טען כי מדיניות הענישה הנוהגת בעבירות אלה מלמדת על מתחם עונש הנע בין 6 חודשי מאסר בעבודות שירות ועד ל-24 חודשי מאסר בפועל. בהתייחסו לעונש הראוי שיש להטיל על הנאשם, הפנה הסנגור להודאתו, לעברו הנקי ולמצבו הכלכלי הקשה וביקש להסתפק בענישה בדמות של עבודות שירות ולהימנע מקנס. </w:t>
      </w:r>
    </w:p>
    <w:p w14:paraId="10D8559A" w14:textId="77777777" w:rsidR="00695CF2" w:rsidRDefault="00695CF2" w:rsidP="00695CF2">
      <w:pPr>
        <w:spacing w:line="360" w:lineRule="auto"/>
        <w:ind w:left="720"/>
        <w:jc w:val="both"/>
      </w:pPr>
    </w:p>
    <w:p w14:paraId="5658B6CE" w14:textId="77777777" w:rsidR="00695CF2" w:rsidRPr="00BE31D7" w:rsidRDefault="00695CF2" w:rsidP="00695CF2">
      <w:pPr>
        <w:numPr>
          <w:ilvl w:val="0"/>
          <w:numId w:val="1"/>
        </w:numPr>
        <w:spacing w:line="360" w:lineRule="auto"/>
        <w:jc w:val="both"/>
        <w:rPr>
          <w:rtl/>
        </w:rPr>
      </w:pPr>
      <w:r w:rsidRPr="00BE31D7">
        <w:rPr>
          <w:rFonts w:hint="cs"/>
          <w:rtl/>
        </w:rPr>
        <w:t xml:space="preserve">הנאשם בדברו האחרון ציין כי הוא עדיין מעשן סמים מידי יום ורוצה להפסיק אך בשל העובדה שההליך נמשך זמן רב הוא מעדיף לרצות את עונשו כעת ולהימנע מהליך גמילה ארוך שבסופו ירצה את העונש. </w:t>
      </w:r>
    </w:p>
    <w:p w14:paraId="2469F014" w14:textId="77777777" w:rsidR="00695CF2" w:rsidRPr="00BE31D7" w:rsidRDefault="00695CF2" w:rsidP="00695CF2">
      <w:pPr>
        <w:spacing w:line="360" w:lineRule="auto"/>
        <w:ind w:left="720"/>
        <w:contextualSpacing/>
        <w:jc w:val="both"/>
        <w:rPr>
          <w:b/>
          <w:bCs/>
          <w:u w:val="single"/>
          <w:rtl/>
        </w:rPr>
      </w:pPr>
    </w:p>
    <w:p w14:paraId="0F2BF0AE" w14:textId="77777777" w:rsidR="00695CF2" w:rsidRPr="00BE31D7" w:rsidRDefault="00695CF2" w:rsidP="00695CF2">
      <w:pPr>
        <w:spacing w:line="360" w:lineRule="auto"/>
        <w:ind w:firstLine="360"/>
        <w:jc w:val="both"/>
        <w:rPr>
          <w:b/>
          <w:bCs/>
          <w:u w:val="single"/>
          <w:rtl/>
        </w:rPr>
      </w:pPr>
      <w:r w:rsidRPr="00BE31D7">
        <w:rPr>
          <w:rFonts w:hint="cs"/>
          <w:b/>
          <w:bCs/>
          <w:u w:val="single"/>
          <w:rtl/>
        </w:rPr>
        <w:t>דיון והכרעה</w:t>
      </w:r>
    </w:p>
    <w:p w14:paraId="23BD0CA5" w14:textId="77777777" w:rsidR="00695CF2" w:rsidRPr="00BE31D7" w:rsidRDefault="00695CF2" w:rsidP="00695CF2">
      <w:pPr>
        <w:spacing w:line="360" w:lineRule="auto"/>
        <w:ind w:left="720"/>
        <w:contextualSpacing/>
        <w:jc w:val="both"/>
        <w:rPr>
          <w:rtl/>
        </w:rPr>
      </w:pPr>
    </w:p>
    <w:p w14:paraId="269AC9B8" w14:textId="77777777" w:rsidR="00695CF2" w:rsidRPr="00BE31D7" w:rsidRDefault="00695CF2" w:rsidP="00695CF2">
      <w:pPr>
        <w:numPr>
          <w:ilvl w:val="0"/>
          <w:numId w:val="1"/>
        </w:numPr>
        <w:spacing w:line="360" w:lineRule="auto"/>
        <w:contextualSpacing/>
        <w:jc w:val="both"/>
        <w:rPr>
          <w:rFonts w:ascii="David" w:eastAsia="Calibri" w:hAnsi="David"/>
        </w:rPr>
      </w:pPr>
      <w:r w:rsidRPr="00BE31D7">
        <w:rPr>
          <w:rFonts w:ascii="David" w:eastAsia="Calibri" w:hAnsi="David" w:hint="cs"/>
          <w:rtl/>
        </w:rPr>
        <w:lastRenderedPageBreak/>
        <w:t>כידוע, מאז תיקון 113 ל</w:t>
      </w:r>
      <w:hyperlink r:id="rId16" w:history="1">
        <w:r w:rsidR="006E2F58" w:rsidRPr="006E2F58">
          <w:rPr>
            <w:rFonts w:ascii="David" w:eastAsia="Calibri" w:hAnsi="David"/>
            <w:color w:val="0000FF"/>
            <w:u w:val="single"/>
            <w:rtl/>
          </w:rPr>
          <w:t>חוק העונשין</w:t>
        </w:r>
      </w:hyperlink>
      <w:r w:rsidRPr="00BE31D7">
        <w:rPr>
          <w:rFonts w:ascii="David" w:eastAsia="Calibri" w:hAnsi="David" w:hint="cs"/>
          <w:rtl/>
        </w:rPr>
        <w:t xml:space="preserve"> גזר הדין ניתן במסגרת הליך תלת שלבי. בשלב הראשון יש לקבוע אם העבירות המתוארות בכתב האישום מהוות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w:t>
      </w:r>
    </w:p>
    <w:p w14:paraId="1B395F07" w14:textId="77777777" w:rsidR="00695CF2" w:rsidRPr="00BE31D7" w:rsidRDefault="00695CF2" w:rsidP="00695CF2">
      <w:pPr>
        <w:spacing w:line="360" w:lineRule="auto"/>
        <w:ind w:left="720"/>
        <w:jc w:val="both"/>
        <w:rPr>
          <w:rFonts w:ascii="David" w:eastAsia="Calibri" w:hAnsi="David"/>
          <w:rtl/>
        </w:rPr>
      </w:pPr>
    </w:p>
    <w:p w14:paraId="02FF5874" w14:textId="77777777" w:rsidR="00695CF2" w:rsidRPr="00BE31D7" w:rsidRDefault="00695CF2" w:rsidP="00695CF2">
      <w:pPr>
        <w:spacing w:line="360" w:lineRule="auto"/>
        <w:ind w:left="720"/>
        <w:jc w:val="both"/>
        <w:rPr>
          <w:rFonts w:ascii="David" w:eastAsia="Calibri" w:hAnsi="David"/>
          <w:rtl/>
        </w:rPr>
      </w:pPr>
    </w:p>
    <w:p w14:paraId="18F10381" w14:textId="77777777" w:rsidR="00695CF2" w:rsidRPr="00BE31D7" w:rsidRDefault="00695CF2" w:rsidP="00695CF2">
      <w:pPr>
        <w:spacing w:line="360" w:lineRule="auto"/>
        <w:ind w:left="720"/>
        <w:jc w:val="both"/>
        <w:rPr>
          <w:rFonts w:ascii="David" w:eastAsia="Calibri" w:hAnsi="David"/>
        </w:rPr>
      </w:pPr>
    </w:p>
    <w:p w14:paraId="71202987" w14:textId="77777777" w:rsidR="00695CF2" w:rsidRPr="00BE31D7" w:rsidRDefault="00695CF2" w:rsidP="00695CF2">
      <w:pPr>
        <w:numPr>
          <w:ilvl w:val="0"/>
          <w:numId w:val="1"/>
        </w:numPr>
        <w:spacing w:line="360" w:lineRule="auto"/>
        <w:jc w:val="both"/>
        <w:rPr>
          <w:b/>
          <w:bCs/>
        </w:rPr>
      </w:pPr>
      <w:r w:rsidRPr="00BE31D7">
        <w:rPr>
          <w:rFonts w:hint="cs"/>
          <w:b/>
          <w:bCs/>
          <w:rtl/>
        </w:rPr>
        <w:t xml:space="preserve">הערכים המוגנים בבסיס העבירה: </w:t>
      </w:r>
      <w:r w:rsidRPr="00BE31D7">
        <w:rPr>
          <w:rFonts w:ascii="David" w:hAnsi="David" w:hint="cs"/>
          <w:rtl/>
        </w:rPr>
        <w:t xml:space="preserve">במעשיו פגע הנאשם בערכים של בטחון הציבור ושלומו. הסכנות הטמונות בהחזקת סם, לצורך גידולו והפצתו ידועות ואין צורך להכביר מילים על הנזקים שעלולים להיגרם לחברה ולפרט ממעשים אלו. </w:t>
      </w:r>
    </w:p>
    <w:p w14:paraId="79E623B0" w14:textId="77777777" w:rsidR="00695CF2" w:rsidRPr="00BE31D7" w:rsidRDefault="00695CF2" w:rsidP="00695CF2">
      <w:pPr>
        <w:spacing w:line="360" w:lineRule="auto"/>
        <w:ind w:left="720"/>
        <w:jc w:val="both"/>
        <w:rPr>
          <w:b/>
          <w:bCs/>
        </w:rPr>
      </w:pPr>
    </w:p>
    <w:p w14:paraId="0CF41CB0" w14:textId="77777777" w:rsidR="00695CF2" w:rsidRPr="00BE31D7" w:rsidRDefault="00695CF2" w:rsidP="00695CF2">
      <w:pPr>
        <w:numPr>
          <w:ilvl w:val="0"/>
          <w:numId w:val="1"/>
        </w:numPr>
        <w:spacing w:line="360" w:lineRule="auto"/>
        <w:jc w:val="both"/>
      </w:pPr>
      <w:r w:rsidRPr="00BE31D7">
        <w:rPr>
          <w:rFonts w:hint="cs"/>
          <w:b/>
          <w:bCs/>
          <w:rtl/>
        </w:rPr>
        <w:t xml:space="preserve">נסיבות ביצוע העבירה: </w:t>
      </w:r>
      <w:r w:rsidRPr="00BE31D7">
        <w:rPr>
          <w:rFonts w:hint="cs"/>
          <w:rtl/>
        </w:rPr>
        <w:t>נסיבות ביצוע העבירה מלמדות בבירור על תכנון מוקדם, שהתבטא</w:t>
      </w:r>
      <w:r w:rsidRPr="00BE31D7">
        <w:rPr>
          <w:rFonts w:hint="cs"/>
          <w:b/>
          <w:bCs/>
          <w:rtl/>
        </w:rPr>
        <w:t xml:space="preserve"> </w:t>
      </w:r>
      <w:r w:rsidRPr="00BE31D7">
        <w:rPr>
          <w:rFonts w:hint="cs"/>
          <w:rtl/>
        </w:rPr>
        <w:t xml:space="preserve">בהצטיידות בכלים מתאימים לצורך גידול השתילים. כמות השתילים (79) היא משמעותית ומעיון בתמונות ניתן לראות בבירור מעבדה מקצועית יחסית, בה הוסב אחד החדרים לכדי "חממת גידול קנבוס". </w:t>
      </w:r>
      <w:r w:rsidRPr="00BE31D7">
        <w:rPr>
          <w:rFonts w:hint="cs"/>
          <w:b/>
          <w:bCs/>
          <w:rtl/>
        </w:rPr>
        <w:t xml:space="preserve"> </w:t>
      </w:r>
      <w:r w:rsidRPr="00BE31D7">
        <w:rPr>
          <w:rFonts w:hint="cs"/>
          <w:rtl/>
        </w:rPr>
        <w:t xml:space="preserve">לאור כך פוטנציאל הנזק הוא משמעותי. אדגיש כי המאשימה לא טענה במסגרת כתב האישום כי גידול הסם היה למטרת </w:t>
      </w:r>
      <w:r>
        <w:rPr>
          <w:rFonts w:hint="cs"/>
          <w:rtl/>
        </w:rPr>
        <w:t>סחר</w:t>
      </w:r>
      <w:r w:rsidRPr="00BE31D7">
        <w:rPr>
          <w:rFonts w:hint="cs"/>
          <w:rtl/>
        </w:rPr>
        <w:t xml:space="preserve">. אכן, </w:t>
      </w:r>
      <w:hyperlink r:id="rId17" w:history="1">
        <w:r w:rsidR="0068367F" w:rsidRPr="0068367F">
          <w:rPr>
            <w:color w:val="0000FF"/>
            <w:u w:val="single"/>
            <w:rtl/>
          </w:rPr>
          <w:t>סעיף 6</w:t>
        </w:r>
      </w:hyperlink>
      <w:r w:rsidRPr="00BE31D7">
        <w:rPr>
          <w:rFonts w:hint="cs"/>
          <w:rtl/>
        </w:rPr>
        <w:t xml:space="preserve"> לפקודת הסמים אינו כולל את מטרת המעשה (כפי שקיים למשל </w:t>
      </w:r>
      <w:hyperlink r:id="rId18" w:history="1">
        <w:r w:rsidR="0068367F" w:rsidRPr="0068367F">
          <w:rPr>
            <w:color w:val="0000FF"/>
            <w:u w:val="single"/>
            <w:rtl/>
          </w:rPr>
          <w:t>בסעיף 7</w:t>
        </w:r>
      </w:hyperlink>
      <w:r w:rsidRPr="00BE31D7">
        <w:rPr>
          <w:rFonts w:hint="cs"/>
          <w:rtl/>
        </w:rPr>
        <w:t xml:space="preserve"> לפקודה) ולעולם העונש המרבי בסעיף זה זהה – 20 שנות מאסר (ו-7 שנים אם כתב האישום הוגש בבית משפט השלום). עם זאת, מובן כי לעיתים קיימות ראיות בדבר מטרת הגידול שעשויות להשליך על נסיבות ביצוע העבירה לחומרה או לקולה (</w:t>
      </w:r>
      <w:hyperlink r:id="rId19" w:history="1">
        <w:r w:rsidR="0068367F" w:rsidRPr="0068367F">
          <w:rPr>
            <w:color w:val="0000FF"/>
            <w:u w:val="single"/>
            <w:rtl/>
          </w:rPr>
          <w:t>סעיף 40ט'</w:t>
        </w:r>
      </w:hyperlink>
      <w:r w:rsidRPr="00BE31D7">
        <w:rPr>
          <w:rFonts w:hint="cs"/>
          <w:rtl/>
        </w:rPr>
        <w:t xml:space="preserve"> ל</w:t>
      </w:r>
      <w:hyperlink r:id="rId20" w:history="1">
        <w:r w:rsidR="006E2F58" w:rsidRPr="006E2F58">
          <w:rPr>
            <w:color w:val="0000FF"/>
            <w:u w:val="single"/>
            <w:rtl/>
          </w:rPr>
          <w:t>חוק העונשין</w:t>
        </w:r>
      </w:hyperlink>
      <w:r w:rsidRPr="00BE31D7">
        <w:rPr>
          <w:rFonts w:hint="cs"/>
          <w:rtl/>
        </w:rPr>
        <w:t>) ובהתאמה על מתחם הענישה הקונקרטי. במקרה זה, טען הנאשם כי הגידול היה לשימוש עצמי ואולם אף אם לא אביא בחשבון כי מקומה של טענה זו הוא ככלל בשלב בירור האשמה (</w:t>
      </w:r>
      <w:hyperlink r:id="rId21" w:history="1">
        <w:r w:rsidR="0068367F" w:rsidRPr="0068367F">
          <w:rPr>
            <w:color w:val="0000FF"/>
            <w:u w:val="single"/>
            <w:rtl/>
          </w:rPr>
          <w:t>סעיף 40י'(א)</w:t>
        </w:r>
      </w:hyperlink>
      <w:r w:rsidRPr="00BE31D7">
        <w:rPr>
          <w:rFonts w:hint="cs"/>
          <w:rtl/>
        </w:rPr>
        <w:t xml:space="preserve"> ל</w:t>
      </w:r>
      <w:hyperlink r:id="rId22" w:history="1">
        <w:r w:rsidR="006E2F58" w:rsidRPr="006E2F58">
          <w:rPr>
            <w:color w:val="0000FF"/>
            <w:u w:val="single"/>
            <w:rtl/>
          </w:rPr>
          <w:t>חוק העונשין</w:t>
        </w:r>
      </w:hyperlink>
      <w:r w:rsidRPr="00BE31D7">
        <w:rPr>
          <w:rFonts w:hint="cs"/>
          <w:rtl/>
        </w:rPr>
        <w:t xml:space="preserve">), עדין לא סברתי כי נסיבה מקלה זו הוכחה ברמת הנדרשת (מאזן הסתברויות, ראו </w:t>
      </w:r>
      <w:hyperlink r:id="rId23" w:history="1">
        <w:r w:rsidR="0068367F" w:rsidRPr="0068367F">
          <w:rPr>
            <w:color w:val="0000FF"/>
            <w:u w:val="single"/>
            <w:rtl/>
          </w:rPr>
          <w:t>סעיף 40י(ג)).</w:t>
        </w:r>
      </w:hyperlink>
    </w:p>
    <w:p w14:paraId="0BFD4842" w14:textId="77777777" w:rsidR="00695CF2" w:rsidRPr="00BE31D7" w:rsidRDefault="00695CF2" w:rsidP="00695CF2">
      <w:pPr>
        <w:spacing w:line="360" w:lineRule="auto"/>
        <w:ind w:left="720"/>
        <w:jc w:val="both"/>
        <w:rPr>
          <w:b/>
          <w:bCs/>
          <w:rtl/>
        </w:rPr>
      </w:pPr>
    </w:p>
    <w:p w14:paraId="0EC9C7EC" w14:textId="77777777" w:rsidR="00695CF2" w:rsidRPr="00BE31D7" w:rsidRDefault="00695CF2" w:rsidP="00695CF2">
      <w:pPr>
        <w:numPr>
          <w:ilvl w:val="0"/>
          <w:numId w:val="1"/>
        </w:numPr>
        <w:spacing w:line="360" w:lineRule="auto"/>
        <w:jc w:val="both"/>
        <w:rPr>
          <w:rFonts w:ascii="David" w:hAnsi="David" w:cs="Times New Roman"/>
        </w:rPr>
      </w:pPr>
      <w:r w:rsidRPr="00BE31D7">
        <w:rPr>
          <w:rFonts w:hint="cs"/>
          <w:b/>
          <w:bCs/>
          <w:rtl/>
        </w:rPr>
        <w:t>מדיניות הענישה:</w:t>
      </w:r>
      <w:r w:rsidRPr="00BE31D7">
        <w:rPr>
          <w:rFonts w:ascii="David" w:hAnsi="David" w:hint="cs"/>
          <w:rtl/>
        </w:rPr>
        <w:t xml:space="preserve"> הענישה המוטלת בעבירות מסוג זה משתנה ממקרה למקרה והיא תלויה בין היתר בסוג הסם, כמותו ובנסיבותיו של הנאשם (עבר פלילי, שיקום, תסקיר חיובי וכיוצב'). עם זאת נקבע לא אחת כי יש להחמיר עם אלו שמגדלים סמים (ראה: </w:t>
      </w:r>
      <w:hyperlink r:id="rId24" w:history="1">
        <w:r w:rsidR="006E2F58" w:rsidRPr="006E2F58">
          <w:rPr>
            <w:rFonts w:ascii="David" w:hAnsi="David"/>
            <w:color w:val="0000FF"/>
            <w:u w:val="single"/>
            <w:rtl/>
          </w:rPr>
          <w:t>ע"פ 11220/03</w:t>
        </w:r>
      </w:hyperlink>
      <w:r w:rsidRPr="00BE31D7">
        <w:rPr>
          <w:rFonts w:ascii="David" w:hAnsi="David" w:hint="cs"/>
          <w:rtl/>
        </w:rPr>
        <w:t xml:space="preserve"> </w:t>
      </w:r>
      <w:r w:rsidRPr="00BE31D7">
        <w:rPr>
          <w:rFonts w:ascii="David" w:hAnsi="David" w:hint="cs"/>
          <w:b/>
          <w:bCs/>
          <w:rtl/>
        </w:rPr>
        <w:t>פלוני נ' מדינת ישראל</w:t>
      </w:r>
      <w:r w:rsidRPr="00BE31D7">
        <w:rPr>
          <w:rFonts w:ascii="David" w:hAnsi="David" w:hint="cs"/>
          <w:rtl/>
        </w:rPr>
        <w:t xml:space="preserve"> (6.7.05); </w:t>
      </w:r>
      <w:hyperlink r:id="rId25" w:history="1">
        <w:r w:rsidR="006E2F58" w:rsidRPr="006E2F58">
          <w:rPr>
            <w:rFonts w:ascii="David" w:hAnsi="David"/>
            <w:color w:val="0000FF"/>
            <w:u w:val="single"/>
            <w:rtl/>
          </w:rPr>
          <w:t>ע"פ (י-ם) 1987-04-10</w:t>
        </w:r>
      </w:hyperlink>
      <w:r w:rsidRPr="00BE31D7">
        <w:rPr>
          <w:rFonts w:ascii="David" w:hAnsi="David" w:hint="cs"/>
          <w:rtl/>
        </w:rPr>
        <w:t xml:space="preserve"> </w:t>
      </w:r>
      <w:r w:rsidRPr="00BE31D7">
        <w:rPr>
          <w:rFonts w:ascii="David" w:hAnsi="David" w:hint="cs"/>
          <w:b/>
          <w:bCs/>
          <w:rtl/>
        </w:rPr>
        <w:t>מדינת ישראל נ' אלוני</w:t>
      </w:r>
      <w:r w:rsidRPr="00BE31D7">
        <w:rPr>
          <w:rFonts w:ascii="David" w:hAnsi="David" w:hint="cs"/>
          <w:rtl/>
        </w:rPr>
        <w:t xml:space="preserve"> (28.6.2010) וכן </w:t>
      </w:r>
      <w:hyperlink r:id="rId26" w:history="1">
        <w:r w:rsidR="006E2F58" w:rsidRPr="006E2F58">
          <w:rPr>
            <w:rFonts w:ascii="David" w:hAnsi="David"/>
            <w:color w:val="0000FF"/>
            <w:u w:val="single"/>
            <w:rtl/>
          </w:rPr>
          <w:t>עפ"ג (ת"א) 12819-11-15</w:t>
        </w:r>
      </w:hyperlink>
      <w:r w:rsidRPr="00BE31D7">
        <w:rPr>
          <w:rFonts w:ascii="David" w:hAnsi="David" w:hint="cs"/>
          <w:rtl/>
        </w:rPr>
        <w:t xml:space="preserve"> </w:t>
      </w:r>
      <w:r w:rsidRPr="00BE31D7">
        <w:rPr>
          <w:rFonts w:ascii="David" w:hAnsi="David" w:hint="cs"/>
          <w:b/>
          <w:bCs/>
          <w:rtl/>
        </w:rPr>
        <w:t>מדינת ישראל נ' בן צבי</w:t>
      </w:r>
      <w:r w:rsidRPr="00BE31D7">
        <w:rPr>
          <w:rFonts w:ascii="David" w:hAnsi="David" w:hint="cs"/>
          <w:rtl/>
        </w:rPr>
        <w:t xml:space="preserve"> (16.12.15) שם נקבע כי:</w:t>
      </w:r>
    </w:p>
    <w:p w14:paraId="6E076832" w14:textId="77777777" w:rsidR="00695CF2" w:rsidRPr="00BE31D7" w:rsidRDefault="00695CF2" w:rsidP="00695CF2">
      <w:pPr>
        <w:spacing w:line="360" w:lineRule="auto"/>
        <w:ind w:left="720"/>
        <w:jc w:val="both"/>
        <w:rPr>
          <w:b/>
          <w:bCs/>
        </w:rPr>
      </w:pPr>
    </w:p>
    <w:p w14:paraId="2D354099" w14:textId="77777777" w:rsidR="00695CF2" w:rsidRPr="00BE31D7" w:rsidRDefault="00695CF2" w:rsidP="00695CF2">
      <w:pPr>
        <w:spacing w:line="360" w:lineRule="auto"/>
        <w:ind w:left="1440" w:right="1134"/>
        <w:jc w:val="both"/>
        <w:rPr>
          <w:rFonts w:ascii="David" w:hAnsi="David" w:cs="Miriam"/>
          <w:rtl/>
        </w:rPr>
      </w:pPr>
      <w:r w:rsidRPr="00BE31D7">
        <w:rPr>
          <w:rFonts w:ascii="David" w:hAnsi="David" w:cs="Miriam" w:hint="cs"/>
          <w:rtl/>
        </w:rPr>
        <w:t>"לא בכדִי הציב המחוקק בצדה של עברת גידול הסם עונש מקסימלי השווה לעונש שמוטל על הפצת סם וסחר בסמים. יש בכך אמירה נורמטיבית לצד אמירה אופרטיבית. מידת החומרה שבגידול סם איננה נופלת מזו של הפצת הסם. [ העונש] צריך לעמוד על תקופה שתחילתה במאסר שיינשא מאחורי סורג ובריח ולא במאסר שיינשא בעבודות שירות".</w:t>
      </w:r>
    </w:p>
    <w:p w14:paraId="6EFBFFED" w14:textId="77777777" w:rsidR="00695CF2" w:rsidRPr="00BE31D7" w:rsidRDefault="00695CF2" w:rsidP="00695CF2">
      <w:pPr>
        <w:spacing w:line="360" w:lineRule="auto"/>
        <w:ind w:left="720"/>
        <w:jc w:val="both"/>
        <w:rPr>
          <w:rFonts w:ascii="David" w:hAnsi="David" w:cs="Times New Roman"/>
          <w:rtl/>
        </w:rPr>
      </w:pPr>
    </w:p>
    <w:p w14:paraId="549618D6" w14:textId="77777777" w:rsidR="00695CF2" w:rsidRDefault="00695CF2" w:rsidP="00695CF2">
      <w:pPr>
        <w:spacing w:line="360" w:lineRule="auto"/>
        <w:ind w:left="720"/>
        <w:contextualSpacing/>
        <w:rPr>
          <w:rtl/>
        </w:rPr>
      </w:pPr>
    </w:p>
    <w:p w14:paraId="1D43BFC2" w14:textId="77777777" w:rsidR="00695CF2" w:rsidRDefault="00695CF2" w:rsidP="00695CF2">
      <w:pPr>
        <w:spacing w:line="360" w:lineRule="auto"/>
        <w:ind w:left="720"/>
        <w:contextualSpacing/>
        <w:rPr>
          <w:rtl/>
        </w:rPr>
      </w:pPr>
    </w:p>
    <w:p w14:paraId="4B202C2D" w14:textId="77777777" w:rsidR="00695CF2" w:rsidRPr="00BE31D7" w:rsidRDefault="00695CF2" w:rsidP="00695CF2">
      <w:pPr>
        <w:spacing w:line="360" w:lineRule="auto"/>
        <w:ind w:left="720"/>
        <w:contextualSpacing/>
        <w:rPr>
          <w:b/>
          <w:bCs/>
          <w:rtl/>
        </w:rPr>
      </w:pPr>
      <w:r w:rsidRPr="00BE31D7">
        <w:rPr>
          <w:rFonts w:hint="cs"/>
          <w:rtl/>
        </w:rPr>
        <w:t xml:space="preserve">לצורך בחינת מדיניות הענישה הנוהגת במקרים דומים, ניתן להפנות לפסקי הדין הבאים: </w:t>
      </w:r>
    </w:p>
    <w:p w14:paraId="2C4B84C1" w14:textId="77777777" w:rsidR="00695CF2" w:rsidRPr="00BE31D7" w:rsidRDefault="00695CF2" w:rsidP="00695CF2">
      <w:pPr>
        <w:spacing w:line="360" w:lineRule="auto"/>
        <w:rPr>
          <w:rFonts w:ascii="David" w:hAnsi="David"/>
        </w:rPr>
      </w:pPr>
    </w:p>
    <w:p w14:paraId="6830A1C0" w14:textId="77777777" w:rsidR="00695CF2" w:rsidRPr="00BE31D7" w:rsidRDefault="006E2F58" w:rsidP="00695CF2">
      <w:pPr>
        <w:spacing w:line="360" w:lineRule="auto"/>
        <w:ind w:left="720"/>
        <w:jc w:val="both"/>
        <w:rPr>
          <w:rFonts w:ascii="David" w:hAnsi="David"/>
        </w:rPr>
      </w:pPr>
      <w:hyperlink r:id="rId27" w:history="1">
        <w:r w:rsidRPr="006E2F58">
          <w:rPr>
            <w:rFonts w:ascii="David" w:hAnsi="David"/>
            <w:color w:val="0000FF"/>
            <w:u w:val="single"/>
            <w:rtl/>
          </w:rPr>
          <w:t>רע"פ 314/16</w:t>
        </w:r>
      </w:hyperlink>
      <w:r w:rsidR="00695CF2" w:rsidRPr="00BE31D7">
        <w:rPr>
          <w:rFonts w:ascii="David" w:hAnsi="David" w:hint="cs"/>
          <w:rtl/>
        </w:rPr>
        <w:t xml:space="preserve"> </w:t>
      </w:r>
      <w:r w:rsidR="00695CF2" w:rsidRPr="00BE31D7">
        <w:rPr>
          <w:rFonts w:ascii="David" w:hAnsi="David" w:hint="cs"/>
          <w:b/>
          <w:bCs/>
          <w:rtl/>
        </w:rPr>
        <w:t>בן צבי נ' מדינת ישראל</w:t>
      </w:r>
      <w:r w:rsidR="00695CF2" w:rsidRPr="00BE31D7">
        <w:rPr>
          <w:rFonts w:ascii="David" w:hAnsi="David" w:hint="cs"/>
          <w:rtl/>
        </w:rPr>
        <w:t xml:space="preserve"> (22.2.16), בו הוחמר עונשו של נאשם ל-10 חודשי מאסר, בשל גידול תשעה שתילי קנבוס במשקל ש</w:t>
      </w:r>
      <w:r w:rsidR="00695CF2">
        <w:rPr>
          <w:rFonts w:ascii="David" w:hAnsi="David" w:hint="cs"/>
          <w:rtl/>
        </w:rPr>
        <w:t>ל 2.5 קילו במעבדה שכללה ציוד רב.</w:t>
      </w:r>
    </w:p>
    <w:p w14:paraId="2CBA2116" w14:textId="77777777" w:rsidR="00695CF2" w:rsidRPr="00BE31D7" w:rsidRDefault="00695CF2" w:rsidP="00695CF2">
      <w:pPr>
        <w:spacing w:line="360" w:lineRule="auto"/>
        <w:jc w:val="both"/>
        <w:rPr>
          <w:rFonts w:ascii="David" w:hAnsi="David"/>
          <w:rtl/>
        </w:rPr>
      </w:pPr>
    </w:p>
    <w:p w14:paraId="7B9416C4" w14:textId="77777777" w:rsidR="00695CF2" w:rsidRPr="00BE31D7" w:rsidRDefault="006E2F58" w:rsidP="00695CF2">
      <w:pPr>
        <w:spacing w:line="360" w:lineRule="auto"/>
        <w:ind w:left="720"/>
        <w:jc w:val="both"/>
        <w:rPr>
          <w:rFonts w:ascii="David" w:hAnsi="David"/>
          <w:rtl/>
        </w:rPr>
      </w:pPr>
      <w:hyperlink r:id="rId28" w:history="1">
        <w:r w:rsidRPr="006E2F58">
          <w:rPr>
            <w:rFonts w:ascii="David" w:hAnsi="David"/>
            <w:color w:val="0000FF"/>
            <w:u w:val="single"/>
            <w:rtl/>
          </w:rPr>
          <w:t>רע"פ 1787/15</w:t>
        </w:r>
      </w:hyperlink>
      <w:r w:rsidR="00695CF2" w:rsidRPr="00BE31D7">
        <w:rPr>
          <w:rFonts w:ascii="David" w:hAnsi="David" w:hint="cs"/>
          <w:rtl/>
        </w:rPr>
        <w:t xml:space="preserve"> </w:t>
      </w:r>
      <w:r w:rsidR="00695CF2" w:rsidRPr="00BE31D7">
        <w:rPr>
          <w:rFonts w:ascii="David" w:hAnsi="David" w:hint="cs"/>
          <w:b/>
          <w:bCs/>
          <w:rtl/>
        </w:rPr>
        <w:t>עמר נ' מדינת ישראל</w:t>
      </w:r>
      <w:r w:rsidR="00695CF2" w:rsidRPr="00BE31D7">
        <w:rPr>
          <w:rFonts w:ascii="David" w:hAnsi="David" w:hint="cs"/>
          <w:rtl/>
        </w:rPr>
        <w:t xml:space="preserve"> (24.3.15), בו הוטלו על הנאשם 8 חודשי מאסר בשל גידול שתילי קנבוס במשקל </w:t>
      </w:r>
      <w:smartTag w:uri="urn:schemas-microsoft-com:office:smarttags" w:element="metricconverter">
        <w:smartTagPr>
          <w:attr w:name="ProductID" w:val="4,380 גרם"/>
        </w:smartTagPr>
        <w:r w:rsidR="00695CF2" w:rsidRPr="00BE31D7">
          <w:rPr>
            <w:rFonts w:ascii="David" w:hAnsi="David" w:hint="cs"/>
            <w:rtl/>
          </w:rPr>
          <w:t xml:space="preserve">4,380 גרם והחזקה של כ-2.5 ק"ג </w:t>
        </w:r>
      </w:smartTag>
      <w:r w:rsidR="00695CF2" w:rsidRPr="00BE31D7">
        <w:rPr>
          <w:rFonts w:ascii="David" w:hAnsi="David" w:hint="cs"/>
          <w:rtl/>
        </w:rPr>
        <w:t xml:space="preserve">סם מסוג קנבוס שלא לשימוש עצמי. יצוין כי בית המשפט העליון ראה במתחם שנקבע בבית המשפט השלום (8-20 חודשי מאסר) כראוי ונכון לאור חומרת העבירות. </w:t>
      </w:r>
    </w:p>
    <w:p w14:paraId="7B3A4BDE" w14:textId="77777777" w:rsidR="00695CF2" w:rsidRPr="00BE31D7" w:rsidRDefault="00695CF2" w:rsidP="00695CF2">
      <w:pPr>
        <w:spacing w:line="360" w:lineRule="auto"/>
        <w:jc w:val="both"/>
        <w:rPr>
          <w:rFonts w:ascii="David" w:hAnsi="David"/>
          <w:rtl/>
        </w:rPr>
      </w:pPr>
    </w:p>
    <w:p w14:paraId="067D8ECB" w14:textId="77777777" w:rsidR="00695CF2" w:rsidRPr="00BE31D7" w:rsidRDefault="006E2F58" w:rsidP="00695CF2">
      <w:pPr>
        <w:spacing w:line="360" w:lineRule="auto"/>
        <w:ind w:left="720"/>
        <w:jc w:val="both"/>
        <w:rPr>
          <w:rFonts w:ascii="David" w:hAnsi="David"/>
          <w:rtl/>
        </w:rPr>
      </w:pPr>
      <w:hyperlink r:id="rId29" w:history="1">
        <w:r w:rsidRPr="006E2F58">
          <w:rPr>
            <w:rFonts w:ascii="David" w:hAnsi="David"/>
            <w:color w:val="0000FF"/>
            <w:u w:val="single"/>
            <w:rtl/>
          </w:rPr>
          <w:t>רע"פ 7005/14</w:t>
        </w:r>
      </w:hyperlink>
      <w:r w:rsidR="00695CF2" w:rsidRPr="00BE31D7">
        <w:rPr>
          <w:rFonts w:ascii="David" w:hAnsi="David" w:hint="cs"/>
          <w:rtl/>
        </w:rPr>
        <w:t xml:space="preserve"> </w:t>
      </w:r>
      <w:r w:rsidR="00695CF2" w:rsidRPr="00BE31D7">
        <w:rPr>
          <w:rFonts w:ascii="David" w:hAnsi="David" w:hint="cs"/>
          <w:b/>
          <w:bCs/>
          <w:rtl/>
        </w:rPr>
        <w:t>דגן נ' מדינת ישראל</w:t>
      </w:r>
      <w:r w:rsidR="00695CF2" w:rsidRPr="00BE31D7">
        <w:rPr>
          <w:rFonts w:ascii="David" w:hAnsi="David" w:hint="cs"/>
          <w:rtl/>
        </w:rPr>
        <w:t xml:space="preserve"> (30.11.14), בו הוטלו על הנאשם 10 חודשי מאסר בפועל בשל גידול סם מסוג קנביס במשקל כולל של </w:t>
      </w:r>
      <w:smartTag w:uri="urn:schemas-microsoft-com:office:smarttags" w:element="metricconverter">
        <w:smartTagPr>
          <w:attr w:name="ProductID" w:val="2,721 גרם"/>
        </w:smartTagPr>
        <w:r w:rsidR="00695CF2" w:rsidRPr="00BE31D7">
          <w:rPr>
            <w:rFonts w:ascii="David" w:hAnsi="David" w:hint="cs"/>
            <w:rtl/>
          </w:rPr>
          <w:t>2,721 גרם</w:t>
        </w:r>
      </w:smartTag>
      <w:r w:rsidR="00695CF2" w:rsidRPr="00BE31D7">
        <w:rPr>
          <w:rFonts w:ascii="David" w:hAnsi="David" w:hint="cs"/>
          <w:rtl/>
        </w:rPr>
        <w:t xml:space="preserve">. </w:t>
      </w:r>
    </w:p>
    <w:p w14:paraId="19DBC110" w14:textId="77777777" w:rsidR="00695CF2" w:rsidRPr="00BE31D7" w:rsidRDefault="00695CF2" w:rsidP="00695CF2">
      <w:pPr>
        <w:spacing w:line="360" w:lineRule="auto"/>
        <w:ind w:left="720"/>
        <w:jc w:val="both"/>
        <w:rPr>
          <w:rFonts w:ascii="David" w:hAnsi="David"/>
          <w:rtl/>
        </w:rPr>
      </w:pPr>
    </w:p>
    <w:p w14:paraId="1E8A48F3" w14:textId="77777777" w:rsidR="00695CF2" w:rsidRPr="00BE31D7" w:rsidRDefault="006E2F58" w:rsidP="00695CF2">
      <w:pPr>
        <w:spacing w:line="360" w:lineRule="auto"/>
        <w:ind w:left="720"/>
        <w:jc w:val="both"/>
        <w:rPr>
          <w:rFonts w:ascii="David" w:hAnsi="David"/>
          <w:rtl/>
        </w:rPr>
      </w:pPr>
      <w:hyperlink r:id="rId30" w:history="1">
        <w:r w:rsidRPr="006E2F58">
          <w:rPr>
            <w:rFonts w:ascii="David" w:hAnsi="David"/>
            <w:color w:val="0000FF"/>
            <w:u w:val="single"/>
            <w:rtl/>
          </w:rPr>
          <w:t>רע"פ 6987/13</w:t>
        </w:r>
      </w:hyperlink>
      <w:r w:rsidR="00695CF2" w:rsidRPr="00BE31D7">
        <w:rPr>
          <w:rFonts w:ascii="David" w:hAnsi="David" w:hint="cs"/>
          <w:rtl/>
        </w:rPr>
        <w:t xml:space="preserve"> </w:t>
      </w:r>
      <w:r w:rsidR="00695CF2" w:rsidRPr="00BE31D7">
        <w:rPr>
          <w:rFonts w:ascii="David" w:hAnsi="David" w:hint="cs"/>
          <w:b/>
          <w:bCs/>
          <w:rtl/>
        </w:rPr>
        <w:t>אברמוב נ' מדינת ישראל</w:t>
      </w:r>
      <w:r w:rsidR="00695CF2" w:rsidRPr="00BE31D7">
        <w:rPr>
          <w:rFonts w:ascii="David" w:hAnsi="David" w:hint="cs"/>
          <w:rtl/>
        </w:rPr>
        <w:t xml:space="preserve"> (21.10.13), בו הוטלו על הנאשם 12 חודשי מאסר בפועל בשל גידול  סם מסוג קנביס במשקל כולל של 10 ק"ג.  </w:t>
      </w:r>
    </w:p>
    <w:p w14:paraId="3A1D465A" w14:textId="77777777" w:rsidR="00695CF2" w:rsidRPr="00BE31D7" w:rsidRDefault="00695CF2" w:rsidP="00695CF2">
      <w:pPr>
        <w:spacing w:line="360" w:lineRule="auto"/>
        <w:ind w:left="720"/>
        <w:jc w:val="both"/>
        <w:rPr>
          <w:rFonts w:ascii="David" w:hAnsi="David"/>
          <w:rtl/>
        </w:rPr>
      </w:pPr>
    </w:p>
    <w:p w14:paraId="1020CDC1" w14:textId="77777777" w:rsidR="00695CF2" w:rsidRPr="00BE31D7" w:rsidRDefault="006E2F58" w:rsidP="00695CF2">
      <w:pPr>
        <w:spacing w:line="360" w:lineRule="auto"/>
        <w:ind w:left="720"/>
        <w:jc w:val="both"/>
        <w:rPr>
          <w:rFonts w:ascii="David" w:hAnsi="David" w:cs="Miriam"/>
          <w:rtl/>
        </w:rPr>
      </w:pPr>
      <w:hyperlink r:id="rId31" w:history="1">
        <w:r w:rsidRPr="006E2F58">
          <w:rPr>
            <w:rFonts w:ascii="David" w:hAnsi="David"/>
            <w:color w:val="0000FF"/>
            <w:u w:val="single"/>
            <w:rtl/>
          </w:rPr>
          <w:t>עפ"ג 46738-09-14</w:t>
        </w:r>
      </w:hyperlink>
      <w:r w:rsidR="00695CF2" w:rsidRPr="00BE31D7">
        <w:rPr>
          <w:rFonts w:ascii="David" w:hAnsi="David" w:hint="cs"/>
          <w:rtl/>
        </w:rPr>
        <w:t xml:space="preserve"> </w:t>
      </w:r>
      <w:r w:rsidR="00695CF2" w:rsidRPr="00BE31D7">
        <w:rPr>
          <w:rFonts w:ascii="David" w:hAnsi="David" w:hint="cs"/>
          <w:b/>
          <w:bCs/>
          <w:rtl/>
        </w:rPr>
        <w:t>מדינת ישראל נ' צקבאשווילי</w:t>
      </w:r>
      <w:r w:rsidR="00695CF2" w:rsidRPr="00BE31D7">
        <w:rPr>
          <w:rFonts w:ascii="David" w:hAnsi="David" w:hint="cs"/>
          <w:rtl/>
        </w:rPr>
        <w:t xml:space="preserve"> (31.12.14), בו הוחמר עונשם של הנאשמים והועמד על 24 חודשי מאסר, בשל כך שהחזיקו  במעבדה בה נמצאו </w:t>
      </w:r>
      <w:smartTag w:uri="urn:schemas-microsoft-com:office:smarttags" w:element="metricconverter">
        <w:smartTagPr>
          <w:attr w:name="ProductID" w:val="17.86 ק&quot;ג"/>
        </w:smartTagPr>
        <w:r w:rsidR="00695CF2" w:rsidRPr="00BE31D7">
          <w:rPr>
            <w:rFonts w:ascii="David" w:hAnsi="David" w:hint="cs"/>
            <w:rtl/>
          </w:rPr>
          <w:t>17.86 ק"ג</w:t>
        </w:r>
      </w:smartTag>
      <w:r w:rsidR="00695CF2" w:rsidRPr="00BE31D7">
        <w:rPr>
          <w:rFonts w:ascii="David" w:hAnsi="David" w:hint="cs"/>
          <w:rtl/>
        </w:rPr>
        <w:t xml:space="preserve"> סם מסוג קנבוס ביחס למתחם הענישה קבע בית המשפט המחוזי כי הוא נע בין 18-36 חודשי מאסר. </w:t>
      </w:r>
    </w:p>
    <w:p w14:paraId="55821D89" w14:textId="77777777" w:rsidR="00695CF2" w:rsidRPr="00BE31D7" w:rsidRDefault="00695CF2" w:rsidP="00695CF2">
      <w:pPr>
        <w:spacing w:line="360" w:lineRule="auto"/>
        <w:ind w:left="720"/>
        <w:jc w:val="both"/>
        <w:rPr>
          <w:rFonts w:ascii="David" w:hAnsi="David" w:cs="Miriam"/>
          <w:rtl/>
        </w:rPr>
      </w:pPr>
    </w:p>
    <w:p w14:paraId="7BB3E1FD" w14:textId="77777777" w:rsidR="00695CF2" w:rsidRPr="00BE31D7" w:rsidRDefault="006E2F58" w:rsidP="00695CF2">
      <w:pPr>
        <w:spacing w:line="360" w:lineRule="auto"/>
        <w:ind w:left="720"/>
        <w:jc w:val="both"/>
        <w:rPr>
          <w:rFonts w:ascii="David" w:hAnsi="David" w:cs="Miriam"/>
          <w:rtl/>
        </w:rPr>
      </w:pPr>
      <w:hyperlink r:id="rId32" w:history="1">
        <w:r w:rsidRPr="006E2F58">
          <w:rPr>
            <w:rFonts w:ascii="David" w:eastAsia="Calibri" w:hAnsi="David"/>
            <w:color w:val="0000FF"/>
            <w:u w:val="single"/>
            <w:rtl/>
          </w:rPr>
          <w:t>ת"פ (מחוזי מרכז) 2456-07-10</w:t>
        </w:r>
      </w:hyperlink>
      <w:r w:rsidR="00695CF2" w:rsidRPr="00BE31D7">
        <w:rPr>
          <w:rFonts w:ascii="David" w:eastAsia="Calibri" w:hAnsi="David" w:hint="cs"/>
          <w:rtl/>
        </w:rPr>
        <w:t xml:space="preserve"> </w:t>
      </w:r>
      <w:r w:rsidR="00695CF2" w:rsidRPr="00BE31D7">
        <w:rPr>
          <w:rFonts w:ascii="David" w:eastAsia="Calibri" w:hAnsi="David" w:hint="cs"/>
          <w:b/>
          <w:bCs/>
          <w:rtl/>
        </w:rPr>
        <w:t>מדינת ישראל נ' תבל</w:t>
      </w:r>
      <w:r w:rsidR="00695CF2" w:rsidRPr="00BE31D7">
        <w:rPr>
          <w:rFonts w:ascii="David" w:eastAsia="Calibri" w:hAnsi="David" w:hint="cs"/>
          <w:rtl/>
        </w:rPr>
        <w:t xml:space="preserve"> (8.5.11), בו הוטל על נאשם עונש מאסר בן 8 חודשים בשל גידול סם מסוג קנבוס בכמות של כ- 8.9 ק"ג. </w:t>
      </w:r>
    </w:p>
    <w:p w14:paraId="3EF1A337" w14:textId="77777777" w:rsidR="00695CF2" w:rsidRPr="00BE31D7" w:rsidRDefault="00695CF2" w:rsidP="00695CF2">
      <w:pPr>
        <w:rPr>
          <w:b/>
          <w:bCs/>
        </w:rPr>
      </w:pPr>
    </w:p>
    <w:p w14:paraId="570F5C01" w14:textId="77777777" w:rsidR="00695CF2" w:rsidRPr="00BE31D7" w:rsidRDefault="00695CF2" w:rsidP="00695CF2">
      <w:pPr>
        <w:numPr>
          <w:ilvl w:val="0"/>
          <w:numId w:val="1"/>
        </w:numPr>
        <w:spacing w:line="360" w:lineRule="auto"/>
        <w:contextualSpacing/>
        <w:jc w:val="both"/>
        <w:rPr>
          <w:b/>
          <w:bCs/>
        </w:rPr>
      </w:pPr>
      <w:r w:rsidRPr="00BE31D7">
        <w:rPr>
          <w:rFonts w:hint="cs"/>
          <w:rtl/>
        </w:rPr>
        <w:t xml:space="preserve">לאור כל זאת, אני בדעה כי מתחם הענישה ההולם את העבירה מושא ענייננו נע בין 8 חודשי מאסר בפועל ועד 24 חודשי מאסר בפועל. </w:t>
      </w:r>
    </w:p>
    <w:p w14:paraId="03498934" w14:textId="77777777" w:rsidR="00695CF2" w:rsidRPr="00BE31D7" w:rsidRDefault="00695CF2" w:rsidP="00695CF2">
      <w:pPr>
        <w:spacing w:line="360" w:lineRule="auto"/>
        <w:ind w:left="720"/>
        <w:contextualSpacing/>
        <w:jc w:val="both"/>
        <w:rPr>
          <w:b/>
          <w:bCs/>
        </w:rPr>
      </w:pPr>
    </w:p>
    <w:p w14:paraId="37214684" w14:textId="77777777" w:rsidR="00695CF2" w:rsidRPr="00BE31D7" w:rsidRDefault="00695CF2" w:rsidP="00695CF2">
      <w:pPr>
        <w:spacing w:line="360" w:lineRule="auto"/>
        <w:ind w:firstLine="360"/>
        <w:jc w:val="both"/>
        <w:rPr>
          <w:b/>
          <w:bCs/>
          <w:u w:val="single"/>
          <w:rtl/>
        </w:rPr>
      </w:pPr>
      <w:r w:rsidRPr="00BE31D7">
        <w:rPr>
          <w:rFonts w:hint="cs"/>
          <w:b/>
          <w:bCs/>
          <w:u w:val="single"/>
          <w:rtl/>
        </w:rPr>
        <w:t>קביעת עונשו של הנאשם</w:t>
      </w:r>
    </w:p>
    <w:p w14:paraId="129AF965" w14:textId="77777777" w:rsidR="00695CF2" w:rsidRPr="00BE31D7" w:rsidRDefault="00695CF2" w:rsidP="00695CF2">
      <w:pPr>
        <w:spacing w:line="360" w:lineRule="auto"/>
        <w:ind w:left="360"/>
        <w:jc w:val="both"/>
        <w:rPr>
          <w:b/>
          <w:bCs/>
          <w:u w:val="single"/>
          <w:rtl/>
        </w:rPr>
      </w:pPr>
    </w:p>
    <w:p w14:paraId="5E5E4E16" w14:textId="77777777" w:rsidR="00695CF2" w:rsidRPr="00BE31D7" w:rsidRDefault="00695CF2" w:rsidP="00695CF2">
      <w:pPr>
        <w:numPr>
          <w:ilvl w:val="0"/>
          <w:numId w:val="1"/>
        </w:numPr>
        <w:spacing w:line="360" w:lineRule="auto"/>
        <w:jc w:val="both"/>
      </w:pPr>
      <w:r w:rsidRPr="00BE31D7">
        <w:rPr>
          <w:rFonts w:hint="cs"/>
          <w:rtl/>
        </w:rPr>
        <w:t>שני הצדדים טענו לענישה בגדרי מתחם הענישה. אכן, הנאשם לא הוכיח סיכוי</w:t>
      </w:r>
      <w:r>
        <w:rPr>
          <w:rFonts w:hint="cs"/>
          <w:rtl/>
        </w:rPr>
        <w:t>י שיקום ממשיים בעניינו, בוודאי ש</w:t>
      </w:r>
      <w:r w:rsidRPr="00BE31D7">
        <w:rPr>
          <w:rFonts w:hint="cs"/>
          <w:rtl/>
        </w:rPr>
        <w:t xml:space="preserve">לא כאלו המצדיקים חריגה לקולה ממתחם הענישה. לאור כך </w:t>
      </w:r>
      <w:r>
        <w:rPr>
          <w:rFonts w:hint="cs"/>
          <w:rtl/>
        </w:rPr>
        <w:t xml:space="preserve">יש לגזור </w:t>
      </w:r>
      <w:r w:rsidRPr="00BE31D7">
        <w:rPr>
          <w:rFonts w:hint="cs"/>
          <w:rtl/>
        </w:rPr>
        <w:t>את עונשו בגדרי המתחם.</w:t>
      </w:r>
    </w:p>
    <w:p w14:paraId="62E69D3F" w14:textId="77777777" w:rsidR="00695CF2" w:rsidRPr="001F2CE0" w:rsidRDefault="00695CF2" w:rsidP="00695CF2">
      <w:pPr>
        <w:spacing w:line="360" w:lineRule="auto"/>
        <w:ind w:left="720"/>
        <w:contextualSpacing/>
        <w:jc w:val="both"/>
      </w:pPr>
    </w:p>
    <w:p w14:paraId="442B725F" w14:textId="77777777" w:rsidR="00695CF2" w:rsidRDefault="00695CF2" w:rsidP="00695CF2">
      <w:pPr>
        <w:numPr>
          <w:ilvl w:val="0"/>
          <w:numId w:val="1"/>
        </w:numPr>
        <w:spacing w:line="360" w:lineRule="auto"/>
        <w:jc w:val="both"/>
      </w:pPr>
      <w:r w:rsidRPr="00BE31D7">
        <w:rPr>
          <w:rFonts w:hint="cs"/>
          <w:rtl/>
        </w:rPr>
        <w:t xml:space="preserve">לקולה, אביא בחשבון את גילו הלא צעיר של הנאשם ואראה בעברו כנקי (ראה הסברי המאשימה בעניין). עוד אביא בחשבון לקולה את הודאתו בהזדמנות הראשונה המבטאת קבלת אחריות והבנת חומרת המעשה. </w:t>
      </w:r>
    </w:p>
    <w:p w14:paraId="51CF8359" w14:textId="77777777" w:rsidR="00695CF2" w:rsidRPr="00BE31D7" w:rsidRDefault="00695CF2" w:rsidP="00695CF2">
      <w:pPr>
        <w:spacing w:line="360" w:lineRule="auto"/>
        <w:ind w:left="720"/>
        <w:jc w:val="both"/>
      </w:pPr>
    </w:p>
    <w:p w14:paraId="20EEC932" w14:textId="77777777" w:rsidR="00695CF2" w:rsidRPr="00BE31D7" w:rsidRDefault="00695CF2" w:rsidP="00695CF2">
      <w:pPr>
        <w:numPr>
          <w:ilvl w:val="0"/>
          <w:numId w:val="1"/>
        </w:numPr>
        <w:spacing w:before="120" w:after="120" w:line="360" w:lineRule="auto"/>
        <w:contextualSpacing/>
        <w:jc w:val="both"/>
        <w:rPr>
          <w:rtl/>
        </w:rPr>
      </w:pPr>
      <w:r w:rsidRPr="00BE31D7">
        <w:rPr>
          <w:rFonts w:hint="cs"/>
          <w:rtl/>
        </w:rPr>
        <w:t>יש ל</w:t>
      </w:r>
      <w:r>
        <w:rPr>
          <w:rFonts w:hint="cs"/>
          <w:rtl/>
        </w:rPr>
        <w:t>הצר על כך שהנאשם לא השכיל להירתם</w:t>
      </w:r>
      <w:r w:rsidRPr="00BE31D7">
        <w:rPr>
          <w:rFonts w:hint="cs"/>
          <w:rtl/>
        </w:rPr>
        <w:t xml:space="preserve"> להליך טיפולי אשר היה בכוחו לא רק להביא להקלה בעונשו, אלא גם להיחלצות ממעגל הסמים. </w:t>
      </w:r>
      <w:r>
        <w:rPr>
          <w:rFonts w:hint="cs"/>
          <w:rtl/>
        </w:rPr>
        <w:t xml:space="preserve">היה בכך לתרום לא רק לו, אלא גם לחברה. </w:t>
      </w:r>
      <w:r w:rsidRPr="00BE31D7">
        <w:rPr>
          <w:rFonts w:hint="cs"/>
          <w:rtl/>
        </w:rPr>
        <w:t>עם זאת, יש לציין שלמרות התמכרות ארוכת שנים לא חטא הנאשם בעבירות ויש לזקוף זאת לזכותו</w:t>
      </w:r>
      <w:r>
        <w:rPr>
          <w:rFonts w:hint="cs"/>
          <w:rtl/>
        </w:rPr>
        <w:t xml:space="preserve"> (ואין זה עניין של מה בכך בקרב המכורים לסמים)</w:t>
      </w:r>
      <w:r w:rsidRPr="00BE31D7">
        <w:rPr>
          <w:rFonts w:hint="cs"/>
          <w:rtl/>
        </w:rPr>
        <w:t xml:space="preserve">. הנסיבות שפורטו לעיל </w:t>
      </w:r>
      <w:r>
        <w:rPr>
          <w:rFonts w:hint="cs"/>
          <w:rtl/>
        </w:rPr>
        <w:t xml:space="preserve">יובאו בחשבון </w:t>
      </w:r>
      <w:r w:rsidRPr="00BE31D7">
        <w:rPr>
          <w:rFonts w:hint="cs"/>
          <w:rtl/>
        </w:rPr>
        <w:t xml:space="preserve">לקולה כך שעונשו יועמד </w:t>
      </w:r>
      <w:r>
        <w:rPr>
          <w:rFonts w:hint="cs"/>
          <w:rtl/>
        </w:rPr>
        <w:t>קרוב</w:t>
      </w:r>
      <w:r w:rsidRPr="00BE31D7">
        <w:rPr>
          <w:rFonts w:hint="cs"/>
          <w:rtl/>
        </w:rPr>
        <w:t xml:space="preserve"> </w:t>
      </w:r>
      <w:r>
        <w:rPr>
          <w:rFonts w:hint="cs"/>
          <w:rtl/>
        </w:rPr>
        <w:t>ל</w:t>
      </w:r>
      <w:r w:rsidRPr="00BE31D7">
        <w:rPr>
          <w:rFonts w:hint="cs"/>
          <w:rtl/>
        </w:rPr>
        <w:t>תחתית המתחם. יש לקוות כי הנאשם ישכיל לשנות את עמדתו ויעבור הליך טיפולי ראוי במסגרת תקופת מאסרו. אמליץ אפוא לשב"ס ל</w:t>
      </w:r>
      <w:r>
        <w:rPr>
          <w:rFonts w:hint="cs"/>
          <w:rtl/>
        </w:rPr>
        <w:t>שלבו בהליך שכזה, ככל שהנאשם יביע</w:t>
      </w:r>
      <w:r w:rsidRPr="00BE31D7">
        <w:rPr>
          <w:rFonts w:hint="cs"/>
          <w:rtl/>
        </w:rPr>
        <w:t xml:space="preserve"> רצון אמיתי לכך</w:t>
      </w:r>
      <w:r>
        <w:rPr>
          <w:rFonts w:hint="cs"/>
          <w:rtl/>
        </w:rPr>
        <w:t>, ותוך שמודע אני שתקופת המאסר קצרה יחסית לצורך טיפול</w:t>
      </w:r>
      <w:r w:rsidRPr="00BE31D7">
        <w:rPr>
          <w:rFonts w:hint="cs"/>
          <w:rtl/>
        </w:rPr>
        <w:t>.</w:t>
      </w:r>
    </w:p>
    <w:p w14:paraId="03A9512B" w14:textId="77777777" w:rsidR="00695CF2" w:rsidRPr="00BE31D7" w:rsidRDefault="00695CF2" w:rsidP="00695CF2">
      <w:pPr>
        <w:spacing w:before="120" w:after="120" w:line="360" w:lineRule="auto"/>
        <w:ind w:left="720"/>
        <w:contextualSpacing/>
        <w:jc w:val="both"/>
      </w:pPr>
    </w:p>
    <w:p w14:paraId="119B9579" w14:textId="77777777" w:rsidR="00695CF2" w:rsidRDefault="00695CF2" w:rsidP="00695CF2">
      <w:pPr>
        <w:numPr>
          <w:ilvl w:val="0"/>
          <w:numId w:val="1"/>
        </w:numPr>
        <w:spacing w:before="120" w:after="120" w:line="360" w:lineRule="auto"/>
        <w:contextualSpacing/>
        <w:jc w:val="both"/>
      </w:pPr>
      <w:r w:rsidRPr="00BE31D7">
        <w:rPr>
          <w:rFonts w:hint="cs"/>
          <w:rtl/>
        </w:rPr>
        <w:t>סיכומו של דבר, לאחר שבחנתי את מכלול השיקולים, הן לקולה והן לחומרה,  אני מטיל על הנאשם את העונשים הבאים:</w:t>
      </w:r>
    </w:p>
    <w:p w14:paraId="18C1F4F0" w14:textId="77777777" w:rsidR="00695CF2" w:rsidRPr="00BE31D7" w:rsidRDefault="00695CF2" w:rsidP="00695CF2">
      <w:pPr>
        <w:spacing w:before="120" w:after="120" w:line="360" w:lineRule="auto"/>
        <w:ind w:left="720"/>
        <w:contextualSpacing/>
        <w:jc w:val="both"/>
      </w:pPr>
    </w:p>
    <w:p w14:paraId="63DE5495" w14:textId="77777777" w:rsidR="00695CF2" w:rsidRPr="00BE31D7" w:rsidRDefault="00695CF2" w:rsidP="00695CF2">
      <w:pPr>
        <w:numPr>
          <w:ilvl w:val="0"/>
          <w:numId w:val="2"/>
        </w:numPr>
        <w:spacing w:before="240" w:after="240" w:line="360" w:lineRule="auto"/>
        <w:contextualSpacing/>
        <w:jc w:val="both"/>
      </w:pPr>
      <w:r w:rsidRPr="00BE31D7">
        <w:rPr>
          <w:rFonts w:hint="cs"/>
          <w:rtl/>
        </w:rPr>
        <w:t xml:space="preserve">10 חודשי מאסר בפועל. </w:t>
      </w:r>
    </w:p>
    <w:p w14:paraId="635FB736" w14:textId="77777777" w:rsidR="00695CF2" w:rsidRPr="00BE31D7" w:rsidRDefault="00695CF2" w:rsidP="00695CF2">
      <w:pPr>
        <w:numPr>
          <w:ilvl w:val="0"/>
          <w:numId w:val="2"/>
        </w:numPr>
        <w:spacing w:before="240" w:after="240" w:line="360" w:lineRule="auto"/>
        <w:contextualSpacing/>
        <w:jc w:val="both"/>
      </w:pPr>
      <w:r w:rsidRPr="00BE31D7">
        <w:rPr>
          <w:rFonts w:hint="cs"/>
          <w:rtl/>
        </w:rPr>
        <w:t xml:space="preserve">מאסר על תנאי לתקופה של 5 חודשים והתנאי הוא שהנאשם לא יעבור במשך 3 שנים  מיום שחרורו  ממאסרו, כל עבירה על פקודת הסמים שהיא פשע.  </w:t>
      </w:r>
    </w:p>
    <w:p w14:paraId="6A047FB6" w14:textId="77777777" w:rsidR="00695CF2" w:rsidRPr="00BE31D7" w:rsidRDefault="00695CF2" w:rsidP="00695CF2">
      <w:pPr>
        <w:numPr>
          <w:ilvl w:val="0"/>
          <w:numId w:val="2"/>
        </w:numPr>
        <w:spacing w:before="240" w:after="240" w:line="360" w:lineRule="auto"/>
        <w:contextualSpacing/>
        <w:jc w:val="both"/>
      </w:pPr>
      <w:r w:rsidRPr="00BE31D7">
        <w:rPr>
          <w:rFonts w:hint="cs"/>
          <w:rtl/>
        </w:rPr>
        <w:t>קנס בסך 7500 ש"ח ₪ או 25 ימי מאסר תחתיו. הקנס ישולם ב- 10 תשלומים חודשיים רצופים ושווים החל מיום 1.4.17. היה והקנס או שיעור משיעוריו לא ישולם במועד – תעמוד יתרת הקנס לתשלום מידי</w:t>
      </w:r>
      <w:r>
        <w:rPr>
          <w:rFonts w:hint="cs"/>
          <w:rtl/>
        </w:rPr>
        <w:t>.</w:t>
      </w:r>
    </w:p>
    <w:p w14:paraId="49A454F0" w14:textId="77777777" w:rsidR="00695CF2" w:rsidRPr="00BE31D7" w:rsidRDefault="00695CF2" w:rsidP="00695CF2">
      <w:pPr>
        <w:rPr>
          <w:rFonts w:ascii="Calibri" w:eastAsia="Calibri" w:hAnsi="Calibri" w:cs="Arial"/>
          <w:sz w:val="22"/>
          <w:szCs w:val="22"/>
          <w:rtl/>
        </w:rPr>
      </w:pPr>
    </w:p>
    <w:p w14:paraId="405B63A3" w14:textId="77777777" w:rsidR="00695CF2" w:rsidRPr="00BE31D7" w:rsidRDefault="00695CF2" w:rsidP="00695CF2">
      <w:pPr>
        <w:spacing w:before="120" w:after="120" w:line="360" w:lineRule="auto"/>
        <w:ind w:left="1440"/>
        <w:contextualSpacing/>
        <w:jc w:val="both"/>
        <w:rPr>
          <w:b/>
          <w:bCs/>
          <w:u w:val="single"/>
          <w:rtl/>
        </w:rPr>
      </w:pPr>
      <w:r w:rsidRPr="00BE31D7">
        <w:rPr>
          <w:rFonts w:hint="cs"/>
          <w:b/>
          <w:bCs/>
          <w:u w:val="single"/>
          <w:rtl/>
        </w:rPr>
        <w:t xml:space="preserve">בחלוף תקופת הערעור, ניתן להשמיד </w:t>
      </w:r>
      <w:r>
        <w:rPr>
          <w:rFonts w:hint="cs"/>
          <w:b/>
          <w:bCs/>
          <w:u w:val="single"/>
          <w:rtl/>
        </w:rPr>
        <w:t xml:space="preserve">את </w:t>
      </w:r>
      <w:r w:rsidRPr="00BE31D7">
        <w:rPr>
          <w:rFonts w:hint="cs"/>
          <w:b/>
          <w:bCs/>
          <w:u w:val="single"/>
          <w:rtl/>
        </w:rPr>
        <w:t xml:space="preserve">המוצגים - הסמים והציוד. </w:t>
      </w:r>
    </w:p>
    <w:p w14:paraId="0D0A4600" w14:textId="77777777" w:rsidR="00695CF2" w:rsidRPr="00BE31D7" w:rsidRDefault="00695CF2" w:rsidP="00695CF2"/>
    <w:p w14:paraId="5E2C230C" w14:textId="77777777" w:rsidR="00695CF2" w:rsidRPr="00BE31D7" w:rsidRDefault="00695CF2" w:rsidP="00695CF2">
      <w:pPr>
        <w:spacing w:line="360" w:lineRule="auto"/>
        <w:ind w:left="1440"/>
        <w:rPr>
          <w:b/>
          <w:bCs/>
        </w:rPr>
      </w:pPr>
      <w:r>
        <w:rPr>
          <w:rFonts w:hint="cs"/>
          <w:b/>
          <w:bCs/>
          <w:rtl/>
        </w:rPr>
        <w:t>הנאשם יתייצב לביצוע עונש המאסר ב</w:t>
      </w:r>
      <w:r w:rsidRPr="00BE31D7">
        <w:rPr>
          <w:rFonts w:hint="cs"/>
          <w:b/>
          <w:bCs/>
          <w:rtl/>
        </w:rPr>
        <w:t>יום 26.2.17 עד השעה 10:00 בבית מעצר קישון כשברשותו תעודת זהות ו/או דרכון.</w:t>
      </w:r>
    </w:p>
    <w:p w14:paraId="5E497446" w14:textId="77777777" w:rsidR="00695CF2" w:rsidRPr="00BE31D7" w:rsidRDefault="00695CF2" w:rsidP="00695CF2">
      <w:pPr>
        <w:spacing w:line="360" w:lineRule="auto"/>
        <w:ind w:left="1440"/>
        <w:rPr>
          <w:b/>
          <w:bCs/>
          <w:rtl/>
        </w:rPr>
      </w:pPr>
    </w:p>
    <w:p w14:paraId="42FE975E" w14:textId="77777777" w:rsidR="00695CF2" w:rsidRPr="00BE31D7" w:rsidRDefault="00695CF2" w:rsidP="00695CF2">
      <w:pPr>
        <w:spacing w:line="360" w:lineRule="auto"/>
        <w:ind w:left="1440"/>
        <w:rPr>
          <w:b/>
          <w:bCs/>
          <w:rtl/>
        </w:rPr>
      </w:pPr>
      <w:r w:rsidRPr="00BE31D7">
        <w:rPr>
          <w:rFonts w:hint="cs"/>
          <w:b/>
          <w:bCs/>
          <w:rtl/>
        </w:rPr>
        <w:t>על הנאשם לתאם, מבעוד מועד, כניסתו למאסר, כולל האפשרות למיון מוקדם, עם ענף אבחון ומיון של שב"ס בטלפון:9787377</w:t>
      </w:r>
      <w:r>
        <w:rPr>
          <w:rFonts w:hint="cs"/>
          <w:b/>
          <w:bCs/>
          <w:rtl/>
        </w:rPr>
        <w:t xml:space="preserve"> </w:t>
      </w:r>
      <w:r w:rsidRPr="00BE31D7">
        <w:rPr>
          <w:rFonts w:hint="cs"/>
          <w:b/>
          <w:bCs/>
          <w:rtl/>
        </w:rPr>
        <w:t xml:space="preserve"> – 08</w:t>
      </w:r>
      <w:r>
        <w:rPr>
          <w:rFonts w:hint="cs"/>
          <w:b/>
          <w:bCs/>
          <w:rtl/>
        </w:rPr>
        <w:t xml:space="preserve"> ; </w:t>
      </w:r>
      <w:r w:rsidRPr="00BE31D7">
        <w:rPr>
          <w:rFonts w:hint="cs"/>
          <w:b/>
          <w:bCs/>
          <w:rtl/>
        </w:rPr>
        <w:t>9787336 – 08.</w:t>
      </w:r>
    </w:p>
    <w:p w14:paraId="3C01C73E" w14:textId="77777777" w:rsidR="00695CF2" w:rsidRDefault="00695CF2" w:rsidP="00695CF2">
      <w:pPr>
        <w:rPr>
          <w:b/>
          <w:bCs/>
          <w:rtl/>
        </w:rPr>
      </w:pPr>
    </w:p>
    <w:p w14:paraId="2B45640D" w14:textId="77777777" w:rsidR="00695CF2" w:rsidRDefault="00695CF2" w:rsidP="00695CF2">
      <w:pPr>
        <w:rPr>
          <w:b/>
          <w:bCs/>
          <w:rtl/>
        </w:rPr>
      </w:pPr>
    </w:p>
    <w:p w14:paraId="201C07FD" w14:textId="77777777" w:rsidR="00695CF2" w:rsidRDefault="00695CF2" w:rsidP="00695CF2">
      <w:pPr>
        <w:rPr>
          <w:b/>
          <w:bCs/>
          <w:rtl/>
        </w:rPr>
      </w:pPr>
    </w:p>
    <w:p w14:paraId="6E6B3067" w14:textId="77777777" w:rsidR="00695CF2" w:rsidRDefault="00695CF2" w:rsidP="00695CF2">
      <w:pPr>
        <w:rPr>
          <w:b/>
          <w:bCs/>
          <w:rtl/>
        </w:rPr>
      </w:pPr>
    </w:p>
    <w:p w14:paraId="212CC1CD" w14:textId="77777777" w:rsidR="00695CF2" w:rsidRPr="00BE31D7" w:rsidRDefault="00695CF2" w:rsidP="00695CF2">
      <w:pPr>
        <w:rPr>
          <w:rFonts w:cs="Times New Roman"/>
          <w:rtl/>
        </w:rPr>
      </w:pPr>
    </w:p>
    <w:p w14:paraId="4D139BFB" w14:textId="77777777" w:rsidR="00695CF2" w:rsidRPr="00BE31D7" w:rsidRDefault="00695CF2" w:rsidP="00695CF2">
      <w:pPr>
        <w:ind w:left="720"/>
        <w:rPr>
          <w:b/>
          <w:bCs/>
          <w:u w:val="single"/>
          <w:rtl/>
        </w:rPr>
      </w:pPr>
      <w:r w:rsidRPr="00BE31D7">
        <w:rPr>
          <w:rFonts w:hint="cs"/>
          <w:b/>
          <w:bCs/>
          <w:u w:val="single"/>
          <w:rtl/>
        </w:rPr>
        <w:t>המזכירות תמציא את גזר הדין לשב"ס למעקב.</w:t>
      </w:r>
    </w:p>
    <w:p w14:paraId="0453C31B" w14:textId="77777777" w:rsidR="00695CF2" w:rsidRPr="00BE31D7" w:rsidRDefault="00695CF2" w:rsidP="00695CF2">
      <w:pPr>
        <w:ind w:left="720"/>
        <w:rPr>
          <w:rtl/>
        </w:rPr>
      </w:pPr>
    </w:p>
    <w:p w14:paraId="1C708AE6" w14:textId="77777777" w:rsidR="00695CF2" w:rsidRPr="00BE31D7" w:rsidRDefault="00695CF2" w:rsidP="00695CF2">
      <w:pPr>
        <w:ind w:left="720"/>
        <w:rPr>
          <w:b/>
          <w:bCs/>
          <w:u w:val="single"/>
          <w:rtl/>
        </w:rPr>
      </w:pPr>
      <w:r w:rsidRPr="00BE31D7">
        <w:rPr>
          <w:rFonts w:hint="cs"/>
          <w:b/>
          <w:bCs/>
          <w:u w:val="single"/>
          <w:rtl/>
        </w:rPr>
        <w:t>הודעה זכות ערעור בתוך 45 יום.</w:t>
      </w:r>
    </w:p>
    <w:p w14:paraId="248D53DA" w14:textId="77777777" w:rsidR="00695CF2" w:rsidRPr="00BE31D7" w:rsidRDefault="00695CF2" w:rsidP="00695CF2">
      <w:pPr>
        <w:rPr>
          <w:rtl/>
        </w:rPr>
      </w:pPr>
    </w:p>
    <w:p w14:paraId="5CD691CF" w14:textId="77777777" w:rsidR="00695CF2" w:rsidRPr="00BE31D7" w:rsidRDefault="00695CF2" w:rsidP="00695CF2">
      <w:pPr>
        <w:tabs>
          <w:tab w:val="center" w:pos="4153"/>
          <w:tab w:val="right" w:pos="8306"/>
        </w:tabs>
        <w:jc w:val="center"/>
        <w:rPr>
          <w:rtl/>
        </w:rPr>
      </w:pPr>
    </w:p>
    <w:p w14:paraId="2EA49435" w14:textId="77777777" w:rsidR="00695CF2" w:rsidRPr="00B05847" w:rsidRDefault="00695CF2" w:rsidP="00695CF2">
      <w:pPr>
        <w:rPr>
          <w:rtl/>
        </w:rPr>
      </w:pPr>
    </w:p>
    <w:p w14:paraId="7AD67F34" w14:textId="77777777" w:rsidR="00695CF2" w:rsidRPr="00B05847" w:rsidRDefault="00695CF2" w:rsidP="00695CF2">
      <w:pPr>
        <w:rPr>
          <w:rtl/>
        </w:rPr>
      </w:pPr>
    </w:p>
    <w:p w14:paraId="11DAF8D0" w14:textId="77777777" w:rsidR="00695CF2" w:rsidRPr="006E2F58" w:rsidRDefault="006E2F58" w:rsidP="00695CF2">
      <w:pPr>
        <w:rPr>
          <w:color w:val="FFFFFF"/>
          <w:sz w:val="2"/>
          <w:szCs w:val="2"/>
          <w:rtl/>
        </w:rPr>
      </w:pPr>
      <w:r w:rsidRPr="006E2F58">
        <w:rPr>
          <w:color w:val="FFFFFF"/>
          <w:sz w:val="2"/>
          <w:szCs w:val="2"/>
          <w:rtl/>
        </w:rPr>
        <w:t>5129371</w:t>
      </w:r>
    </w:p>
    <w:p w14:paraId="1887EE0D" w14:textId="77777777" w:rsidR="00695CF2" w:rsidRDefault="006E2F58" w:rsidP="00695CF2">
      <w:pPr>
        <w:rPr>
          <w:rFonts w:cs="FrankRuehl"/>
          <w:sz w:val="28"/>
          <w:szCs w:val="28"/>
          <w:rtl/>
        </w:rPr>
      </w:pPr>
      <w:r w:rsidRPr="006E2F58">
        <w:rPr>
          <w:rFonts w:ascii="Arial" w:hAnsi="Arial"/>
          <w:color w:val="FFFFFF"/>
          <w:sz w:val="2"/>
          <w:szCs w:val="2"/>
          <w:rtl/>
        </w:rPr>
        <w:t>54678313</w:t>
      </w:r>
      <w:r>
        <w:rPr>
          <w:rFonts w:ascii="Arial" w:hAnsi="Arial"/>
          <w:rtl/>
        </w:rPr>
        <w:t xml:space="preserve">ניתן היום,  כ"ה טבת תשע"ז, 23 ינואר 2017, במעמד הצדדים. </w:t>
      </w:r>
    </w:p>
    <w:p w14:paraId="31C41BD3" w14:textId="77777777" w:rsidR="00695CF2" w:rsidRDefault="00695CF2" w:rsidP="00695CF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B6C42D8" w14:textId="77777777" w:rsidR="00695CF2" w:rsidRDefault="00695CF2" w:rsidP="00695CF2">
      <w:pPr>
        <w:jc w:val="center"/>
        <w:rPr>
          <w:rFonts w:ascii="Arial" w:hAnsi="Arial" w:cs="FrankRuehl"/>
          <w:sz w:val="28"/>
          <w:szCs w:val="28"/>
          <w:rtl/>
        </w:rPr>
      </w:pPr>
    </w:p>
    <w:p w14:paraId="134D4677" w14:textId="77777777" w:rsidR="00695CF2" w:rsidRDefault="00695CF2" w:rsidP="00695CF2">
      <w:pPr>
        <w:rPr>
          <w:rFonts w:cs="FrankRuehl"/>
          <w:sz w:val="28"/>
          <w:szCs w:val="28"/>
          <w:rtl/>
        </w:rPr>
      </w:pPr>
    </w:p>
    <w:p w14:paraId="16950F96" w14:textId="77777777" w:rsidR="00695CF2" w:rsidRDefault="00695CF2" w:rsidP="00695CF2">
      <w:pPr>
        <w:pStyle w:val="a3"/>
        <w:jc w:val="center"/>
        <w:rPr>
          <w:rtl/>
        </w:rPr>
      </w:pPr>
    </w:p>
    <w:p w14:paraId="6F83A47D" w14:textId="77777777" w:rsidR="006E2F58" w:rsidRPr="006E2F58" w:rsidRDefault="006E2F58" w:rsidP="006E2F58">
      <w:pPr>
        <w:keepNext/>
        <w:rPr>
          <w:rFonts w:ascii="David" w:hAnsi="David"/>
          <w:color w:val="000000"/>
          <w:sz w:val="22"/>
          <w:szCs w:val="22"/>
          <w:rtl/>
        </w:rPr>
      </w:pPr>
    </w:p>
    <w:p w14:paraId="284A35B0" w14:textId="77777777" w:rsidR="006E2F58" w:rsidRPr="006E2F58" w:rsidRDefault="006E2F58" w:rsidP="006E2F58">
      <w:pPr>
        <w:keepNext/>
        <w:rPr>
          <w:rFonts w:ascii="David" w:hAnsi="David"/>
          <w:color w:val="000000"/>
          <w:sz w:val="22"/>
          <w:szCs w:val="22"/>
          <w:rtl/>
        </w:rPr>
      </w:pPr>
      <w:r w:rsidRPr="006E2F58">
        <w:rPr>
          <w:rFonts w:ascii="David" w:hAnsi="David"/>
          <w:color w:val="000000"/>
          <w:sz w:val="22"/>
          <w:szCs w:val="22"/>
          <w:rtl/>
        </w:rPr>
        <w:t>יוסי טורס 54678313</w:t>
      </w:r>
    </w:p>
    <w:p w14:paraId="41FA7887" w14:textId="77777777" w:rsidR="006E2F58" w:rsidRDefault="006E2F58" w:rsidP="006E2F58">
      <w:r w:rsidRPr="006E2F58">
        <w:rPr>
          <w:color w:val="000000"/>
          <w:rtl/>
        </w:rPr>
        <w:t>נוסח מסמך זה כפוף לשינויי ניסוח ועריכה</w:t>
      </w:r>
    </w:p>
    <w:p w14:paraId="40EEB9D8" w14:textId="77777777" w:rsidR="006E2F58" w:rsidRDefault="006E2F58" w:rsidP="006E2F58">
      <w:pPr>
        <w:rPr>
          <w:rtl/>
        </w:rPr>
      </w:pPr>
    </w:p>
    <w:p w14:paraId="215C7567" w14:textId="77777777" w:rsidR="006E2F58" w:rsidRDefault="006E2F58" w:rsidP="006E2F5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310B367" w14:textId="77777777" w:rsidR="00B35717" w:rsidRPr="006E2F58" w:rsidRDefault="00B35717" w:rsidP="006E2F58">
      <w:pPr>
        <w:jc w:val="center"/>
        <w:rPr>
          <w:color w:val="0000FF"/>
          <w:u w:val="single"/>
        </w:rPr>
      </w:pPr>
    </w:p>
    <w:sectPr w:rsidR="00B35717" w:rsidRPr="006E2F58" w:rsidSect="006E2F58">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E511A" w14:textId="77777777" w:rsidR="00A06EB8" w:rsidRDefault="00A06EB8">
      <w:r>
        <w:separator/>
      </w:r>
    </w:p>
  </w:endnote>
  <w:endnote w:type="continuationSeparator" w:id="0">
    <w:p w14:paraId="16277388" w14:textId="77777777" w:rsidR="00A06EB8" w:rsidRDefault="00A0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DE84" w14:textId="77777777" w:rsidR="006E2F58" w:rsidRDefault="006E2F58" w:rsidP="006E2F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434818" w14:textId="77777777" w:rsidR="006E2F58" w:rsidRPr="006E2F58" w:rsidRDefault="006E2F58" w:rsidP="006E2F58">
    <w:pPr>
      <w:pStyle w:val="a4"/>
      <w:pBdr>
        <w:top w:val="single" w:sz="4" w:space="1" w:color="auto"/>
        <w:between w:val="single" w:sz="4" w:space="0" w:color="auto"/>
      </w:pBdr>
      <w:spacing w:after="60"/>
      <w:jc w:val="center"/>
      <w:rPr>
        <w:rFonts w:ascii="FrankRuehl" w:hAnsi="FrankRuehl" w:cs="FrankRuehl"/>
        <w:color w:val="000000"/>
      </w:rPr>
    </w:pPr>
    <w:r w:rsidRPr="006E2F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771D2" w14:textId="77777777" w:rsidR="006E2F58" w:rsidRDefault="006E2F58" w:rsidP="006E2F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563C">
      <w:rPr>
        <w:rFonts w:ascii="FrankRuehl" w:hAnsi="FrankRuehl" w:cs="FrankRuehl"/>
        <w:noProof/>
        <w:rtl/>
      </w:rPr>
      <w:t>1</w:t>
    </w:r>
    <w:r>
      <w:rPr>
        <w:rFonts w:ascii="FrankRuehl" w:hAnsi="FrankRuehl" w:cs="FrankRuehl"/>
        <w:rtl/>
      </w:rPr>
      <w:fldChar w:fldCharType="end"/>
    </w:r>
  </w:p>
  <w:p w14:paraId="04167B61" w14:textId="77777777" w:rsidR="006E2F58" w:rsidRPr="006E2F58" w:rsidRDefault="006E2F58" w:rsidP="006E2F58">
    <w:pPr>
      <w:pStyle w:val="a4"/>
      <w:pBdr>
        <w:top w:val="single" w:sz="4" w:space="1" w:color="auto"/>
        <w:between w:val="single" w:sz="4" w:space="0" w:color="auto"/>
      </w:pBdr>
      <w:spacing w:after="60"/>
      <w:jc w:val="center"/>
      <w:rPr>
        <w:rFonts w:ascii="FrankRuehl" w:hAnsi="FrankRuehl" w:cs="FrankRuehl"/>
        <w:color w:val="000000"/>
      </w:rPr>
    </w:pPr>
    <w:r w:rsidRPr="006E2F58">
      <w:rPr>
        <w:rFonts w:ascii="FrankRuehl" w:hAnsi="FrankRuehl" w:cs="FrankRuehl"/>
        <w:color w:val="000000"/>
      </w:rPr>
      <w:pict w14:anchorId="3483F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FEC1D" w14:textId="77777777" w:rsidR="00A06EB8" w:rsidRDefault="00A06EB8">
      <w:r>
        <w:separator/>
      </w:r>
    </w:p>
  </w:footnote>
  <w:footnote w:type="continuationSeparator" w:id="0">
    <w:p w14:paraId="744FCEED" w14:textId="77777777" w:rsidR="00A06EB8" w:rsidRDefault="00A06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46F92" w14:textId="77777777" w:rsidR="006E2F58" w:rsidRPr="006E2F58" w:rsidRDefault="006E2F58" w:rsidP="006E2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8468-10-15</w:t>
    </w:r>
    <w:r>
      <w:rPr>
        <w:rFonts w:ascii="David" w:hAnsi="David"/>
        <w:color w:val="000000"/>
        <w:sz w:val="22"/>
        <w:szCs w:val="22"/>
        <w:rtl/>
      </w:rPr>
      <w:tab/>
      <w:t xml:space="preserve"> מדינת ישראל נ' חנניה אסטגסי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18808" w14:textId="77777777" w:rsidR="006E2F58" w:rsidRPr="006E2F58" w:rsidRDefault="006E2F58" w:rsidP="006E2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8468-10-15</w:t>
    </w:r>
    <w:r>
      <w:rPr>
        <w:rFonts w:ascii="David" w:hAnsi="David"/>
        <w:color w:val="000000"/>
        <w:sz w:val="22"/>
        <w:szCs w:val="22"/>
        <w:rtl/>
      </w:rPr>
      <w:tab/>
      <w:t xml:space="preserve"> מדינת ישראל נ' חנניה אסטגסי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64047"/>
    <w:multiLevelType w:val="hybridMultilevel"/>
    <w:tmpl w:val="8EF6E35E"/>
    <w:lvl w:ilvl="0" w:tplc="4C4A1378">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 w15:restartNumberingAfterBreak="0">
    <w:nsid w:val="70762784"/>
    <w:multiLevelType w:val="hybridMultilevel"/>
    <w:tmpl w:val="657E112E"/>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77009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63390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5CF2"/>
    <w:rsid w:val="00004B4A"/>
    <w:rsid w:val="000258C6"/>
    <w:rsid w:val="00092DB2"/>
    <w:rsid w:val="000B222D"/>
    <w:rsid w:val="000F3716"/>
    <w:rsid w:val="000F776E"/>
    <w:rsid w:val="001117CF"/>
    <w:rsid w:val="001163D9"/>
    <w:rsid w:val="00123268"/>
    <w:rsid w:val="0013605C"/>
    <w:rsid w:val="0015154B"/>
    <w:rsid w:val="0017711A"/>
    <w:rsid w:val="001C27DD"/>
    <w:rsid w:val="00203146"/>
    <w:rsid w:val="002474C9"/>
    <w:rsid w:val="002B1389"/>
    <w:rsid w:val="002D2C1C"/>
    <w:rsid w:val="002E4BA2"/>
    <w:rsid w:val="00303870"/>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8367F"/>
    <w:rsid w:val="00695CF2"/>
    <w:rsid w:val="006D1E81"/>
    <w:rsid w:val="006E2F58"/>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06EB8"/>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07B3"/>
    <w:rsid w:val="00D11A80"/>
    <w:rsid w:val="00D308EF"/>
    <w:rsid w:val="00D357B5"/>
    <w:rsid w:val="00D40041"/>
    <w:rsid w:val="00D56203"/>
    <w:rsid w:val="00D807AC"/>
    <w:rsid w:val="00DD36BA"/>
    <w:rsid w:val="00DE1662"/>
    <w:rsid w:val="00E45CCB"/>
    <w:rsid w:val="00E61C95"/>
    <w:rsid w:val="00EA60CD"/>
    <w:rsid w:val="00EE2A1B"/>
    <w:rsid w:val="00F274FE"/>
    <w:rsid w:val="00F456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8819E11"/>
  <w15:chartTrackingRefBased/>
  <w15:docId w15:val="{FF04A5B6-A5AF-4A48-9EFC-B3A27F67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5CF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95CF2"/>
    <w:pPr>
      <w:tabs>
        <w:tab w:val="center" w:pos="4153"/>
        <w:tab w:val="right" w:pos="8306"/>
      </w:tabs>
    </w:pPr>
  </w:style>
  <w:style w:type="paragraph" w:styleId="a4">
    <w:name w:val="footer"/>
    <w:basedOn w:val="a"/>
    <w:rsid w:val="00695CF2"/>
    <w:pPr>
      <w:tabs>
        <w:tab w:val="center" w:pos="4153"/>
        <w:tab w:val="right" w:pos="8306"/>
      </w:tabs>
    </w:pPr>
  </w:style>
  <w:style w:type="character" w:styleId="a5">
    <w:name w:val="page number"/>
    <w:basedOn w:val="a0"/>
    <w:rsid w:val="00695CF2"/>
  </w:style>
  <w:style w:type="character" w:styleId="Hyperlink">
    <w:name w:val="Hyperlink"/>
    <w:basedOn w:val="a0"/>
    <w:rsid w:val="006E2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7" TargetMode="External"/><Relationship Id="rId26" Type="http://schemas.openxmlformats.org/officeDocument/2006/relationships/hyperlink" Target="http://www.nevo.co.il/case/20705570" TargetMode="External"/><Relationship Id="rId39" Type="http://schemas.openxmlformats.org/officeDocument/2006/relationships/theme" Target="theme/theme1.xml"/><Relationship Id="rId21" Type="http://schemas.openxmlformats.org/officeDocument/2006/relationships/hyperlink" Target="http://www.nevo.co.il/law/70301/40j.a"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480494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81075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6241434" TargetMode="External"/><Relationship Id="rId32" Type="http://schemas.openxmlformats.org/officeDocument/2006/relationships/hyperlink" Target="http://www.nevo.co.il/case/485572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case/20111708"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31" Type="http://schemas.openxmlformats.org/officeDocument/2006/relationships/hyperlink" Target="http://www.nevo.co.il/case/18045843" TargetMode="External"/><Relationship Id="rId4" Type="http://schemas.openxmlformats.org/officeDocument/2006/relationships/webSettings" Target="webSettings.xml"/><Relationship Id="rId9" Type="http://schemas.openxmlformats.org/officeDocument/2006/relationships/hyperlink" Target="http://www.nevo.co.il/law/4216/7"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881083" TargetMode="External"/><Relationship Id="rId30" Type="http://schemas.openxmlformats.org/officeDocument/2006/relationships/hyperlink" Target="http://www.nevo.co.il/case/8291661"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1551</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9290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3604603</vt:i4>
      </vt:variant>
      <vt:variant>
        <vt:i4>75</vt:i4>
      </vt:variant>
      <vt:variant>
        <vt:i4>0</vt:i4>
      </vt:variant>
      <vt:variant>
        <vt:i4>5</vt:i4>
      </vt:variant>
      <vt:variant>
        <vt:lpwstr>http://www.nevo.co.il/case/4855721</vt:lpwstr>
      </vt:variant>
      <vt:variant>
        <vt:lpwstr/>
      </vt:variant>
      <vt:variant>
        <vt:i4>3145840</vt:i4>
      </vt:variant>
      <vt:variant>
        <vt:i4>72</vt:i4>
      </vt:variant>
      <vt:variant>
        <vt:i4>0</vt:i4>
      </vt:variant>
      <vt:variant>
        <vt:i4>5</vt:i4>
      </vt:variant>
      <vt:variant>
        <vt:lpwstr>http://www.nevo.co.il/case/18045843</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3473529</vt:i4>
      </vt:variant>
      <vt:variant>
        <vt:i4>66</vt:i4>
      </vt:variant>
      <vt:variant>
        <vt:i4>0</vt:i4>
      </vt:variant>
      <vt:variant>
        <vt:i4>5</vt:i4>
      </vt:variant>
      <vt:variant>
        <vt:lpwstr>http://www.nevo.co.il/case/18107527</vt:lpwstr>
      </vt:variant>
      <vt:variant>
        <vt:lpwstr/>
      </vt:variant>
      <vt:variant>
        <vt:i4>3276914</vt:i4>
      </vt:variant>
      <vt:variant>
        <vt:i4>63</vt:i4>
      </vt:variant>
      <vt:variant>
        <vt:i4>0</vt:i4>
      </vt:variant>
      <vt:variant>
        <vt:i4>5</vt:i4>
      </vt:variant>
      <vt:variant>
        <vt:lpwstr>http://www.nevo.co.il/case/20111708</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3604593</vt:i4>
      </vt:variant>
      <vt:variant>
        <vt:i4>57</vt:i4>
      </vt:variant>
      <vt:variant>
        <vt:i4>0</vt:i4>
      </vt:variant>
      <vt:variant>
        <vt:i4>5</vt:i4>
      </vt:variant>
      <vt:variant>
        <vt:lpwstr>http://www.nevo.co.il/case/20705570</vt:lpwstr>
      </vt:variant>
      <vt:variant>
        <vt:lpwstr/>
      </vt:variant>
      <vt:variant>
        <vt:i4>3997820</vt:i4>
      </vt:variant>
      <vt:variant>
        <vt:i4>54</vt:i4>
      </vt:variant>
      <vt:variant>
        <vt:i4>0</vt:i4>
      </vt:variant>
      <vt:variant>
        <vt:i4>5</vt:i4>
      </vt:variant>
      <vt:variant>
        <vt:lpwstr>http://www.nevo.co.il/case/4804940</vt:lpwstr>
      </vt:variant>
      <vt:variant>
        <vt:lpwstr/>
      </vt:variant>
      <vt:variant>
        <vt:i4>3276916</vt:i4>
      </vt:variant>
      <vt:variant>
        <vt:i4>51</vt:i4>
      </vt:variant>
      <vt:variant>
        <vt:i4>0</vt:i4>
      </vt:variant>
      <vt:variant>
        <vt:i4>5</vt:i4>
      </vt:variant>
      <vt:variant>
        <vt:lpwstr>http://www.nevo.co.il/case/6241434</vt:lpwstr>
      </vt:variant>
      <vt:variant>
        <vt:lpwstr/>
      </vt:variant>
      <vt:variant>
        <vt:i4>4915211</vt:i4>
      </vt:variant>
      <vt:variant>
        <vt:i4>48</vt:i4>
      </vt:variant>
      <vt:variant>
        <vt:i4>0</vt:i4>
      </vt:variant>
      <vt:variant>
        <vt:i4>5</vt:i4>
      </vt:variant>
      <vt:variant>
        <vt:lpwstr>http://www.nevo.co.il/law/70301/40j.c</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4915211</vt:i4>
      </vt:variant>
      <vt:variant>
        <vt:i4>42</vt:i4>
      </vt:variant>
      <vt:variant>
        <vt:i4>0</vt:i4>
      </vt:variant>
      <vt:variant>
        <vt:i4>5</vt:i4>
      </vt:variant>
      <vt:variant>
        <vt:lpwstr>http://www.nevo.co.il/law/70301/40j.a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4784202</vt:i4>
      </vt:variant>
      <vt:variant>
        <vt:i4>33</vt:i4>
      </vt:variant>
      <vt:variant>
        <vt:i4>0</vt:i4>
      </vt:variant>
      <vt:variant>
        <vt:i4>5</vt:i4>
      </vt:variant>
      <vt:variant>
        <vt:lpwstr>http://www.nevo.co.il/law/4216/7</vt:lpwstr>
      </vt:variant>
      <vt:variant>
        <vt:lpwstr/>
      </vt:variant>
      <vt:variant>
        <vt:i4>4718666</vt:i4>
      </vt:variant>
      <vt:variant>
        <vt:i4>30</vt:i4>
      </vt:variant>
      <vt:variant>
        <vt:i4>0</vt:i4>
      </vt:variant>
      <vt:variant>
        <vt:i4>5</vt:i4>
      </vt:variant>
      <vt:variant>
        <vt:lpwstr>http://www.nevo.co.il/law/4216/6</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4915211</vt:i4>
      </vt:variant>
      <vt:variant>
        <vt:i4>18</vt:i4>
      </vt:variant>
      <vt:variant>
        <vt:i4>0</vt:i4>
      </vt:variant>
      <vt:variant>
        <vt:i4>5</vt:i4>
      </vt:variant>
      <vt:variant>
        <vt:lpwstr>http://www.nevo.co.il/law/70301/40j.c</vt:lpwstr>
      </vt:variant>
      <vt:variant>
        <vt:lpwstr/>
      </vt:variant>
      <vt:variant>
        <vt:i4>4915211</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4784202</vt:i4>
      </vt:variant>
      <vt:variant>
        <vt:i4>6</vt:i4>
      </vt:variant>
      <vt:variant>
        <vt:i4>0</vt:i4>
      </vt:variant>
      <vt:variant>
        <vt:i4>5</vt:i4>
      </vt:variant>
      <vt:variant>
        <vt:lpwstr>http://www.nevo.co.il/law/4216/7</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8468</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חנניה אסטגסי</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20170123</vt:lpwstr>
  </property>
  <property fmtid="{D5CDD505-2E9C-101B-9397-08002B2CF9AE}" pid="13" name="TYPE_N_DATE">
    <vt:lpwstr>38020170123</vt:lpwstr>
  </property>
  <property fmtid="{D5CDD505-2E9C-101B-9397-08002B2CF9AE}" pid="14" name="CASESLISTTMP1">
    <vt:lpwstr>6241434;4804940;20705570;20881083;20111708;18107527;8291661;18045843;4855721</vt:lpwstr>
  </property>
  <property fmtid="{D5CDD505-2E9C-101B-9397-08002B2CF9AE}" pid="15" name="WORDNUMPAGES">
    <vt:lpwstr>6</vt:lpwstr>
  </property>
  <property fmtid="{D5CDD505-2E9C-101B-9397-08002B2CF9AE}" pid="16" name="TYPE_ABS_DATE">
    <vt:lpwstr>380020170123</vt:lpwstr>
  </property>
  <property fmtid="{D5CDD505-2E9C-101B-9397-08002B2CF9AE}" pid="17" name="ISABSTRACT">
    <vt:lpwstr>Y</vt:lpwstr>
  </property>
  <property fmtid="{D5CDD505-2E9C-101B-9397-08002B2CF9AE}" pid="18" name="LAWLISTTMP1">
    <vt:lpwstr>4216/006:2;007</vt:lpwstr>
  </property>
  <property fmtid="{D5CDD505-2E9C-101B-9397-08002B2CF9AE}" pid="19" name="LAWLISTTMP2">
    <vt:lpwstr>70301/040i;040j.a;040j.c</vt:lpwstr>
  </property>
</Properties>
</file>