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090B4" w14:textId="77777777" w:rsidR="000A3418" w:rsidRPr="0032392E" w:rsidRDefault="000A3418" w:rsidP="0032392E">
      <w:pPr>
        <w:pStyle w:val="a3"/>
        <w:jc w:val="center"/>
        <w:rPr>
          <w:rFonts w:cs="FrankRuehl"/>
          <w:sz w:val="28"/>
          <w:szCs w:val="28"/>
          <w:rtl/>
        </w:rPr>
      </w:pPr>
      <w:bookmarkStart w:id="0" w:name="LastJudge"/>
    </w:p>
    <w:tbl>
      <w:tblPr>
        <w:bidiVisual/>
        <w:tblW w:w="0" w:type="auto"/>
        <w:jc w:val="center"/>
        <w:tblLook w:val="0000" w:firstRow="0" w:lastRow="0" w:firstColumn="0" w:lastColumn="0" w:noHBand="0" w:noVBand="0"/>
      </w:tblPr>
      <w:tblGrid>
        <w:gridCol w:w="5054"/>
        <w:gridCol w:w="3667"/>
      </w:tblGrid>
      <w:tr w:rsidR="000A3418" w:rsidRPr="0032392E" w14:paraId="7C411CCC" w14:textId="77777777" w:rsidTr="000030CD">
        <w:trPr>
          <w:trHeight w:hRule="exact" w:val="418"/>
          <w:jc w:val="center"/>
        </w:trPr>
        <w:tc>
          <w:tcPr>
            <w:tcW w:w="8861" w:type="dxa"/>
            <w:gridSpan w:val="2"/>
          </w:tcPr>
          <w:p w14:paraId="768C37AF" w14:textId="77777777" w:rsidR="000A3418" w:rsidRPr="0032392E" w:rsidRDefault="000A3418" w:rsidP="000030CD">
            <w:pPr>
              <w:pStyle w:val="a3"/>
              <w:jc w:val="center"/>
              <w:rPr>
                <w:rFonts w:ascii="Tahoma" w:hAnsi="Tahoma"/>
                <w:color w:val="000080"/>
                <w:sz w:val="32"/>
                <w:szCs w:val="32"/>
                <w:rtl/>
              </w:rPr>
            </w:pPr>
            <w:r w:rsidRPr="0032392E">
              <w:rPr>
                <w:rFonts w:ascii="Tahoma" w:hAnsi="Tahoma"/>
                <w:b/>
                <w:bCs/>
                <w:color w:val="000080"/>
                <w:sz w:val="32"/>
                <w:szCs w:val="32"/>
                <w:rtl/>
              </w:rPr>
              <w:t>בית משפט השלום בתל אביב - יפו</w:t>
            </w:r>
          </w:p>
        </w:tc>
      </w:tr>
      <w:tr w:rsidR="000A3418" w:rsidRPr="0032392E" w14:paraId="5798C45D" w14:textId="77777777" w:rsidTr="000030CD">
        <w:trPr>
          <w:trHeight w:val="337"/>
          <w:jc w:val="center"/>
        </w:trPr>
        <w:tc>
          <w:tcPr>
            <w:tcW w:w="5131" w:type="dxa"/>
          </w:tcPr>
          <w:p w14:paraId="68FAB16C" w14:textId="77777777" w:rsidR="000A3418" w:rsidRPr="0032392E" w:rsidRDefault="000A3418" w:rsidP="000030CD">
            <w:pPr>
              <w:rPr>
                <w:sz w:val="26"/>
                <w:szCs w:val="26"/>
                <w:rtl/>
              </w:rPr>
            </w:pPr>
            <w:r w:rsidRPr="0032392E">
              <w:rPr>
                <w:sz w:val="26"/>
                <w:szCs w:val="26"/>
                <w:rtl/>
              </w:rPr>
              <w:t>ת"פ</w:t>
            </w:r>
            <w:r w:rsidRPr="0032392E">
              <w:rPr>
                <w:rFonts w:hint="cs"/>
                <w:sz w:val="26"/>
                <w:szCs w:val="26"/>
                <w:rtl/>
              </w:rPr>
              <w:t xml:space="preserve"> </w:t>
            </w:r>
            <w:r w:rsidRPr="0032392E">
              <w:rPr>
                <w:sz w:val="26"/>
                <w:szCs w:val="26"/>
                <w:rtl/>
              </w:rPr>
              <w:t>19591-11-15</w:t>
            </w:r>
            <w:r w:rsidRPr="0032392E">
              <w:rPr>
                <w:rFonts w:hint="cs"/>
                <w:sz w:val="26"/>
                <w:szCs w:val="26"/>
                <w:rtl/>
              </w:rPr>
              <w:t xml:space="preserve"> </w:t>
            </w:r>
            <w:r w:rsidRPr="0032392E">
              <w:rPr>
                <w:sz w:val="26"/>
                <w:szCs w:val="26"/>
                <w:rtl/>
              </w:rPr>
              <w:t>מדינת ישראל נ' גפני</w:t>
            </w:r>
          </w:p>
        </w:tc>
        <w:tc>
          <w:tcPr>
            <w:tcW w:w="3730" w:type="dxa"/>
          </w:tcPr>
          <w:p w14:paraId="74756B0D" w14:textId="77777777" w:rsidR="000A3418" w:rsidRPr="0032392E" w:rsidRDefault="000A3418" w:rsidP="000030CD">
            <w:pPr>
              <w:pStyle w:val="a3"/>
              <w:jc w:val="right"/>
              <w:rPr>
                <w:rFonts w:cs="FrankRuehl"/>
                <w:sz w:val="28"/>
                <w:szCs w:val="28"/>
                <w:rtl/>
              </w:rPr>
            </w:pPr>
          </w:p>
        </w:tc>
      </w:tr>
    </w:tbl>
    <w:p w14:paraId="1AB1FA54" w14:textId="77777777" w:rsidR="000A3418" w:rsidRPr="0032392E" w:rsidRDefault="000A3418" w:rsidP="000A3418">
      <w:pPr>
        <w:pStyle w:val="a3"/>
        <w:rPr>
          <w:rtl/>
        </w:rPr>
      </w:pPr>
      <w:r w:rsidRPr="0032392E">
        <w:rPr>
          <w:rFonts w:hint="cs"/>
          <w:rtl/>
        </w:rPr>
        <w:t xml:space="preserve"> </w:t>
      </w:r>
    </w:p>
    <w:p w14:paraId="38DD3A7D" w14:textId="77777777" w:rsidR="000A3418" w:rsidRPr="0032392E" w:rsidRDefault="000A3418" w:rsidP="000A341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5"/>
        <w:gridCol w:w="3400"/>
      </w:tblGrid>
      <w:tr w:rsidR="000A3418" w:rsidRPr="0032392E" w14:paraId="638E66CD" w14:textId="77777777" w:rsidTr="000A3418">
        <w:trPr>
          <w:trHeight w:val="295"/>
          <w:jc w:val="center"/>
        </w:trPr>
        <w:tc>
          <w:tcPr>
            <w:tcW w:w="8820" w:type="dxa"/>
            <w:gridSpan w:val="3"/>
            <w:tcBorders>
              <w:top w:val="nil"/>
              <w:left w:val="nil"/>
              <w:bottom w:val="nil"/>
              <w:right w:val="nil"/>
            </w:tcBorders>
            <w:shd w:val="clear" w:color="auto" w:fill="auto"/>
          </w:tcPr>
          <w:p w14:paraId="1A199C50" w14:textId="77777777" w:rsidR="000A3418" w:rsidRPr="0032392E" w:rsidRDefault="000A3418" w:rsidP="000A3418">
            <w:pPr>
              <w:jc w:val="both"/>
              <w:rPr>
                <w:rFonts w:ascii="Arial" w:hAnsi="Arial"/>
                <w:b/>
                <w:bCs/>
                <w:sz w:val="26"/>
                <w:szCs w:val="26"/>
              </w:rPr>
            </w:pPr>
            <w:r w:rsidRPr="0032392E">
              <w:rPr>
                <w:rFonts w:ascii="Arial" w:hAnsi="Arial" w:hint="cs"/>
                <w:b/>
                <w:bCs/>
                <w:sz w:val="26"/>
                <w:szCs w:val="26"/>
                <w:rtl/>
              </w:rPr>
              <w:t>ל</w:t>
            </w:r>
            <w:r w:rsidRPr="0032392E">
              <w:rPr>
                <w:rFonts w:ascii="Arial" w:hAnsi="Arial"/>
                <w:b/>
                <w:bCs/>
                <w:sz w:val="26"/>
                <w:szCs w:val="26"/>
                <w:rtl/>
              </w:rPr>
              <w:t xml:space="preserve">פני </w:t>
            </w:r>
            <w:r w:rsidRPr="0032392E">
              <w:rPr>
                <w:rFonts w:ascii="Arial" w:hAnsi="Arial" w:hint="cs"/>
                <w:b/>
                <w:bCs/>
                <w:sz w:val="26"/>
                <w:szCs w:val="26"/>
                <w:rtl/>
              </w:rPr>
              <w:t>כבוד ה</w:t>
            </w:r>
            <w:r w:rsidRPr="0032392E">
              <w:rPr>
                <w:rFonts w:ascii="Arial" w:hAnsi="Arial"/>
                <w:b/>
                <w:bCs/>
                <w:sz w:val="26"/>
                <w:szCs w:val="26"/>
                <w:rtl/>
              </w:rPr>
              <w:t>שופט</w:t>
            </w:r>
            <w:r w:rsidRPr="0032392E">
              <w:rPr>
                <w:rFonts w:ascii="Arial" w:hAnsi="Arial" w:hint="cs"/>
                <w:b/>
                <w:bCs/>
                <w:sz w:val="26"/>
                <w:szCs w:val="26"/>
                <w:rtl/>
              </w:rPr>
              <w:t xml:space="preserve">  </w:t>
            </w:r>
            <w:r w:rsidRPr="0032392E">
              <w:rPr>
                <w:rFonts w:ascii="Arial" w:hAnsi="Arial"/>
                <w:b/>
                <w:bCs/>
                <w:sz w:val="26"/>
                <w:szCs w:val="26"/>
                <w:rtl/>
              </w:rPr>
              <w:t>איתן קורנהאוזר</w:t>
            </w:r>
          </w:p>
        </w:tc>
      </w:tr>
      <w:tr w:rsidR="000A3418" w:rsidRPr="0032392E" w14:paraId="42A2C6F3" w14:textId="77777777" w:rsidTr="000A3418">
        <w:trPr>
          <w:trHeight w:val="355"/>
          <w:jc w:val="center"/>
        </w:trPr>
        <w:tc>
          <w:tcPr>
            <w:tcW w:w="885" w:type="dxa"/>
            <w:tcBorders>
              <w:top w:val="nil"/>
              <w:left w:val="nil"/>
              <w:bottom w:val="nil"/>
              <w:right w:val="nil"/>
            </w:tcBorders>
            <w:shd w:val="clear" w:color="auto" w:fill="auto"/>
          </w:tcPr>
          <w:p w14:paraId="690ABA16" w14:textId="77777777" w:rsidR="000A3418" w:rsidRPr="0032392E" w:rsidRDefault="000A3418" w:rsidP="000A3418">
            <w:pPr>
              <w:jc w:val="both"/>
              <w:rPr>
                <w:rFonts w:ascii="Arial" w:hAnsi="Arial"/>
                <w:b/>
                <w:bCs/>
                <w:sz w:val="26"/>
                <w:szCs w:val="26"/>
              </w:rPr>
            </w:pPr>
            <w:bookmarkStart w:id="1" w:name="FirstAppellant"/>
            <w:bookmarkStart w:id="2" w:name="FirstLawyer"/>
            <w:r w:rsidRPr="0032392E">
              <w:rPr>
                <w:rFonts w:ascii="Arial" w:hAnsi="Arial" w:hint="cs"/>
                <w:sz w:val="26"/>
                <w:szCs w:val="26"/>
                <w:rtl/>
              </w:rPr>
              <w:t>ה</w:t>
            </w:r>
            <w:r w:rsidRPr="0032392E">
              <w:rPr>
                <w:rFonts w:ascii="Arial" w:hAnsi="Arial"/>
                <w:sz w:val="26"/>
                <w:szCs w:val="26"/>
                <w:rtl/>
              </w:rPr>
              <w:t>מאשימה</w:t>
            </w:r>
          </w:p>
        </w:tc>
        <w:tc>
          <w:tcPr>
            <w:tcW w:w="4384" w:type="dxa"/>
            <w:tcBorders>
              <w:top w:val="nil"/>
              <w:left w:val="nil"/>
              <w:bottom w:val="nil"/>
              <w:right w:val="nil"/>
            </w:tcBorders>
            <w:shd w:val="clear" w:color="auto" w:fill="auto"/>
          </w:tcPr>
          <w:p w14:paraId="5B91C23F" w14:textId="77777777" w:rsidR="000A3418" w:rsidRPr="0032392E" w:rsidRDefault="000A3418" w:rsidP="000A3418">
            <w:pPr>
              <w:jc w:val="both"/>
              <w:rPr>
                <w:sz w:val="26"/>
                <w:szCs w:val="26"/>
                <w:rtl/>
              </w:rPr>
            </w:pPr>
            <w:r w:rsidRPr="0032392E">
              <w:rPr>
                <w:rFonts w:ascii="Arial" w:hAnsi="Arial"/>
                <w:sz w:val="26"/>
                <w:szCs w:val="26"/>
                <w:rtl/>
              </w:rPr>
              <w:t>מדינת ישראל</w:t>
            </w:r>
          </w:p>
          <w:p w14:paraId="01D5C614" w14:textId="77777777" w:rsidR="000A3418" w:rsidRPr="0032392E" w:rsidRDefault="000A3418" w:rsidP="000A3418">
            <w:pPr>
              <w:jc w:val="both"/>
              <w:rPr>
                <w:sz w:val="26"/>
                <w:szCs w:val="26"/>
              </w:rPr>
            </w:pPr>
            <w:r w:rsidRPr="0032392E">
              <w:rPr>
                <w:rFonts w:hint="cs"/>
                <w:sz w:val="26"/>
                <w:szCs w:val="26"/>
                <w:rtl/>
              </w:rPr>
              <w:t>ע"י ב"כ עו"ד יעל גבריאל</w:t>
            </w:r>
          </w:p>
        </w:tc>
        <w:tc>
          <w:tcPr>
            <w:tcW w:w="3551" w:type="dxa"/>
            <w:tcBorders>
              <w:top w:val="nil"/>
              <w:left w:val="nil"/>
              <w:bottom w:val="nil"/>
              <w:right w:val="nil"/>
            </w:tcBorders>
            <w:shd w:val="clear" w:color="auto" w:fill="auto"/>
          </w:tcPr>
          <w:p w14:paraId="011CA2EB" w14:textId="77777777" w:rsidR="000A3418" w:rsidRPr="0032392E" w:rsidRDefault="000A3418" w:rsidP="000A3418">
            <w:pPr>
              <w:jc w:val="both"/>
              <w:rPr>
                <w:rFonts w:ascii="Arial" w:hAnsi="Arial"/>
                <w:sz w:val="26"/>
                <w:szCs w:val="26"/>
              </w:rPr>
            </w:pPr>
          </w:p>
        </w:tc>
      </w:tr>
      <w:bookmarkEnd w:id="1"/>
      <w:bookmarkEnd w:id="2"/>
      <w:tr w:rsidR="000A3418" w:rsidRPr="0032392E" w14:paraId="65CD4F64" w14:textId="77777777" w:rsidTr="000A3418">
        <w:trPr>
          <w:trHeight w:val="373"/>
          <w:jc w:val="center"/>
        </w:trPr>
        <w:tc>
          <w:tcPr>
            <w:tcW w:w="885" w:type="dxa"/>
            <w:tcBorders>
              <w:top w:val="nil"/>
              <w:left w:val="nil"/>
              <w:bottom w:val="nil"/>
              <w:right w:val="nil"/>
            </w:tcBorders>
            <w:shd w:val="clear" w:color="auto" w:fill="auto"/>
          </w:tcPr>
          <w:p w14:paraId="79B71DE0" w14:textId="77777777" w:rsidR="000A3418" w:rsidRPr="0032392E" w:rsidRDefault="000A3418" w:rsidP="000A341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1022406" w14:textId="77777777" w:rsidR="000A3418" w:rsidRPr="0032392E" w:rsidRDefault="000A3418" w:rsidP="000A3418">
            <w:pPr>
              <w:jc w:val="both"/>
              <w:rPr>
                <w:rFonts w:ascii="Arial" w:hAnsi="Arial"/>
                <w:b/>
                <w:bCs/>
                <w:sz w:val="26"/>
                <w:szCs w:val="26"/>
                <w:rtl/>
              </w:rPr>
            </w:pPr>
          </w:p>
          <w:p w14:paraId="4A2CA138" w14:textId="77777777" w:rsidR="000A3418" w:rsidRPr="0032392E" w:rsidRDefault="000A3418" w:rsidP="000A3418">
            <w:pPr>
              <w:jc w:val="both"/>
              <w:rPr>
                <w:rFonts w:ascii="Arial" w:hAnsi="Arial"/>
                <w:b/>
                <w:bCs/>
                <w:sz w:val="26"/>
                <w:szCs w:val="26"/>
                <w:rtl/>
              </w:rPr>
            </w:pPr>
            <w:r w:rsidRPr="0032392E">
              <w:rPr>
                <w:rFonts w:ascii="Arial" w:hAnsi="Arial"/>
                <w:b/>
                <w:bCs/>
                <w:sz w:val="26"/>
                <w:szCs w:val="26"/>
                <w:rtl/>
              </w:rPr>
              <w:t>נגד</w:t>
            </w:r>
          </w:p>
          <w:p w14:paraId="2D31AD2C" w14:textId="77777777" w:rsidR="000A3418" w:rsidRPr="0032392E" w:rsidRDefault="000A3418" w:rsidP="000A3418">
            <w:pPr>
              <w:jc w:val="both"/>
              <w:rPr>
                <w:rFonts w:ascii="Arial" w:hAnsi="Arial"/>
                <w:sz w:val="26"/>
                <w:szCs w:val="26"/>
              </w:rPr>
            </w:pPr>
          </w:p>
        </w:tc>
      </w:tr>
      <w:tr w:rsidR="000A3418" w:rsidRPr="0032392E" w14:paraId="0E251FA4" w14:textId="77777777" w:rsidTr="000A3418">
        <w:trPr>
          <w:trHeight w:val="355"/>
          <w:jc w:val="center"/>
        </w:trPr>
        <w:tc>
          <w:tcPr>
            <w:tcW w:w="885" w:type="dxa"/>
            <w:tcBorders>
              <w:top w:val="nil"/>
              <w:left w:val="nil"/>
              <w:bottom w:val="nil"/>
              <w:right w:val="nil"/>
            </w:tcBorders>
            <w:shd w:val="clear" w:color="auto" w:fill="auto"/>
          </w:tcPr>
          <w:p w14:paraId="106BAA70" w14:textId="77777777" w:rsidR="000A3418" w:rsidRPr="0032392E" w:rsidRDefault="000A3418" w:rsidP="000A3418">
            <w:pPr>
              <w:jc w:val="both"/>
              <w:rPr>
                <w:rFonts w:ascii="Arial" w:hAnsi="Arial"/>
                <w:sz w:val="26"/>
                <w:szCs w:val="26"/>
                <w:rtl/>
              </w:rPr>
            </w:pPr>
            <w:r w:rsidRPr="0032392E">
              <w:rPr>
                <w:rFonts w:ascii="Arial" w:hAnsi="Arial" w:hint="cs"/>
                <w:sz w:val="26"/>
                <w:szCs w:val="26"/>
                <w:rtl/>
              </w:rPr>
              <w:t>ה</w:t>
            </w:r>
            <w:r w:rsidRPr="0032392E">
              <w:rPr>
                <w:rFonts w:ascii="Arial" w:hAnsi="Arial"/>
                <w:sz w:val="26"/>
                <w:szCs w:val="26"/>
                <w:rtl/>
              </w:rPr>
              <w:t>נאשם</w:t>
            </w:r>
          </w:p>
        </w:tc>
        <w:tc>
          <w:tcPr>
            <w:tcW w:w="4384" w:type="dxa"/>
            <w:tcBorders>
              <w:top w:val="nil"/>
              <w:left w:val="nil"/>
              <w:bottom w:val="nil"/>
              <w:right w:val="nil"/>
            </w:tcBorders>
            <w:shd w:val="clear" w:color="auto" w:fill="auto"/>
          </w:tcPr>
          <w:p w14:paraId="0D764EE0" w14:textId="77777777" w:rsidR="000A3418" w:rsidRPr="0032392E" w:rsidRDefault="000A3418" w:rsidP="000A3418">
            <w:pPr>
              <w:jc w:val="both"/>
              <w:rPr>
                <w:sz w:val="26"/>
                <w:szCs w:val="26"/>
                <w:rtl/>
              </w:rPr>
            </w:pPr>
            <w:r w:rsidRPr="0032392E">
              <w:rPr>
                <w:rFonts w:ascii="Arial" w:hAnsi="Arial"/>
                <w:sz w:val="26"/>
                <w:szCs w:val="26"/>
                <w:rtl/>
              </w:rPr>
              <w:t>אבי גפני</w:t>
            </w:r>
          </w:p>
          <w:p w14:paraId="0EBCA618" w14:textId="77777777" w:rsidR="000A3418" w:rsidRPr="0032392E" w:rsidRDefault="000A3418" w:rsidP="000A3418">
            <w:pPr>
              <w:jc w:val="both"/>
              <w:rPr>
                <w:sz w:val="26"/>
                <w:szCs w:val="26"/>
                <w:rtl/>
              </w:rPr>
            </w:pPr>
            <w:r w:rsidRPr="0032392E">
              <w:rPr>
                <w:rFonts w:hint="cs"/>
                <w:sz w:val="26"/>
                <w:szCs w:val="26"/>
                <w:rtl/>
              </w:rPr>
              <w:t>ע"י ב"כ עו"ד ליאור דוידי</w:t>
            </w:r>
          </w:p>
        </w:tc>
        <w:tc>
          <w:tcPr>
            <w:tcW w:w="3551" w:type="dxa"/>
            <w:tcBorders>
              <w:top w:val="nil"/>
              <w:left w:val="nil"/>
              <w:bottom w:val="nil"/>
              <w:right w:val="nil"/>
            </w:tcBorders>
            <w:shd w:val="clear" w:color="auto" w:fill="auto"/>
          </w:tcPr>
          <w:p w14:paraId="763C9B77" w14:textId="77777777" w:rsidR="000A3418" w:rsidRPr="0032392E" w:rsidRDefault="000A3418" w:rsidP="000A3418">
            <w:pPr>
              <w:jc w:val="both"/>
              <w:rPr>
                <w:rFonts w:ascii="Arial" w:hAnsi="Arial"/>
                <w:sz w:val="26"/>
                <w:szCs w:val="26"/>
              </w:rPr>
            </w:pPr>
          </w:p>
        </w:tc>
      </w:tr>
    </w:tbl>
    <w:p w14:paraId="413B9059" w14:textId="77777777" w:rsidR="000A3418" w:rsidRPr="0032392E" w:rsidRDefault="000A3418" w:rsidP="000A3418">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3418" w14:paraId="26C62EE8" w14:textId="77777777" w:rsidTr="000A3418">
        <w:trPr>
          <w:trHeight w:val="355"/>
          <w:jc w:val="center"/>
        </w:trPr>
        <w:tc>
          <w:tcPr>
            <w:tcW w:w="8820" w:type="dxa"/>
            <w:tcBorders>
              <w:top w:val="nil"/>
              <w:left w:val="nil"/>
              <w:bottom w:val="nil"/>
              <w:right w:val="nil"/>
            </w:tcBorders>
            <w:shd w:val="clear" w:color="auto" w:fill="auto"/>
          </w:tcPr>
          <w:p w14:paraId="251D81E5" w14:textId="77777777" w:rsidR="0032392E" w:rsidRPr="0032392E" w:rsidRDefault="0032392E" w:rsidP="0032392E">
            <w:pPr>
              <w:jc w:val="center"/>
              <w:rPr>
                <w:rFonts w:ascii="Arial" w:hAnsi="Arial"/>
                <w:b/>
                <w:bCs/>
                <w:sz w:val="28"/>
                <w:szCs w:val="28"/>
                <w:u w:val="single"/>
                <w:rtl/>
              </w:rPr>
            </w:pPr>
            <w:bookmarkStart w:id="3" w:name="PsakDin" w:colFirst="0" w:colLast="0"/>
            <w:bookmarkEnd w:id="0"/>
            <w:r w:rsidRPr="0032392E">
              <w:rPr>
                <w:rFonts w:ascii="Arial" w:hAnsi="Arial"/>
                <w:b/>
                <w:bCs/>
                <w:sz w:val="28"/>
                <w:szCs w:val="28"/>
                <w:u w:val="single"/>
                <w:rtl/>
              </w:rPr>
              <w:t>גזר דין</w:t>
            </w:r>
          </w:p>
          <w:p w14:paraId="780D06AE" w14:textId="77777777" w:rsidR="000A3418" w:rsidRPr="0032392E" w:rsidRDefault="000A3418" w:rsidP="0032392E">
            <w:pPr>
              <w:jc w:val="center"/>
              <w:rPr>
                <w:rFonts w:ascii="Arial" w:hAnsi="Arial"/>
                <w:bCs/>
                <w:sz w:val="28"/>
                <w:szCs w:val="28"/>
                <w:u w:val="single"/>
                <w:rtl/>
              </w:rPr>
            </w:pPr>
          </w:p>
        </w:tc>
      </w:tr>
      <w:bookmarkEnd w:id="3"/>
    </w:tbl>
    <w:p w14:paraId="1C025120" w14:textId="77777777" w:rsidR="000A3418" w:rsidRPr="00B05847" w:rsidRDefault="000A3418" w:rsidP="000A3418">
      <w:pPr>
        <w:jc w:val="both"/>
        <w:rPr>
          <w:rFonts w:ascii="Arial" w:hAnsi="Arial"/>
          <w:rtl/>
        </w:rPr>
      </w:pPr>
    </w:p>
    <w:p w14:paraId="1FEF001C" w14:textId="77777777" w:rsidR="000A3418" w:rsidRPr="00625756" w:rsidRDefault="000A3418" w:rsidP="000A3418">
      <w:pPr>
        <w:spacing w:line="360" w:lineRule="auto"/>
        <w:jc w:val="both"/>
        <w:rPr>
          <w:rFonts w:ascii="Arial" w:hAnsi="Arial"/>
          <w:b/>
          <w:bCs/>
          <w:u w:val="single"/>
          <w:rtl/>
        </w:rPr>
      </w:pPr>
      <w:r w:rsidRPr="00625756">
        <w:rPr>
          <w:rFonts w:ascii="Arial" w:hAnsi="Arial" w:hint="cs"/>
          <w:b/>
          <w:bCs/>
          <w:u w:val="single"/>
          <w:rtl/>
        </w:rPr>
        <w:t>רקע</w:t>
      </w:r>
    </w:p>
    <w:p w14:paraId="2EE3F097" w14:textId="77777777" w:rsidR="000A3418" w:rsidRDefault="000A3418" w:rsidP="000A3418">
      <w:pPr>
        <w:spacing w:line="360" w:lineRule="auto"/>
        <w:ind w:left="720" w:hanging="720"/>
        <w:jc w:val="both"/>
        <w:rPr>
          <w:rtl/>
        </w:rPr>
      </w:pPr>
      <w:r>
        <w:rPr>
          <w:rFonts w:hint="cs"/>
          <w:rtl/>
        </w:rPr>
        <w:t>1.</w:t>
      </w:r>
      <w:r>
        <w:rPr>
          <w:rFonts w:hint="cs"/>
          <w:rtl/>
        </w:rPr>
        <w:tab/>
      </w:r>
      <w:bookmarkStart w:id="4" w:name="ABSTRACT_START"/>
      <w:bookmarkEnd w:id="4"/>
      <w:r>
        <w:rPr>
          <w:rFonts w:hint="cs"/>
          <w:rtl/>
        </w:rPr>
        <w:t>הנאשם הודה והורשע בכתב אישום מתוקן בשתי עבירות של הספקת סם בתמורה כספית, בכך שבשתי הזדמנויות שונות, בין התאריכים 23.9.14-17.6.15, סיפק סם מסוג חשיש בכמות שאינה ידועה לאדם אחר עמו יש לו היכרות מוקדמת, בתמורה לסכום כסף שאינו ידוע.</w:t>
      </w:r>
    </w:p>
    <w:p w14:paraId="79919017" w14:textId="77777777" w:rsidR="000A3418" w:rsidRDefault="000A3418" w:rsidP="000A3418">
      <w:pPr>
        <w:spacing w:line="360" w:lineRule="auto"/>
        <w:ind w:left="720" w:hanging="720"/>
        <w:jc w:val="both"/>
        <w:rPr>
          <w:rtl/>
        </w:rPr>
      </w:pPr>
      <w:bookmarkStart w:id="5" w:name="ABSTRACT_END"/>
      <w:bookmarkEnd w:id="5"/>
    </w:p>
    <w:p w14:paraId="6051CE3F" w14:textId="77777777" w:rsidR="000A3418" w:rsidRDefault="000A3418" w:rsidP="000A3418">
      <w:pPr>
        <w:spacing w:line="360" w:lineRule="auto"/>
        <w:ind w:left="720" w:hanging="720"/>
        <w:jc w:val="both"/>
        <w:rPr>
          <w:rtl/>
        </w:rPr>
      </w:pPr>
      <w:r>
        <w:rPr>
          <w:rFonts w:hint="cs"/>
          <w:rtl/>
        </w:rPr>
        <w:t>2.</w:t>
      </w:r>
      <w:r>
        <w:rPr>
          <w:rFonts w:hint="cs"/>
          <w:rtl/>
        </w:rPr>
        <w:tab/>
        <w:t>בטרם נשמעו טיעונים לעונש, התקבל תסקיר שירות המבחן לגבי הנאשם. מהתסקיר עולה כי מדובר באדם גרוש אב לילדה בת 8, אשר עבד בחברה העובדת עם חברות ביטחוניות ובשל ההליך המשפטי פוטר מעבודתו. אביו של הנאשם נפטר לפני כ- 8 שנים, כאשר כ</w:t>
      </w:r>
      <w:bookmarkStart w:id="6" w:name="Seif5"/>
      <w:r>
        <w:rPr>
          <w:rFonts w:hint="cs"/>
          <w:rtl/>
        </w:rPr>
        <w:t xml:space="preserve">חלק מהתמודדותו </w:t>
      </w:r>
      <w:bookmarkEnd w:id="6"/>
      <w:r>
        <w:rPr>
          <w:rFonts w:hint="cs"/>
          <w:rtl/>
        </w:rPr>
        <w:t>עם מחלה קשה השתמש האב בקנאביס רפואי אליו נחשף הנאשם ועישן בצוותא עם אביו אחת לחודש. הנאשם קיבל אחריות על מעשיו ותיאר תקופה משברית בחייו. שירות המבחן התרשם מנאשם המתפקד נורמטיבית, בעל מודעות, נכונות ומעורבות חברתית, וכן יכולת תקינה לוויסות דחפים. עוד ציין שירות המבחן, כי הנאשם מגלה אחריות מלאה להתנהגותו הפסולה, אינו מזדהה עם ערכים עברייניים ואינו סובל מבעיית שימוש בסמים. לפיכך וכן לאור צורך בחיזוק גבולות התנהגותיים, המליץ שירות המבחן להטיל על הנאשם של"צ בהיקף של 340 שעות לצד צו מבחן למשך שנה וחצי.</w:t>
      </w:r>
    </w:p>
    <w:p w14:paraId="3D622586" w14:textId="77777777" w:rsidR="000A3418" w:rsidRDefault="000A3418" w:rsidP="000A3418">
      <w:pPr>
        <w:spacing w:line="360" w:lineRule="auto"/>
        <w:ind w:left="720" w:hanging="720"/>
        <w:jc w:val="both"/>
        <w:rPr>
          <w:rtl/>
        </w:rPr>
      </w:pPr>
      <w:r>
        <w:rPr>
          <w:rtl/>
        </w:rPr>
        <w:tab/>
      </w:r>
      <w:r>
        <w:rPr>
          <w:rFonts w:hint="cs"/>
          <w:rtl/>
        </w:rPr>
        <w:t>לאור פגיעת ההרשעה בנאשם וכן אישור מעסיקו הקודם כי ככל שיבוטלו ההליכים המשפטיים ישקול את השבתו לעבודה, המליץ שירות המבחן לשקול את ביטול ההרשעה.</w:t>
      </w:r>
    </w:p>
    <w:p w14:paraId="794648F6" w14:textId="77777777" w:rsidR="000A3418" w:rsidRDefault="000A3418" w:rsidP="000A3418">
      <w:pPr>
        <w:spacing w:line="360" w:lineRule="auto"/>
        <w:ind w:left="720" w:hanging="720"/>
        <w:jc w:val="both"/>
        <w:rPr>
          <w:rtl/>
        </w:rPr>
      </w:pPr>
    </w:p>
    <w:p w14:paraId="186A09EB" w14:textId="77777777" w:rsidR="000A3418" w:rsidRPr="008E5A1D" w:rsidRDefault="000A3418" w:rsidP="000A3418">
      <w:pPr>
        <w:spacing w:line="360" w:lineRule="auto"/>
        <w:ind w:left="720" w:hanging="720"/>
        <w:jc w:val="both"/>
        <w:rPr>
          <w:b/>
          <w:bCs/>
          <w:u w:val="single"/>
          <w:rtl/>
        </w:rPr>
      </w:pPr>
      <w:r w:rsidRPr="008E5A1D">
        <w:rPr>
          <w:rFonts w:hint="cs"/>
          <w:b/>
          <w:bCs/>
          <w:u w:val="single"/>
          <w:rtl/>
        </w:rPr>
        <w:t>טיעוני הצדדים</w:t>
      </w:r>
    </w:p>
    <w:p w14:paraId="370B3C49" w14:textId="77777777" w:rsidR="000A3418" w:rsidRDefault="000A3418" w:rsidP="000A3418">
      <w:pPr>
        <w:spacing w:line="360" w:lineRule="auto"/>
        <w:ind w:left="720" w:hanging="720"/>
        <w:jc w:val="both"/>
        <w:rPr>
          <w:rtl/>
        </w:rPr>
      </w:pPr>
      <w:r>
        <w:rPr>
          <w:rFonts w:hint="cs"/>
          <w:rtl/>
        </w:rPr>
        <w:t>3.</w:t>
      </w:r>
      <w:r>
        <w:rPr>
          <w:rFonts w:hint="cs"/>
          <w:rtl/>
        </w:rPr>
        <w:tab/>
        <w:t xml:space="preserve">ב"כ המאשימה טענה, כי מעשי הנאשם פגעו בערכים מוגנים של הגנה על הציבור מפני נגע הסם ונזקיו. בהתחשב בכך שמדובר בשני אירועים שונים בהפרש של מספר חודשים, טענה </w:t>
      </w:r>
      <w:r>
        <w:rPr>
          <w:rFonts w:hint="cs"/>
          <w:rtl/>
        </w:rPr>
        <w:lastRenderedPageBreak/>
        <w:t>כי מתחם הענישה נע בין מספר חודשי מאסר בעבודות שירות ועד שמונה חודשי מאסר. לגבי שאלת ביטול ההרשעה, טענה ב"כ המאשימה כי לא ניתן להצביע על פגיעה קונקרטית בשיקום הנאשם או בעתידו המקצועי לאור העובדה שאינו עובד מזה מספר חודשים בחברה הקשורה לגורמי ביטחון. בנוסף, מקרה זה אינו נכנס בגדר העבירות שניתן לבחון לגביהן אי הרשעה. לפיכך, עתרה ב"כ המאשימה להטיל על הנאשם מאסר למשך חודשיים שירוצה בעבודות שירות, מאסר מותנה, קנס ופסילת רישיון נהיגה.</w:t>
      </w:r>
    </w:p>
    <w:p w14:paraId="45149409" w14:textId="77777777" w:rsidR="000A3418" w:rsidRDefault="000A3418" w:rsidP="000A3418">
      <w:pPr>
        <w:spacing w:line="360" w:lineRule="auto"/>
        <w:ind w:left="720" w:hanging="720"/>
        <w:jc w:val="both"/>
        <w:rPr>
          <w:rtl/>
        </w:rPr>
      </w:pPr>
    </w:p>
    <w:p w14:paraId="417FFD1A" w14:textId="77777777" w:rsidR="000A3418" w:rsidRDefault="000A3418" w:rsidP="000A3418">
      <w:pPr>
        <w:spacing w:line="360" w:lineRule="auto"/>
        <w:ind w:left="720" w:hanging="720"/>
        <w:jc w:val="both"/>
        <w:rPr>
          <w:rtl/>
        </w:rPr>
      </w:pPr>
      <w:r>
        <w:rPr>
          <w:rFonts w:hint="cs"/>
          <w:rtl/>
        </w:rPr>
        <w:t>4.</w:t>
      </w:r>
      <w:r>
        <w:rPr>
          <w:rFonts w:hint="cs"/>
          <w:rtl/>
        </w:rPr>
        <w:tab/>
        <w:t xml:space="preserve">ב"כ הנאשם טען, כי יש לבחון את נסיבות המקרה באופן המקל עם הנאשם, כאשר מדובר בכמות סם לא ידועה ובתמורה שאינה ידועה. בנוסף, ציין כי התנאי של פגיעת ההרשעה בנאשם מתמלא לנוכח האמור בתסקיר שירות המבחן וכן המכתב שהוצג מטעם מעסיקו הקודם של הנאשם (טנ/1). </w:t>
      </w:r>
    </w:p>
    <w:p w14:paraId="661DB47F" w14:textId="77777777" w:rsidR="000A3418" w:rsidRDefault="000A3418" w:rsidP="000A3418">
      <w:pPr>
        <w:spacing w:line="360" w:lineRule="auto"/>
        <w:ind w:left="720" w:hanging="720"/>
        <w:jc w:val="both"/>
        <w:rPr>
          <w:rtl/>
        </w:rPr>
      </w:pPr>
      <w:r>
        <w:rPr>
          <w:rtl/>
        </w:rPr>
        <w:tab/>
      </w:r>
      <w:r>
        <w:rPr>
          <w:rFonts w:hint="cs"/>
          <w:rtl/>
        </w:rPr>
        <w:t>ב"כ הנאשם פירט לגבי התקופה המשברית שחווה הנאשם בטרם ביצוע העבירות, אשר מהוות את הסתבכותו הראשונה בפלילים לאחריה לא נפתח כנגדו כל תיק נוסף. עוד טען, כי יש לזקוף לזכות הנאשם את קבלת האחריות המלאה על מעשיו והבעת חרטה כנה. לאחר שפירט את האמור בתסקיר שירות המבחן, טען כי יש לקבל את המלצת שירות המבחן הנותנת מענה לנסיבות המקרה. ב"כ הנאשם הפנה לפסיקה לשם ביסוס טיעוניו.</w:t>
      </w:r>
    </w:p>
    <w:p w14:paraId="1CA2551D" w14:textId="77777777" w:rsidR="000A3418" w:rsidRDefault="000A3418" w:rsidP="000A3418">
      <w:pPr>
        <w:spacing w:line="360" w:lineRule="auto"/>
        <w:ind w:left="720" w:hanging="720"/>
        <w:jc w:val="both"/>
        <w:rPr>
          <w:rtl/>
        </w:rPr>
      </w:pPr>
      <w:r>
        <w:rPr>
          <w:rtl/>
        </w:rPr>
        <w:tab/>
      </w:r>
    </w:p>
    <w:p w14:paraId="1AA7FF5F" w14:textId="77777777" w:rsidR="000A3418" w:rsidRDefault="000A3418" w:rsidP="000A3418">
      <w:pPr>
        <w:spacing w:line="360" w:lineRule="auto"/>
        <w:ind w:left="720" w:hanging="720"/>
        <w:jc w:val="both"/>
        <w:rPr>
          <w:rtl/>
        </w:rPr>
      </w:pPr>
      <w:r>
        <w:rPr>
          <w:rtl/>
        </w:rPr>
        <w:tab/>
      </w:r>
      <w:r>
        <w:rPr>
          <w:rFonts w:hint="cs"/>
          <w:rtl/>
        </w:rPr>
        <w:t>הנאשם בעצמו, הסביר כי החברה בה עבד במשך כשלוש שנים כמנהל ייצור נמצאת בקשרי עבודה עם מערכות ביטחוניות שונות אשר לא נתנו לו אישורי כניסה בשל ההליך הפלילי. לדבריו, מאז פוטר הוא מבצע עבודות פרטיות בשיפוצים.</w:t>
      </w:r>
    </w:p>
    <w:p w14:paraId="39FC9E14" w14:textId="77777777" w:rsidR="000A3418" w:rsidRDefault="000A3418" w:rsidP="000A3418">
      <w:pPr>
        <w:spacing w:line="360" w:lineRule="auto"/>
        <w:ind w:left="720" w:hanging="720"/>
        <w:jc w:val="both"/>
        <w:rPr>
          <w:rtl/>
        </w:rPr>
      </w:pPr>
    </w:p>
    <w:p w14:paraId="2B493271" w14:textId="77777777" w:rsidR="000A3418" w:rsidRDefault="000A3418" w:rsidP="000A3418">
      <w:pPr>
        <w:spacing w:line="360" w:lineRule="auto"/>
        <w:ind w:left="720" w:hanging="720"/>
        <w:jc w:val="both"/>
        <w:rPr>
          <w:b/>
          <w:bCs/>
          <w:u w:val="single"/>
          <w:rtl/>
        </w:rPr>
      </w:pPr>
      <w:r w:rsidRPr="00801BDD">
        <w:rPr>
          <w:rFonts w:hint="cs"/>
          <w:b/>
          <w:bCs/>
          <w:u w:val="single"/>
          <w:rtl/>
        </w:rPr>
        <w:t>דיון והכרעה</w:t>
      </w:r>
    </w:p>
    <w:p w14:paraId="3220F656" w14:textId="77777777" w:rsidR="000A3418" w:rsidRPr="00847449" w:rsidRDefault="000A3418" w:rsidP="000A3418">
      <w:pPr>
        <w:spacing w:line="360" w:lineRule="auto"/>
        <w:ind w:left="720" w:hanging="720"/>
        <w:jc w:val="both"/>
        <w:rPr>
          <w:u w:val="single"/>
          <w:rtl/>
        </w:rPr>
      </w:pPr>
      <w:r w:rsidRPr="00847449">
        <w:rPr>
          <w:rFonts w:hint="cs"/>
          <w:u w:val="single"/>
          <w:rtl/>
        </w:rPr>
        <w:t>אי הרשעה</w:t>
      </w:r>
    </w:p>
    <w:p w14:paraId="3597208D" w14:textId="77777777" w:rsidR="000A3418" w:rsidRDefault="000A3418" w:rsidP="000A3418">
      <w:pPr>
        <w:spacing w:line="360" w:lineRule="auto"/>
        <w:ind w:left="720" w:hanging="720"/>
        <w:jc w:val="both"/>
        <w:rPr>
          <w:rtl/>
        </w:rPr>
      </w:pPr>
      <w:r>
        <w:rPr>
          <w:rFonts w:hint="cs"/>
          <w:rtl/>
        </w:rPr>
        <w:t>5.</w:t>
      </w:r>
      <w:r>
        <w:rPr>
          <w:rtl/>
        </w:rPr>
        <w:tab/>
      </w:r>
      <w:r>
        <w:rPr>
          <w:rFonts w:hint="cs"/>
          <w:rtl/>
        </w:rPr>
        <w:t>סדר הדין מחייב את הרשעתו של אדם אשר נמצא כי ביצע עבירה פלילית. סטיה מ</w:t>
      </w:r>
      <w:bookmarkStart w:id="7" w:name="Seif7"/>
      <w:r>
        <w:rPr>
          <w:rFonts w:hint="cs"/>
          <w:rtl/>
        </w:rPr>
        <w:t xml:space="preserve">כלל זה </w:t>
      </w:r>
      <w:bookmarkEnd w:id="7"/>
      <w:r>
        <w:rPr>
          <w:rFonts w:hint="cs"/>
          <w:rtl/>
        </w:rPr>
        <w:t>וביטול הרשעה, נעשים בצמצום ובמשורה כ"</w:t>
      </w:r>
      <w:r>
        <w:rPr>
          <w:rFonts w:hint="cs"/>
          <w:b/>
          <w:bCs/>
          <w:rtl/>
        </w:rPr>
        <w:t>חריג שבחריגים</w:t>
      </w:r>
      <w:r w:rsidRPr="00847449">
        <w:rPr>
          <w:rFonts w:hint="cs"/>
          <w:rtl/>
        </w:rPr>
        <w:t>",</w:t>
      </w:r>
      <w:r>
        <w:rPr>
          <w:rFonts w:hint="cs"/>
          <w:b/>
          <w:bCs/>
          <w:rtl/>
        </w:rPr>
        <w:t xml:space="preserve"> </w:t>
      </w:r>
      <w:r>
        <w:rPr>
          <w:rFonts w:hint="cs"/>
          <w:rtl/>
        </w:rPr>
        <w:t>אך "</w:t>
      </w:r>
      <w:r>
        <w:rPr>
          <w:rFonts w:hint="cs"/>
          <w:b/>
          <w:bCs/>
          <w:rtl/>
        </w:rPr>
        <w:t>במקרים יוצאי דופן</w:t>
      </w:r>
      <w:r>
        <w:rPr>
          <w:rFonts w:hint="cs"/>
          <w:rtl/>
        </w:rPr>
        <w:t>" (</w:t>
      </w:r>
      <w:hyperlink r:id="rId7" w:history="1">
        <w:r w:rsidR="0032392E" w:rsidRPr="0032392E">
          <w:rPr>
            <w:color w:val="0000FF"/>
            <w:u w:val="single"/>
            <w:rtl/>
          </w:rPr>
          <w:t>ע"פ 8528/12</w:t>
        </w:r>
      </w:hyperlink>
      <w:r w:rsidRPr="00847449">
        <w:rPr>
          <w:rFonts w:hint="cs"/>
          <w:rtl/>
        </w:rPr>
        <w:t xml:space="preserve"> </w:t>
      </w:r>
      <w:r w:rsidRPr="00847449">
        <w:rPr>
          <w:rFonts w:hint="cs"/>
          <w:b/>
          <w:bCs/>
          <w:rtl/>
        </w:rPr>
        <w:t xml:space="preserve">אלירן ציפורה נ' מדינת ישראל </w:t>
      </w:r>
      <w:r w:rsidRPr="00847449">
        <w:rPr>
          <w:rFonts w:hint="cs"/>
          <w:rtl/>
        </w:rPr>
        <w:t>(3.03.2013</w:t>
      </w:r>
      <w:r>
        <w:rPr>
          <w:rFonts w:hint="cs"/>
          <w:rtl/>
        </w:rPr>
        <w:t>) והאסמכתאות שם). לבחינת סוגיה זו, נדרשים שני תנאים מצטברים: סוג עבירה המאפשר לוותר על הרשעה, וכן פגיעה חמורה בשיקום הנאשם בעצם הרשעתו. בית המשפט העליון ייחד הליך זה, לאותם מקרים בהם קיים חוסר פרופורציה קיצוני בין עוצמת פגיעת ההרשעה בנאשם, לבין התועלת הציבורית הכללית כתוצאה מהרשעה זו (</w:t>
      </w:r>
      <w:hyperlink r:id="rId8" w:history="1">
        <w:r w:rsidR="0032392E" w:rsidRPr="0032392E">
          <w:rPr>
            <w:color w:val="0000FF"/>
            <w:u w:val="single"/>
            <w:rtl/>
          </w:rPr>
          <w:t>רע"פ 9118/12</w:t>
        </w:r>
      </w:hyperlink>
      <w:r>
        <w:rPr>
          <w:rFonts w:hint="cs"/>
          <w:rtl/>
        </w:rPr>
        <w:t xml:space="preserve"> </w:t>
      </w:r>
      <w:r>
        <w:rPr>
          <w:rFonts w:hint="cs"/>
          <w:b/>
          <w:bCs/>
          <w:rtl/>
        </w:rPr>
        <w:t xml:space="preserve">אלכסנדר פריגין נ' מדינת ישראל </w:t>
      </w:r>
      <w:r w:rsidRPr="00A105A4">
        <w:rPr>
          <w:rFonts w:hint="cs"/>
          <w:rtl/>
        </w:rPr>
        <w:t>(</w:t>
      </w:r>
      <w:r>
        <w:rPr>
          <w:rFonts w:hint="cs"/>
          <w:rtl/>
        </w:rPr>
        <w:t>1.01.2013) והאסמכתאות שם).</w:t>
      </w:r>
      <w:r>
        <w:rPr>
          <w:rFonts w:hint="cs"/>
          <w:b/>
          <w:bCs/>
          <w:rtl/>
        </w:rPr>
        <w:t xml:space="preserve"> </w:t>
      </w:r>
      <w:r w:rsidRPr="00DA345B">
        <w:rPr>
          <w:rFonts w:hint="cs"/>
          <w:rtl/>
        </w:rPr>
        <w:t xml:space="preserve">עוד נקבע, כי לשם בחינת פגיעת ההרשעה בשיקום הנאשם, עליו להצביע על פגיעה </w:t>
      </w:r>
      <w:r w:rsidRPr="00DA345B">
        <w:rPr>
          <w:rFonts w:hint="cs"/>
          <w:u w:val="single"/>
          <w:rtl/>
        </w:rPr>
        <w:t>קשה וקונקרטית</w:t>
      </w:r>
      <w:r w:rsidRPr="00DA345B">
        <w:rPr>
          <w:rFonts w:hint="cs"/>
          <w:rtl/>
        </w:rPr>
        <w:t xml:space="preserve"> בשיקומו, ולבסס טענות אלה בתשתית ראייתית מתאימה</w:t>
      </w:r>
      <w:r>
        <w:rPr>
          <w:rFonts w:hint="cs"/>
          <w:b/>
          <w:bCs/>
          <w:rtl/>
        </w:rPr>
        <w:t xml:space="preserve"> </w:t>
      </w:r>
      <w:r>
        <w:rPr>
          <w:rFonts w:hint="cs"/>
          <w:rtl/>
        </w:rPr>
        <w:t>(</w:t>
      </w:r>
      <w:hyperlink r:id="rId9" w:history="1">
        <w:r w:rsidR="0032392E" w:rsidRPr="0032392E">
          <w:rPr>
            <w:color w:val="0000FF"/>
            <w:u w:val="single"/>
            <w:rtl/>
          </w:rPr>
          <w:t>רע"פ 7224/14</w:t>
        </w:r>
      </w:hyperlink>
      <w:r>
        <w:rPr>
          <w:rFonts w:hint="cs"/>
          <w:rtl/>
        </w:rPr>
        <w:t xml:space="preserve"> </w:t>
      </w:r>
      <w:r>
        <w:rPr>
          <w:rFonts w:hint="cs"/>
          <w:b/>
          <w:bCs/>
          <w:rtl/>
        </w:rPr>
        <w:t xml:space="preserve">משה פרנסקי נ' מדינת ישראל </w:t>
      </w:r>
      <w:r>
        <w:rPr>
          <w:rFonts w:hint="cs"/>
          <w:rtl/>
        </w:rPr>
        <w:t xml:space="preserve">(10.11.2014); רע"פ 54/15 </w:t>
      </w:r>
      <w:r>
        <w:rPr>
          <w:rFonts w:hint="cs"/>
          <w:b/>
          <w:bCs/>
          <w:rtl/>
        </w:rPr>
        <w:t xml:space="preserve">פלוני נ' מדינת ישראל </w:t>
      </w:r>
      <w:r>
        <w:rPr>
          <w:rFonts w:hint="cs"/>
          <w:rtl/>
        </w:rPr>
        <w:t>(27.01.2015)).</w:t>
      </w:r>
    </w:p>
    <w:p w14:paraId="01C89CDD" w14:textId="77777777" w:rsidR="000A3418" w:rsidRDefault="000A3418" w:rsidP="000A3418">
      <w:pPr>
        <w:spacing w:line="360" w:lineRule="auto"/>
        <w:ind w:left="720" w:hanging="720"/>
        <w:jc w:val="both"/>
        <w:rPr>
          <w:rtl/>
        </w:rPr>
      </w:pPr>
    </w:p>
    <w:p w14:paraId="08368362" w14:textId="77777777" w:rsidR="000A3418" w:rsidRDefault="000A3418" w:rsidP="000A3418">
      <w:pPr>
        <w:spacing w:line="360" w:lineRule="auto"/>
        <w:ind w:left="720" w:hanging="720"/>
        <w:jc w:val="both"/>
        <w:rPr>
          <w:rtl/>
        </w:rPr>
      </w:pPr>
      <w:r>
        <w:rPr>
          <w:rFonts w:hint="cs"/>
          <w:rtl/>
        </w:rPr>
        <w:lastRenderedPageBreak/>
        <w:t>6.</w:t>
      </w:r>
      <w:r>
        <w:rPr>
          <w:rtl/>
        </w:rPr>
        <w:tab/>
      </w:r>
      <w:r>
        <w:rPr>
          <w:rFonts w:hint="cs"/>
          <w:rtl/>
        </w:rPr>
        <w:t xml:space="preserve">בחינת סוג העבירה במקרה הנדון, מעלה כי מדובר בשני מקרים שונים בהם סיפק הנאשם לאחר, איתו היתה לו היכרות מוקדמת, סם מסוג חשיש בתמורה כספית. יש לתת משקל לכך שאין מדובר במקרה חד פעמי וכן לעובדה שהנאשם קיבל תמורה כספית. לא נטען, ולא הוצגו כל ראיות לכך שמדובר באספקת סם על רקע חברי או שימוש בצוותא, ולכן לא ניתן לתת משקל משמעותי לעצם ההיכרות המוקדמת בין הנאשם לבין מקבל הסם. העובדה שכמות הסם אשר סופק אינה ידועה וכך אף גובה התמורה הכספית, היא בעלת משקל לקולא מבחינת היקף העבירה וחומרתה. יחד עם זאת, פגיעת העבירה בציבור היא משמעותית. עבירות הפצת הסמים פוגעות בשלום הציבור, החל מהמשתמש בסם, דרך סביבתו הקרובה, משפחתו, ועד לציבור הרחב הנתון לא פעם לפגיעת עבירות אותן מבצעים צרכני הסם לשם מימונו. לפיכך, </w:t>
      </w:r>
      <w:r w:rsidRPr="004D7E83">
        <w:rPr>
          <w:rFonts w:hint="cs"/>
          <w:rtl/>
        </w:rPr>
        <w:t>קבע בית המשפט לא פעם את הצורך במלחמת חור</w:t>
      </w:r>
      <w:r>
        <w:rPr>
          <w:rFonts w:hint="cs"/>
          <w:rtl/>
        </w:rPr>
        <w:t xml:space="preserve">מה במפיצי הסם ובגדיעת מעגל הסמים, זאת בדרך של ענישה קשה ומרתיעה את היחיד ואת הרבים: </w:t>
      </w:r>
    </w:p>
    <w:p w14:paraId="2E5B09D1" w14:textId="77777777" w:rsidR="000A3418" w:rsidRDefault="000A3418" w:rsidP="000A3418">
      <w:pPr>
        <w:ind w:left="1417" w:right="1134"/>
        <w:jc w:val="both"/>
        <w:rPr>
          <w:rtl/>
        </w:rPr>
      </w:pPr>
      <w:r>
        <w:rPr>
          <w:rFonts w:hint="cs"/>
          <w:rtl/>
        </w:rPr>
        <w:t>"</w:t>
      </w:r>
      <w:r>
        <w:rPr>
          <w:rFonts w:hint="cs"/>
          <w:b/>
          <w:bCs/>
          <w:rtl/>
        </w:rPr>
        <w:t>מלחמה קשה היא, מלחמה ארוכה, והיא כמלחמת ישראל בעמלק</w:t>
      </w:r>
      <w:r>
        <w:rPr>
          <w:rFonts w:hint="cs"/>
          <w:rtl/>
        </w:rPr>
        <w:t>" (</w:t>
      </w:r>
      <w:hyperlink r:id="rId10" w:history="1">
        <w:r w:rsidR="0032392E" w:rsidRPr="0032392E">
          <w:rPr>
            <w:color w:val="0000FF"/>
            <w:u w:val="single"/>
            <w:rtl/>
          </w:rPr>
          <w:t>ע"פ 4998/95 מדינת ישראל נ' גומז קרדוסו ואח', פ"ד נא</w:t>
        </w:r>
      </w:hyperlink>
      <w:r>
        <w:rPr>
          <w:rFonts w:hint="cs"/>
          <w:rtl/>
        </w:rPr>
        <w:t xml:space="preserve">'(3) (1997) </w:t>
      </w:r>
      <w:bookmarkStart w:id="8" w:name="Seif1"/>
      <w:r>
        <w:rPr>
          <w:rFonts w:hint="cs"/>
          <w:rtl/>
        </w:rPr>
        <w:t xml:space="preserve">פסקה </w:t>
      </w:r>
      <w:bookmarkEnd w:id="8"/>
      <w:r>
        <w:rPr>
          <w:rFonts w:hint="cs"/>
          <w:rtl/>
        </w:rPr>
        <w:t xml:space="preserve">35). </w:t>
      </w:r>
    </w:p>
    <w:p w14:paraId="75945EC5" w14:textId="77777777" w:rsidR="000A3418" w:rsidRDefault="000A3418" w:rsidP="000A3418">
      <w:pPr>
        <w:spacing w:line="360" w:lineRule="auto"/>
        <w:ind w:left="720"/>
        <w:jc w:val="both"/>
        <w:rPr>
          <w:rtl/>
        </w:rPr>
      </w:pPr>
    </w:p>
    <w:p w14:paraId="5804A3F0" w14:textId="77777777" w:rsidR="000A3418" w:rsidRDefault="000A3418" w:rsidP="000A3418">
      <w:pPr>
        <w:spacing w:line="360" w:lineRule="auto"/>
        <w:ind w:left="720"/>
        <w:jc w:val="both"/>
        <w:rPr>
          <w:rtl/>
        </w:rPr>
      </w:pPr>
      <w:r>
        <w:rPr>
          <w:rFonts w:hint="cs"/>
          <w:rtl/>
        </w:rPr>
        <w:t xml:space="preserve">מלחמה זו לא פוסחת על סמים המוגדרים "קלים", כגון חשיש וקנבוס: </w:t>
      </w:r>
    </w:p>
    <w:p w14:paraId="451213DD" w14:textId="77777777" w:rsidR="000A3418" w:rsidRDefault="000A3418" w:rsidP="000A3418">
      <w:pPr>
        <w:ind w:left="1417" w:right="1134"/>
        <w:jc w:val="both"/>
        <w:rPr>
          <w:rtl/>
        </w:rPr>
      </w:pPr>
      <w:r>
        <w:rPr>
          <w:rFonts w:hint="cs"/>
          <w:rtl/>
        </w:rPr>
        <w:t>"</w:t>
      </w:r>
      <w:r>
        <w:rPr>
          <w:rFonts w:hint="cs"/>
          <w:b/>
          <w:bCs/>
          <w:rtl/>
        </w:rPr>
        <w:t xml:space="preserve">המאבק בהפצת הסמים כולל גם הפצתם של סמים קלים יחסית, דוגמת הקנבוס; ולמיותר יהיה לחזור ולהזכיר את המעבר הקל - והטבעי </w:t>
      </w:r>
      <w:r>
        <w:rPr>
          <w:b/>
          <w:bCs/>
          <w:rtl/>
        </w:rPr>
        <w:t>–</w:t>
      </w:r>
      <w:r>
        <w:rPr>
          <w:rFonts w:hint="cs"/>
          <w:b/>
          <w:bCs/>
          <w:rtl/>
        </w:rPr>
        <w:t xml:space="preserve"> מצריכתם של סמים קלים לכבדים יותר</w:t>
      </w:r>
      <w:r>
        <w:rPr>
          <w:rFonts w:hint="cs"/>
          <w:rtl/>
        </w:rPr>
        <w:t xml:space="preserve">" </w:t>
      </w:r>
    </w:p>
    <w:p w14:paraId="6190F1C8" w14:textId="77777777" w:rsidR="000A3418" w:rsidRDefault="000A3418" w:rsidP="000A3418">
      <w:pPr>
        <w:ind w:left="1417" w:right="1134"/>
        <w:jc w:val="both"/>
        <w:rPr>
          <w:rtl/>
        </w:rPr>
      </w:pPr>
      <w:r>
        <w:rPr>
          <w:rFonts w:hint="cs"/>
          <w:rtl/>
        </w:rPr>
        <w:t xml:space="preserve">(ע"פ 407/97 </w:t>
      </w:r>
      <w:r>
        <w:rPr>
          <w:rFonts w:hint="cs"/>
          <w:b/>
          <w:bCs/>
          <w:rtl/>
        </w:rPr>
        <w:t xml:space="preserve">אמויאל נ' מדינת ישראל </w:t>
      </w:r>
      <w:r>
        <w:rPr>
          <w:rFonts w:hint="cs"/>
          <w:rtl/>
        </w:rPr>
        <w:t xml:space="preserve">(15.04.1997). </w:t>
      </w:r>
    </w:p>
    <w:p w14:paraId="10986019" w14:textId="77777777" w:rsidR="000A3418" w:rsidRDefault="000A3418" w:rsidP="000A3418">
      <w:pPr>
        <w:spacing w:line="360" w:lineRule="auto"/>
        <w:ind w:left="720" w:hanging="720"/>
        <w:jc w:val="both"/>
        <w:rPr>
          <w:rtl/>
        </w:rPr>
      </w:pPr>
      <w:r>
        <w:rPr>
          <w:rtl/>
        </w:rPr>
        <w:tab/>
      </w:r>
    </w:p>
    <w:p w14:paraId="40AB5BC6" w14:textId="77777777" w:rsidR="000A3418" w:rsidRDefault="000A3418" w:rsidP="000A3418">
      <w:pPr>
        <w:spacing w:line="360" w:lineRule="auto"/>
        <w:ind w:left="720"/>
        <w:jc w:val="both"/>
        <w:rPr>
          <w:rtl/>
        </w:rPr>
      </w:pPr>
      <w:r>
        <w:rPr>
          <w:rFonts w:hint="cs"/>
          <w:rtl/>
        </w:rPr>
        <w:t xml:space="preserve">ב"כ הנאשם הציג מספר פסקי דין בהם הסתיימו הליכים ללא הרשעה, בגין עבירות הספקה וסחר בסם מסוכן. בכל המקרים מדובר היה בפסקי דין אשר ניתנו בבתי משפט השלום השונים, ואלה אינם משקפים את ההלכה שנקבעה בבית המשפט העליון, לפיה יש לבחון מקרים אלה, כפי שיפורט להלן. </w:t>
      </w:r>
    </w:p>
    <w:p w14:paraId="08EC99B8" w14:textId="77777777" w:rsidR="000A3418" w:rsidRDefault="000A3418" w:rsidP="000A3418">
      <w:pPr>
        <w:spacing w:line="360" w:lineRule="auto"/>
        <w:ind w:left="720"/>
        <w:jc w:val="both"/>
        <w:rPr>
          <w:rtl/>
        </w:rPr>
      </w:pPr>
      <w:r>
        <w:rPr>
          <w:rFonts w:hint="cs"/>
          <w:rtl/>
        </w:rPr>
        <w:t xml:space="preserve">במקרה בו מדובר היה בשני מקרים של סיוע לסחר בסם, עבירה לגביה קבע המחוקק מחצית העונש, קבע בית המשפט העליון: </w:t>
      </w:r>
    </w:p>
    <w:p w14:paraId="77D1D2B3" w14:textId="77777777" w:rsidR="000A3418" w:rsidRDefault="000A3418" w:rsidP="000A3418">
      <w:pPr>
        <w:autoSpaceDE w:val="0"/>
        <w:autoSpaceDN w:val="0"/>
        <w:adjustRightInd w:val="0"/>
        <w:spacing w:before="100" w:after="100"/>
        <w:ind w:left="1417" w:right="1134"/>
        <w:jc w:val="both"/>
        <w:rPr>
          <w:rtl/>
        </w:rPr>
      </w:pPr>
      <w:r>
        <w:rPr>
          <w:rFonts w:hint="cs"/>
          <w:rtl/>
        </w:rPr>
        <w:t>"</w:t>
      </w:r>
      <w:r>
        <w:rPr>
          <w:rFonts w:hint="cs"/>
          <w:b/>
          <w:bCs/>
          <w:rtl/>
        </w:rPr>
        <w:t>בית משפט זה עמד פעמים רבות על החומרה הכרוכה ב</w:t>
      </w:r>
      <w:r w:rsidRPr="005240D4">
        <w:rPr>
          <w:b/>
          <w:bCs/>
          <w:rtl/>
        </w:rPr>
        <w:t>הפצת</w:t>
      </w:r>
      <w:r w:rsidRPr="005240D4">
        <w:rPr>
          <w:b/>
          <w:bCs/>
        </w:rPr>
        <w:t xml:space="preserve"> </w:t>
      </w:r>
      <w:r w:rsidRPr="005240D4">
        <w:rPr>
          <w:b/>
          <w:bCs/>
          <w:rtl/>
        </w:rPr>
        <w:t>סמים</w:t>
      </w:r>
      <w:r w:rsidRPr="005240D4">
        <w:rPr>
          <w:b/>
          <w:bCs/>
        </w:rPr>
        <w:t xml:space="preserve"> </w:t>
      </w:r>
      <w:r w:rsidRPr="005240D4">
        <w:rPr>
          <w:b/>
          <w:bCs/>
          <w:rtl/>
        </w:rPr>
        <w:t>מסוכנים</w:t>
      </w:r>
      <w:r w:rsidRPr="005240D4">
        <w:rPr>
          <w:b/>
          <w:bCs/>
        </w:rPr>
        <w:t xml:space="preserve"> </w:t>
      </w:r>
      <w:r w:rsidRPr="005240D4">
        <w:rPr>
          <w:b/>
          <w:bCs/>
          <w:rtl/>
        </w:rPr>
        <w:t>וע</w:t>
      </w:r>
      <w:r>
        <w:rPr>
          <w:rFonts w:hint="cs"/>
          <w:b/>
          <w:bCs/>
          <w:rtl/>
        </w:rPr>
        <w:t xml:space="preserve">ל 'הצורך </w:t>
      </w:r>
      <w:r w:rsidRPr="005240D4">
        <w:rPr>
          <w:b/>
          <w:bCs/>
          <w:rtl/>
        </w:rPr>
        <w:t>להכות</w:t>
      </w:r>
      <w:r w:rsidRPr="005240D4">
        <w:rPr>
          <w:b/>
          <w:bCs/>
        </w:rPr>
        <w:t xml:space="preserve"> </w:t>
      </w:r>
      <w:r w:rsidRPr="005240D4">
        <w:rPr>
          <w:b/>
          <w:bCs/>
          <w:rtl/>
        </w:rPr>
        <w:t>בכל</w:t>
      </w:r>
      <w:r w:rsidRPr="005240D4">
        <w:rPr>
          <w:b/>
          <w:bCs/>
        </w:rPr>
        <w:t xml:space="preserve"> </w:t>
      </w:r>
      <w:r w:rsidRPr="005240D4">
        <w:rPr>
          <w:b/>
          <w:bCs/>
          <w:rtl/>
        </w:rPr>
        <w:t>אחת</w:t>
      </w:r>
      <w:r w:rsidRPr="005240D4">
        <w:rPr>
          <w:b/>
          <w:bCs/>
        </w:rPr>
        <w:t xml:space="preserve"> </w:t>
      </w:r>
      <w:r w:rsidRPr="005240D4">
        <w:rPr>
          <w:b/>
          <w:bCs/>
          <w:rtl/>
        </w:rPr>
        <w:t>מחוליות</w:t>
      </w:r>
      <w:r w:rsidRPr="005240D4">
        <w:rPr>
          <w:b/>
          <w:bCs/>
        </w:rPr>
        <w:t xml:space="preserve"> </w:t>
      </w:r>
      <w:r w:rsidRPr="005240D4">
        <w:rPr>
          <w:b/>
          <w:bCs/>
          <w:rtl/>
        </w:rPr>
        <w:t>הפצת</w:t>
      </w:r>
      <w:r w:rsidRPr="005240D4">
        <w:rPr>
          <w:b/>
          <w:bCs/>
        </w:rPr>
        <w:t xml:space="preserve"> </w:t>
      </w:r>
      <w:r w:rsidRPr="005240D4">
        <w:rPr>
          <w:b/>
          <w:bCs/>
          <w:rtl/>
        </w:rPr>
        <w:t>הס</w:t>
      </w:r>
      <w:r>
        <w:rPr>
          <w:rFonts w:hint="cs"/>
          <w:b/>
          <w:bCs/>
          <w:rtl/>
        </w:rPr>
        <w:t xml:space="preserve">ם', </w:t>
      </w:r>
      <w:r w:rsidRPr="005240D4">
        <w:rPr>
          <w:b/>
          <w:bCs/>
          <w:rtl/>
        </w:rPr>
        <w:t>גם</w:t>
      </w:r>
      <w:r w:rsidRPr="005240D4">
        <w:rPr>
          <w:b/>
          <w:bCs/>
        </w:rPr>
        <w:t xml:space="preserve"> </w:t>
      </w:r>
      <w:r w:rsidRPr="005240D4">
        <w:rPr>
          <w:b/>
          <w:bCs/>
          <w:rtl/>
        </w:rPr>
        <w:t>כאשר</w:t>
      </w:r>
      <w:r w:rsidRPr="005240D4">
        <w:rPr>
          <w:b/>
          <w:bCs/>
        </w:rPr>
        <w:t xml:space="preserve"> </w:t>
      </w:r>
      <w:r w:rsidRPr="005240D4">
        <w:rPr>
          <w:b/>
          <w:bCs/>
          <w:rtl/>
        </w:rPr>
        <w:t>מדובר</w:t>
      </w:r>
      <w:r w:rsidRPr="005240D4">
        <w:rPr>
          <w:b/>
          <w:bCs/>
        </w:rPr>
        <w:t xml:space="preserve"> </w:t>
      </w:r>
      <w:r w:rsidRPr="005240D4">
        <w:rPr>
          <w:b/>
          <w:bCs/>
          <w:rtl/>
        </w:rPr>
        <w:t>בשותף</w:t>
      </w:r>
      <w:r w:rsidRPr="005240D4">
        <w:rPr>
          <w:b/>
          <w:bCs/>
        </w:rPr>
        <w:t xml:space="preserve"> </w:t>
      </w:r>
      <w:r w:rsidRPr="005240D4">
        <w:rPr>
          <w:b/>
          <w:bCs/>
          <w:rtl/>
        </w:rPr>
        <w:t>זוטר</w:t>
      </w:r>
      <w:r w:rsidRPr="005240D4">
        <w:rPr>
          <w:b/>
          <w:bCs/>
        </w:rPr>
        <w:t xml:space="preserve"> </w:t>
      </w:r>
      <w:r w:rsidRPr="005240D4">
        <w:rPr>
          <w:b/>
          <w:bCs/>
          <w:rtl/>
        </w:rPr>
        <w:t>בלב</w:t>
      </w:r>
      <w:r>
        <w:rPr>
          <w:rFonts w:hint="cs"/>
          <w:b/>
          <w:bCs/>
          <w:rtl/>
        </w:rPr>
        <w:t>ד...</w:t>
      </w:r>
      <w:r w:rsidRPr="005240D4">
        <w:rPr>
          <w:b/>
          <w:bCs/>
          <w:rtl/>
        </w:rPr>
        <w:t>בנסיבות</w:t>
      </w:r>
      <w:r w:rsidRPr="005240D4">
        <w:rPr>
          <w:b/>
          <w:bCs/>
        </w:rPr>
        <w:t xml:space="preserve"> </w:t>
      </w:r>
      <w:r w:rsidRPr="005240D4">
        <w:rPr>
          <w:b/>
          <w:bCs/>
          <w:rtl/>
        </w:rPr>
        <w:t>אל</w:t>
      </w:r>
      <w:r>
        <w:rPr>
          <w:rFonts w:hint="cs"/>
          <w:b/>
          <w:bCs/>
          <w:rtl/>
        </w:rPr>
        <w:t xml:space="preserve">ו, </w:t>
      </w:r>
      <w:r w:rsidRPr="005240D4">
        <w:rPr>
          <w:b/>
          <w:bCs/>
        </w:rPr>
        <w:t xml:space="preserve"> </w:t>
      </w:r>
      <w:r>
        <w:rPr>
          <w:rFonts w:hint="cs"/>
          <w:b/>
          <w:bCs/>
          <w:rtl/>
        </w:rPr>
        <w:t>א</w:t>
      </w:r>
      <w:r w:rsidRPr="005240D4">
        <w:rPr>
          <w:b/>
          <w:bCs/>
          <w:rtl/>
        </w:rPr>
        <w:t>ינני</w:t>
      </w:r>
      <w:r w:rsidRPr="005240D4">
        <w:rPr>
          <w:b/>
          <w:bCs/>
        </w:rPr>
        <w:t xml:space="preserve"> </w:t>
      </w:r>
      <w:r w:rsidRPr="005240D4">
        <w:rPr>
          <w:b/>
          <w:bCs/>
          <w:rtl/>
        </w:rPr>
        <w:t>סבור</w:t>
      </w:r>
      <w:r w:rsidRPr="005240D4">
        <w:rPr>
          <w:b/>
          <w:bCs/>
        </w:rPr>
        <w:t xml:space="preserve"> </w:t>
      </w:r>
      <w:r w:rsidRPr="005240D4">
        <w:rPr>
          <w:b/>
          <w:bCs/>
          <w:rtl/>
        </w:rPr>
        <w:t>כי</w:t>
      </w:r>
      <w:r w:rsidRPr="005240D4">
        <w:rPr>
          <w:b/>
          <w:bCs/>
        </w:rPr>
        <w:t xml:space="preserve"> </w:t>
      </w:r>
      <w:r w:rsidRPr="005240D4">
        <w:rPr>
          <w:b/>
          <w:bCs/>
          <w:rtl/>
        </w:rPr>
        <w:t>מתקיים</w:t>
      </w:r>
      <w:r w:rsidRPr="005240D4">
        <w:rPr>
          <w:b/>
          <w:bCs/>
        </w:rPr>
        <w:t xml:space="preserve"> </w:t>
      </w:r>
      <w:r w:rsidRPr="005240D4">
        <w:rPr>
          <w:b/>
          <w:bCs/>
          <w:rtl/>
        </w:rPr>
        <w:t>התנאי</w:t>
      </w:r>
      <w:r w:rsidRPr="005240D4">
        <w:rPr>
          <w:b/>
          <w:bCs/>
        </w:rPr>
        <w:t xml:space="preserve"> </w:t>
      </w:r>
      <w:r w:rsidRPr="005240D4">
        <w:rPr>
          <w:b/>
          <w:bCs/>
          <w:rtl/>
        </w:rPr>
        <w:t>הראשון</w:t>
      </w:r>
      <w:r w:rsidRPr="005240D4">
        <w:rPr>
          <w:b/>
          <w:bCs/>
        </w:rPr>
        <w:t xml:space="preserve"> </w:t>
      </w:r>
      <w:r w:rsidRPr="005240D4">
        <w:rPr>
          <w:b/>
          <w:bCs/>
          <w:rtl/>
        </w:rPr>
        <w:t>המאפשר</w:t>
      </w:r>
      <w:r w:rsidRPr="005240D4">
        <w:rPr>
          <w:b/>
          <w:bCs/>
        </w:rPr>
        <w:t xml:space="preserve"> </w:t>
      </w:r>
      <w:r w:rsidRPr="005240D4">
        <w:rPr>
          <w:b/>
          <w:bCs/>
          <w:rtl/>
        </w:rPr>
        <w:t>להימנע</w:t>
      </w:r>
      <w:r w:rsidRPr="005240D4">
        <w:rPr>
          <w:b/>
          <w:bCs/>
        </w:rPr>
        <w:t xml:space="preserve"> </w:t>
      </w:r>
      <w:r w:rsidRPr="005240D4">
        <w:rPr>
          <w:b/>
          <w:bCs/>
          <w:rtl/>
        </w:rPr>
        <w:t>מהרשע</w:t>
      </w:r>
      <w:r>
        <w:rPr>
          <w:rFonts w:hint="cs"/>
          <w:b/>
          <w:bCs/>
          <w:rtl/>
        </w:rPr>
        <w:t xml:space="preserve">ה, </w:t>
      </w:r>
      <w:r w:rsidRPr="005240D4">
        <w:rPr>
          <w:b/>
          <w:bCs/>
          <w:rtl/>
        </w:rPr>
        <w:t>ולפיכך</w:t>
      </w:r>
      <w:r w:rsidRPr="005240D4">
        <w:rPr>
          <w:b/>
          <w:bCs/>
        </w:rPr>
        <w:t xml:space="preserve"> </w:t>
      </w:r>
      <w:r w:rsidRPr="005240D4">
        <w:rPr>
          <w:b/>
          <w:bCs/>
          <w:rtl/>
        </w:rPr>
        <w:t>המקרה</w:t>
      </w:r>
      <w:r w:rsidRPr="005240D4">
        <w:rPr>
          <w:b/>
          <w:bCs/>
        </w:rPr>
        <w:t xml:space="preserve"> </w:t>
      </w:r>
      <w:r w:rsidRPr="005240D4">
        <w:rPr>
          <w:b/>
          <w:bCs/>
          <w:rtl/>
        </w:rPr>
        <w:t>דנן</w:t>
      </w:r>
      <w:r w:rsidRPr="005240D4">
        <w:rPr>
          <w:b/>
          <w:bCs/>
        </w:rPr>
        <w:t xml:space="preserve"> </w:t>
      </w:r>
      <w:r w:rsidRPr="005240D4">
        <w:rPr>
          <w:b/>
          <w:bCs/>
          <w:rtl/>
        </w:rPr>
        <w:t>אינו</w:t>
      </w:r>
      <w:r w:rsidRPr="005240D4">
        <w:rPr>
          <w:b/>
          <w:bCs/>
        </w:rPr>
        <w:t xml:space="preserve"> </w:t>
      </w:r>
      <w:r w:rsidRPr="005240D4">
        <w:rPr>
          <w:b/>
          <w:bCs/>
          <w:rtl/>
        </w:rPr>
        <w:t>נמנה</w:t>
      </w:r>
      <w:r w:rsidRPr="005240D4">
        <w:rPr>
          <w:b/>
          <w:bCs/>
        </w:rPr>
        <w:t xml:space="preserve"> </w:t>
      </w:r>
      <w:r w:rsidRPr="005240D4">
        <w:rPr>
          <w:b/>
          <w:bCs/>
          <w:rtl/>
        </w:rPr>
        <w:t>על</w:t>
      </w:r>
      <w:r w:rsidRPr="005240D4">
        <w:rPr>
          <w:b/>
          <w:bCs/>
        </w:rPr>
        <w:t xml:space="preserve"> </w:t>
      </w:r>
      <w:r w:rsidRPr="005240D4">
        <w:rPr>
          <w:b/>
          <w:bCs/>
          <w:rtl/>
        </w:rPr>
        <w:t>המקרים</w:t>
      </w:r>
      <w:r w:rsidRPr="005240D4">
        <w:rPr>
          <w:b/>
          <w:bCs/>
        </w:rPr>
        <w:t xml:space="preserve"> </w:t>
      </w:r>
      <w:r w:rsidRPr="005240D4">
        <w:rPr>
          <w:b/>
          <w:bCs/>
          <w:rtl/>
        </w:rPr>
        <w:t>החריגים</w:t>
      </w:r>
      <w:r w:rsidRPr="005240D4">
        <w:rPr>
          <w:b/>
          <w:bCs/>
        </w:rPr>
        <w:t xml:space="preserve"> </w:t>
      </w:r>
      <w:r w:rsidRPr="005240D4">
        <w:rPr>
          <w:b/>
          <w:bCs/>
          <w:rtl/>
        </w:rPr>
        <w:t>המאפשרים</w:t>
      </w:r>
      <w:r w:rsidRPr="005240D4">
        <w:rPr>
          <w:b/>
          <w:bCs/>
        </w:rPr>
        <w:t xml:space="preserve"> </w:t>
      </w:r>
      <w:r w:rsidRPr="005240D4">
        <w:rPr>
          <w:b/>
          <w:bCs/>
          <w:rtl/>
        </w:rPr>
        <w:t>להגיע</w:t>
      </w:r>
      <w:r w:rsidRPr="005240D4">
        <w:rPr>
          <w:b/>
          <w:bCs/>
        </w:rPr>
        <w:t xml:space="preserve"> </w:t>
      </w:r>
      <w:r w:rsidRPr="005240D4">
        <w:rPr>
          <w:b/>
          <w:bCs/>
          <w:rtl/>
        </w:rPr>
        <w:t>לתוצאה</w:t>
      </w:r>
      <w:r w:rsidRPr="005240D4">
        <w:rPr>
          <w:b/>
          <w:bCs/>
        </w:rPr>
        <w:t xml:space="preserve"> </w:t>
      </w:r>
      <w:r w:rsidRPr="005240D4">
        <w:rPr>
          <w:b/>
          <w:bCs/>
          <w:rtl/>
        </w:rPr>
        <w:t>ז</w:t>
      </w:r>
      <w:r w:rsidRPr="009F2B7F">
        <w:rPr>
          <w:rFonts w:hint="cs"/>
          <w:b/>
          <w:bCs/>
          <w:rtl/>
        </w:rPr>
        <w:t>ו</w:t>
      </w:r>
      <w:r>
        <w:rPr>
          <w:rFonts w:hint="cs"/>
          <w:rtl/>
        </w:rPr>
        <w:t>" (</w:t>
      </w:r>
      <w:hyperlink r:id="rId11" w:history="1">
        <w:r w:rsidR="0032392E" w:rsidRPr="0032392E">
          <w:rPr>
            <w:color w:val="0000FF"/>
            <w:u w:val="single"/>
            <w:rtl/>
          </w:rPr>
          <w:t>רע"פ 1623/14</w:t>
        </w:r>
      </w:hyperlink>
      <w:r>
        <w:rPr>
          <w:rFonts w:hint="cs"/>
          <w:rtl/>
        </w:rPr>
        <w:t xml:space="preserve"> </w:t>
      </w:r>
      <w:r w:rsidRPr="005240D4">
        <w:rPr>
          <w:b/>
          <w:bCs/>
          <w:rtl/>
        </w:rPr>
        <w:t>סיראג</w:t>
      </w:r>
      <w:r w:rsidRPr="005240D4">
        <w:rPr>
          <w:b/>
          <w:bCs/>
        </w:rPr>
        <w:t xml:space="preserve"> </w:t>
      </w:r>
      <w:r w:rsidRPr="005240D4">
        <w:rPr>
          <w:b/>
          <w:bCs/>
          <w:rtl/>
        </w:rPr>
        <w:t>גבארה</w:t>
      </w:r>
      <w:r>
        <w:rPr>
          <w:rFonts w:hint="cs"/>
          <w:rtl/>
        </w:rPr>
        <w:t xml:space="preserve"> </w:t>
      </w:r>
      <w:r w:rsidRPr="009F2B7F">
        <w:rPr>
          <w:rFonts w:hint="cs"/>
          <w:b/>
          <w:bCs/>
          <w:rtl/>
        </w:rPr>
        <w:t>נ'</w:t>
      </w:r>
      <w:r w:rsidRPr="005240D4">
        <w:rPr>
          <w:b/>
          <w:bCs/>
        </w:rPr>
        <w:t xml:space="preserve"> </w:t>
      </w:r>
      <w:r w:rsidRPr="005240D4">
        <w:rPr>
          <w:b/>
          <w:bCs/>
          <w:rtl/>
        </w:rPr>
        <w:t>מדינת</w:t>
      </w:r>
      <w:r w:rsidRPr="005240D4">
        <w:rPr>
          <w:b/>
          <w:bCs/>
        </w:rPr>
        <w:t xml:space="preserve"> </w:t>
      </w:r>
      <w:r w:rsidRPr="005240D4">
        <w:rPr>
          <w:b/>
          <w:bCs/>
          <w:rtl/>
        </w:rPr>
        <w:t>ישרא</w:t>
      </w:r>
      <w:r>
        <w:rPr>
          <w:rFonts w:hint="cs"/>
          <w:b/>
          <w:bCs/>
          <w:rtl/>
        </w:rPr>
        <w:t xml:space="preserve">ל, </w:t>
      </w:r>
      <w:r>
        <w:rPr>
          <w:rFonts w:hint="cs"/>
          <w:rtl/>
        </w:rPr>
        <w:t>(1.04.2014).</w:t>
      </w:r>
    </w:p>
    <w:p w14:paraId="478D1955" w14:textId="77777777" w:rsidR="000A3418" w:rsidRDefault="000A3418" w:rsidP="000A3418">
      <w:pPr>
        <w:autoSpaceDE w:val="0"/>
        <w:autoSpaceDN w:val="0"/>
        <w:adjustRightInd w:val="0"/>
        <w:spacing w:before="100" w:after="100"/>
        <w:ind w:left="720"/>
        <w:jc w:val="both"/>
        <w:rPr>
          <w:rtl/>
        </w:rPr>
      </w:pPr>
      <w:r>
        <w:rPr>
          <w:rFonts w:hint="cs"/>
          <w:rtl/>
        </w:rPr>
        <w:t xml:space="preserve"> </w:t>
      </w:r>
    </w:p>
    <w:p w14:paraId="0B11B8E9" w14:textId="77777777" w:rsidR="000A3418" w:rsidRDefault="000A3418" w:rsidP="000A3418">
      <w:pPr>
        <w:autoSpaceDE w:val="0"/>
        <w:autoSpaceDN w:val="0"/>
        <w:adjustRightInd w:val="0"/>
        <w:spacing w:before="100" w:after="100"/>
        <w:ind w:left="720"/>
        <w:jc w:val="both"/>
        <w:rPr>
          <w:rtl/>
        </w:rPr>
      </w:pPr>
      <w:r>
        <w:rPr>
          <w:rFonts w:hint="cs"/>
          <w:rtl/>
        </w:rPr>
        <w:t xml:space="preserve">במקרה אחר, בו הורשע הנאשם בשני מקרי תיווך לסחר בסם, בהיקף נמוך, נקבע: </w:t>
      </w:r>
    </w:p>
    <w:p w14:paraId="41EF6CC1" w14:textId="77777777" w:rsidR="000A3418" w:rsidRDefault="000A3418" w:rsidP="000A3418">
      <w:pPr>
        <w:autoSpaceDE w:val="0"/>
        <w:autoSpaceDN w:val="0"/>
        <w:adjustRightInd w:val="0"/>
        <w:spacing w:before="100" w:after="100"/>
        <w:ind w:left="1417" w:right="1134"/>
        <w:jc w:val="both"/>
        <w:rPr>
          <w:rtl/>
        </w:rPr>
      </w:pPr>
      <w:r>
        <w:rPr>
          <w:rFonts w:hint="cs"/>
          <w:rtl/>
        </w:rPr>
        <w:t>"</w:t>
      </w:r>
      <w:r>
        <w:rPr>
          <w:rFonts w:hint="cs"/>
          <w:b/>
          <w:bCs/>
          <w:rtl/>
        </w:rPr>
        <w:t>לדידי רק בנסיבות חריגות שבחריגות, אם בכלל, יתערב בית המשפט בכגון דא בהרשעה</w:t>
      </w:r>
      <w:r>
        <w:rPr>
          <w:rFonts w:hint="cs"/>
          <w:rtl/>
        </w:rPr>
        <w:t xml:space="preserve">" </w:t>
      </w:r>
      <w:r>
        <w:rPr>
          <w:rtl/>
        </w:rPr>
        <w:tab/>
      </w:r>
      <w:r>
        <w:rPr>
          <w:rtl/>
        </w:rPr>
        <w:tab/>
      </w:r>
      <w:r>
        <w:rPr>
          <w:rtl/>
        </w:rPr>
        <w:tab/>
      </w:r>
      <w:r>
        <w:rPr>
          <w:rtl/>
        </w:rPr>
        <w:tab/>
      </w:r>
      <w:r>
        <w:rPr>
          <w:rtl/>
        </w:rPr>
        <w:tab/>
      </w:r>
      <w:r>
        <w:rPr>
          <w:rFonts w:hint="cs"/>
          <w:rtl/>
        </w:rPr>
        <w:t xml:space="preserve">              (</w:t>
      </w:r>
      <w:hyperlink r:id="rId12" w:history="1">
        <w:r w:rsidR="0032392E" w:rsidRPr="0032392E">
          <w:rPr>
            <w:color w:val="0000FF"/>
            <w:u w:val="single"/>
            <w:rtl/>
          </w:rPr>
          <w:t>רע"פ 2657/12</w:t>
        </w:r>
      </w:hyperlink>
      <w:r>
        <w:rPr>
          <w:rFonts w:hint="cs"/>
          <w:rtl/>
        </w:rPr>
        <w:t xml:space="preserve"> </w:t>
      </w:r>
      <w:r>
        <w:rPr>
          <w:rFonts w:hint="cs"/>
          <w:b/>
          <w:bCs/>
          <w:rtl/>
        </w:rPr>
        <w:t xml:space="preserve">חוסאם שואהנה נ' מדינת ישראל </w:t>
      </w:r>
      <w:r>
        <w:rPr>
          <w:rFonts w:hint="cs"/>
          <w:rtl/>
        </w:rPr>
        <w:t>(23.05.2012) (להלן: "ענין שואהנה").</w:t>
      </w:r>
    </w:p>
    <w:p w14:paraId="192C051A" w14:textId="77777777" w:rsidR="000A3418" w:rsidRDefault="000A3418" w:rsidP="000A3418">
      <w:pPr>
        <w:autoSpaceDE w:val="0"/>
        <w:autoSpaceDN w:val="0"/>
        <w:adjustRightInd w:val="0"/>
        <w:spacing w:before="100" w:after="100" w:line="360" w:lineRule="auto"/>
        <w:ind w:left="720"/>
        <w:jc w:val="both"/>
        <w:rPr>
          <w:rtl/>
        </w:rPr>
      </w:pPr>
    </w:p>
    <w:p w14:paraId="48CC79E1" w14:textId="77777777" w:rsidR="000A3418" w:rsidRDefault="000A3418" w:rsidP="000A3418">
      <w:pPr>
        <w:autoSpaceDE w:val="0"/>
        <w:autoSpaceDN w:val="0"/>
        <w:adjustRightInd w:val="0"/>
        <w:spacing w:before="100" w:after="100" w:line="360" w:lineRule="auto"/>
        <w:ind w:left="720"/>
        <w:jc w:val="both"/>
        <w:rPr>
          <w:rtl/>
        </w:rPr>
      </w:pPr>
      <w:r>
        <w:rPr>
          <w:rFonts w:hint="cs"/>
          <w:rtl/>
        </w:rPr>
        <w:t xml:space="preserve">מקרה נוסף, התייחס לכתב אישום בו יוחסו שני אישומים, האחד בגין עבירת "עסקה אחרת" בה סיכם הנאשם עם אחר על מכירת סם, והשני בגין נסיון סחר בסם אשר </w:t>
      </w:r>
      <w:bookmarkStart w:id="9" w:name="Seif8"/>
      <w:r>
        <w:rPr>
          <w:rFonts w:hint="cs"/>
          <w:rtl/>
        </w:rPr>
        <w:t xml:space="preserve">כלל אף </w:t>
      </w:r>
      <w:bookmarkEnd w:id="9"/>
      <w:r>
        <w:rPr>
          <w:rFonts w:hint="cs"/>
          <w:rtl/>
        </w:rPr>
        <w:t xml:space="preserve">הוא סיכום ותיאום בלבד למכירת הסם. בשני המקרים מדובר היה בכמויות קטנות ובתמורה נמוכה. בית המשפט העליון קבע כך: </w:t>
      </w:r>
    </w:p>
    <w:p w14:paraId="676C98DC" w14:textId="77777777" w:rsidR="000A3418" w:rsidRDefault="000A3418" w:rsidP="000A3418">
      <w:pPr>
        <w:autoSpaceDE w:val="0"/>
        <w:autoSpaceDN w:val="0"/>
        <w:adjustRightInd w:val="0"/>
        <w:spacing w:before="100" w:after="100"/>
        <w:ind w:left="1417" w:right="1134"/>
        <w:jc w:val="both"/>
        <w:rPr>
          <w:rtl/>
        </w:rPr>
      </w:pPr>
      <w:r>
        <w:rPr>
          <w:rFonts w:ascii="FrankRuehl" w:hAnsi="FrankRuehl" w:hint="cs"/>
          <w:rtl/>
        </w:rPr>
        <w:t>"</w:t>
      </w:r>
      <w:r w:rsidRPr="00B4715E">
        <w:rPr>
          <w:rFonts w:ascii="FrankRuehl" w:hAnsi="FrankRuehl"/>
          <w:b/>
          <w:bCs/>
          <w:rtl/>
        </w:rPr>
        <w:t>אשר לתנאי העיקרי, לפיו יש לבחון האם סוג העבירה מאפשר להימנע מהרשעתו של הנאשם, סבורני כי, בעניינו של המבקש, לא ניתן לסיים את ההליך בלא הרשעה, עקב הפגיעה באינטרס הציבורי, שעיקרו כפי שציין בית משפט השלום, צורכי הרתעת הרבים</w:t>
      </w:r>
      <w:r>
        <w:rPr>
          <w:rFonts w:ascii="FrankRuehl" w:hAnsi="FrankRuehl" w:hint="cs"/>
          <w:b/>
          <w:bCs/>
          <w:rtl/>
        </w:rPr>
        <w:t>"</w:t>
      </w:r>
      <w:r>
        <w:rPr>
          <w:rFonts w:ascii="FrankRuehl" w:hAnsi="FrankRuehl" w:hint="cs"/>
          <w:rtl/>
        </w:rPr>
        <w:t xml:space="preserve"> </w:t>
      </w:r>
      <w:r>
        <w:rPr>
          <w:rFonts w:ascii="FrankRuehl" w:hAnsi="FrankRuehl"/>
          <w:rtl/>
        </w:rPr>
        <w:tab/>
      </w:r>
      <w:r>
        <w:rPr>
          <w:rFonts w:ascii="FrankRuehl" w:hAnsi="FrankRuehl" w:hint="cs"/>
          <w:rtl/>
        </w:rPr>
        <w:t>(</w:t>
      </w:r>
      <w:hyperlink r:id="rId13" w:history="1">
        <w:r w:rsidR="0032392E" w:rsidRPr="0032392E">
          <w:rPr>
            <w:rFonts w:ascii="FrankRuehl" w:hAnsi="FrankRuehl"/>
            <w:color w:val="0000FF"/>
            <w:u w:val="single"/>
            <w:rtl/>
          </w:rPr>
          <w:t>רע"פ 1183/18</w:t>
        </w:r>
      </w:hyperlink>
      <w:r>
        <w:rPr>
          <w:rFonts w:ascii="FrankRuehl" w:hAnsi="FrankRuehl" w:hint="cs"/>
          <w:rtl/>
        </w:rPr>
        <w:t xml:space="preserve"> </w:t>
      </w:r>
      <w:r>
        <w:rPr>
          <w:rFonts w:ascii="FrankRuehl" w:hAnsi="FrankRuehl" w:hint="cs"/>
          <w:b/>
          <w:bCs/>
          <w:rtl/>
        </w:rPr>
        <w:t xml:space="preserve">דולב ששון נ' מדינת ישראל </w:t>
      </w:r>
      <w:bookmarkStart w:id="10" w:name="Seif2"/>
      <w:r>
        <w:rPr>
          <w:rFonts w:ascii="FrankRuehl" w:hAnsi="FrankRuehl" w:hint="cs"/>
          <w:rtl/>
        </w:rPr>
        <w:t xml:space="preserve">פסקה </w:t>
      </w:r>
      <w:bookmarkEnd w:id="10"/>
      <w:r>
        <w:rPr>
          <w:rFonts w:ascii="FrankRuehl" w:hAnsi="FrankRuehl" w:hint="cs"/>
          <w:rtl/>
        </w:rPr>
        <w:t xml:space="preserve">9, (21.3.2018) (להלן: "ענין ששון"). </w:t>
      </w:r>
    </w:p>
    <w:p w14:paraId="4C310DE2" w14:textId="77777777" w:rsidR="000A3418" w:rsidRDefault="000A3418" w:rsidP="000A3418">
      <w:pPr>
        <w:autoSpaceDE w:val="0"/>
        <w:autoSpaceDN w:val="0"/>
        <w:adjustRightInd w:val="0"/>
        <w:spacing w:before="100" w:after="100"/>
        <w:ind w:left="720"/>
        <w:jc w:val="both"/>
        <w:rPr>
          <w:rtl/>
        </w:rPr>
      </w:pPr>
    </w:p>
    <w:p w14:paraId="10EE6867" w14:textId="77777777" w:rsidR="000A3418" w:rsidRDefault="000A3418" w:rsidP="000A3418">
      <w:pPr>
        <w:autoSpaceDE w:val="0"/>
        <w:autoSpaceDN w:val="0"/>
        <w:adjustRightInd w:val="0"/>
        <w:spacing w:before="100" w:after="100" w:line="360" w:lineRule="auto"/>
        <w:ind w:left="720"/>
        <w:jc w:val="both"/>
        <w:rPr>
          <w:rtl/>
        </w:rPr>
      </w:pPr>
      <w:r>
        <w:rPr>
          <w:rFonts w:hint="cs"/>
          <w:rtl/>
        </w:rPr>
        <w:t>לפיכך, ולאור פגיעת סוג העבירה באינטרס הציבורי, אני דוחה את המלצת שרות המבחן ואת עתירת ב"כ הנאשם לביטול ההרשעה (יצוין, כי בכל המקרים שפורטו לעיל מתוך פסיקת בית המשפט העליון, מדובר היה בהמלצות שרות המבחן לביטול ההרשעה בשל פגיעתה בנאשמים). סוג העבירה במקרה זה מחייב את הרשעת הנאשם.</w:t>
      </w:r>
    </w:p>
    <w:p w14:paraId="2527EDF8" w14:textId="77777777" w:rsidR="000A3418" w:rsidRDefault="000A3418" w:rsidP="000A3418">
      <w:pPr>
        <w:autoSpaceDE w:val="0"/>
        <w:autoSpaceDN w:val="0"/>
        <w:adjustRightInd w:val="0"/>
        <w:spacing w:before="100" w:after="100" w:line="360" w:lineRule="auto"/>
        <w:ind w:left="720"/>
        <w:jc w:val="both"/>
        <w:rPr>
          <w:rtl/>
        </w:rPr>
      </w:pPr>
    </w:p>
    <w:p w14:paraId="07E0FF91" w14:textId="77777777" w:rsidR="000A3418" w:rsidRDefault="000A3418" w:rsidP="000A3418">
      <w:pPr>
        <w:autoSpaceDE w:val="0"/>
        <w:autoSpaceDN w:val="0"/>
        <w:adjustRightInd w:val="0"/>
        <w:spacing w:before="100" w:after="100" w:line="360" w:lineRule="auto"/>
        <w:ind w:left="720" w:hanging="720"/>
        <w:jc w:val="both"/>
        <w:rPr>
          <w:rtl/>
        </w:rPr>
      </w:pPr>
      <w:r>
        <w:rPr>
          <w:rFonts w:hint="cs"/>
          <w:rtl/>
        </w:rPr>
        <w:t>7.</w:t>
      </w:r>
      <w:r>
        <w:rPr>
          <w:rtl/>
        </w:rPr>
        <w:tab/>
      </w:r>
      <w:r>
        <w:rPr>
          <w:rFonts w:hint="cs"/>
          <w:rtl/>
        </w:rPr>
        <w:t>בבחינת למעלה מהצורך, אתייחס אף למידת הפגיעה בנאשם מעצם הרשעתו. מדובר בנאשם אשר עבד לאורך שנים בעבודות שונות: החל ממציל, דרך מאבטח, ניהול מסעדה ושיפוצים, כמפורט בתסקיר. במשך כשלוש שנים, עד לפני כשנה, עבד הנאשם כמנהל ייצור בחברה לה קשרים עם חברות בטחוניות. בהתאם לאישור שצורף (טנ/1), אותה חברה תשקול את החזרת הנאשם לעבודה ככל שיבוטלו כנגדו ההליכים המשפטיים ויתאפשר לו לעבוד עם חברות בטחוניות. הנאשם טען, כי מאז הו</w:t>
      </w:r>
      <w:bookmarkStart w:id="11" w:name="Seif3"/>
      <w:r>
        <w:rPr>
          <w:rFonts w:hint="cs"/>
          <w:rtl/>
        </w:rPr>
        <w:t xml:space="preserve">פסקה </w:t>
      </w:r>
      <w:bookmarkEnd w:id="11"/>
      <w:r>
        <w:rPr>
          <w:rFonts w:hint="cs"/>
          <w:rtl/>
        </w:rPr>
        <w:t>עבודתו בחברה הוא עובד בעבודות שיפוצים מזדמנות. לא ברור מהמכתב שצורף, האם סיום הליך זה באי הרשעת הנאשם, מספקת את אותו מעסיק שציין צורך ב"ביטול ההליכים המשפטיים". בנוסף, יש לבחון את מידת הפגיעה בנאשם בהתאם למקצועו, כאשר לא הוצגה כל ראיה כי עצם ההרשעה עלולה לפגוע פגיעה חמורה ביכולת הנאשם למצוא עבודה במסגרת מקצוע כלשהו. עבודה בכל אחד מתחומי עיסוקיו של הנאשם עד כה, אינה מחייבת עבודה בחברה לה קשרי עבודה ענפים עם גופים בטחוניים.</w:t>
      </w:r>
    </w:p>
    <w:p w14:paraId="5DB90131" w14:textId="77777777" w:rsidR="000A3418" w:rsidRDefault="000A3418" w:rsidP="000A3418">
      <w:pPr>
        <w:autoSpaceDE w:val="0"/>
        <w:autoSpaceDN w:val="0"/>
        <w:adjustRightInd w:val="0"/>
        <w:spacing w:before="100" w:after="100" w:line="360" w:lineRule="auto"/>
        <w:ind w:left="720" w:hanging="720"/>
        <w:jc w:val="both"/>
        <w:rPr>
          <w:rtl/>
        </w:rPr>
      </w:pPr>
      <w:r>
        <w:rPr>
          <w:rtl/>
        </w:rPr>
        <w:tab/>
      </w:r>
      <w:r>
        <w:rPr>
          <w:rFonts w:hint="cs"/>
          <w:rtl/>
        </w:rPr>
        <w:t xml:space="preserve">לאור כל האמור לעיל, אני קובע כי הרשעת הנאשם תיוותר על כנה. </w:t>
      </w:r>
    </w:p>
    <w:p w14:paraId="1D6F9263" w14:textId="77777777" w:rsidR="000A3418" w:rsidRDefault="000A3418" w:rsidP="000A3418">
      <w:pPr>
        <w:autoSpaceDE w:val="0"/>
        <w:autoSpaceDN w:val="0"/>
        <w:adjustRightInd w:val="0"/>
        <w:spacing w:before="100" w:after="100" w:line="360" w:lineRule="auto"/>
        <w:ind w:left="720" w:hanging="720"/>
        <w:jc w:val="both"/>
        <w:rPr>
          <w:rtl/>
        </w:rPr>
      </w:pPr>
    </w:p>
    <w:p w14:paraId="5C4FB4C8" w14:textId="77777777" w:rsidR="000A3418" w:rsidRPr="00A404B0" w:rsidRDefault="000A3418" w:rsidP="000A3418">
      <w:pPr>
        <w:autoSpaceDE w:val="0"/>
        <w:autoSpaceDN w:val="0"/>
        <w:adjustRightInd w:val="0"/>
        <w:spacing w:before="100" w:after="100" w:line="360" w:lineRule="auto"/>
        <w:ind w:left="720" w:hanging="720"/>
        <w:jc w:val="both"/>
        <w:rPr>
          <w:u w:val="single"/>
          <w:rtl/>
        </w:rPr>
      </w:pPr>
      <w:r w:rsidRPr="00A404B0">
        <w:rPr>
          <w:rFonts w:hint="cs"/>
          <w:u w:val="single"/>
          <w:rtl/>
        </w:rPr>
        <w:t xml:space="preserve">מתחם הענישה </w:t>
      </w:r>
    </w:p>
    <w:p w14:paraId="78D74E2B" w14:textId="77777777" w:rsidR="000A3418" w:rsidRDefault="000A3418" w:rsidP="000A3418">
      <w:pPr>
        <w:spacing w:line="360" w:lineRule="auto"/>
        <w:ind w:left="720" w:hanging="720"/>
        <w:jc w:val="both"/>
        <w:rPr>
          <w:rtl/>
        </w:rPr>
      </w:pPr>
      <w:r>
        <w:rPr>
          <w:rFonts w:hint="cs"/>
          <w:rtl/>
        </w:rPr>
        <w:t>8.</w:t>
      </w:r>
      <w:r>
        <w:rPr>
          <w:rFonts w:hint="cs"/>
          <w:rtl/>
        </w:rPr>
        <w:tab/>
        <w:t xml:space="preserve">הערכים המוגנים בעבירה בה הורשע הנאשם והצורך שנקבע בפסיקת בית המשפט העליון במלחמה במפיצי הסם, פורטו לעיל. אף המחוקק ראה מקום להחמיר בענישה וקבע לצד העבירה עונש מרבי של 20 שנות מאסר. </w:t>
      </w:r>
    </w:p>
    <w:p w14:paraId="76DECEF0" w14:textId="77777777" w:rsidR="000A3418" w:rsidRDefault="000A3418" w:rsidP="000A3418">
      <w:pPr>
        <w:spacing w:line="360" w:lineRule="auto"/>
        <w:ind w:left="720"/>
        <w:jc w:val="both"/>
        <w:rPr>
          <w:rFonts w:ascii="Calibri" w:hAnsi="Calibri"/>
          <w:rtl/>
        </w:rPr>
      </w:pPr>
      <w:r>
        <w:rPr>
          <w:rFonts w:hint="cs"/>
          <w:rtl/>
        </w:rPr>
        <w:t xml:space="preserve">במקרה זה, בהתאם לעתירת המאשימה, אני מוצא כי נסיבות המקרה עונות על מבחן הקשר ההדוק, זאת לנוכח </w:t>
      </w:r>
      <w:bookmarkStart w:id="12" w:name="Seif6"/>
      <w:r>
        <w:rPr>
          <w:rFonts w:hint="cs"/>
          <w:rtl/>
        </w:rPr>
        <w:t xml:space="preserve">פרק הזמן </w:t>
      </w:r>
      <w:bookmarkEnd w:id="12"/>
      <w:r>
        <w:rPr>
          <w:rFonts w:hint="cs"/>
          <w:rtl/>
        </w:rPr>
        <w:t xml:space="preserve">הקצר בו בוצעו שני המקרים, כלפי אותו רוכש סם, וביחס לאותו סוג סם. מדובר באותה "מסכת עבריינית" אותה יש לבחון במסגרת קביעת מתחם ענישה אחד (ראו </w:t>
      </w:r>
      <w:hyperlink r:id="rId14" w:history="1">
        <w:r w:rsidR="0032392E" w:rsidRPr="0032392E">
          <w:rPr>
            <w:color w:val="0000FF"/>
            <w:u w:val="single"/>
            <w:rtl/>
          </w:rPr>
          <w:t>ע"פ 3164/14</w:t>
        </w:r>
      </w:hyperlink>
      <w:r>
        <w:rPr>
          <w:rFonts w:hint="cs"/>
          <w:rtl/>
        </w:rPr>
        <w:t xml:space="preserve"> </w:t>
      </w:r>
      <w:r>
        <w:rPr>
          <w:rFonts w:ascii="Calibri" w:hAnsi="Calibri"/>
          <w:b/>
          <w:bCs/>
          <w:rtl/>
        </w:rPr>
        <w:t xml:space="preserve">גיא פן </w:t>
      </w:r>
      <w:r>
        <w:rPr>
          <w:rFonts w:ascii="Calibri" w:hAnsi="Calibri"/>
          <w:rtl/>
        </w:rPr>
        <w:t xml:space="preserve">נ' </w:t>
      </w:r>
      <w:r>
        <w:rPr>
          <w:rFonts w:ascii="Calibri" w:hAnsi="Calibri"/>
          <w:b/>
          <w:bCs/>
          <w:rtl/>
        </w:rPr>
        <w:t xml:space="preserve">מדינת ישראל, </w:t>
      </w:r>
      <w:r>
        <w:rPr>
          <w:rFonts w:ascii="Calibri" w:hAnsi="Calibri"/>
          <w:rtl/>
        </w:rPr>
        <w:t>(29.06.2015)</w:t>
      </w:r>
      <w:r>
        <w:rPr>
          <w:rFonts w:ascii="Calibri" w:hAnsi="Calibri" w:hint="cs"/>
          <w:rtl/>
        </w:rPr>
        <w:t xml:space="preserve">; </w:t>
      </w:r>
      <w:hyperlink r:id="rId15" w:history="1">
        <w:r w:rsidR="0032392E" w:rsidRPr="0032392E">
          <w:rPr>
            <w:rFonts w:ascii="Calibri" w:hAnsi="Calibri" w:hint="eastAsia"/>
            <w:color w:val="0000FF"/>
            <w:u w:val="single"/>
            <w:rtl/>
          </w:rPr>
          <w:t>דנ</w:t>
        </w:r>
        <w:r w:rsidR="0032392E" w:rsidRPr="0032392E">
          <w:rPr>
            <w:rFonts w:ascii="Calibri" w:hAnsi="Calibri"/>
            <w:color w:val="0000FF"/>
            <w:u w:val="single"/>
            <w:rtl/>
          </w:rPr>
          <w:t>"</w:t>
        </w:r>
        <w:r w:rsidR="0032392E" w:rsidRPr="0032392E">
          <w:rPr>
            <w:rFonts w:ascii="Calibri" w:hAnsi="Calibri" w:hint="eastAsia"/>
            <w:color w:val="0000FF"/>
            <w:u w:val="single"/>
            <w:rtl/>
          </w:rPr>
          <w:t>פ</w:t>
        </w:r>
        <w:r w:rsidR="0032392E" w:rsidRPr="0032392E">
          <w:rPr>
            <w:rFonts w:ascii="Calibri" w:hAnsi="Calibri"/>
            <w:color w:val="0000FF"/>
            <w:u w:val="single"/>
            <w:rtl/>
          </w:rPr>
          <w:t xml:space="preserve"> 2999/16</w:t>
        </w:r>
      </w:hyperlink>
      <w:r>
        <w:rPr>
          <w:rFonts w:ascii="Calibri" w:hAnsi="Calibri" w:hint="cs"/>
          <w:rtl/>
        </w:rPr>
        <w:t xml:space="preserve"> </w:t>
      </w:r>
      <w:r>
        <w:rPr>
          <w:rFonts w:ascii="Calibri" w:hAnsi="Calibri"/>
          <w:b/>
          <w:bCs/>
          <w:rtl/>
        </w:rPr>
        <w:t xml:space="preserve">ערן מזרחי </w:t>
      </w:r>
      <w:r>
        <w:rPr>
          <w:rFonts w:ascii="Calibri" w:hAnsi="Calibri"/>
          <w:rtl/>
        </w:rPr>
        <w:t xml:space="preserve">נ' </w:t>
      </w:r>
      <w:r>
        <w:rPr>
          <w:rFonts w:ascii="Calibri" w:hAnsi="Calibri"/>
          <w:b/>
          <w:bCs/>
          <w:rtl/>
        </w:rPr>
        <w:t xml:space="preserve">מדינת ישראל </w:t>
      </w:r>
      <w:r>
        <w:rPr>
          <w:rFonts w:ascii="Calibri" w:hAnsi="Calibri"/>
          <w:rtl/>
        </w:rPr>
        <w:t>(22.5.2016)</w:t>
      </w:r>
      <w:r>
        <w:rPr>
          <w:rFonts w:ascii="Calibri" w:hAnsi="Calibri" w:hint="cs"/>
          <w:rtl/>
        </w:rPr>
        <w:t>)</w:t>
      </w:r>
      <w:r>
        <w:rPr>
          <w:rFonts w:ascii="Calibri" w:hAnsi="Calibri"/>
          <w:rtl/>
        </w:rPr>
        <w:t>.</w:t>
      </w:r>
    </w:p>
    <w:p w14:paraId="5CB5CF30" w14:textId="77777777" w:rsidR="000A3418" w:rsidRDefault="000A3418" w:rsidP="000A3418">
      <w:pPr>
        <w:spacing w:line="360" w:lineRule="auto"/>
        <w:ind w:left="720" w:hanging="720"/>
        <w:jc w:val="both"/>
        <w:rPr>
          <w:rtl/>
        </w:rPr>
      </w:pPr>
      <w:r>
        <w:rPr>
          <w:rFonts w:ascii="Calibri" w:hAnsi="Calibri"/>
          <w:rtl/>
        </w:rPr>
        <w:tab/>
      </w:r>
      <w:r>
        <w:rPr>
          <w:rFonts w:ascii="Calibri" w:hAnsi="Calibri" w:hint="cs"/>
          <w:rtl/>
        </w:rPr>
        <w:t>יש להתחשב בנסיבות המקרה לחומרא בכך שמדובר בשני מקרים שונים, ולקולא יש לשקול כי מדובר בסם מסוג חשיש בכמות שאינה ידועה ובתמורה שאינה ידועה</w:t>
      </w:r>
      <w:r>
        <w:rPr>
          <w:rFonts w:hint="cs"/>
          <w:rtl/>
        </w:rPr>
        <w:t xml:space="preserve">. יחד עם זאת, יש להדגיש: </w:t>
      </w:r>
    </w:p>
    <w:p w14:paraId="45DA43F9" w14:textId="77777777" w:rsidR="000A3418" w:rsidRDefault="000A3418" w:rsidP="000A3418">
      <w:pPr>
        <w:ind w:left="1417" w:right="1134"/>
        <w:jc w:val="both"/>
        <w:rPr>
          <w:rFonts w:ascii="FrankRuehl" w:hAnsi="FrankRuehl"/>
          <w:sz w:val="28"/>
          <w:rtl/>
        </w:rPr>
      </w:pPr>
      <w:r>
        <w:rPr>
          <w:rFonts w:hint="cs"/>
          <w:rtl/>
        </w:rPr>
        <w:t>"</w:t>
      </w:r>
      <w:r w:rsidRPr="00574D2D">
        <w:rPr>
          <w:rFonts w:ascii="FrankRuehl" w:hAnsi="FrankRuehl"/>
          <w:b/>
          <w:bCs/>
          <w:sz w:val="28"/>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Pr>
          <w:rFonts w:ascii="FrankRuehl" w:hAnsi="FrankRuehl" w:hint="cs"/>
          <w:sz w:val="28"/>
          <w:rtl/>
        </w:rPr>
        <w:t xml:space="preserve">" </w:t>
      </w:r>
    </w:p>
    <w:p w14:paraId="616E71A2" w14:textId="77777777" w:rsidR="000A3418" w:rsidRDefault="000A3418" w:rsidP="000A3418">
      <w:pPr>
        <w:ind w:left="1417" w:right="1134"/>
        <w:jc w:val="both"/>
        <w:rPr>
          <w:rFonts w:ascii="FrankRuehl" w:hAnsi="FrankRuehl"/>
          <w:sz w:val="28"/>
          <w:rtl/>
        </w:rPr>
      </w:pPr>
      <w:r>
        <w:rPr>
          <w:rFonts w:ascii="FrankRuehl" w:hAnsi="FrankRuehl" w:hint="cs"/>
          <w:sz w:val="28"/>
          <w:rtl/>
        </w:rPr>
        <w:t>(</w:t>
      </w:r>
      <w:hyperlink r:id="rId16" w:history="1">
        <w:r w:rsidR="0032392E" w:rsidRPr="0032392E">
          <w:rPr>
            <w:rFonts w:ascii="FrankRuehl" w:hAnsi="FrankRuehl"/>
            <w:color w:val="0000FF"/>
            <w:sz w:val="28"/>
            <w:u w:val="single"/>
            <w:rtl/>
          </w:rPr>
          <w:t>רע"פ 7996/12</w:t>
        </w:r>
      </w:hyperlink>
      <w:r>
        <w:rPr>
          <w:rFonts w:ascii="FrankRuehl" w:hAnsi="FrankRuehl" w:hint="cs"/>
          <w:sz w:val="28"/>
          <w:rtl/>
        </w:rPr>
        <w:t xml:space="preserve"> </w:t>
      </w:r>
      <w:r>
        <w:rPr>
          <w:rFonts w:ascii="FrankRuehl" w:hAnsi="FrankRuehl" w:hint="cs"/>
          <w:b/>
          <w:bCs/>
          <w:sz w:val="28"/>
          <w:rtl/>
        </w:rPr>
        <w:t xml:space="preserve">אליהו יוסף נ' מדינת ישראל </w:t>
      </w:r>
      <w:r>
        <w:rPr>
          <w:rFonts w:ascii="FrankRuehl" w:hAnsi="FrankRuehl" w:hint="cs"/>
          <w:sz w:val="28"/>
          <w:rtl/>
        </w:rPr>
        <w:t xml:space="preserve">(23.1.2013). </w:t>
      </w:r>
    </w:p>
    <w:p w14:paraId="650A4D4F" w14:textId="77777777" w:rsidR="000A3418" w:rsidRDefault="000A3418" w:rsidP="000A3418">
      <w:pPr>
        <w:spacing w:line="360" w:lineRule="auto"/>
        <w:ind w:left="720"/>
        <w:jc w:val="both"/>
        <w:rPr>
          <w:rFonts w:ascii="FrankRuehl" w:hAnsi="FrankRuehl"/>
          <w:sz w:val="28"/>
          <w:rtl/>
        </w:rPr>
      </w:pPr>
    </w:p>
    <w:p w14:paraId="5744BA65" w14:textId="77777777" w:rsidR="000A3418" w:rsidRDefault="000A3418" w:rsidP="000A3418">
      <w:pPr>
        <w:spacing w:line="360" w:lineRule="auto"/>
        <w:ind w:left="720"/>
        <w:jc w:val="both"/>
        <w:rPr>
          <w:rFonts w:ascii="David" w:hAnsi="David"/>
          <w:rtl/>
        </w:rPr>
      </w:pPr>
      <w:r>
        <w:rPr>
          <w:rFonts w:ascii="FrankRuehl" w:hAnsi="FrankRuehl" w:hint="cs"/>
          <w:sz w:val="28"/>
          <w:rtl/>
        </w:rPr>
        <w:t xml:space="preserve">באותו ענין שנדון בבית המשפט העליון, אושר גזר דין בו הוטל מאסר למשך 21 חודשים בגין שני מקרי סחר בכמות קטנה ביותר של סם מסוג חשיש, מקרה אחד של תיווך לסחר בכמות מזערית של סם מסוג חשיש וכן החזקת סם מסוג קוקאין לשימוש עצמי. פסיקה זו מצביעה על מגמת ההחמרה, הכוללת לא פעם מאסרים בפועל, בגין עבירות סחר בסם מסוכן גם בכמויות קטנות ביותר של סם מסוג חשיש. לצד זאת, ניתן להצביע על פסיקה בה הוטלו מאסרים בדרך של עבודות שרות (ענין ששון וענין שואהנה), כאשר כל מקרה נבחן בהתאם לנסיבותיו ובהתאם לנסיבות מבצע העבירה. יש עוד להזכיר, כי </w:t>
      </w:r>
      <w:r>
        <w:rPr>
          <w:rFonts w:ascii="David" w:hAnsi="David"/>
          <w:rtl/>
        </w:rPr>
        <w:t>מדיניות הפסיקה מהווה אך את אחד השיקולים בעת קביעת מתחם הענישה, ו"</w:t>
      </w:r>
      <w:r>
        <w:rPr>
          <w:rFonts w:ascii="David" w:hAnsi="David"/>
          <w:b/>
          <w:bCs/>
          <w:rtl/>
        </w:rPr>
        <w:t>אין בה משום תחליף הולם להגדרת המתחם עצמו</w:t>
      </w:r>
      <w:r>
        <w:rPr>
          <w:rFonts w:ascii="David" w:hAnsi="David"/>
          <w:rtl/>
        </w:rPr>
        <w:t>" (</w:t>
      </w:r>
      <w:hyperlink r:id="rId17" w:history="1">
        <w:r w:rsidR="0032392E" w:rsidRPr="0032392E">
          <w:rPr>
            <w:rFonts w:ascii="David" w:hAnsi="David"/>
            <w:color w:val="0000FF"/>
            <w:u w:val="single"/>
            <w:rtl/>
          </w:rPr>
          <w:t>ע"פ 4815/13</w:t>
        </w:r>
      </w:hyperlink>
      <w:r>
        <w:rPr>
          <w:rFonts w:ascii="David" w:hAnsi="David"/>
          <w:rtl/>
        </w:rPr>
        <w:t xml:space="preserve"> </w:t>
      </w:r>
      <w:r>
        <w:rPr>
          <w:rFonts w:ascii="David" w:hAnsi="David"/>
          <w:b/>
          <w:bCs/>
          <w:rtl/>
        </w:rPr>
        <w:t xml:space="preserve">מדינת ישראל נ' אלעוקבי </w:t>
      </w:r>
      <w:r>
        <w:rPr>
          <w:rFonts w:ascii="David" w:hAnsi="David"/>
          <w:rtl/>
        </w:rPr>
        <w:t xml:space="preserve">(1.1.14) </w:t>
      </w:r>
      <w:bookmarkStart w:id="13" w:name="Seif4"/>
      <w:r>
        <w:rPr>
          <w:rFonts w:ascii="David" w:hAnsi="David"/>
          <w:rtl/>
        </w:rPr>
        <w:t xml:space="preserve">פסקה </w:t>
      </w:r>
      <w:bookmarkEnd w:id="13"/>
      <w:r>
        <w:rPr>
          <w:rFonts w:ascii="David" w:hAnsi="David"/>
          <w:rtl/>
        </w:rPr>
        <w:t>12).</w:t>
      </w:r>
    </w:p>
    <w:p w14:paraId="02AFA7B6" w14:textId="77777777" w:rsidR="000A3418" w:rsidRDefault="000A3418" w:rsidP="000A3418">
      <w:pPr>
        <w:spacing w:line="360" w:lineRule="auto"/>
        <w:ind w:left="720" w:hanging="720"/>
        <w:jc w:val="both"/>
        <w:rPr>
          <w:rFonts w:ascii="David" w:hAnsi="David"/>
          <w:rtl/>
        </w:rPr>
      </w:pPr>
      <w:r>
        <w:rPr>
          <w:rFonts w:ascii="David" w:hAnsi="David"/>
          <w:rtl/>
        </w:rPr>
        <w:tab/>
      </w:r>
    </w:p>
    <w:p w14:paraId="27C19DA0" w14:textId="77777777" w:rsidR="000A3418" w:rsidRDefault="000A3418" w:rsidP="000A3418">
      <w:pPr>
        <w:spacing w:line="360" w:lineRule="auto"/>
        <w:ind w:left="720"/>
        <w:jc w:val="both"/>
        <w:rPr>
          <w:rFonts w:ascii="David" w:hAnsi="David"/>
          <w:rtl/>
        </w:rPr>
      </w:pPr>
      <w:r>
        <w:rPr>
          <w:rFonts w:ascii="David" w:hAnsi="David" w:hint="cs"/>
          <w:rtl/>
        </w:rPr>
        <w:t xml:space="preserve">לאחר ששקלתי את כל האמור לעיל, אני קובע כי מתחם הענישה במקרה זה נע בין מאסר לתקופה קצרה שיכול וירוצה בעבודות שרות, ועד למאסר למשך שמונה חודשים. </w:t>
      </w:r>
    </w:p>
    <w:p w14:paraId="49C8D8EC" w14:textId="77777777" w:rsidR="000A3418" w:rsidRDefault="000A3418" w:rsidP="000A3418">
      <w:pPr>
        <w:spacing w:line="360" w:lineRule="auto"/>
        <w:ind w:left="720"/>
        <w:jc w:val="both"/>
        <w:rPr>
          <w:rFonts w:ascii="David" w:hAnsi="David"/>
          <w:rtl/>
        </w:rPr>
      </w:pPr>
      <w:r>
        <w:rPr>
          <w:rFonts w:ascii="David" w:hAnsi="David" w:hint="cs"/>
          <w:rtl/>
        </w:rPr>
        <w:t xml:space="preserve">לצד ענישה זו, יש מקום להטלת מאסר מותנה, קנס וכן פסילת רשיון על תנאי. לגבי קביעת מתחם הקנס, יש להתחשב במצבו הכלכלי של הנאשם, כפי שבא לידי ביטוי בטיעוני ההגנה לעונש וכן בתסקיר שרות המבחן, ובנוסף בתמורה שקיבל. בהתחשב בנסיבות המקרה ובגובה התמורה שאינו ידוע, אני קובע כי מתחם הקנס במקרה זה נע בין 750 ל-2,500 ₪. </w:t>
      </w:r>
    </w:p>
    <w:p w14:paraId="39369F64" w14:textId="77777777" w:rsidR="000A3418" w:rsidRDefault="000A3418" w:rsidP="000A3418">
      <w:pPr>
        <w:spacing w:line="360" w:lineRule="auto"/>
        <w:jc w:val="both"/>
        <w:rPr>
          <w:rFonts w:ascii="David" w:hAnsi="David"/>
          <w:rtl/>
        </w:rPr>
      </w:pPr>
    </w:p>
    <w:p w14:paraId="7F8D8801" w14:textId="77777777" w:rsidR="000A3418" w:rsidRDefault="000A3418" w:rsidP="000A3418">
      <w:pPr>
        <w:spacing w:line="360" w:lineRule="auto"/>
        <w:jc w:val="both"/>
        <w:rPr>
          <w:rFonts w:ascii="FrankRuehl" w:hAnsi="FrankRuehl"/>
          <w:sz w:val="28"/>
          <w:rtl/>
        </w:rPr>
      </w:pPr>
      <w:r w:rsidRPr="007D4C26">
        <w:rPr>
          <w:rFonts w:ascii="David" w:hAnsi="David" w:hint="cs"/>
          <w:u w:val="single"/>
          <w:rtl/>
        </w:rPr>
        <w:t>העונש המתאים</w:t>
      </w:r>
    </w:p>
    <w:p w14:paraId="73A795E8" w14:textId="77777777" w:rsidR="000A3418" w:rsidRDefault="000A3418" w:rsidP="000A3418">
      <w:pPr>
        <w:spacing w:line="360" w:lineRule="auto"/>
        <w:ind w:left="720" w:hanging="720"/>
        <w:jc w:val="both"/>
        <w:rPr>
          <w:rtl/>
        </w:rPr>
      </w:pPr>
      <w:r>
        <w:rPr>
          <w:rFonts w:ascii="FrankRuehl" w:hAnsi="FrankRuehl" w:hint="cs"/>
          <w:sz w:val="28"/>
          <w:rtl/>
        </w:rPr>
        <w:t>9.</w:t>
      </w:r>
      <w:r>
        <w:rPr>
          <w:rFonts w:ascii="FrankRuehl" w:hAnsi="FrankRuehl" w:hint="cs"/>
          <w:sz w:val="28"/>
          <w:rtl/>
        </w:rPr>
        <w:tab/>
      </w:r>
      <w:r>
        <w:rPr>
          <w:rFonts w:hint="cs"/>
          <w:rtl/>
        </w:rPr>
        <w:t xml:space="preserve">הנאשם נעדר עבר פלילי, קיבל אחריות מלאה על מעשיו. כפי שעלה מהתרשמות שרות המבחן, אין מדובר באדם בעל דפוסים עברייניים או ערכים בעייתיים, אלא בעבירות שבוצעו בתקופת משבר בחייו. עוד יש לציין, כי נמצא שהמשיב אינו סובל מבעיית שימוש בסמים. התרשמתי מהפנמת חומרת העבירה על ידי הנאשם וכן מהשפעתו המרתיעה של ההליך המשפטי עבורו. נסיבות אלה מציבות את הנאשם ברף הנמוך של מתחם הענישה, כאשר לא מצאתי שיקולי שיקום המבססים חריגה ממתחם זה. זאת ועוד: בהתחשב בחומרת העבירה והצורך הממשי בהרתעת הרבים, במיוחד לנוכח נפוצות תופעת מכירת סמים המכונים לא פעם "סמים קלים", עיקרון ההלימה מחייב ענישה ממשית של מאסר. נסיבות אישיות נסוגות מפני הצורך בענישה חדה וברורה בגין עבירות הפצת סמים מסוכנים. </w:t>
      </w:r>
    </w:p>
    <w:p w14:paraId="7F2ED5BF" w14:textId="77777777" w:rsidR="000A3418" w:rsidRDefault="000A3418" w:rsidP="000A3418">
      <w:pPr>
        <w:spacing w:line="360" w:lineRule="auto"/>
        <w:ind w:left="720" w:hanging="720"/>
        <w:jc w:val="both"/>
        <w:rPr>
          <w:rtl/>
        </w:rPr>
      </w:pPr>
      <w:r>
        <w:rPr>
          <w:rFonts w:hint="cs"/>
          <w:rtl/>
        </w:rPr>
        <w:t xml:space="preserve"> </w:t>
      </w:r>
    </w:p>
    <w:p w14:paraId="42CAF2F4" w14:textId="77777777" w:rsidR="000A3418" w:rsidRDefault="000A3418" w:rsidP="000A3418">
      <w:pPr>
        <w:spacing w:line="360" w:lineRule="auto"/>
        <w:ind w:left="720" w:hanging="720"/>
        <w:jc w:val="both"/>
        <w:rPr>
          <w:rFonts w:ascii="David" w:hAnsi="David"/>
          <w:rtl/>
        </w:rPr>
      </w:pPr>
      <w:r w:rsidRPr="009B13F2">
        <w:rPr>
          <w:rFonts w:ascii="David" w:hAnsi="David"/>
          <w:rtl/>
        </w:rPr>
        <w:tab/>
      </w:r>
      <w:r>
        <w:rPr>
          <w:rFonts w:ascii="David" w:hAnsi="David" w:hint="cs"/>
          <w:rtl/>
        </w:rPr>
        <w:t xml:space="preserve">לאור כל האמור לעיל, </w:t>
      </w:r>
      <w:r w:rsidRPr="009B13F2">
        <w:rPr>
          <w:rFonts w:ascii="David" w:hAnsi="David"/>
          <w:rtl/>
        </w:rPr>
        <w:t>החלטתי להטיל על הנאשם את העונשים הבאים:</w:t>
      </w:r>
    </w:p>
    <w:p w14:paraId="7ED74A23" w14:textId="77777777" w:rsidR="000A3418" w:rsidRPr="009B13F2" w:rsidRDefault="000A3418" w:rsidP="000A3418">
      <w:pPr>
        <w:spacing w:line="360" w:lineRule="auto"/>
        <w:ind w:left="720" w:hanging="720"/>
        <w:jc w:val="both"/>
        <w:rPr>
          <w:rFonts w:ascii="David" w:hAnsi="David"/>
          <w:rtl/>
        </w:rPr>
      </w:pPr>
    </w:p>
    <w:p w14:paraId="24441634" w14:textId="77777777" w:rsidR="000A3418" w:rsidRPr="009B13F2" w:rsidRDefault="000A3418" w:rsidP="000A3418">
      <w:pPr>
        <w:pStyle w:val="a9"/>
        <w:numPr>
          <w:ilvl w:val="0"/>
          <w:numId w:val="1"/>
        </w:numPr>
        <w:spacing w:line="360" w:lineRule="auto"/>
        <w:jc w:val="both"/>
        <w:rPr>
          <w:rFonts w:ascii="David" w:hAnsi="David" w:cs="David"/>
        </w:rPr>
      </w:pPr>
      <w:r w:rsidRPr="009B13F2">
        <w:rPr>
          <w:rFonts w:ascii="David" w:hAnsi="David" w:cs="David"/>
          <w:rtl/>
        </w:rPr>
        <w:t xml:space="preserve">מאסר למשך </w:t>
      </w:r>
      <w:r>
        <w:rPr>
          <w:rFonts w:ascii="David" w:hAnsi="David" w:cs="David" w:hint="cs"/>
          <w:rtl/>
        </w:rPr>
        <w:t xml:space="preserve">חודשיים </w:t>
      </w:r>
      <w:r w:rsidRPr="009B13F2">
        <w:rPr>
          <w:rFonts w:ascii="David" w:hAnsi="David" w:cs="David"/>
          <w:rtl/>
        </w:rPr>
        <w:t xml:space="preserve">שירוצה בעבודות שרות, זאת בהתאם לחוות דעת הממונה. </w:t>
      </w:r>
    </w:p>
    <w:p w14:paraId="63149B89" w14:textId="77777777" w:rsidR="000A3418" w:rsidRPr="009B13F2" w:rsidRDefault="000A3418" w:rsidP="000A3418">
      <w:pPr>
        <w:pStyle w:val="a9"/>
        <w:numPr>
          <w:ilvl w:val="0"/>
          <w:numId w:val="1"/>
        </w:numPr>
        <w:spacing w:line="360" w:lineRule="auto"/>
        <w:jc w:val="both"/>
        <w:rPr>
          <w:rFonts w:ascii="David" w:hAnsi="David" w:cs="David"/>
          <w:rtl/>
        </w:rPr>
      </w:pPr>
      <w:r w:rsidRPr="009B13F2">
        <w:rPr>
          <w:rFonts w:ascii="David" w:hAnsi="David" w:cs="David"/>
          <w:rtl/>
        </w:rPr>
        <w:t xml:space="preserve">מאסר למשך שבעה חודשים, אותו לא ירצה הנאשם אלא אם יעבור תוך שלוש שנים מהיום עבירה מסוג פשע על פקודת הסמים. </w:t>
      </w:r>
    </w:p>
    <w:p w14:paraId="289FBE06" w14:textId="77777777" w:rsidR="000A3418" w:rsidRPr="009B13F2" w:rsidRDefault="000A3418" w:rsidP="000A3418">
      <w:pPr>
        <w:pStyle w:val="a9"/>
        <w:numPr>
          <w:ilvl w:val="0"/>
          <w:numId w:val="1"/>
        </w:numPr>
        <w:spacing w:line="360" w:lineRule="auto"/>
        <w:jc w:val="both"/>
        <w:rPr>
          <w:rFonts w:ascii="David" w:hAnsi="David" w:cs="David"/>
          <w:rtl/>
        </w:rPr>
      </w:pPr>
      <w:r w:rsidRPr="009B13F2">
        <w:rPr>
          <w:rFonts w:ascii="David" w:hAnsi="David" w:cs="David"/>
          <w:rtl/>
        </w:rPr>
        <w:t xml:space="preserve">מאסר למשך שלושה חודשים, אותו לא ירצה הנאשם אלא אם יעבור תוך שלוש שנים מהיום עבירה מסוג עוון על פקודת הסמים. </w:t>
      </w:r>
    </w:p>
    <w:p w14:paraId="1349AB33" w14:textId="77777777" w:rsidR="000A3418" w:rsidRPr="009B13F2" w:rsidRDefault="000A3418" w:rsidP="000A3418">
      <w:pPr>
        <w:pStyle w:val="a9"/>
        <w:numPr>
          <w:ilvl w:val="0"/>
          <w:numId w:val="1"/>
        </w:numPr>
        <w:spacing w:line="360" w:lineRule="auto"/>
        <w:jc w:val="both"/>
        <w:rPr>
          <w:rFonts w:ascii="David" w:hAnsi="David" w:cs="David"/>
        </w:rPr>
      </w:pPr>
      <w:r w:rsidRPr="009B13F2">
        <w:rPr>
          <w:rFonts w:ascii="David" w:hAnsi="David" w:cs="David"/>
          <w:rtl/>
        </w:rPr>
        <w:t>קנס בסך 750 ₪ או שלושה ימי מאסר תמורתו. הקנס ישולם עד ליום 1.</w:t>
      </w:r>
      <w:r>
        <w:rPr>
          <w:rFonts w:ascii="David" w:hAnsi="David" w:cs="David" w:hint="cs"/>
          <w:rtl/>
        </w:rPr>
        <w:t>4</w:t>
      </w:r>
      <w:r w:rsidRPr="009B13F2">
        <w:rPr>
          <w:rFonts w:ascii="David" w:hAnsi="David" w:cs="David"/>
          <w:rtl/>
        </w:rPr>
        <w:t>.19.</w:t>
      </w:r>
    </w:p>
    <w:p w14:paraId="0C396DCA" w14:textId="77777777" w:rsidR="000A3418" w:rsidRDefault="000A3418" w:rsidP="000A3418">
      <w:pPr>
        <w:pStyle w:val="a9"/>
        <w:numPr>
          <w:ilvl w:val="0"/>
          <w:numId w:val="1"/>
        </w:numPr>
        <w:spacing w:line="360" w:lineRule="auto"/>
        <w:jc w:val="both"/>
        <w:rPr>
          <w:rFonts w:ascii="David" w:hAnsi="David" w:cs="David"/>
        </w:rPr>
      </w:pPr>
      <w:r w:rsidRPr="009B13F2">
        <w:rPr>
          <w:rFonts w:ascii="David" w:hAnsi="David" w:cs="David"/>
          <w:rtl/>
        </w:rPr>
        <w:t>אני פוסל את הנאשם מלהחזיק ברשיון נהיגה למשך שישה חודשים, וזאת על תנאי שלא יעבור עבירה על פקודת הסמים למשך שלוש שנים מהיום.</w:t>
      </w:r>
    </w:p>
    <w:p w14:paraId="1235A2F2" w14:textId="77777777" w:rsidR="000A3418" w:rsidRDefault="000A3418" w:rsidP="000A3418">
      <w:pPr>
        <w:pStyle w:val="a9"/>
        <w:numPr>
          <w:ilvl w:val="0"/>
          <w:numId w:val="1"/>
        </w:numPr>
        <w:spacing w:line="360" w:lineRule="auto"/>
        <w:jc w:val="both"/>
        <w:rPr>
          <w:rFonts w:ascii="David" w:hAnsi="David" w:cs="David"/>
        </w:rPr>
      </w:pPr>
      <w:r>
        <w:rPr>
          <w:rFonts w:ascii="David" w:hAnsi="David" w:cs="David" w:hint="cs"/>
          <w:rtl/>
        </w:rPr>
        <w:t xml:space="preserve">מכשיר הטלפון שנתפס מידי הנאשם יוחזר לידיו. </w:t>
      </w:r>
    </w:p>
    <w:p w14:paraId="2EB8D91C" w14:textId="77777777" w:rsidR="000A3418" w:rsidRDefault="000A3418" w:rsidP="000A3418">
      <w:pPr>
        <w:pStyle w:val="a9"/>
        <w:spacing w:line="360" w:lineRule="auto"/>
        <w:ind w:left="1080"/>
        <w:jc w:val="both"/>
        <w:rPr>
          <w:rFonts w:ascii="David" w:hAnsi="David" w:cs="David"/>
          <w:rtl/>
        </w:rPr>
      </w:pPr>
    </w:p>
    <w:p w14:paraId="046DCDAF" w14:textId="77777777" w:rsidR="000A3418" w:rsidRPr="009B13F2" w:rsidRDefault="000A3418" w:rsidP="000A3418">
      <w:pPr>
        <w:pStyle w:val="a9"/>
        <w:spacing w:line="360" w:lineRule="auto"/>
        <w:ind w:left="1080"/>
        <w:jc w:val="both"/>
        <w:rPr>
          <w:rFonts w:ascii="David" w:hAnsi="David" w:cs="David"/>
          <w:rtl/>
        </w:rPr>
      </w:pPr>
      <w:r>
        <w:rPr>
          <w:rFonts w:ascii="David" w:hAnsi="David" w:cs="David" w:hint="cs"/>
          <w:rtl/>
        </w:rPr>
        <w:t xml:space="preserve">זכות ערעור לבית המשפט המחוזי תוך 45 ימים מהיום. </w:t>
      </w:r>
    </w:p>
    <w:p w14:paraId="03786322" w14:textId="77777777" w:rsidR="000A3418" w:rsidRPr="0032392E" w:rsidRDefault="0032392E" w:rsidP="000A3418">
      <w:pPr>
        <w:jc w:val="both"/>
        <w:rPr>
          <w:color w:val="FFFFFF"/>
          <w:sz w:val="2"/>
          <w:szCs w:val="2"/>
          <w:rtl/>
        </w:rPr>
      </w:pPr>
      <w:r w:rsidRPr="0032392E">
        <w:rPr>
          <w:color w:val="FFFFFF"/>
          <w:sz w:val="2"/>
          <w:szCs w:val="2"/>
          <w:rtl/>
        </w:rPr>
        <w:t>5129371</w:t>
      </w:r>
    </w:p>
    <w:p w14:paraId="3C7FB770" w14:textId="77777777" w:rsidR="000A3418" w:rsidRPr="00250B83" w:rsidRDefault="0032392E" w:rsidP="000A3418">
      <w:pPr>
        <w:jc w:val="both"/>
        <w:rPr>
          <w:rtl/>
        </w:rPr>
      </w:pPr>
      <w:r w:rsidRPr="0032392E">
        <w:rPr>
          <w:rFonts w:ascii="Arial" w:hAnsi="Arial"/>
          <w:b/>
          <w:bCs/>
          <w:color w:val="FFFFFF"/>
          <w:sz w:val="2"/>
          <w:szCs w:val="2"/>
          <w:rtl/>
        </w:rPr>
        <w:t>54678313</w:t>
      </w:r>
      <w:r>
        <w:rPr>
          <w:rFonts w:ascii="Arial" w:hAnsi="Arial"/>
          <w:b/>
          <w:bCs/>
          <w:rtl/>
        </w:rPr>
        <w:t xml:space="preserve">ניתן היום,  ט"ז שבט תשע"ט, 22 ינואר 2019, במעמד הצדדים. </w:t>
      </w:r>
    </w:p>
    <w:p w14:paraId="0AAD2459" w14:textId="77777777" w:rsidR="000A3418" w:rsidRPr="00250B83" w:rsidRDefault="000A3418" w:rsidP="000A3418">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F5829F3" w14:textId="77777777" w:rsidR="000A3418" w:rsidRPr="00250B83" w:rsidRDefault="000A3418" w:rsidP="000A3418">
      <w:pPr>
        <w:jc w:val="both"/>
        <w:rPr>
          <w:rFonts w:ascii="Arial" w:hAnsi="Arial"/>
          <w:rtl/>
        </w:rPr>
      </w:pPr>
    </w:p>
    <w:p w14:paraId="644E0AEB" w14:textId="77777777" w:rsidR="000A3418" w:rsidRPr="00250B83" w:rsidRDefault="000A3418" w:rsidP="000A3418">
      <w:pPr>
        <w:jc w:val="both"/>
        <w:rPr>
          <w:rtl/>
        </w:rPr>
      </w:pPr>
    </w:p>
    <w:p w14:paraId="2105C9B1" w14:textId="77777777" w:rsidR="000A3418" w:rsidRDefault="000A3418" w:rsidP="000A3418">
      <w:pPr>
        <w:pStyle w:val="a3"/>
        <w:jc w:val="both"/>
        <w:rPr>
          <w:rtl/>
        </w:rPr>
      </w:pPr>
    </w:p>
    <w:p w14:paraId="7617497D" w14:textId="77777777" w:rsidR="0084257B" w:rsidRPr="0032392E" w:rsidRDefault="0084257B" w:rsidP="0032392E">
      <w:pPr>
        <w:keepNext/>
        <w:rPr>
          <w:rFonts w:ascii="David" w:hAnsi="David"/>
          <w:color w:val="000000"/>
          <w:sz w:val="22"/>
          <w:szCs w:val="22"/>
          <w:rtl/>
        </w:rPr>
      </w:pPr>
    </w:p>
    <w:p w14:paraId="766B3778" w14:textId="77777777" w:rsidR="0032392E" w:rsidRPr="0032392E" w:rsidRDefault="0032392E" w:rsidP="0032392E">
      <w:pPr>
        <w:keepNext/>
        <w:rPr>
          <w:rFonts w:ascii="David" w:hAnsi="David"/>
          <w:color w:val="000000"/>
          <w:sz w:val="22"/>
          <w:szCs w:val="22"/>
          <w:rtl/>
        </w:rPr>
      </w:pPr>
      <w:r w:rsidRPr="0032392E">
        <w:rPr>
          <w:rFonts w:ascii="David" w:hAnsi="David"/>
          <w:color w:val="000000"/>
          <w:sz w:val="22"/>
          <w:szCs w:val="22"/>
          <w:rtl/>
        </w:rPr>
        <w:t>איתן קורנהאוזר 54678313</w:t>
      </w:r>
    </w:p>
    <w:p w14:paraId="0A3BE890" w14:textId="77777777" w:rsidR="0032392E" w:rsidRDefault="0032392E" w:rsidP="0032392E">
      <w:r w:rsidRPr="0032392E">
        <w:rPr>
          <w:color w:val="000000"/>
          <w:rtl/>
        </w:rPr>
        <w:t>נוסח מסמך זה כפוף לשינויי ניסוח ועריכה</w:t>
      </w:r>
    </w:p>
    <w:p w14:paraId="37559A6E" w14:textId="77777777" w:rsidR="0032392E" w:rsidRDefault="0032392E" w:rsidP="0032392E">
      <w:pPr>
        <w:rPr>
          <w:rtl/>
        </w:rPr>
      </w:pPr>
    </w:p>
    <w:p w14:paraId="6A1237B0" w14:textId="77777777" w:rsidR="0032392E" w:rsidRDefault="0032392E" w:rsidP="0032392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7EF50F3" w14:textId="77777777" w:rsidR="0032392E" w:rsidRPr="0032392E" w:rsidRDefault="0032392E" w:rsidP="0032392E">
      <w:pPr>
        <w:jc w:val="center"/>
        <w:rPr>
          <w:color w:val="0000FF"/>
          <w:u w:val="single"/>
        </w:rPr>
      </w:pPr>
    </w:p>
    <w:sectPr w:rsidR="0032392E" w:rsidRPr="0032392E" w:rsidSect="0032392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E19C1" w14:textId="77777777" w:rsidR="00F971A3" w:rsidRDefault="00F971A3" w:rsidP="009D218C">
      <w:r>
        <w:separator/>
      </w:r>
    </w:p>
  </w:endnote>
  <w:endnote w:type="continuationSeparator" w:id="0">
    <w:p w14:paraId="4AA3618F" w14:textId="77777777" w:rsidR="00F971A3" w:rsidRDefault="00F971A3" w:rsidP="009D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6B179" w14:textId="77777777" w:rsidR="0032392E" w:rsidRDefault="0032392E" w:rsidP="003239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38357EE" w14:textId="77777777" w:rsidR="000030CD" w:rsidRPr="0032392E" w:rsidRDefault="0032392E" w:rsidP="003239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ADEF6" w14:textId="77777777" w:rsidR="0032392E" w:rsidRDefault="0032392E" w:rsidP="003239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050E">
      <w:rPr>
        <w:rFonts w:ascii="FrankRuehl" w:hAnsi="FrankRuehl" w:cs="FrankRuehl"/>
        <w:noProof/>
        <w:rtl/>
      </w:rPr>
      <w:t>1</w:t>
    </w:r>
    <w:r>
      <w:rPr>
        <w:rFonts w:ascii="FrankRuehl" w:hAnsi="FrankRuehl" w:cs="FrankRuehl"/>
        <w:rtl/>
      </w:rPr>
      <w:fldChar w:fldCharType="end"/>
    </w:r>
  </w:p>
  <w:p w14:paraId="52F8508B" w14:textId="77777777" w:rsidR="000030CD" w:rsidRPr="0032392E" w:rsidRDefault="0032392E" w:rsidP="003239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F268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06F03" w14:textId="77777777" w:rsidR="00F971A3" w:rsidRDefault="00F971A3" w:rsidP="009D218C">
      <w:r>
        <w:separator/>
      </w:r>
    </w:p>
  </w:footnote>
  <w:footnote w:type="continuationSeparator" w:id="0">
    <w:p w14:paraId="0976C8E9" w14:textId="77777777" w:rsidR="00F971A3" w:rsidRDefault="00F971A3" w:rsidP="009D2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8FC5" w14:textId="77777777" w:rsidR="0032392E" w:rsidRPr="0032392E" w:rsidRDefault="0032392E" w:rsidP="003239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19591-11-15</w:t>
    </w:r>
    <w:r>
      <w:rPr>
        <w:rFonts w:ascii="David" w:hAnsi="David"/>
        <w:color w:val="000000"/>
        <w:sz w:val="22"/>
        <w:szCs w:val="22"/>
        <w:rtl/>
      </w:rPr>
      <w:tab/>
      <w:t xml:space="preserve"> מדינת ישראל נ' אבי גפני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9E33" w14:textId="77777777" w:rsidR="0032392E" w:rsidRPr="0032392E" w:rsidRDefault="0032392E" w:rsidP="003239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19591-11-15</w:t>
    </w:r>
    <w:r>
      <w:rPr>
        <w:rFonts w:ascii="David" w:hAnsi="David"/>
        <w:color w:val="000000"/>
        <w:sz w:val="22"/>
        <w:szCs w:val="22"/>
        <w:rtl/>
      </w:rPr>
      <w:tab/>
      <w:t xml:space="preserve"> מדינת ישראל נ' אבי גפני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472C3B"/>
    <w:multiLevelType w:val="hybridMultilevel"/>
    <w:tmpl w:val="88942CFC"/>
    <w:lvl w:ilvl="0" w:tplc="6AB8A9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003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3418"/>
    <w:rsid w:val="000030CD"/>
    <w:rsid w:val="000A3418"/>
    <w:rsid w:val="000F7CB2"/>
    <w:rsid w:val="0032392E"/>
    <w:rsid w:val="007B3B28"/>
    <w:rsid w:val="0084257B"/>
    <w:rsid w:val="0096045D"/>
    <w:rsid w:val="009D218C"/>
    <w:rsid w:val="00AE60AF"/>
    <w:rsid w:val="00B1050E"/>
    <w:rsid w:val="00F97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40FFE3"/>
  <w15:chartTrackingRefBased/>
  <w15:docId w15:val="{85ADFDD2-8040-4873-B0F3-88C04F00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34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3418"/>
    <w:pPr>
      <w:tabs>
        <w:tab w:val="center" w:pos="4153"/>
        <w:tab w:val="right" w:pos="8306"/>
      </w:tabs>
    </w:pPr>
  </w:style>
  <w:style w:type="character" w:customStyle="1" w:styleId="a4">
    <w:name w:val="כותרת עליונה תו"/>
    <w:link w:val="a3"/>
    <w:rsid w:val="000A3418"/>
    <w:rPr>
      <w:rFonts w:ascii="Times New Roman" w:eastAsia="Times New Roman" w:hAnsi="Times New Roman" w:cs="David"/>
      <w:sz w:val="24"/>
      <w:szCs w:val="24"/>
    </w:rPr>
  </w:style>
  <w:style w:type="paragraph" w:styleId="a5">
    <w:name w:val="footer"/>
    <w:basedOn w:val="a"/>
    <w:link w:val="a6"/>
    <w:rsid w:val="000A3418"/>
    <w:pPr>
      <w:tabs>
        <w:tab w:val="center" w:pos="4153"/>
        <w:tab w:val="right" w:pos="8306"/>
      </w:tabs>
    </w:pPr>
  </w:style>
  <w:style w:type="character" w:customStyle="1" w:styleId="a6">
    <w:name w:val="כותרת תחתונה תו"/>
    <w:link w:val="a5"/>
    <w:rsid w:val="000A3418"/>
    <w:rPr>
      <w:rFonts w:ascii="Times New Roman" w:eastAsia="Times New Roman" w:hAnsi="Times New Roman" w:cs="David"/>
      <w:sz w:val="24"/>
      <w:szCs w:val="24"/>
    </w:rPr>
  </w:style>
  <w:style w:type="table" w:styleId="a7">
    <w:name w:val="Table Grid"/>
    <w:basedOn w:val="a1"/>
    <w:rsid w:val="000A34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3418"/>
  </w:style>
  <w:style w:type="paragraph" w:styleId="a9">
    <w:name w:val="List Paragraph"/>
    <w:basedOn w:val="a"/>
    <w:qFormat/>
    <w:rsid w:val="000A3418"/>
    <w:pPr>
      <w:ind w:left="720"/>
      <w:contextualSpacing/>
    </w:pPr>
    <w:rPr>
      <w:rFonts w:eastAsia="Calibri" w:cs="Times New Roman"/>
    </w:rPr>
  </w:style>
  <w:style w:type="character" w:styleId="Hyperlink">
    <w:name w:val="Hyperlink"/>
    <w:rsid w:val="003239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611948" TargetMode="External"/><Relationship Id="rId13" Type="http://schemas.openxmlformats.org/officeDocument/2006/relationships/hyperlink" Target="http://www.nevo.co.il/case/23748897"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case/5608134" TargetMode="External"/><Relationship Id="rId12" Type="http://schemas.openxmlformats.org/officeDocument/2006/relationships/hyperlink" Target="http://www.nevo.co.il/case/5581031" TargetMode="External"/><Relationship Id="rId17" Type="http://schemas.openxmlformats.org/officeDocument/2006/relationships/hyperlink" Target="http://www.nevo.co.il/case/7765894" TargetMode="External"/><Relationship Id="rId2" Type="http://schemas.openxmlformats.org/officeDocument/2006/relationships/styles" Target="styles.xml"/><Relationship Id="rId16" Type="http://schemas.openxmlformats.org/officeDocument/2006/relationships/hyperlink" Target="http://www.nevo.co.il/case/5605484"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302224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473042" TargetMode="External"/><Relationship Id="rId23" Type="http://schemas.openxmlformats.org/officeDocument/2006/relationships/fontTable" Target="fontTable.xml"/><Relationship Id="rId10" Type="http://schemas.openxmlformats.org/officeDocument/2006/relationships/hyperlink" Target="http://www.nevo.co.il/case/598830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case/18118854" TargetMode="External"/><Relationship Id="rId14" Type="http://schemas.openxmlformats.org/officeDocument/2006/relationships/hyperlink" Target="http://www.nevo.co.il/case/1690450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1952</Words>
  <Characters>9765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11694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3997823</vt:i4>
      </vt:variant>
      <vt:variant>
        <vt:i4>30</vt:i4>
      </vt:variant>
      <vt:variant>
        <vt:i4>0</vt:i4>
      </vt:variant>
      <vt:variant>
        <vt:i4>5</vt:i4>
      </vt:variant>
      <vt:variant>
        <vt:lpwstr>http://www.nevo.co.il/case/7765894</vt:lpwstr>
      </vt:variant>
      <vt:variant>
        <vt:lpwstr/>
      </vt:variant>
      <vt:variant>
        <vt:i4>3473535</vt:i4>
      </vt:variant>
      <vt:variant>
        <vt:i4>27</vt:i4>
      </vt:variant>
      <vt:variant>
        <vt:i4>0</vt:i4>
      </vt:variant>
      <vt:variant>
        <vt:i4>5</vt:i4>
      </vt:variant>
      <vt:variant>
        <vt:lpwstr>http://www.nevo.co.il/case/5605484</vt:lpwstr>
      </vt:variant>
      <vt:variant>
        <vt:lpwstr/>
      </vt:variant>
      <vt:variant>
        <vt:i4>3211378</vt:i4>
      </vt:variant>
      <vt:variant>
        <vt:i4>24</vt:i4>
      </vt:variant>
      <vt:variant>
        <vt:i4>0</vt:i4>
      </vt:variant>
      <vt:variant>
        <vt:i4>5</vt:i4>
      </vt:variant>
      <vt:variant>
        <vt:lpwstr>http://www.nevo.co.il/case/21473042</vt:lpwstr>
      </vt:variant>
      <vt:variant>
        <vt:lpwstr/>
      </vt:variant>
      <vt:variant>
        <vt:i4>3932279</vt:i4>
      </vt:variant>
      <vt:variant>
        <vt:i4>21</vt:i4>
      </vt:variant>
      <vt:variant>
        <vt:i4>0</vt:i4>
      </vt:variant>
      <vt:variant>
        <vt:i4>5</vt:i4>
      </vt:variant>
      <vt:variant>
        <vt:lpwstr>http://www.nevo.co.il/case/16904503</vt:lpwstr>
      </vt:variant>
      <vt:variant>
        <vt:lpwstr/>
      </vt:variant>
      <vt:variant>
        <vt:i4>3407995</vt:i4>
      </vt:variant>
      <vt:variant>
        <vt:i4>18</vt:i4>
      </vt:variant>
      <vt:variant>
        <vt:i4>0</vt:i4>
      </vt:variant>
      <vt:variant>
        <vt:i4>5</vt:i4>
      </vt:variant>
      <vt:variant>
        <vt:lpwstr>http://www.nevo.co.il/case/23748897</vt:lpwstr>
      </vt:variant>
      <vt:variant>
        <vt:lpwstr/>
      </vt:variant>
      <vt:variant>
        <vt:i4>3932275</vt:i4>
      </vt:variant>
      <vt:variant>
        <vt:i4>15</vt:i4>
      </vt:variant>
      <vt:variant>
        <vt:i4>0</vt:i4>
      </vt:variant>
      <vt:variant>
        <vt:i4>5</vt:i4>
      </vt:variant>
      <vt:variant>
        <vt:lpwstr>http://www.nevo.co.il/case/5581031</vt:lpwstr>
      </vt:variant>
      <vt:variant>
        <vt:lpwstr/>
      </vt:variant>
      <vt:variant>
        <vt:i4>3604599</vt:i4>
      </vt:variant>
      <vt:variant>
        <vt:i4>12</vt:i4>
      </vt:variant>
      <vt:variant>
        <vt:i4>0</vt:i4>
      </vt:variant>
      <vt:variant>
        <vt:i4>5</vt:i4>
      </vt:variant>
      <vt:variant>
        <vt:lpwstr>http://www.nevo.co.il/case/13022245</vt:lpwstr>
      </vt:variant>
      <vt:variant>
        <vt:lpwstr/>
      </vt:variant>
      <vt:variant>
        <vt:i4>3539061</vt:i4>
      </vt:variant>
      <vt:variant>
        <vt:i4>9</vt:i4>
      </vt:variant>
      <vt:variant>
        <vt:i4>0</vt:i4>
      </vt:variant>
      <vt:variant>
        <vt:i4>5</vt:i4>
      </vt:variant>
      <vt:variant>
        <vt:lpwstr>http://www.nevo.co.il/case/5988308</vt:lpwstr>
      </vt:variant>
      <vt:variant>
        <vt:lpwstr/>
      </vt:variant>
      <vt:variant>
        <vt:i4>3997813</vt:i4>
      </vt:variant>
      <vt:variant>
        <vt:i4>6</vt:i4>
      </vt:variant>
      <vt:variant>
        <vt:i4>0</vt:i4>
      </vt:variant>
      <vt:variant>
        <vt:i4>5</vt:i4>
      </vt:variant>
      <vt:variant>
        <vt:lpwstr>http://www.nevo.co.il/case/18118854</vt:lpwstr>
      </vt:variant>
      <vt:variant>
        <vt:lpwstr/>
      </vt:variant>
      <vt:variant>
        <vt:i4>3473527</vt:i4>
      </vt:variant>
      <vt:variant>
        <vt:i4>3</vt:i4>
      </vt:variant>
      <vt:variant>
        <vt:i4>0</vt:i4>
      </vt:variant>
      <vt:variant>
        <vt:i4>5</vt:i4>
      </vt:variant>
      <vt:variant>
        <vt:lpwstr>http://www.nevo.co.il/case/5611948</vt:lpwstr>
      </vt:variant>
      <vt:variant>
        <vt:lpwstr/>
      </vt:variant>
      <vt:variant>
        <vt:i4>3145849</vt:i4>
      </vt:variant>
      <vt:variant>
        <vt:i4>0</vt:i4>
      </vt:variant>
      <vt:variant>
        <vt:i4>0</vt:i4>
      </vt:variant>
      <vt:variant>
        <vt:i4>5</vt:i4>
      </vt:variant>
      <vt:variant>
        <vt:lpwstr>http://www.nevo.co.il/case/5608134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19591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אבי גפני</vt:lpwstr>
  </property>
  <property fmtid="{D5CDD505-2E9C-101B-9397-08002B2CF9AE}" pid="10" name="LAWYER">
    <vt:lpwstr>יעל גבריאל;ליאור דוידי</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20190122</vt:lpwstr>
  </property>
  <property fmtid="{D5CDD505-2E9C-101B-9397-08002B2CF9AE}" pid="14" name="TYPE_N_DATE">
    <vt:lpwstr>38020190122</vt:lpwstr>
  </property>
  <property fmtid="{D5CDD505-2E9C-101B-9397-08002B2CF9AE}" pid="15" name="CASESLISTTMP1">
    <vt:lpwstr>5608134;5611948;18118854;5988308;13022245;5581031;23748897;16904503;21473042;5605484;7765894</vt:lpwstr>
  </property>
  <property fmtid="{D5CDD505-2E9C-101B-9397-08002B2CF9AE}" pid="16" name="CASENOTES1">
    <vt:lpwstr>ProcID=174;133;209&amp;PartA=54&amp;PartC=15</vt:lpwstr>
  </property>
  <property fmtid="{D5CDD505-2E9C-101B-9397-08002B2CF9AE}" pid="17" name="CASENOTES2">
    <vt:lpwstr>ProcID=133;209&amp;PartA=407&amp;PartC=97</vt:lpwstr>
  </property>
  <property fmtid="{D5CDD505-2E9C-101B-9397-08002B2CF9AE}" pid="18" name="WORDNUMPAGES">
    <vt:lpwstr>6</vt:lpwstr>
  </property>
  <property fmtid="{D5CDD505-2E9C-101B-9397-08002B2CF9AE}" pid="19" name="TYPE_ABS_DATE">
    <vt:lpwstr>380020190122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