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23940" w:rsidRPr="009F6F66" w14:paraId="483C7638" w14:textId="77777777" w:rsidTr="00323926">
        <w:trPr>
          <w:trHeight w:hRule="exact" w:val="418"/>
          <w:jc w:val="center"/>
        </w:trPr>
        <w:tc>
          <w:tcPr>
            <w:tcW w:w="8721" w:type="dxa"/>
            <w:gridSpan w:val="2"/>
          </w:tcPr>
          <w:p w14:paraId="21C9728E" w14:textId="77777777" w:rsidR="00123940" w:rsidRPr="009F6F66" w:rsidRDefault="00123940" w:rsidP="00305257">
            <w:pPr>
              <w:pStyle w:val="a3"/>
              <w:jc w:val="center"/>
              <w:rPr>
                <w:rFonts w:ascii="Tahoma" w:hAnsi="Tahoma"/>
                <w:color w:val="000080"/>
                <w:sz w:val="32"/>
                <w:szCs w:val="32"/>
                <w:rtl/>
              </w:rPr>
            </w:pPr>
            <w:bookmarkStart w:id="0" w:name="LastJudge"/>
            <w:r w:rsidRPr="009F6F66">
              <w:rPr>
                <w:rFonts w:ascii="Tahoma" w:hAnsi="Tahoma"/>
                <w:b/>
                <w:bCs/>
                <w:color w:val="000080"/>
                <w:sz w:val="32"/>
                <w:szCs w:val="32"/>
                <w:rtl/>
              </w:rPr>
              <w:t>בית משפט השלום בתל אביב - יפו</w:t>
            </w:r>
          </w:p>
        </w:tc>
      </w:tr>
      <w:tr w:rsidR="00123940" w:rsidRPr="009F6F66" w14:paraId="6DC37358" w14:textId="77777777" w:rsidTr="00323926">
        <w:trPr>
          <w:trHeight w:val="337"/>
          <w:jc w:val="center"/>
        </w:trPr>
        <w:tc>
          <w:tcPr>
            <w:tcW w:w="5054" w:type="dxa"/>
          </w:tcPr>
          <w:p w14:paraId="52902ADE" w14:textId="77777777" w:rsidR="00123940" w:rsidRPr="009F6F66" w:rsidRDefault="00123940" w:rsidP="00305257">
            <w:pPr>
              <w:rPr>
                <w:sz w:val="26"/>
                <w:szCs w:val="26"/>
                <w:rtl/>
              </w:rPr>
            </w:pPr>
            <w:r w:rsidRPr="009F6F66">
              <w:rPr>
                <w:sz w:val="26"/>
                <w:szCs w:val="26"/>
                <w:rtl/>
              </w:rPr>
              <w:t>ת"פ</w:t>
            </w:r>
            <w:r w:rsidRPr="009F6F66">
              <w:rPr>
                <w:rFonts w:hint="cs"/>
                <w:sz w:val="26"/>
                <w:szCs w:val="26"/>
                <w:rtl/>
              </w:rPr>
              <w:t xml:space="preserve"> </w:t>
            </w:r>
            <w:r w:rsidRPr="009F6F66">
              <w:rPr>
                <w:sz w:val="26"/>
                <w:szCs w:val="26"/>
                <w:rtl/>
              </w:rPr>
              <w:t>32055-11-15</w:t>
            </w:r>
            <w:r w:rsidRPr="009F6F66">
              <w:rPr>
                <w:rFonts w:hint="cs"/>
                <w:sz w:val="26"/>
                <w:szCs w:val="26"/>
                <w:rtl/>
              </w:rPr>
              <w:t xml:space="preserve"> </w:t>
            </w:r>
            <w:r w:rsidRPr="009F6F66">
              <w:rPr>
                <w:sz w:val="26"/>
                <w:szCs w:val="26"/>
                <w:rtl/>
              </w:rPr>
              <w:t>מדינת ישראל נ' מאושר</w:t>
            </w:r>
          </w:p>
        </w:tc>
        <w:tc>
          <w:tcPr>
            <w:tcW w:w="3667" w:type="dxa"/>
          </w:tcPr>
          <w:p w14:paraId="7FC96F65" w14:textId="77777777" w:rsidR="00123940" w:rsidRPr="009F6F66" w:rsidRDefault="00123940" w:rsidP="00305257">
            <w:pPr>
              <w:pStyle w:val="a3"/>
              <w:jc w:val="right"/>
              <w:rPr>
                <w:rFonts w:cs="FrankRuehl"/>
                <w:sz w:val="28"/>
                <w:szCs w:val="28"/>
                <w:rtl/>
              </w:rPr>
            </w:pPr>
          </w:p>
        </w:tc>
      </w:tr>
    </w:tbl>
    <w:p w14:paraId="7E2CE855" w14:textId="77777777" w:rsidR="00123940" w:rsidRPr="009F6F66" w:rsidRDefault="00123940" w:rsidP="00123940">
      <w:pPr>
        <w:pStyle w:val="a3"/>
        <w:rPr>
          <w:rtl/>
        </w:rPr>
      </w:pPr>
      <w:r w:rsidRPr="009F6F66">
        <w:rPr>
          <w:rFonts w:hint="cs"/>
          <w:rtl/>
        </w:rPr>
        <w:t xml:space="preserve"> </w:t>
      </w:r>
    </w:p>
    <w:p w14:paraId="1BD9FE57" w14:textId="77777777" w:rsidR="00123940" w:rsidRPr="009F6F66" w:rsidRDefault="00123940" w:rsidP="0012394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7"/>
        <w:gridCol w:w="3382"/>
      </w:tblGrid>
      <w:tr w:rsidR="00123940" w:rsidRPr="009F6F66" w14:paraId="693E80D5" w14:textId="77777777" w:rsidTr="00123940">
        <w:trPr>
          <w:trHeight w:val="295"/>
          <w:jc w:val="center"/>
        </w:trPr>
        <w:tc>
          <w:tcPr>
            <w:tcW w:w="8820" w:type="dxa"/>
            <w:gridSpan w:val="3"/>
            <w:tcBorders>
              <w:top w:val="nil"/>
              <w:left w:val="nil"/>
              <w:bottom w:val="nil"/>
              <w:right w:val="nil"/>
            </w:tcBorders>
            <w:shd w:val="clear" w:color="auto" w:fill="auto"/>
          </w:tcPr>
          <w:p w14:paraId="14FF1405" w14:textId="77777777" w:rsidR="00123940" w:rsidRPr="009F6F66" w:rsidRDefault="00123940" w:rsidP="00123940">
            <w:pPr>
              <w:jc w:val="both"/>
              <w:rPr>
                <w:rFonts w:ascii="Arial" w:hAnsi="Arial"/>
                <w:b/>
                <w:bCs/>
                <w:sz w:val="26"/>
                <w:szCs w:val="26"/>
                <w:rtl/>
              </w:rPr>
            </w:pPr>
            <w:r w:rsidRPr="009F6F66">
              <w:rPr>
                <w:rFonts w:ascii="Arial" w:hAnsi="Arial" w:hint="cs"/>
                <w:b/>
                <w:bCs/>
                <w:sz w:val="26"/>
                <w:szCs w:val="26"/>
                <w:rtl/>
              </w:rPr>
              <w:t>ל</w:t>
            </w:r>
            <w:r w:rsidRPr="009F6F66">
              <w:rPr>
                <w:rFonts w:ascii="Arial" w:hAnsi="Arial"/>
                <w:b/>
                <w:bCs/>
                <w:sz w:val="26"/>
                <w:szCs w:val="26"/>
                <w:rtl/>
              </w:rPr>
              <w:t xml:space="preserve">פני </w:t>
            </w:r>
            <w:r w:rsidRPr="009F6F66">
              <w:rPr>
                <w:rFonts w:ascii="Arial" w:hAnsi="Arial" w:hint="cs"/>
                <w:b/>
                <w:bCs/>
                <w:sz w:val="26"/>
                <w:szCs w:val="26"/>
                <w:rtl/>
              </w:rPr>
              <w:t>כבוד ה</w:t>
            </w:r>
            <w:r w:rsidRPr="009F6F66">
              <w:rPr>
                <w:rFonts w:ascii="Arial" w:hAnsi="Arial"/>
                <w:b/>
                <w:bCs/>
                <w:sz w:val="26"/>
                <w:szCs w:val="26"/>
                <w:rtl/>
              </w:rPr>
              <w:t>שופט</w:t>
            </w:r>
            <w:r w:rsidRPr="009F6F66">
              <w:rPr>
                <w:rFonts w:ascii="Arial" w:hAnsi="Arial" w:hint="cs"/>
                <w:b/>
                <w:bCs/>
                <w:sz w:val="26"/>
                <w:szCs w:val="26"/>
                <w:rtl/>
              </w:rPr>
              <w:t xml:space="preserve">  </w:t>
            </w:r>
            <w:r w:rsidRPr="009F6F66">
              <w:rPr>
                <w:rFonts w:ascii="Arial" w:hAnsi="Arial"/>
                <w:b/>
                <w:bCs/>
                <w:sz w:val="26"/>
                <w:szCs w:val="26"/>
                <w:rtl/>
              </w:rPr>
              <w:t>עידו דרויאן-גמליאל</w:t>
            </w:r>
          </w:p>
          <w:p w14:paraId="18AFB113" w14:textId="77777777" w:rsidR="00123940" w:rsidRPr="009F6F66" w:rsidRDefault="00123940" w:rsidP="00123940">
            <w:pPr>
              <w:jc w:val="both"/>
              <w:rPr>
                <w:rFonts w:ascii="Arial" w:hAnsi="Arial"/>
                <w:sz w:val="26"/>
                <w:szCs w:val="26"/>
                <w:rtl/>
              </w:rPr>
            </w:pPr>
          </w:p>
          <w:p w14:paraId="2728F4A7" w14:textId="77777777" w:rsidR="00123940" w:rsidRPr="009F6F66" w:rsidRDefault="00123940" w:rsidP="00123940">
            <w:pPr>
              <w:jc w:val="both"/>
              <w:rPr>
                <w:rFonts w:ascii="Arial" w:hAnsi="Arial"/>
                <w:sz w:val="26"/>
                <w:szCs w:val="26"/>
              </w:rPr>
            </w:pPr>
          </w:p>
        </w:tc>
      </w:tr>
      <w:tr w:rsidR="00123940" w:rsidRPr="009F6F66" w14:paraId="6C582ACF" w14:textId="77777777" w:rsidTr="00123940">
        <w:trPr>
          <w:trHeight w:val="355"/>
          <w:jc w:val="center"/>
        </w:trPr>
        <w:tc>
          <w:tcPr>
            <w:tcW w:w="885" w:type="dxa"/>
            <w:tcBorders>
              <w:top w:val="nil"/>
              <w:left w:val="nil"/>
              <w:bottom w:val="nil"/>
              <w:right w:val="nil"/>
            </w:tcBorders>
            <w:shd w:val="clear" w:color="auto" w:fill="auto"/>
          </w:tcPr>
          <w:p w14:paraId="1DE1673D" w14:textId="77777777" w:rsidR="00123940" w:rsidRPr="009F6F66" w:rsidRDefault="00123940" w:rsidP="00123940">
            <w:pPr>
              <w:jc w:val="both"/>
              <w:rPr>
                <w:rFonts w:ascii="Arial" w:hAnsi="Arial"/>
                <w:b/>
                <w:bCs/>
                <w:sz w:val="26"/>
                <w:szCs w:val="26"/>
              </w:rPr>
            </w:pPr>
            <w:bookmarkStart w:id="1" w:name="FirstAppellant"/>
            <w:bookmarkStart w:id="2" w:name="FirstLawyer"/>
            <w:r w:rsidRPr="009F6F66">
              <w:rPr>
                <w:rFonts w:ascii="Arial" w:hAnsi="Arial" w:hint="cs"/>
                <w:b/>
                <w:bCs/>
                <w:sz w:val="26"/>
                <w:szCs w:val="26"/>
                <w:rtl/>
              </w:rPr>
              <w:t>ה</w:t>
            </w:r>
            <w:r w:rsidRPr="009F6F66">
              <w:rPr>
                <w:rFonts w:ascii="Arial" w:hAnsi="Arial"/>
                <w:b/>
                <w:bCs/>
                <w:sz w:val="26"/>
                <w:szCs w:val="26"/>
                <w:rtl/>
              </w:rPr>
              <w:t>מאשימה</w:t>
            </w:r>
          </w:p>
        </w:tc>
        <w:tc>
          <w:tcPr>
            <w:tcW w:w="4384" w:type="dxa"/>
            <w:tcBorders>
              <w:top w:val="nil"/>
              <w:left w:val="nil"/>
              <w:bottom w:val="nil"/>
              <w:right w:val="nil"/>
            </w:tcBorders>
            <w:shd w:val="clear" w:color="auto" w:fill="auto"/>
          </w:tcPr>
          <w:p w14:paraId="6B424C4D" w14:textId="77777777" w:rsidR="00123940" w:rsidRPr="009F6F66" w:rsidRDefault="00123940" w:rsidP="00305257">
            <w:pPr>
              <w:rPr>
                <w:b/>
                <w:bCs/>
                <w:sz w:val="26"/>
                <w:szCs w:val="26"/>
                <w:rtl/>
              </w:rPr>
            </w:pPr>
            <w:r w:rsidRPr="009F6F66">
              <w:rPr>
                <w:rFonts w:ascii="Arial" w:hAnsi="Arial"/>
                <w:b/>
                <w:bCs/>
                <w:sz w:val="26"/>
                <w:szCs w:val="26"/>
                <w:rtl/>
              </w:rPr>
              <w:t>מדינת ישראל</w:t>
            </w:r>
          </w:p>
          <w:p w14:paraId="69760834" w14:textId="77777777" w:rsidR="00123940" w:rsidRPr="009F6F66" w:rsidRDefault="00123940" w:rsidP="00305257">
            <w:pPr>
              <w:rPr>
                <w:sz w:val="26"/>
                <w:szCs w:val="26"/>
              </w:rPr>
            </w:pPr>
            <w:r w:rsidRPr="009F6F66">
              <w:rPr>
                <w:rFonts w:hint="cs"/>
                <w:sz w:val="26"/>
                <w:szCs w:val="26"/>
                <w:rtl/>
              </w:rPr>
              <w:t>ע"י ב"כ עוה"ד הרצוג ובר טוב</w:t>
            </w:r>
          </w:p>
        </w:tc>
        <w:tc>
          <w:tcPr>
            <w:tcW w:w="3551" w:type="dxa"/>
            <w:tcBorders>
              <w:top w:val="nil"/>
              <w:left w:val="nil"/>
              <w:bottom w:val="nil"/>
              <w:right w:val="nil"/>
            </w:tcBorders>
            <w:shd w:val="clear" w:color="auto" w:fill="auto"/>
          </w:tcPr>
          <w:p w14:paraId="702591D2" w14:textId="77777777" w:rsidR="00123940" w:rsidRPr="009F6F66" w:rsidRDefault="00123940" w:rsidP="00123940">
            <w:pPr>
              <w:jc w:val="both"/>
              <w:rPr>
                <w:rFonts w:ascii="Arial" w:hAnsi="Arial"/>
                <w:sz w:val="26"/>
                <w:szCs w:val="26"/>
              </w:rPr>
            </w:pPr>
          </w:p>
        </w:tc>
      </w:tr>
      <w:bookmarkEnd w:id="1"/>
      <w:bookmarkEnd w:id="2"/>
      <w:tr w:rsidR="00123940" w:rsidRPr="009F6F66" w14:paraId="159B6236" w14:textId="77777777" w:rsidTr="00123940">
        <w:trPr>
          <w:trHeight w:val="355"/>
          <w:jc w:val="center"/>
        </w:trPr>
        <w:tc>
          <w:tcPr>
            <w:tcW w:w="885" w:type="dxa"/>
            <w:tcBorders>
              <w:top w:val="nil"/>
              <w:left w:val="nil"/>
              <w:bottom w:val="nil"/>
              <w:right w:val="nil"/>
            </w:tcBorders>
            <w:shd w:val="clear" w:color="auto" w:fill="auto"/>
          </w:tcPr>
          <w:p w14:paraId="0D6F3B6B" w14:textId="77777777" w:rsidR="00123940" w:rsidRPr="009F6F66" w:rsidRDefault="00123940" w:rsidP="00123940">
            <w:pPr>
              <w:jc w:val="both"/>
              <w:rPr>
                <w:rFonts w:ascii="Arial" w:hAnsi="Arial"/>
                <w:sz w:val="26"/>
                <w:szCs w:val="26"/>
                <w:rtl/>
              </w:rPr>
            </w:pPr>
          </w:p>
        </w:tc>
        <w:tc>
          <w:tcPr>
            <w:tcW w:w="4384" w:type="dxa"/>
            <w:tcBorders>
              <w:top w:val="nil"/>
              <w:left w:val="nil"/>
              <w:bottom w:val="nil"/>
              <w:right w:val="nil"/>
            </w:tcBorders>
            <w:shd w:val="clear" w:color="auto" w:fill="auto"/>
          </w:tcPr>
          <w:p w14:paraId="7F4720DA" w14:textId="77777777" w:rsidR="00123940" w:rsidRPr="009F6F66" w:rsidRDefault="00123940" w:rsidP="00305257">
            <w:pPr>
              <w:rPr>
                <w:rFonts w:ascii="Arial" w:hAnsi="Arial"/>
                <w:sz w:val="26"/>
                <w:szCs w:val="26"/>
                <w:rtl/>
              </w:rPr>
            </w:pPr>
          </w:p>
        </w:tc>
        <w:tc>
          <w:tcPr>
            <w:tcW w:w="3551" w:type="dxa"/>
            <w:tcBorders>
              <w:top w:val="nil"/>
              <w:left w:val="nil"/>
              <w:bottom w:val="nil"/>
              <w:right w:val="nil"/>
            </w:tcBorders>
            <w:shd w:val="clear" w:color="auto" w:fill="auto"/>
          </w:tcPr>
          <w:p w14:paraId="66C4591C" w14:textId="77777777" w:rsidR="00123940" w:rsidRPr="009F6F66" w:rsidRDefault="00123940" w:rsidP="00123940">
            <w:pPr>
              <w:jc w:val="right"/>
              <w:rPr>
                <w:rFonts w:ascii="Arial" w:hAnsi="Arial"/>
                <w:sz w:val="26"/>
                <w:szCs w:val="26"/>
                <w:rtl/>
              </w:rPr>
            </w:pPr>
          </w:p>
        </w:tc>
      </w:tr>
      <w:tr w:rsidR="00123940" w:rsidRPr="009F6F66" w14:paraId="32E1275C" w14:textId="77777777" w:rsidTr="00123940">
        <w:trPr>
          <w:trHeight w:val="373"/>
          <w:jc w:val="center"/>
        </w:trPr>
        <w:tc>
          <w:tcPr>
            <w:tcW w:w="885" w:type="dxa"/>
            <w:tcBorders>
              <w:top w:val="nil"/>
              <w:left w:val="nil"/>
              <w:bottom w:val="nil"/>
              <w:right w:val="nil"/>
            </w:tcBorders>
            <w:shd w:val="clear" w:color="auto" w:fill="auto"/>
          </w:tcPr>
          <w:p w14:paraId="05137FB2" w14:textId="77777777" w:rsidR="00123940" w:rsidRPr="009F6F66" w:rsidRDefault="00123940" w:rsidP="00123940">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58168D7B" w14:textId="77777777" w:rsidR="00123940" w:rsidRPr="009F6F66" w:rsidRDefault="00123940" w:rsidP="00123940">
            <w:pPr>
              <w:jc w:val="center"/>
              <w:rPr>
                <w:rFonts w:ascii="Arial" w:hAnsi="Arial"/>
                <w:b/>
                <w:bCs/>
                <w:sz w:val="26"/>
                <w:szCs w:val="26"/>
                <w:rtl/>
              </w:rPr>
            </w:pPr>
          </w:p>
          <w:p w14:paraId="743E7BE6" w14:textId="77777777" w:rsidR="00123940" w:rsidRPr="009F6F66" w:rsidRDefault="00123940" w:rsidP="00123940">
            <w:pPr>
              <w:jc w:val="center"/>
              <w:rPr>
                <w:rFonts w:ascii="Arial" w:hAnsi="Arial"/>
                <w:b/>
                <w:bCs/>
                <w:sz w:val="26"/>
                <w:szCs w:val="26"/>
                <w:rtl/>
              </w:rPr>
            </w:pPr>
            <w:r w:rsidRPr="009F6F66">
              <w:rPr>
                <w:rFonts w:ascii="Arial" w:hAnsi="Arial"/>
                <w:b/>
                <w:bCs/>
                <w:sz w:val="26"/>
                <w:szCs w:val="26"/>
                <w:rtl/>
              </w:rPr>
              <w:t>נגד</w:t>
            </w:r>
          </w:p>
          <w:p w14:paraId="1C242D0E" w14:textId="77777777" w:rsidR="00123940" w:rsidRPr="009F6F66" w:rsidRDefault="00123940" w:rsidP="00123940">
            <w:pPr>
              <w:jc w:val="both"/>
              <w:rPr>
                <w:rFonts w:ascii="Arial" w:hAnsi="Arial"/>
                <w:sz w:val="26"/>
                <w:szCs w:val="26"/>
              </w:rPr>
            </w:pPr>
          </w:p>
        </w:tc>
      </w:tr>
      <w:tr w:rsidR="00123940" w:rsidRPr="009F6F66" w14:paraId="344A395F" w14:textId="77777777" w:rsidTr="00123940">
        <w:trPr>
          <w:trHeight w:val="355"/>
          <w:jc w:val="center"/>
        </w:trPr>
        <w:tc>
          <w:tcPr>
            <w:tcW w:w="885" w:type="dxa"/>
            <w:tcBorders>
              <w:top w:val="nil"/>
              <w:left w:val="nil"/>
              <w:bottom w:val="nil"/>
              <w:right w:val="nil"/>
            </w:tcBorders>
            <w:shd w:val="clear" w:color="auto" w:fill="auto"/>
          </w:tcPr>
          <w:p w14:paraId="02AFD3E2" w14:textId="77777777" w:rsidR="00123940" w:rsidRPr="009F6F66" w:rsidRDefault="00123940" w:rsidP="00305257">
            <w:pPr>
              <w:rPr>
                <w:rFonts w:ascii="Arial" w:hAnsi="Arial"/>
                <w:b/>
                <w:bCs/>
                <w:sz w:val="26"/>
                <w:szCs w:val="26"/>
                <w:rtl/>
              </w:rPr>
            </w:pPr>
            <w:r w:rsidRPr="009F6F66">
              <w:rPr>
                <w:rFonts w:ascii="Arial" w:hAnsi="Arial" w:hint="cs"/>
                <w:b/>
                <w:bCs/>
                <w:sz w:val="26"/>
                <w:szCs w:val="26"/>
                <w:rtl/>
              </w:rPr>
              <w:t>ה</w:t>
            </w:r>
            <w:r w:rsidRPr="009F6F66">
              <w:rPr>
                <w:rFonts w:ascii="Arial" w:hAnsi="Arial"/>
                <w:b/>
                <w:bCs/>
                <w:sz w:val="26"/>
                <w:szCs w:val="26"/>
                <w:rtl/>
              </w:rPr>
              <w:t>נאשם</w:t>
            </w:r>
          </w:p>
        </w:tc>
        <w:tc>
          <w:tcPr>
            <w:tcW w:w="4384" w:type="dxa"/>
            <w:tcBorders>
              <w:top w:val="nil"/>
              <w:left w:val="nil"/>
              <w:bottom w:val="nil"/>
              <w:right w:val="nil"/>
            </w:tcBorders>
            <w:shd w:val="clear" w:color="auto" w:fill="auto"/>
          </w:tcPr>
          <w:p w14:paraId="2E604850" w14:textId="77777777" w:rsidR="00123940" w:rsidRPr="009F6F66" w:rsidRDefault="00123940" w:rsidP="00305257">
            <w:pPr>
              <w:rPr>
                <w:b/>
                <w:bCs/>
                <w:sz w:val="26"/>
                <w:szCs w:val="26"/>
                <w:rtl/>
              </w:rPr>
            </w:pPr>
            <w:r w:rsidRPr="009F6F66">
              <w:rPr>
                <w:rFonts w:ascii="Arial" w:hAnsi="Arial"/>
                <w:b/>
                <w:bCs/>
                <w:sz w:val="26"/>
                <w:szCs w:val="26"/>
                <w:rtl/>
              </w:rPr>
              <w:t>בועז מאושר</w:t>
            </w:r>
          </w:p>
          <w:p w14:paraId="3EC2FC48" w14:textId="77777777" w:rsidR="00123940" w:rsidRPr="009F6F66" w:rsidRDefault="00123940" w:rsidP="00305257">
            <w:pPr>
              <w:rPr>
                <w:sz w:val="26"/>
                <w:szCs w:val="26"/>
                <w:rtl/>
              </w:rPr>
            </w:pPr>
            <w:r w:rsidRPr="009F6F66">
              <w:rPr>
                <w:rFonts w:hint="cs"/>
                <w:sz w:val="26"/>
                <w:szCs w:val="26"/>
                <w:rtl/>
              </w:rPr>
              <w:t>ע"י ב"כ עו"ד אזולאי</w:t>
            </w:r>
          </w:p>
        </w:tc>
        <w:tc>
          <w:tcPr>
            <w:tcW w:w="3551" w:type="dxa"/>
            <w:tcBorders>
              <w:top w:val="nil"/>
              <w:left w:val="nil"/>
              <w:bottom w:val="nil"/>
              <w:right w:val="nil"/>
            </w:tcBorders>
            <w:shd w:val="clear" w:color="auto" w:fill="auto"/>
          </w:tcPr>
          <w:p w14:paraId="5955311E" w14:textId="77777777" w:rsidR="00123940" w:rsidRPr="009F6F66" w:rsidRDefault="00123940" w:rsidP="00123940">
            <w:pPr>
              <w:jc w:val="right"/>
              <w:rPr>
                <w:rFonts w:ascii="Arial" w:hAnsi="Arial"/>
                <w:sz w:val="26"/>
                <w:szCs w:val="26"/>
              </w:rPr>
            </w:pPr>
          </w:p>
        </w:tc>
      </w:tr>
      <w:tr w:rsidR="00123940" w:rsidRPr="009F6F66" w14:paraId="3CC893AD" w14:textId="77777777" w:rsidTr="00123940">
        <w:trPr>
          <w:trHeight w:val="80"/>
          <w:jc w:val="center"/>
        </w:trPr>
        <w:tc>
          <w:tcPr>
            <w:tcW w:w="885" w:type="dxa"/>
            <w:tcBorders>
              <w:top w:val="nil"/>
              <w:left w:val="nil"/>
              <w:bottom w:val="nil"/>
              <w:right w:val="nil"/>
            </w:tcBorders>
            <w:shd w:val="clear" w:color="auto" w:fill="auto"/>
          </w:tcPr>
          <w:p w14:paraId="1E87B373" w14:textId="77777777" w:rsidR="00123940" w:rsidRPr="009F6F66" w:rsidRDefault="00123940" w:rsidP="00123940">
            <w:pPr>
              <w:jc w:val="both"/>
              <w:rPr>
                <w:rFonts w:ascii="Arial" w:hAnsi="Arial"/>
                <w:sz w:val="26"/>
                <w:szCs w:val="26"/>
                <w:rtl/>
              </w:rPr>
            </w:pPr>
          </w:p>
        </w:tc>
        <w:tc>
          <w:tcPr>
            <w:tcW w:w="4384" w:type="dxa"/>
            <w:tcBorders>
              <w:top w:val="nil"/>
              <w:left w:val="nil"/>
              <w:bottom w:val="nil"/>
              <w:right w:val="nil"/>
            </w:tcBorders>
            <w:shd w:val="clear" w:color="auto" w:fill="auto"/>
          </w:tcPr>
          <w:p w14:paraId="56FC169F" w14:textId="77777777" w:rsidR="00123940" w:rsidRPr="009F6F66" w:rsidRDefault="00123940" w:rsidP="00305257">
            <w:pPr>
              <w:rPr>
                <w:rFonts w:ascii="Arial" w:hAnsi="Arial"/>
                <w:sz w:val="26"/>
                <w:szCs w:val="26"/>
              </w:rPr>
            </w:pPr>
          </w:p>
        </w:tc>
        <w:tc>
          <w:tcPr>
            <w:tcW w:w="3551" w:type="dxa"/>
            <w:tcBorders>
              <w:top w:val="nil"/>
              <w:left w:val="nil"/>
              <w:bottom w:val="nil"/>
              <w:right w:val="nil"/>
            </w:tcBorders>
            <w:shd w:val="clear" w:color="auto" w:fill="auto"/>
          </w:tcPr>
          <w:p w14:paraId="1FFCB56B" w14:textId="77777777" w:rsidR="00123940" w:rsidRPr="009F6F66" w:rsidRDefault="00123940" w:rsidP="00123940">
            <w:pPr>
              <w:jc w:val="right"/>
              <w:rPr>
                <w:rFonts w:ascii="Arial" w:hAnsi="Arial"/>
                <w:sz w:val="26"/>
                <w:szCs w:val="26"/>
              </w:rPr>
            </w:pPr>
          </w:p>
        </w:tc>
      </w:tr>
    </w:tbl>
    <w:p w14:paraId="75D62A76" w14:textId="77777777" w:rsidR="00801831" w:rsidRDefault="00801831" w:rsidP="00123940">
      <w:pPr>
        <w:rPr>
          <w:rtl/>
        </w:rPr>
      </w:pPr>
      <w:bookmarkStart w:id="3" w:name="LawTable"/>
      <w:bookmarkEnd w:id="3"/>
    </w:p>
    <w:p w14:paraId="3427F02C" w14:textId="77777777" w:rsidR="00801831" w:rsidRPr="00801831" w:rsidRDefault="00801831" w:rsidP="00801831">
      <w:pPr>
        <w:spacing w:after="120" w:line="240" w:lineRule="exact"/>
        <w:ind w:left="283" w:hanging="283"/>
        <w:jc w:val="both"/>
        <w:rPr>
          <w:rFonts w:ascii="FrankRuehl" w:hAnsi="FrankRuehl" w:cs="FrankRuehl"/>
          <w:rtl/>
        </w:rPr>
      </w:pPr>
    </w:p>
    <w:p w14:paraId="7B3592D6" w14:textId="77777777" w:rsidR="00801831" w:rsidRPr="00801831" w:rsidRDefault="00801831" w:rsidP="00801831">
      <w:pPr>
        <w:spacing w:after="120" w:line="240" w:lineRule="exact"/>
        <w:ind w:left="283" w:hanging="283"/>
        <w:jc w:val="both"/>
        <w:rPr>
          <w:rFonts w:ascii="FrankRuehl" w:hAnsi="FrankRuehl" w:cs="FrankRuehl"/>
          <w:rtl/>
        </w:rPr>
      </w:pPr>
      <w:r w:rsidRPr="00801831">
        <w:rPr>
          <w:rFonts w:ascii="FrankRuehl" w:hAnsi="FrankRuehl" w:cs="FrankRuehl"/>
          <w:rtl/>
        </w:rPr>
        <w:t xml:space="preserve">חקיקה שאוזכרה: </w:t>
      </w:r>
    </w:p>
    <w:p w14:paraId="514F0730" w14:textId="77777777" w:rsidR="00801831" w:rsidRPr="00801831" w:rsidRDefault="00801831" w:rsidP="00801831">
      <w:pPr>
        <w:spacing w:after="120" w:line="240" w:lineRule="exact"/>
        <w:ind w:left="283" w:hanging="283"/>
        <w:jc w:val="both"/>
        <w:rPr>
          <w:rFonts w:ascii="FrankRuehl" w:hAnsi="FrankRuehl" w:cs="FrankRuehl"/>
          <w:rtl/>
        </w:rPr>
      </w:pPr>
      <w:hyperlink r:id="rId7" w:history="1">
        <w:r w:rsidRPr="00801831">
          <w:rPr>
            <w:rFonts w:ascii="FrankRuehl" w:hAnsi="FrankRuehl" w:cs="FrankRuehl"/>
            <w:color w:val="0000FF"/>
            <w:u w:val="single"/>
            <w:rtl/>
          </w:rPr>
          <w:t>פקודת הסמים המסוכנים [נוסח חדש], תשל"ג-1973</w:t>
        </w:r>
      </w:hyperlink>
      <w:r w:rsidRPr="00801831">
        <w:rPr>
          <w:rFonts w:ascii="FrankRuehl" w:hAnsi="FrankRuehl" w:cs="FrankRuehl"/>
          <w:rtl/>
        </w:rPr>
        <w:t xml:space="preserve">: סע'  </w:t>
      </w:r>
      <w:hyperlink r:id="rId8" w:history="1">
        <w:r w:rsidRPr="00801831">
          <w:rPr>
            <w:rFonts w:ascii="FrankRuehl" w:hAnsi="FrankRuehl" w:cs="FrankRuehl"/>
            <w:color w:val="0000FF"/>
            <w:u w:val="single"/>
            <w:rtl/>
          </w:rPr>
          <w:t>6</w:t>
        </w:r>
      </w:hyperlink>
    </w:p>
    <w:p w14:paraId="5FD3A88F" w14:textId="77777777" w:rsidR="00801831" w:rsidRPr="00801831" w:rsidRDefault="00801831" w:rsidP="00801831">
      <w:pPr>
        <w:spacing w:after="120" w:line="240" w:lineRule="exact"/>
        <w:ind w:left="283" w:hanging="283"/>
        <w:jc w:val="both"/>
        <w:rPr>
          <w:rFonts w:ascii="FrankRuehl" w:hAnsi="FrankRuehl" w:cs="FrankRuehl"/>
          <w:rtl/>
        </w:rPr>
      </w:pPr>
      <w:hyperlink r:id="rId9" w:history="1">
        <w:r w:rsidRPr="00801831">
          <w:rPr>
            <w:rFonts w:ascii="FrankRuehl" w:hAnsi="FrankRuehl" w:cs="FrankRuehl"/>
            <w:color w:val="0000FF"/>
            <w:u w:val="single"/>
            <w:rtl/>
          </w:rPr>
          <w:t>פקודת הרוקחים [נוסח חדש], תשמ"א-1981</w:t>
        </w:r>
      </w:hyperlink>
    </w:p>
    <w:p w14:paraId="55F653E9" w14:textId="77777777" w:rsidR="00801831" w:rsidRPr="00801831" w:rsidRDefault="00801831" w:rsidP="00801831">
      <w:pPr>
        <w:spacing w:after="120" w:line="240" w:lineRule="exact"/>
        <w:ind w:left="283" w:hanging="283"/>
        <w:jc w:val="both"/>
        <w:rPr>
          <w:rFonts w:ascii="FrankRuehl" w:hAnsi="FrankRuehl" w:cs="FrankRuehl"/>
          <w:rtl/>
        </w:rPr>
      </w:pPr>
      <w:hyperlink r:id="rId10" w:history="1">
        <w:r w:rsidRPr="00801831">
          <w:rPr>
            <w:rFonts w:ascii="FrankRuehl" w:hAnsi="FrankRuehl" w:cs="FrankRuehl"/>
            <w:color w:val="0000FF"/>
            <w:u w:val="single"/>
            <w:rtl/>
          </w:rPr>
          <w:t>חוק פיקוח על בתי ספר, תשכ"ט-1969</w:t>
        </w:r>
      </w:hyperlink>
      <w:r w:rsidRPr="00801831">
        <w:rPr>
          <w:rFonts w:ascii="FrankRuehl" w:hAnsi="FrankRuehl" w:cs="FrankRuehl"/>
          <w:rtl/>
        </w:rPr>
        <w:t xml:space="preserve">: סע'  </w:t>
      </w:r>
      <w:hyperlink r:id="rId11" w:history="1">
        <w:r w:rsidRPr="00801831">
          <w:rPr>
            <w:rFonts w:ascii="FrankRuehl" w:hAnsi="FrankRuehl" w:cs="FrankRuehl"/>
            <w:color w:val="0000FF"/>
            <w:u w:val="single"/>
            <w:rtl/>
          </w:rPr>
          <w:t>16</w:t>
        </w:r>
      </w:hyperlink>
      <w:r w:rsidRPr="00801831">
        <w:rPr>
          <w:rFonts w:ascii="FrankRuehl" w:hAnsi="FrankRuehl" w:cs="FrankRuehl"/>
          <w:rtl/>
        </w:rPr>
        <w:t xml:space="preserve">, </w:t>
      </w:r>
      <w:hyperlink r:id="rId12" w:history="1">
        <w:r w:rsidRPr="00801831">
          <w:rPr>
            <w:rFonts w:ascii="FrankRuehl" w:hAnsi="FrankRuehl" w:cs="FrankRuehl"/>
            <w:color w:val="0000FF"/>
            <w:u w:val="single"/>
            <w:rtl/>
          </w:rPr>
          <w:t>16(ב)(2)</w:t>
        </w:r>
      </w:hyperlink>
      <w:r w:rsidRPr="00801831">
        <w:rPr>
          <w:rFonts w:ascii="FrankRuehl" w:hAnsi="FrankRuehl" w:cs="FrankRuehl"/>
          <w:rtl/>
        </w:rPr>
        <w:t xml:space="preserve">, </w:t>
      </w:r>
      <w:hyperlink r:id="rId13" w:history="1">
        <w:r w:rsidRPr="00801831">
          <w:rPr>
            <w:rFonts w:ascii="FrankRuehl" w:hAnsi="FrankRuehl" w:cs="FrankRuehl"/>
            <w:color w:val="0000FF"/>
            <w:u w:val="single"/>
            <w:rtl/>
          </w:rPr>
          <w:t>16(ב)(3)</w:t>
        </w:r>
      </w:hyperlink>
      <w:r w:rsidRPr="00801831">
        <w:rPr>
          <w:rFonts w:ascii="FrankRuehl" w:hAnsi="FrankRuehl" w:cs="FrankRuehl"/>
          <w:rtl/>
        </w:rPr>
        <w:t xml:space="preserve">, </w:t>
      </w:r>
      <w:hyperlink r:id="rId14" w:history="1">
        <w:r w:rsidRPr="00801831">
          <w:rPr>
            <w:rFonts w:ascii="FrankRuehl" w:hAnsi="FrankRuehl" w:cs="FrankRuehl"/>
            <w:color w:val="0000FF"/>
            <w:u w:val="single"/>
            <w:rtl/>
          </w:rPr>
          <w:t>18</w:t>
        </w:r>
      </w:hyperlink>
      <w:r w:rsidRPr="00801831">
        <w:rPr>
          <w:rFonts w:ascii="FrankRuehl" w:hAnsi="FrankRuehl" w:cs="FrankRuehl"/>
          <w:rtl/>
        </w:rPr>
        <w:t xml:space="preserve">, </w:t>
      </w:r>
      <w:hyperlink r:id="rId15" w:history="1">
        <w:r w:rsidRPr="00801831">
          <w:rPr>
            <w:rFonts w:ascii="FrankRuehl" w:hAnsi="FrankRuehl" w:cs="FrankRuehl"/>
            <w:color w:val="0000FF"/>
            <w:u w:val="single"/>
            <w:rtl/>
          </w:rPr>
          <w:t>18(א)</w:t>
        </w:r>
      </w:hyperlink>
      <w:r w:rsidRPr="00801831">
        <w:rPr>
          <w:rFonts w:ascii="FrankRuehl" w:hAnsi="FrankRuehl" w:cs="FrankRuehl"/>
          <w:rtl/>
        </w:rPr>
        <w:t xml:space="preserve">, </w:t>
      </w:r>
      <w:hyperlink r:id="rId16" w:history="1">
        <w:r w:rsidRPr="00801831">
          <w:rPr>
            <w:rFonts w:ascii="FrankRuehl" w:hAnsi="FrankRuehl" w:cs="FrankRuehl"/>
            <w:color w:val="0000FF"/>
            <w:u w:val="single"/>
            <w:rtl/>
          </w:rPr>
          <w:t>19</w:t>
        </w:r>
      </w:hyperlink>
    </w:p>
    <w:p w14:paraId="65FDE2F1" w14:textId="77777777" w:rsidR="00801831" w:rsidRPr="00801831" w:rsidRDefault="00801831" w:rsidP="00801831">
      <w:pPr>
        <w:spacing w:after="120" w:line="240" w:lineRule="exact"/>
        <w:ind w:left="283" w:hanging="283"/>
        <w:jc w:val="both"/>
        <w:rPr>
          <w:rFonts w:ascii="FrankRuehl" w:hAnsi="FrankRuehl" w:cs="FrankRuehl"/>
          <w:rtl/>
        </w:rPr>
      </w:pPr>
    </w:p>
    <w:p w14:paraId="57F81476" w14:textId="77777777" w:rsidR="00801831" w:rsidRPr="00801831" w:rsidRDefault="00801831" w:rsidP="00123940">
      <w:pPr>
        <w:rPr>
          <w:rtl/>
        </w:rPr>
      </w:pPr>
      <w:bookmarkStart w:id="4" w:name="LawTable_End"/>
      <w:bookmarkEnd w:id="4"/>
    </w:p>
    <w:p w14:paraId="6335D5B2" w14:textId="77777777" w:rsidR="0064024A" w:rsidRPr="0064024A" w:rsidRDefault="0064024A" w:rsidP="00123940">
      <w:pPr>
        <w:rPr>
          <w:rtl/>
        </w:rPr>
      </w:pPr>
    </w:p>
    <w:p w14:paraId="2353FDE9" w14:textId="77777777" w:rsidR="009F6F66" w:rsidRPr="009F6F66" w:rsidRDefault="009F6F66" w:rsidP="00123940">
      <w:pPr>
        <w:rPr>
          <w:rtl/>
        </w:rPr>
      </w:pPr>
    </w:p>
    <w:p w14:paraId="68408ADD" w14:textId="77777777" w:rsidR="009F6F66" w:rsidRPr="009F6F66" w:rsidRDefault="009F6F66" w:rsidP="00123940">
      <w:pPr>
        <w:rPr>
          <w:rtl/>
        </w:rPr>
      </w:pPr>
    </w:p>
    <w:p w14:paraId="0F1C3B78" w14:textId="77777777" w:rsidR="00123940" w:rsidRPr="009F6F66" w:rsidRDefault="00123940" w:rsidP="0012394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3940" w14:paraId="5A2A2874" w14:textId="77777777" w:rsidTr="00123940">
        <w:trPr>
          <w:trHeight w:val="355"/>
          <w:jc w:val="center"/>
        </w:trPr>
        <w:tc>
          <w:tcPr>
            <w:tcW w:w="8820" w:type="dxa"/>
            <w:tcBorders>
              <w:top w:val="nil"/>
              <w:left w:val="nil"/>
              <w:bottom w:val="nil"/>
              <w:right w:val="nil"/>
            </w:tcBorders>
            <w:shd w:val="clear" w:color="auto" w:fill="auto"/>
          </w:tcPr>
          <w:p w14:paraId="492235BF" w14:textId="77777777" w:rsidR="009F6F66" w:rsidRPr="009F6F66" w:rsidRDefault="009F6F66" w:rsidP="009F6F66">
            <w:pPr>
              <w:jc w:val="center"/>
              <w:rPr>
                <w:rFonts w:ascii="Arial" w:hAnsi="Arial"/>
                <w:b/>
                <w:bCs/>
                <w:sz w:val="28"/>
                <w:szCs w:val="28"/>
                <w:u w:val="single"/>
                <w:rtl/>
              </w:rPr>
            </w:pPr>
            <w:bookmarkStart w:id="5" w:name="PsakDin" w:colFirst="0" w:colLast="0"/>
            <w:bookmarkEnd w:id="0"/>
            <w:r w:rsidRPr="009F6F66">
              <w:rPr>
                <w:rFonts w:ascii="Arial" w:hAnsi="Arial"/>
                <w:b/>
                <w:bCs/>
                <w:sz w:val="28"/>
                <w:szCs w:val="28"/>
                <w:u w:val="single"/>
                <w:rtl/>
              </w:rPr>
              <w:t>גזר דין</w:t>
            </w:r>
          </w:p>
          <w:p w14:paraId="4074C158" w14:textId="77777777" w:rsidR="00123940" w:rsidRPr="009F6F66" w:rsidRDefault="00123940" w:rsidP="009F6F66">
            <w:pPr>
              <w:jc w:val="center"/>
              <w:rPr>
                <w:rFonts w:ascii="Arial" w:hAnsi="Arial"/>
                <w:bCs/>
                <w:sz w:val="28"/>
                <w:szCs w:val="28"/>
                <w:u w:val="single"/>
                <w:rtl/>
              </w:rPr>
            </w:pPr>
          </w:p>
        </w:tc>
      </w:tr>
      <w:bookmarkEnd w:id="5"/>
    </w:tbl>
    <w:p w14:paraId="1E5EE207" w14:textId="77777777" w:rsidR="00123940" w:rsidRPr="00B05847" w:rsidRDefault="00123940" w:rsidP="00123940">
      <w:pPr>
        <w:rPr>
          <w:rFonts w:ascii="Arial" w:hAnsi="Arial"/>
          <w:rtl/>
        </w:rPr>
      </w:pPr>
    </w:p>
    <w:p w14:paraId="3911F1FF" w14:textId="77777777" w:rsidR="00123940" w:rsidRDefault="00123940" w:rsidP="00123940">
      <w:pPr>
        <w:spacing w:line="360" w:lineRule="auto"/>
        <w:jc w:val="both"/>
        <w:rPr>
          <w:rFonts w:ascii="Arial" w:hAnsi="Arial"/>
          <w:rtl/>
        </w:rPr>
      </w:pPr>
      <w:bookmarkStart w:id="6" w:name="ABSTRACT_START"/>
      <w:bookmarkEnd w:id="6"/>
    </w:p>
    <w:p w14:paraId="007D9A1C" w14:textId="77777777" w:rsidR="00123940" w:rsidRDefault="00123940" w:rsidP="00123940">
      <w:pPr>
        <w:spacing w:line="360" w:lineRule="auto"/>
        <w:jc w:val="both"/>
        <w:rPr>
          <w:rFonts w:ascii="Arial" w:hAnsi="Arial"/>
          <w:rtl/>
        </w:rPr>
      </w:pPr>
      <w:r>
        <w:rPr>
          <w:rFonts w:ascii="Arial" w:hAnsi="Arial" w:hint="cs"/>
          <w:rtl/>
        </w:rPr>
        <w:t xml:space="preserve">ביום 19.9.16, במסגרת הסדר טיעון דיוני ללא הסכמה עונשית, הודה הנאשם בכתב אישום מתוקן והורשע בעבירה של גידול סם מסוכן, לפי </w:t>
      </w:r>
      <w:hyperlink r:id="rId17" w:history="1">
        <w:r w:rsidR="0064024A" w:rsidRPr="0064024A">
          <w:rPr>
            <w:rFonts w:ascii="Arial" w:hAnsi="Arial"/>
            <w:color w:val="0000FF"/>
            <w:u w:val="single"/>
            <w:rtl/>
          </w:rPr>
          <w:t>סעיף 6</w:t>
        </w:r>
      </w:hyperlink>
      <w:r>
        <w:rPr>
          <w:rFonts w:ascii="Arial" w:hAnsi="Arial" w:hint="cs"/>
          <w:rtl/>
        </w:rPr>
        <w:t xml:space="preserve"> ל</w:t>
      </w:r>
      <w:hyperlink r:id="rId18" w:history="1">
        <w:r w:rsidR="009F6F66" w:rsidRPr="009F6F66">
          <w:rPr>
            <w:rFonts w:ascii="Arial" w:hAnsi="Arial"/>
            <w:color w:val="0000FF"/>
            <w:u w:val="single"/>
            <w:rtl/>
          </w:rPr>
          <w:t>פקודת הסמים המסוכנים</w:t>
        </w:r>
      </w:hyperlink>
      <w:r>
        <w:rPr>
          <w:rFonts w:ascii="Arial" w:hAnsi="Arial" w:hint="cs"/>
          <w:rtl/>
        </w:rPr>
        <w:t>.</w:t>
      </w:r>
    </w:p>
    <w:p w14:paraId="6D8DC8CF" w14:textId="77777777" w:rsidR="00123940" w:rsidRDefault="00123940" w:rsidP="00123940">
      <w:pPr>
        <w:spacing w:line="360" w:lineRule="auto"/>
        <w:jc w:val="both"/>
        <w:rPr>
          <w:rFonts w:ascii="Arial" w:hAnsi="Arial"/>
          <w:rtl/>
        </w:rPr>
      </w:pPr>
    </w:p>
    <w:p w14:paraId="735DA695" w14:textId="77777777" w:rsidR="00123940" w:rsidRDefault="00123940" w:rsidP="00123940">
      <w:pPr>
        <w:spacing w:line="360" w:lineRule="auto"/>
        <w:jc w:val="both"/>
        <w:rPr>
          <w:rFonts w:ascii="Arial" w:hAnsi="Arial"/>
          <w:rtl/>
        </w:rPr>
      </w:pPr>
      <w:r>
        <w:rPr>
          <w:rFonts w:ascii="Arial" w:hAnsi="Arial" w:hint="cs"/>
          <w:rtl/>
        </w:rPr>
        <w:t>בעניינו של הנאשם הוגשו שני תסקירים מטעם שירות המבחן, הראשון מיום 26.3.17 והשני מיום 6.7.17. התביעה עתרה לעונש שעיקרו ששה חודשי מאסר לריצוי בכליאה, וההגנה עתרה לביטול ההרשעה ולחיוב בשל"צ בהיקף גדול.</w:t>
      </w:r>
    </w:p>
    <w:p w14:paraId="6ACC9165" w14:textId="77777777" w:rsidR="00123940" w:rsidRDefault="00123940" w:rsidP="00123940">
      <w:pPr>
        <w:spacing w:line="360" w:lineRule="auto"/>
        <w:jc w:val="both"/>
        <w:rPr>
          <w:rFonts w:ascii="Arial" w:hAnsi="Arial"/>
          <w:rtl/>
        </w:rPr>
      </w:pPr>
    </w:p>
    <w:p w14:paraId="44F2C5DA" w14:textId="77777777" w:rsidR="00123940" w:rsidRDefault="00123940" w:rsidP="00123940">
      <w:pPr>
        <w:spacing w:line="360" w:lineRule="auto"/>
        <w:jc w:val="both"/>
        <w:rPr>
          <w:rFonts w:ascii="Arial" w:hAnsi="Arial"/>
          <w:rtl/>
        </w:rPr>
      </w:pPr>
      <w:bookmarkStart w:id="7" w:name="ABSTRACT_END"/>
      <w:bookmarkEnd w:id="7"/>
      <w:r>
        <w:rPr>
          <w:rFonts w:ascii="Arial" w:hAnsi="Arial" w:hint="cs"/>
          <w:b/>
          <w:bCs/>
          <w:u w:val="single"/>
          <w:rtl/>
        </w:rPr>
        <w:t>מעשי הנאשם:</w:t>
      </w:r>
    </w:p>
    <w:p w14:paraId="309D2745" w14:textId="77777777" w:rsidR="00123940" w:rsidRDefault="00123940" w:rsidP="00123940">
      <w:pPr>
        <w:spacing w:line="360" w:lineRule="auto"/>
        <w:jc w:val="both"/>
        <w:rPr>
          <w:rFonts w:ascii="Arial" w:hAnsi="Arial"/>
          <w:rtl/>
        </w:rPr>
      </w:pPr>
      <w:r>
        <w:rPr>
          <w:rFonts w:ascii="Arial" w:hAnsi="Arial" w:hint="cs"/>
          <w:rtl/>
        </w:rPr>
        <w:lastRenderedPageBreak/>
        <w:t xml:space="preserve">ביום 19.5.15 נמצא כי הנאשם מגדל בדירתו שישה שתילי קנבוס במשקל כולל של 471.4 גרם נטו, וכן נתפס ציוד שהחזיק הנאשם למטרת הגידול </w:t>
      </w:r>
      <w:r>
        <w:rPr>
          <w:rFonts w:ascii="Arial" w:hAnsi="Arial"/>
          <w:rtl/>
        </w:rPr>
        <w:t>–</w:t>
      </w:r>
      <w:r>
        <w:rPr>
          <w:rFonts w:ascii="Arial" w:hAnsi="Arial" w:hint="cs"/>
          <w:rtl/>
        </w:rPr>
        <w:t xml:space="preserve"> מאוורר, מנורות, בקבוק דישון ותוסף לעציצים [תצלומים תע/1].</w:t>
      </w:r>
    </w:p>
    <w:p w14:paraId="17F84B33" w14:textId="77777777" w:rsidR="00123940" w:rsidRDefault="00123940" w:rsidP="00123940">
      <w:pPr>
        <w:spacing w:line="360" w:lineRule="auto"/>
        <w:jc w:val="both"/>
        <w:rPr>
          <w:rFonts w:ascii="Arial" w:hAnsi="Arial"/>
          <w:rtl/>
        </w:rPr>
      </w:pPr>
    </w:p>
    <w:p w14:paraId="2B69A1CB" w14:textId="77777777" w:rsidR="00123940" w:rsidRPr="00E504D1" w:rsidRDefault="00123940" w:rsidP="00123940">
      <w:pPr>
        <w:spacing w:line="360" w:lineRule="auto"/>
        <w:jc w:val="both"/>
        <w:rPr>
          <w:rFonts w:ascii="Arial" w:hAnsi="Arial"/>
          <w:b/>
          <w:bCs/>
          <w:u w:val="single"/>
          <w:rtl/>
        </w:rPr>
      </w:pPr>
      <w:r>
        <w:rPr>
          <w:rFonts w:ascii="Arial" w:hAnsi="Arial" w:hint="cs"/>
          <w:b/>
          <w:bCs/>
          <w:u w:val="single"/>
          <w:rtl/>
        </w:rPr>
        <w:t>דחיית עתירתה של ההגנה לביטול ההרשעה:</w:t>
      </w:r>
    </w:p>
    <w:p w14:paraId="0E70C06A" w14:textId="77777777" w:rsidR="00123940" w:rsidRDefault="00123940" w:rsidP="00123940">
      <w:pPr>
        <w:pStyle w:val="ListParagraph"/>
        <w:numPr>
          <w:ilvl w:val="0"/>
          <w:numId w:val="2"/>
        </w:numPr>
        <w:spacing w:line="360" w:lineRule="auto"/>
        <w:jc w:val="both"/>
        <w:rPr>
          <w:rFonts w:ascii="Arial" w:hAnsi="Arial"/>
        </w:rPr>
      </w:pPr>
      <w:r>
        <w:rPr>
          <w:rFonts w:ascii="Arial" w:hAnsi="Arial" w:hint="cs"/>
          <w:rtl/>
        </w:rPr>
        <w:t>ההגנה עותרת לאימוץ המלצתו של שירות המבחן ולבטל את הרשעתו של הנאשם, מחשש לפגיעה תעסוקתית: הנאשם מועסק כמורה וכמרצה במכללה, והרשעתו עלולה לסכן את המשך העסקתו. לפי מכתבי המלצה שהגיש הנאשם [נע/1], הוא זוכה להערכה ולהוקרה בעבודתו זו.</w:t>
      </w:r>
    </w:p>
    <w:p w14:paraId="169269EB" w14:textId="77777777" w:rsidR="00123940" w:rsidRDefault="00123940" w:rsidP="00123940">
      <w:pPr>
        <w:pStyle w:val="ListParagraph"/>
        <w:numPr>
          <w:ilvl w:val="0"/>
          <w:numId w:val="2"/>
        </w:numPr>
        <w:spacing w:line="360" w:lineRule="auto"/>
        <w:jc w:val="both"/>
      </w:pPr>
      <w:r>
        <w:rPr>
          <w:rFonts w:hint="cs"/>
          <w:rtl/>
        </w:rPr>
        <w:t xml:space="preserve">הלכת </w:t>
      </w:r>
      <w:r w:rsidRPr="00FB644F">
        <w:rPr>
          <w:rFonts w:hint="cs"/>
          <w:b/>
          <w:bCs/>
          <w:rtl/>
        </w:rPr>
        <w:t>כתב</w:t>
      </w:r>
      <w:r>
        <w:rPr>
          <w:rFonts w:hint="cs"/>
          <w:rtl/>
        </w:rPr>
        <w:t xml:space="preserve"> הידועה (</w:t>
      </w:r>
      <w:hyperlink r:id="rId19" w:history="1">
        <w:r w:rsidR="009F6F66" w:rsidRPr="009F6F66">
          <w:rPr>
            <w:color w:val="0000FF"/>
            <w:u w:val="single"/>
            <w:rtl/>
          </w:rPr>
          <w:t>ע"פ 2083/96</w:t>
        </w:r>
      </w:hyperlink>
      <w:r>
        <w:rPr>
          <w:rFonts w:hint="cs"/>
          <w:rtl/>
        </w:rPr>
        <w:t xml:space="preserve"> </w:t>
      </w:r>
      <w:r>
        <w:rPr>
          <w:rFonts w:hint="cs"/>
          <w:b/>
          <w:bCs/>
          <w:rtl/>
        </w:rPr>
        <w:t>כתב נ' מ.י.</w:t>
      </w:r>
      <w:r>
        <w:rPr>
          <w:rFonts w:hint="cs"/>
          <w:rtl/>
        </w:rPr>
        <w:t xml:space="preserve"> (1997)) שאושררה שוב ושוב על-ידי בית המשפט העליון, קובעת כי ביטול הרשעה או הימנעות מהרשעה הם חריגים לכלל הקובע כי מי שביצע עבירה, יורשע. שימוש באמצעים חריגים אלו מחייב קיומם של שני תנאים מצטברים </w:t>
      </w:r>
      <w:r>
        <w:rPr>
          <w:rtl/>
        </w:rPr>
        <w:t>–</w:t>
      </w:r>
      <w:r>
        <w:rPr>
          <w:rFonts w:hint="cs"/>
          <w:rtl/>
        </w:rPr>
        <w:t xml:space="preserve"> פגיעה חמורה הצפויה לשיקום הנאשם, וטיב העבירה מאפשר לוותר על ההרשעה.</w:t>
      </w:r>
    </w:p>
    <w:p w14:paraId="09F613D2" w14:textId="77777777" w:rsidR="00123940" w:rsidRDefault="00123940" w:rsidP="00801831">
      <w:pPr>
        <w:pStyle w:val="ListParagraph"/>
        <w:numPr>
          <w:ilvl w:val="0"/>
          <w:numId w:val="2"/>
        </w:numPr>
        <w:spacing w:line="360" w:lineRule="auto"/>
        <w:jc w:val="both"/>
      </w:pPr>
      <w:r>
        <w:rPr>
          <w:rFonts w:hint="cs"/>
          <w:rtl/>
        </w:rPr>
        <w:t xml:space="preserve">בית המשפט העליון קבע לא-פעם, כי קיומה של </w:t>
      </w:r>
      <w:r>
        <w:rPr>
          <w:rFonts w:hint="cs"/>
          <w:i/>
          <w:iCs/>
          <w:rtl/>
        </w:rPr>
        <w:t>אפשרות</w:t>
      </w:r>
      <w:r>
        <w:rPr>
          <w:rFonts w:hint="cs"/>
          <w:rtl/>
        </w:rPr>
        <w:t xml:space="preserve"> לפגיעה תעסוקתית אינו נחשב כפגיעה חמורה וקונקרטית בשיקום הנאשם, וכך במיוחד כשניתן שיקול דעת לרשות מסדירה (ראו </w:t>
      </w:r>
      <w:hyperlink r:id="rId20" w:history="1">
        <w:r w:rsidR="009F6F66" w:rsidRPr="009F6F66">
          <w:rPr>
            <w:color w:val="0000FF"/>
            <w:u w:val="single"/>
            <w:rtl/>
          </w:rPr>
          <w:t>רע"פ 1/15</w:t>
        </w:r>
      </w:hyperlink>
      <w:r>
        <w:rPr>
          <w:rFonts w:hint="cs"/>
          <w:rtl/>
        </w:rPr>
        <w:t xml:space="preserve"> </w:t>
      </w:r>
      <w:r>
        <w:rPr>
          <w:rFonts w:hint="cs"/>
          <w:b/>
          <w:bCs/>
          <w:rtl/>
        </w:rPr>
        <w:t>כצמן נ' מ.י.</w:t>
      </w:r>
      <w:r>
        <w:rPr>
          <w:rFonts w:hint="cs"/>
          <w:rtl/>
        </w:rPr>
        <w:t xml:space="preserve"> (2015), עניינו של רופא שהורשע באיומים; </w:t>
      </w:r>
      <w:hyperlink r:id="rId21" w:history="1">
        <w:r w:rsidR="009F6F66" w:rsidRPr="009F6F66">
          <w:rPr>
            <w:color w:val="0000FF"/>
            <w:u w:val="single"/>
            <w:rtl/>
          </w:rPr>
          <w:t>רע"פ  6449/15</w:t>
        </w:r>
      </w:hyperlink>
      <w:r w:rsidRPr="00FB644F">
        <w:rPr>
          <w:rtl/>
        </w:rPr>
        <w:t xml:space="preserve"> </w:t>
      </w:r>
      <w:r w:rsidRPr="00FB644F">
        <w:rPr>
          <w:b/>
          <w:bCs/>
          <w:rtl/>
        </w:rPr>
        <w:t>חלוואני נ' מ.י.</w:t>
      </w:r>
      <w:r w:rsidRPr="00FB644F">
        <w:rPr>
          <w:rtl/>
        </w:rPr>
        <w:t xml:space="preserve"> (2015)</w:t>
      </w:r>
      <w:r>
        <w:rPr>
          <w:rFonts w:hint="cs"/>
          <w:rtl/>
        </w:rPr>
        <w:t xml:space="preserve">, עניינו של בוחן תנועה שהורשע בעבירת אלימות; </w:t>
      </w:r>
      <w:hyperlink r:id="rId22" w:history="1">
        <w:r w:rsidR="009F6F66" w:rsidRPr="009F6F66">
          <w:rPr>
            <w:color w:val="0000FF"/>
            <w:u w:val="single"/>
            <w:rtl/>
          </w:rPr>
          <w:t>רע"פ 654/13</w:t>
        </w:r>
      </w:hyperlink>
      <w:r>
        <w:rPr>
          <w:rFonts w:hint="cs"/>
          <w:rtl/>
        </w:rPr>
        <w:t xml:space="preserve"> </w:t>
      </w:r>
      <w:r>
        <w:rPr>
          <w:rFonts w:hint="cs"/>
          <w:b/>
          <w:bCs/>
          <w:rtl/>
        </w:rPr>
        <w:t>אבו בכר נ' מ.י</w:t>
      </w:r>
      <w:r>
        <w:rPr>
          <w:rFonts w:hint="cs"/>
          <w:rtl/>
        </w:rPr>
        <w:t xml:space="preserve"> (2013), עניינו של רוקח שהורשע בעבירות סימני מסחר ו</w:t>
      </w:r>
      <w:hyperlink r:id="rId23" w:history="1">
        <w:r w:rsidR="009F6F66" w:rsidRPr="009F6F66">
          <w:rPr>
            <w:color w:val="0000FF"/>
            <w:u w:val="single"/>
            <w:rtl/>
          </w:rPr>
          <w:t>פקודת הרוקחים</w:t>
        </w:r>
      </w:hyperlink>
      <w:r>
        <w:rPr>
          <w:rFonts w:hint="cs"/>
          <w:rtl/>
        </w:rPr>
        <w:t xml:space="preserve">; </w:t>
      </w:r>
      <w:hyperlink r:id="rId24" w:history="1">
        <w:r w:rsidR="00801831" w:rsidRPr="00801831">
          <w:rPr>
            <w:color w:val="0000FF"/>
            <w:u w:val="single"/>
            <w:rtl/>
          </w:rPr>
          <w:t xml:space="preserve">ע"פ 41225-06-16 </w:t>
        </w:r>
      </w:hyperlink>
      <w:r w:rsidR="00801831" w:rsidRPr="00801831">
        <w:rPr>
          <w:rtl/>
        </w:rPr>
        <w:t xml:space="preserve"> </w:t>
      </w:r>
      <w:r w:rsidRPr="00FB644F">
        <w:rPr>
          <w:b/>
          <w:bCs/>
          <w:rtl/>
        </w:rPr>
        <w:t>מפרע נ' מ.י.</w:t>
      </w:r>
      <w:r w:rsidRPr="00FB644F">
        <w:rPr>
          <w:rtl/>
        </w:rPr>
        <w:t xml:space="preserve"> (2017)</w:t>
      </w:r>
      <w:r>
        <w:rPr>
          <w:rFonts w:hint="cs"/>
          <w:rtl/>
        </w:rPr>
        <w:t xml:space="preserve">, עניינו של מורה לחינוך גופני שהורשע בעבירות אלימות נגד בת-זוג); </w:t>
      </w:r>
      <w:hyperlink r:id="rId25" w:history="1">
        <w:r w:rsidR="009F6F66" w:rsidRPr="009F6F66">
          <w:rPr>
            <w:color w:val="0000FF"/>
            <w:u w:val="single"/>
            <w:rtl/>
          </w:rPr>
          <w:t>ת"פ 3869-07-15</w:t>
        </w:r>
      </w:hyperlink>
      <w:r>
        <w:rPr>
          <w:rFonts w:hint="cs"/>
          <w:rtl/>
        </w:rPr>
        <w:t xml:space="preserve"> </w:t>
      </w:r>
      <w:r w:rsidRPr="00C964F5">
        <w:rPr>
          <w:rFonts w:hint="cs"/>
          <w:b/>
          <w:bCs/>
          <w:rtl/>
        </w:rPr>
        <w:t>מ.י.</w:t>
      </w:r>
      <w:r w:rsidRPr="00C964F5">
        <w:rPr>
          <w:b/>
          <w:bCs/>
          <w:rtl/>
        </w:rPr>
        <w:t xml:space="preserve"> נ' עמיאל</w:t>
      </w:r>
      <w:r>
        <w:rPr>
          <w:rFonts w:hint="cs"/>
          <w:rtl/>
        </w:rPr>
        <w:t xml:space="preserve"> (2016</w:t>
      </w:r>
      <w:r w:rsidRPr="00C964F5">
        <w:rPr>
          <w:rtl/>
        </w:rPr>
        <w:t>)</w:t>
      </w:r>
      <w:r>
        <w:rPr>
          <w:rFonts w:hint="cs"/>
          <w:rtl/>
        </w:rPr>
        <w:t>, עניינו של סטודנטית להוראה שהורשעה בעבירות סמים);</w:t>
      </w:r>
    </w:p>
    <w:p w14:paraId="406322A6" w14:textId="77777777" w:rsidR="00123940" w:rsidRDefault="00123940" w:rsidP="00123940">
      <w:pPr>
        <w:pStyle w:val="ListParagraph"/>
        <w:numPr>
          <w:ilvl w:val="0"/>
          <w:numId w:val="2"/>
        </w:numPr>
        <w:spacing w:line="360" w:lineRule="auto"/>
        <w:jc w:val="both"/>
        <w:rPr>
          <w:rFonts w:ascii="Arial" w:hAnsi="Arial"/>
        </w:rPr>
      </w:pPr>
      <w:r>
        <w:rPr>
          <w:rFonts w:ascii="Arial" w:hAnsi="Arial" w:hint="cs"/>
          <w:rtl/>
        </w:rPr>
        <w:t>הנאשם הפנה את בית המשפט ל</w:t>
      </w:r>
      <w:hyperlink r:id="rId26" w:history="1">
        <w:r w:rsidR="009F6F66" w:rsidRPr="009F6F66">
          <w:rPr>
            <w:rFonts w:ascii="Arial" w:hAnsi="Arial"/>
            <w:color w:val="0000FF"/>
            <w:u w:val="single"/>
            <w:rtl/>
          </w:rPr>
          <w:t>חוק הפיקוח על בתי ספר</w:t>
        </w:r>
      </w:hyperlink>
      <w:r>
        <w:rPr>
          <w:rFonts w:ascii="Arial" w:hAnsi="Arial" w:hint="cs"/>
          <w:rtl/>
        </w:rPr>
        <w:t xml:space="preserve">, תשכ"ט-1969: </w:t>
      </w:r>
    </w:p>
    <w:p w14:paraId="36351F75" w14:textId="77777777" w:rsidR="00123940" w:rsidRDefault="00123940" w:rsidP="00123940">
      <w:pPr>
        <w:pStyle w:val="ListParagraph"/>
        <w:numPr>
          <w:ilvl w:val="1"/>
          <w:numId w:val="2"/>
        </w:numPr>
        <w:spacing w:line="360" w:lineRule="auto"/>
        <w:jc w:val="both"/>
        <w:rPr>
          <w:rFonts w:ascii="Arial" w:hAnsi="Arial"/>
        </w:rPr>
      </w:pPr>
      <w:r>
        <w:rPr>
          <w:rFonts w:ascii="Arial" w:hAnsi="Arial" w:hint="cs"/>
          <w:rtl/>
        </w:rPr>
        <w:t xml:space="preserve">סעיפים </w:t>
      </w:r>
      <w:hyperlink r:id="rId27" w:history="1">
        <w:r w:rsidR="0064024A" w:rsidRPr="0064024A">
          <w:rPr>
            <w:rFonts w:ascii="Arial" w:hAnsi="Arial"/>
            <w:color w:val="0000FF"/>
            <w:u w:val="single"/>
            <w:rtl/>
          </w:rPr>
          <w:t>16 ו-18</w:t>
        </w:r>
      </w:hyperlink>
      <w:r>
        <w:rPr>
          <w:rFonts w:ascii="Arial" w:hAnsi="Arial" w:hint="cs"/>
          <w:rtl/>
        </w:rPr>
        <w:t xml:space="preserve"> לחוק זה קובעים את סמכותו של מנכ"ל משרד החינוך לבטל אישורו של עובד חינוך במצבים שונים, שאחד מהם הוא </w:t>
      </w:r>
      <w:r>
        <w:rPr>
          <w:rFonts w:ascii="Arial" w:hAnsi="Arial"/>
          <w:rtl/>
        </w:rPr>
        <w:t>הרשעה בעבירה שיש עמה קלון</w:t>
      </w:r>
      <w:r>
        <w:rPr>
          <w:rFonts w:ascii="Arial" w:hAnsi="Arial" w:hint="cs"/>
          <w:rtl/>
        </w:rPr>
        <w:t xml:space="preserve">, כש"המנהל הכללי סבור כי לאור הרשעה זו אין העובד ראוי לשמש עובד חינוך" (סעיף </w:t>
      </w:r>
      <w:hyperlink r:id="rId28" w:history="1">
        <w:r w:rsidR="0064024A" w:rsidRPr="0064024A">
          <w:rPr>
            <w:rFonts w:ascii="Arial" w:hAnsi="Arial"/>
            <w:color w:val="0000FF"/>
            <w:u w:val="single"/>
            <w:rtl/>
          </w:rPr>
          <w:t>16(ב)(2)</w:t>
        </w:r>
      </w:hyperlink>
      <w:r>
        <w:rPr>
          <w:rFonts w:ascii="Arial" w:hAnsi="Arial" w:hint="cs"/>
          <w:rtl/>
        </w:rPr>
        <w:t>). סמכות המנכ"ל היא אפוא עניין שבשיקול דעת רחב;</w:t>
      </w:r>
    </w:p>
    <w:p w14:paraId="2F04AD96" w14:textId="77777777" w:rsidR="00123940" w:rsidRDefault="00123940" w:rsidP="00123940">
      <w:pPr>
        <w:pStyle w:val="ListParagraph"/>
        <w:numPr>
          <w:ilvl w:val="1"/>
          <w:numId w:val="2"/>
        </w:numPr>
        <w:spacing w:line="360" w:lineRule="auto"/>
        <w:jc w:val="both"/>
        <w:rPr>
          <w:rFonts w:ascii="Arial" w:hAnsi="Arial"/>
        </w:rPr>
      </w:pPr>
      <w:r>
        <w:rPr>
          <w:rFonts w:ascii="Arial" w:hAnsi="Arial" w:hint="cs"/>
          <w:rtl/>
        </w:rPr>
        <w:t xml:space="preserve">נוסף על אלה, חוק זה דורש כי ביטול אישור של עובד חינוך ייעשה רק לאחר התייעצות עם ארגון המורים המייצג את העובד (סעיף </w:t>
      </w:r>
      <w:hyperlink r:id="rId29" w:history="1">
        <w:r w:rsidR="0064024A" w:rsidRPr="0064024A">
          <w:rPr>
            <w:rFonts w:ascii="Arial" w:hAnsi="Arial"/>
            <w:color w:val="0000FF"/>
            <w:u w:val="single"/>
            <w:rtl/>
          </w:rPr>
          <w:t>18(א)</w:t>
        </w:r>
      </w:hyperlink>
      <w:r w:rsidR="0064024A">
        <w:rPr>
          <w:rFonts w:ascii="Arial" w:hAnsi="Arial" w:hint="cs"/>
          <w:rtl/>
        </w:rPr>
        <w:t xml:space="preserve"> </w:t>
      </w:r>
      <w:r>
        <w:rPr>
          <w:rFonts w:ascii="Arial" w:hAnsi="Arial" w:hint="cs"/>
          <w:rtl/>
        </w:rPr>
        <w:t xml:space="preserve">), ולאחר שניתנה לעובד הזדמנות נאותה להשמיע טענותיו (סעיף </w:t>
      </w:r>
      <w:hyperlink r:id="rId30" w:history="1">
        <w:r w:rsidR="0064024A" w:rsidRPr="0064024A">
          <w:rPr>
            <w:rFonts w:ascii="Arial" w:hAnsi="Arial"/>
            <w:color w:val="0000FF"/>
            <w:u w:val="single"/>
            <w:rtl/>
          </w:rPr>
          <w:t>19</w:t>
        </w:r>
      </w:hyperlink>
      <w:r>
        <w:rPr>
          <w:rFonts w:ascii="Arial" w:hAnsi="Arial" w:hint="cs"/>
          <w:rtl/>
        </w:rPr>
        <w:t xml:space="preserve">); </w:t>
      </w:r>
    </w:p>
    <w:p w14:paraId="6184246A" w14:textId="77777777" w:rsidR="00123940" w:rsidRDefault="00123940" w:rsidP="00123940">
      <w:pPr>
        <w:pStyle w:val="ListParagraph"/>
        <w:numPr>
          <w:ilvl w:val="1"/>
          <w:numId w:val="2"/>
        </w:numPr>
        <w:spacing w:line="360" w:lineRule="auto"/>
        <w:jc w:val="both"/>
        <w:rPr>
          <w:rFonts w:ascii="Arial" w:hAnsi="Arial"/>
        </w:rPr>
      </w:pPr>
      <w:r>
        <w:rPr>
          <w:rFonts w:ascii="Arial" w:hAnsi="Arial" w:hint="cs"/>
          <w:rtl/>
        </w:rPr>
        <w:t xml:space="preserve">עוד יש לציין, כי </w:t>
      </w:r>
      <w:hyperlink r:id="rId31" w:history="1">
        <w:r w:rsidR="0064024A" w:rsidRPr="0064024A">
          <w:rPr>
            <w:rFonts w:ascii="Arial" w:hAnsi="Arial"/>
            <w:color w:val="0000FF"/>
            <w:u w:val="single"/>
            <w:rtl/>
          </w:rPr>
          <w:t>סעיף 16(ב)(3)</w:t>
        </w:r>
      </w:hyperlink>
      <w:r>
        <w:rPr>
          <w:rFonts w:ascii="Arial" w:hAnsi="Arial" w:hint="cs"/>
          <w:rtl/>
        </w:rPr>
        <w:t xml:space="preserve"> מקנה למנכ"ל שיקול דעת שלא לאשר, או לבטל אישור, של עובד חינוך, אם "הוכח למנהל הכללי שיש בהתנהגותו של העובד משום השפעה מזיקה על תלמידים", וזאת ללא קשר להרשעה;</w:t>
      </w:r>
    </w:p>
    <w:p w14:paraId="2575D6F1" w14:textId="77777777" w:rsidR="00123940" w:rsidRDefault="00123940" w:rsidP="00123940">
      <w:pPr>
        <w:pStyle w:val="ListParagraph"/>
        <w:numPr>
          <w:ilvl w:val="1"/>
          <w:numId w:val="2"/>
        </w:numPr>
        <w:spacing w:line="360" w:lineRule="auto"/>
        <w:jc w:val="both"/>
        <w:rPr>
          <w:rFonts w:ascii="Arial" w:hAnsi="Arial"/>
        </w:rPr>
      </w:pPr>
      <w:r>
        <w:rPr>
          <w:rFonts w:ascii="Arial" w:hAnsi="Arial" w:hint="cs"/>
          <w:rtl/>
        </w:rPr>
        <w:t>ברור אפוא, שאפשרות הפגיעה בתעסוקתו של הנאשם איננה בשום-פנים 'אוטומטית', אלא מדובר בהליך של בחינה משמעותית של בדיקת ההרשעה, כשלנאשם מובטחות הזכות לשימוע והגנת ארגון מורים;</w:t>
      </w:r>
    </w:p>
    <w:p w14:paraId="34C3ACA0" w14:textId="77777777" w:rsidR="00123940" w:rsidRDefault="00123940" w:rsidP="00123940">
      <w:pPr>
        <w:pStyle w:val="ListParagraph"/>
        <w:numPr>
          <w:ilvl w:val="0"/>
          <w:numId w:val="2"/>
        </w:numPr>
        <w:spacing w:line="360" w:lineRule="auto"/>
        <w:jc w:val="both"/>
        <w:rPr>
          <w:rFonts w:ascii="Arial" w:hAnsi="Arial"/>
        </w:rPr>
      </w:pPr>
      <w:r>
        <w:rPr>
          <w:rFonts w:ascii="Arial" w:hAnsi="Arial" w:hint="cs"/>
          <w:rtl/>
        </w:rPr>
        <w:lastRenderedPageBreak/>
        <w:t>במקרה דנן לא ברור כלל אם אכן צפויה פגיעה תעסוקתית בנאשם מעצם ההרשעה: אפשר ולא ייפגע כלל, ואפשר שהיה נפגע בשל עצם עיסוקו בסם, ולאו דווקא בשל התווית של אופן סיום ההליך.</w:t>
      </w:r>
    </w:p>
    <w:p w14:paraId="51C23E21" w14:textId="77777777" w:rsidR="00123940" w:rsidRDefault="00123940" w:rsidP="00123940">
      <w:pPr>
        <w:pStyle w:val="ListParagraph"/>
        <w:numPr>
          <w:ilvl w:val="0"/>
          <w:numId w:val="2"/>
        </w:numPr>
        <w:spacing w:line="360" w:lineRule="auto"/>
        <w:jc w:val="both"/>
        <w:rPr>
          <w:rFonts w:ascii="Arial" w:hAnsi="Arial"/>
        </w:rPr>
      </w:pPr>
      <w:r>
        <w:rPr>
          <w:rFonts w:ascii="Arial" w:hAnsi="Arial" w:hint="cs"/>
          <w:rtl/>
        </w:rPr>
        <w:t>הנאשם עתיד להתחיל לימודיו לתואר מהנדס חשמל, לדבריו. הנאשם חושש לאבד את רשיונו כעוסק בחשמל, אך גם בכך אין כדי להצדיק ביטול הרשעה או הימנעות ממנה, לפי כללי ההלכה שהובאו לעיל ואותם טעמים.</w:t>
      </w:r>
    </w:p>
    <w:p w14:paraId="23D6672F" w14:textId="77777777" w:rsidR="00123940" w:rsidRPr="00E504D1" w:rsidRDefault="00123940" w:rsidP="00123940">
      <w:pPr>
        <w:pStyle w:val="ListParagraph"/>
        <w:numPr>
          <w:ilvl w:val="0"/>
          <w:numId w:val="2"/>
        </w:numPr>
        <w:spacing w:line="360" w:lineRule="auto"/>
        <w:jc w:val="both"/>
        <w:rPr>
          <w:rFonts w:ascii="Arial" w:hAnsi="Arial"/>
          <w:rtl/>
        </w:rPr>
      </w:pPr>
      <w:r>
        <w:rPr>
          <w:rFonts w:ascii="Arial" w:hAnsi="Arial" w:hint="cs"/>
          <w:rtl/>
        </w:rPr>
        <w:t>עתירת ההגנה נדחית, וההרשעה תעמוד על כנה.</w:t>
      </w:r>
    </w:p>
    <w:p w14:paraId="73413ED4" w14:textId="77777777" w:rsidR="00123940" w:rsidRDefault="00123940" w:rsidP="00123940">
      <w:pPr>
        <w:spacing w:line="360" w:lineRule="auto"/>
        <w:jc w:val="both"/>
        <w:rPr>
          <w:rFonts w:ascii="Arial" w:hAnsi="Arial"/>
          <w:rtl/>
        </w:rPr>
      </w:pPr>
    </w:p>
    <w:p w14:paraId="2914332B" w14:textId="77777777" w:rsidR="00123940" w:rsidRPr="007A49A6" w:rsidRDefault="00123940" w:rsidP="00123940">
      <w:pPr>
        <w:spacing w:line="360" w:lineRule="auto"/>
        <w:jc w:val="both"/>
        <w:rPr>
          <w:rFonts w:ascii="Arial" w:hAnsi="Arial"/>
          <w:b/>
          <w:bCs/>
          <w:rtl/>
        </w:rPr>
      </w:pPr>
      <w:r w:rsidRPr="007A49A6">
        <w:rPr>
          <w:rFonts w:ascii="Arial" w:hAnsi="Arial" w:hint="cs"/>
          <w:b/>
          <w:bCs/>
          <w:u w:val="single"/>
          <w:rtl/>
        </w:rPr>
        <w:t xml:space="preserve">נסיבות הקשורות לעבירה </w:t>
      </w:r>
      <w:r w:rsidRPr="007A49A6">
        <w:rPr>
          <w:rFonts w:ascii="Arial" w:hAnsi="Arial"/>
          <w:b/>
          <w:bCs/>
          <w:u w:val="single"/>
          <w:rtl/>
        </w:rPr>
        <w:t>–</w:t>
      </w:r>
      <w:r w:rsidRPr="007A49A6">
        <w:rPr>
          <w:rFonts w:ascii="Arial" w:hAnsi="Arial" w:hint="cs"/>
          <w:b/>
          <w:bCs/>
          <w:u w:val="single"/>
          <w:rtl/>
        </w:rPr>
        <w:t xml:space="preserve"> מתחם העונש ההולם:</w:t>
      </w:r>
    </w:p>
    <w:p w14:paraId="06FBBEAF" w14:textId="77777777" w:rsidR="00123940" w:rsidRDefault="00123940" w:rsidP="00123940">
      <w:pPr>
        <w:pStyle w:val="ListParagraph"/>
        <w:numPr>
          <w:ilvl w:val="0"/>
          <w:numId w:val="1"/>
        </w:numPr>
        <w:spacing w:line="360" w:lineRule="auto"/>
        <w:jc w:val="both"/>
      </w:pPr>
      <w:r>
        <w:rPr>
          <w:rFonts w:hint="cs"/>
          <w:rtl/>
        </w:rPr>
        <w:t>כמות השתילים, גודלם ומשקלם, אופן גידולם בעציצים לא-גדולים וציוד הגידול הצנוע (תע/1), מוציאים את העניין דנן מגדר עניינן של 'מעבדות גידול' בהיקף גדול או מסחרי, ותומכים בטענת הנאשם לפיה גידל את הסם לצריכתו העצמית, והשתמש בו לצורך הרגעה עצמית.</w:t>
      </w:r>
    </w:p>
    <w:p w14:paraId="02CEECAF" w14:textId="77777777" w:rsidR="00123940" w:rsidRDefault="00123940" w:rsidP="00123940">
      <w:pPr>
        <w:pStyle w:val="ListParagraph"/>
        <w:numPr>
          <w:ilvl w:val="0"/>
          <w:numId w:val="1"/>
        </w:numPr>
        <w:spacing w:line="360" w:lineRule="auto"/>
        <w:jc w:val="both"/>
      </w:pPr>
      <w:r>
        <w:rPr>
          <w:rtl/>
        </w:rPr>
        <w:t>אמנם, גידול לא-מסחרי של הסם 'הקל' קנאביס אינו נושא עמו את הפגעים והתחלואים הקשים לפרט ולחברה שנובעים משימוש ומסחר בסמים 'קשים' או בהיקף מסחרי, אך עדיין מדובר בפגיעה ממשית ופוטנציאלית בבריאות הציבור ושלומו. העבירות היו מתוכננות וגידול הסמים נמשך תקופה של-ממש כעולה מ</w:t>
      </w:r>
      <w:r>
        <w:rPr>
          <w:rFonts w:hint="cs"/>
          <w:rtl/>
        </w:rPr>
        <w:t>גודל השתילים</w:t>
      </w:r>
      <w:r>
        <w:rPr>
          <w:rtl/>
        </w:rPr>
        <w:t xml:space="preserve">. הענישה </w:t>
      </w:r>
      <w:r w:rsidRPr="000D4538">
        <w:rPr>
          <w:i/>
          <w:iCs/>
          <w:rtl/>
        </w:rPr>
        <w:t>הנוהגת</w:t>
      </w:r>
      <w:r>
        <w:rPr>
          <w:rtl/>
        </w:rPr>
        <w:t xml:space="preserve">, בכמויות כאלה ודומות, </w:t>
      </w:r>
      <w:r>
        <w:rPr>
          <w:rFonts w:hint="cs"/>
          <w:rtl/>
        </w:rPr>
        <w:t>נוטה</w:t>
      </w:r>
      <w:r>
        <w:rPr>
          <w:rtl/>
        </w:rPr>
        <w:t xml:space="preserve"> </w:t>
      </w:r>
      <w:r>
        <w:rPr>
          <w:rFonts w:hint="cs"/>
          <w:rtl/>
        </w:rPr>
        <w:t>ל</w:t>
      </w:r>
      <w:r>
        <w:rPr>
          <w:rtl/>
        </w:rPr>
        <w:t xml:space="preserve">הטלת עונשי מאסר כעונש עיקרי, בין לריצוי בכליאה ובין לריצוי בעבודות שירות (וראו למשל </w:t>
      </w:r>
      <w:hyperlink r:id="rId32" w:history="1">
        <w:r w:rsidR="009F6F66" w:rsidRPr="009F6F66">
          <w:rPr>
            <w:color w:val="0000FF"/>
            <w:u w:val="single"/>
            <w:rtl/>
          </w:rPr>
          <w:t>רע"פ 4512/15</w:t>
        </w:r>
      </w:hyperlink>
      <w:r>
        <w:rPr>
          <w:rtl/>
        </w:rPr>
        <w:t xml:space="preserve"> </w:t>
      </w:r>
      <w:r w:rsidRPr="00252318">
        <w:rPr>
          <w:b/>
          <w:bCs/>
          <w:rtl/>
        </w:rPr>
        <w:t>הרוש נ' מ.י.</w:t>
      </w:r>
      <w:r>
        <w:rPr>
          <w:rtl/>
        </w:rPr>
        <w:t xml:space="preserve"> (2015)</w:t>
      </w:r>
      <w:r>
        <w:rPr>
          <w:rFonts w:hint="cs"/>
          <w:rtl/>
        </w:rPr>
        <w:t xml:space="preserve">, </w:t>
      </w:r>
      <w:hyperlink r:id="rId33" w:history="1">
        <w:r w:rsidR="009F6F66" w:rsidRPr="009F6F66">
          <w:rPr>
            <w:color w:val="0000FF"/>
            <w:u w:val="single"/>
            <w:rtl/>
          </w:rPr>
          <w:t>ת"פ 6399-03-17</w:t>
        </w:r>
      </w:hyperlink>
      <w:r>
        <w:rPr>
          <w:rtl/>
        </w:rPr>
        <w:t xml:space="preserve"> </w:t>
      </w:r>
      <w:r>
        <w:rPr>
          <w:rFonts w:hint="cs"/>
          <w:b/>
          <w:bCs/>
          <w:rtl/>
        </w:rPr>
        <w:t>שאול נ' מ.י.</w:t>
      </w:r>
      <w:r>
        <w:rPr>
          <w:rFonts w:hint="cs"/>
          <w:rtl/>
        </w:rPr>
        <w:t xml:space="preserve"> (2017) </w:t>
      </w:r>
      <w:r>
        <w:rPr>
          <w:rtl/>
        </w:rPr>
        <w:t>ו</w:t>
      </w:r>
      <w:hyperlink r:id="rId34" w:history="1">
        <w:r w:rsidR="009F6F66" w:rsidRPr="009F6F66">
          <w:rPr>
            <w:color w:val="0000FF"/>
            <w:u w:val="single"/>
            <w:rtl/>
          </w:rPr>
          <w:t>ת"פ 10430-03-15</w:t>
        </w:r>
      </w:hyperlink>
      <w:r>
        <w:rPr>
          <w:rtl/>
        </w:rPr>
        <w:t xml:space="preserve"> </w:t>
      </w:r>
      <w:r w:rsidRPr="00252318">
        <w:rPr>
          <w:b/>
          <w:bCs/>
          <w:rtl/>
        </w:rPr>
        <w:t>מ.י. נ' אברהם</w:t>
      </w:r>
      <w:r>
        <w:rPr>
          <w:rtl/>
        </w:rPr>
        <w:t xml:space="preserve"> (2016)).</w:t>
      </w:r>
    </w:p>
    <w:p w14:paraId="575AB663" w14:textId="77777777" w:rsidR="00123940" w:rsidRDefault="00123940" w:rsidP="00123940">
      <w:pPr>
        <w:pStyle w:val="ListParagraph"/>
        <w:numPr>
          <w:ilvl w:val="0"/>
          <w:numId w:val="1"/>
        </w:numPr>
        <w:spacing w:line="360" w:lineRule="auto"/>
        <w:jc w:val="both"/>
      </w:pPr>
      <w:r>
        <w:rPr>
          <w:rFonts w:hint="cs"/>
          <w:rtl/>
        </w:rPr>
        <w:t xml:space="preserve">עם-זאת, בפסק דין שניתן בימים אלו, התייחס בית המשפט המחוזי מרכז </w:t>
      </w:r>
      <w:r>
        <w:rPr>
          <w:rtl/>
        </w:rPr>
        <w:t>–</w:t>
      </w:r>
      <w:r>
        <w:rPr>
          <w:rFonts w:hint="cs"/>
          <w:rtl/>
        </w:rPr>
        <w:t xml:space="preserve"> לוד, כעניין של </w:t>
      </w:r>
      <w:r w:rsidRPr="000D4538">
        <w:rPr>
          <w:rFonts w:hint="cs"/>
          <w:i/>
          <w:iCs/>
          <w:rtl/>
        </w:rPr>
        <w:t>מדיניות</w:t>
      </w:r>
      <w:r>
        <w:rPr>
          <w:rFonts w:hint="cs"/>
          <w:rtl/>
        </w:rPr>
        <w:t xml:space="preserve"> ענישה, לעומק ההבדל בין גידול מסחרי לבין גידול 'לשימוש עצמי', בעניינו של נאשם שגידל 650 גרם קנבוס והחזיק בציוד גידול (</w:t>
      </w:r>
      <w:hyperlink r:id="rId35" w:history="1">
        <w:r w:rsidR="009F6F66" w:rsidRPr="009F6F66">
          <w:rPr>
            <w:color w:val="0000FF"/>
            <w:u w:val="single"/>
            <w:rtl/>
          </w:rPr>
          <w:t>עפ"ג 47293-04-17</w:t>
        </w:r>
      </w:hyperlink>
      <w:r>
        <w:rPr>
          <w:rFonts w:hint="cs"/>
          <w:rtl/>
        </w:rPr>
        <w:t xml:space="preserve"> </w:t>
      </w:r>
      <w:r>
        <w:rPr>
          <w:rFonts w:hint="cs"/>
          <w:b/>
          <w:bCs/>
          <w:rtl/>
        </w:rPr>
        <w:t>מ.י. נ' ססי</w:t>
      </w:r>
      <w:r>
        <w:rPr>
          <w:rFonts w:hint="cs"/>
          <w:rtl/>
        </w:rPr>
        <w:t xml:space="preserve"> (13.11.17)): </w:t>
      </w:r>
    </w:p>
    <w:p w14:paraId="4E13D260" w14:textId="77777777" w:rsidR="00123940" w:rsidRDefault="00123940" w:rsidP="00123940">
      <w:pPr>
        <w:spacing w:line="360" w:lineRule="auto"/>
        <w:ind w:left="360"/>
        <w:jc w:val="both"/>
        <w:rPr>
          <w:rtl/>
        </w:rPr>
      </w:pPr>
      <w:r>
        <w:rPr>
          <w:rFonts w:hint="cs"/>
          <w:rtl/>
        </w:rPr>
        <w:t>"</w:t>
      </w:r>
      <w:r w:rsidRPr="004256D6">
        <w:rPr>
          <w:rtl/>
        </w:rPr>
        <w:t>איננו מקלים ראש בגידול סמים במעבדה אך במקרה זה לא מדובר במעבדה מצוידת באמצעים לגידול סמים שנקנו בכסף רב שנמצאת בדירה שהוחזקה למטרה זו, כפי שלמרבה הצער מגיעה לפתחנו במקרים לא מעטים עד כדי היותה "מכת מדינה" שאותה יש לעקור מהשורש.</w:t>
      </w:r>
      <w:r>
        <w:rPr>
          <w:rFonts w:hint="cs"/>
          <w:rtl/>
        </w:rPr>
        <w:t>..</w:t>
      </w:r>
      <w:r w:rsidRPr="004256D6">
        <w:rPr>
          <w:rtl/>
        </w:rPr>
        <w:t xml:space="preserve"> במקרה שבפנינו מדובר במשיב מכור לסמים, שגידל במבנה נטוש 850</w:t>
      </w:r>
      <w:r>
        <w:rPr>
          <w:rStyle w:val="ab"/>
          <w:rtl/>
        </w:rPr>
        <w:footnoteReference w:id="1"/>
      </w:r>
      <w:r>
        <w:rPr>
          <w:rtl/>
        </w:rPr>
        <w:t xml:space="preserve"> </w:t>
      </w:r>
      <w:r w:rsidRPr="004256D6">
        <w:rPr>
          <w:rtl/>
        </w:rPr>
        <w:t>גרם קנבוס לשימושו העצמי על מנת לא לחבור לגורמים שוליים כדי לקנות מהם סמים.</w:t>
      </w:r>
      <w:r>
        <w:rPr>
          <w:rFonts w:hint="cs"/>
          <w:rtl/>
        </w:rPr>
        <w:t xml:space="preserve">" מסקנתו של בית המשפט היתה שמתחם העונש ההולם במצב כזה יכול להתחיל במאסר מותנה, ואושר המתחם שקבע בית המשפט קמא </w:t>
      </w:r>
      <w:r>
        <w:rPr>
          <w:rtl/>
        </w:rPr>
        <w:t>–</w:t>
      </w:r>
      <w:r>
        <w:rPr>
          <w:rFonts w:hint="cs"/>
          <w:rtl/>
        </w:rPr>
        <w:t xml:space="preserve"> בין מאסר מותנה לבין מספר חודשי מאסר בפועל (</w:t>
      </w:r>
      <w:hyperlink r:id="rId36" w:history="1">
        <w:r w:rsidR="009F6F66" w:rsidRPr="009F6F66">
          <w:rPr>
            <w:color w:val="0000FF"/>
            <w:u w:val="single"/>
            <w:rtl/>
          </w:rPr>
          <w:t>ת"פ 44220-09-15</w:t>
        </w:r>
      </w:hyperlink>
      <w:r>
        <w:rPr>
          <w:rFonts w:hint="cs"/>
          <w:rtl/>
        </w:rPr>
        <w:t xml:space="preserve"> </w:t>
      </w:r>
      <w:r>
        <w:rPr>
          <w:rFonts w:hint="cs"/>
          <w:b/>
          <w:bCs/>
          <w:rtl/>
        </w:rPr>
        <w:t>מ.י. נ' ססי</w:t>
      </w:r>
      <w:r>
        <w:rPr>
          <w:rFonts w:hint="cs"/>
          <w:rtl/>
        </w:rPr>
        <w:t xml:space="preserve"> (2017)).</w:t>
      </w:r>
    </w:p>
    <w:p w14:paraId="697A989F" w14:textId="77777777" w:rsidR="00123940" w:rsidRDefault="00123940" w:rsidP="00123940">
      <w:pPr>
        <w:pStyle w:val="ListParagraph"/>
        <w:numPr>
          <w:ilvl w:val="0"/>
          <w:numId w:val="1"/>
        </w:numPr>
        <w:spacing w:line="360" w:lineRule="auto"/>
        <w:jc w:val="both"/>
      </w:pPr>
      <w:r>
        <w:rPr>
          <w:rFonts w:hint="cs"/>
          <w:rtl/>
        </w:rPr>
        <w:t xml:space="preserve">גם במקרה דנן, על נסיבותיו המתוארות לעיל, יש לאמץ את מדיניות הענישה שהוצגה בעניין </w:t>
      </w:r>
      <w:r>
        <w:rPr>
          <w:rFonts w:hint="cs"/>
          <w:b/>
          <w:bCs/>
          <w:rtl/>
        </w:rPr>
        <w:t>ססי</w:t>
      </w:r>
      <w:r>
        <w:rPr>
          <w:rFonts w:hint="cs"/>
          <w:rtl/>
        </w:rPr>
        <w:t xml:space="preserve"> הנ"ל, ולקבוע את מתחם העונש ההולם בין מאסר מותנה, כשלצדו רכיבי ענישה נוספים, לבין מספר חודשי מאסר בפועל.</w:t>
      </w:r>
    </w:p>
    <w:p w14:paraId="1F3DED3F" w14:textId="77777777" w:rsidR="00123940" w:rsidRDefault="00123940" w:rsidP="00123940">
      <w:pPr>
        <w:spacing w:line="360" w:lineRule="auto"/>
        <w:jc w:val="both"/>
        <w:rPr>
          <w:rtl/>
        </w:rPr>
      </w:pPr>
    </w:p>
    <w:p w14:paraId="25C3496E" w14:textId="77777777" w:rsidR="00123940" w:rsidRDefault="00123940" w:rsidP="00123940">
      <w:pPr>
        <w:spacing w:line="360" w:lineRule="auto"/>
        <w:jc w:val="both"/>
        <w:rPr>
          <w:rtl/>
        </w:rPr>
      </w:pPr>
      <w:r>
        <w:rPr>
          <w:rFonts w:hint="cs"/>
          <w:b/>
          <w:bCs/>
          <w:u w:val="single"/>
          <w:rtl/>
        </w:rPr>
        <w:t xml:space="preserve">נסיבות שאינן קשורות בעבירה </w:t>
      </w:r>
      <w:r>
        <w:rPr>
          <w:b/>
          <w:bCs/>
          <w:u w:val="single"/>
          <w:rtl/>
        </w:rPr>
        <w:t>–</w:t>
      </w:r>
      <w:r>
        <w:rPr>
          <w:rFonts w:hint="cs"/>
          <w:b/>
          <w:bCs/>
          <w:u w:val="single"/>
          <w:rtl/>
        </w:rPr>
        <w:t xml:space="preserve"> קביעת העונש במתחם:</w:t>
      </w:r>
    </w:p>
    <w:p w14:paraId="4FE4B5A3" w14:textId="77777777" w:rsidR="00123940" w:rsidRDefault="00123940" w:rsidP="00123940">
      <w:pPr>
        <w:pStyle w:val="ListParagraph"/>
        <w:numPr>
          <w:ilvl w:val="0"/>
          <w:numId w:val="3"/>
        </w:numPr>
        <w:spacing w:line="360" w:lineRule="auto"/>
        <w:jc w:val="both"/>
      </w:pPr>
      <w:r>
        <w:rPr>
          <w:rFonts w:hint="cs"/>
          <w:rtl/>
        </w:rPr>
        <w:t>הנאשם יליד 1968, כבן 49 כיום, גרוש ואב לילד. מוצא הנאשם במשפחה נורמטיבית, והוא סיים לימודיו ושרת בצה"ל. הנאשם סיים בשנת 2014 לימודי הנדסת חשמל ואלקטרוניקה והוא עובד כמרצה במכללה וכמורה בתיכון [נע/1]. בעבר היה בעליו ומנהלו של מינימרקט, אך העסק לא עלה יפה והנאשם שקע בחובות כבדים שהשיב במשך כ-13 שנה.</w:t>
      </w:r>
    </w:p>
    <w:p w14:paraId="1418FC4B" w14:textId="77777777" w:rsidR="00123940" w:rsidRDefault="00123940" w:rsidP="00123940">
      <w:pPr>
        <w:pStyle w:val="ListParagraph"/>
        <w:numPr>
          <w:ilvl w:val="0"/>
          <w:numId w:val="3"/>
        </w:numPr>
        <w:spacing w:line="360" w:lineRule="auto"/>
        <w:jc w:val="both"/>
      </w:pPr>
      <w:r>
        <w:rPr>
          <w:rFonts w:hint="cs"/>
          <w:rtl/>
        </w:rPr>
        <w:t>הנאשם נטול עבר פלילי ואף אין נגדו תיקים פתוחים.</w:t>
      </w:r>
    </w:p>
    <w:p w14:paraId="1D938710" w14:textId="77777777" w:rsidR="00123940" w:rsidRDefault="00123940" w:rsidP="00123940">
      <w:pPr>
        <w:pStyle w:val="ListParagraph"/>
        <w:numPr>
          <w:ilvl w:val="0"/>
          <w:numId w:val="3"/>
        </w:numPr>
        <w:spacing w:line="360" w:lineRule="auto"/>
        <w:jc w:val="both"/>
      </w:pPr>
      <w:r>
        <w:rPr>
          <w:rFonts w:hint="cs"/>
          <w:rtl/>
        </w:rPr>
        <w:t xml:space="preserve">בשנת 2009 נכוו קשות כפות ידיו של הנאשם בתאונת עבודה, והוא החל להשתמש בקנבוס להפחתת כאביו. בהמשך צרך את הסם באופן יומיומי, לצרכי הרגעה עצמית וכתריס בפני תחושות קשות של בדידות ומצוקה נפשית, הכרוכה בטיפול בהוריו המבוגרים. הנאשם גידל את הסם כדי לחסוך בעלויות קנייתו. </w:t>
      </w:r>
    </w:p>
    <w:p w14:paraId="3FB14508" w14:textId="77777777" w:rsidR="00123940" w:rsidRDefault="00123940" w:rsidP="00123940">
      <w:pPr>
        <w:pStyle w:val="ListParagraph"/>
        <w:numPr>
          <w:ilvl w:val="0"/>
          <w:numId w:val="3"/>
        </w:numPr>
        <w:spacing w:line="360" w:lineRule="auto"/>
        <w:jc w:val="both"/>
      </w:pPr>
      <w:r>
        <w:rPr>
          <w:rFonts w:hint="cs"/>
          <w:rtl/>
        </w:rPr>
        <w:t>לאחר שנעצר ושוחרר, הפסיק הנאשם את השימוש בסם, כפי שמעידות בדיקות שנערכו מעת הפנייתו לשירות המבחן. באפריל 2017 החל הנאשם בטיפול פרטני ביחידה עירונית להתמכרויות, כשהוא מתמיד בהגעה לטיפול, אך גורמי הטיפול מתרשמים שהנאשם מוּנָע ממוטיבציה חיצונית (חשש מתוצאת ההליך הפלילי) ועדיין מצוי בשלב ראשוני של הטיפול. הנאשם עצמו שולל את הצורך בטיפול, לנוכח ניקיונו מסם ותפקודו התקין.</w:t>
      </w:r>
    </w:p>
    <w:p w14:paraId="0EB2240B" w14:textId="77777777" w:rsidR="00123940" w:rsidRDefault="00123940" w:rsidP="00123940">
      <w:pPr>
        <w:pStyle w:val="ListParagraph"/>
        <w:numPr>
          <w:ilvl w:val="0"/>
          <w:numId w:val="3"/>
        </w:numPr>
        <w:spacing w:line="360" w:lineRule="auto"/>
        <w:jc w:val="both"/>
      </w:pPr>
      <w:r>
        <w:rPr>
          <w:rFonts w:hint="cs"/>
          <w:rtl/>
        </w:rPr>
        <w:t xml:space="preserve">לנוכח עמדת הנאשם, השירות אינו מציע העמדה במבחן, אך עומד על הצורך בענישה שתהא מחד גיסא קונקרטית וחינוכית-הרתעתית, ומאידך גיסא תחזק את החלקים החיוביים והמתפקדים בחייו ובאישיותו של הנאשם </w:t>
      </w:r>
      <w:r>
        <w:rPr>
          <w:rtl/>
        </w:rPr>
        <w:t>–</w:t>
      </w:r>
      <w:r>
        <w:rPr>
          <w:rFonts w:hint="cs"/>
          <w:rtl/>
        </w:rPr>
        <w:t xml:space="preserve"> של"צ בהיקף נרחב של 350 שעות.</w:t>
      </w:r>
    </w:p>
    <w:p w14:paraId="631D6F32" w14:textId="77777777" w:rsidR="00123940" w:rsidRDefault="00123940" w:rsidP="00123940">
      <w:pPr>
        <w:pStyle w:val="ListParagraph"/>
        <w:numPr>
          <w:ilvl w:val="0"/>
          <w:numId w:val="3"/>
        </w:numPr>
        <w:spacing w:line="360" w:lineRule="auto"/>
        <w:jc w:val="both"/>
      </w:pPr>
      <w:r>
        <w:rPr>
          <w:rFonts w:hint="cs"/>
          <w:rtl/>
        </w:rPr>
        <w:t>יש לזקוף לזכות הנאשם גורמים כבדי משקל:</w:t>
      </w:r>
    </w:p>
    <w:p w14:paraId="7B3FA9A7" w14:textId="77777777" w:rsidR="00123940" w:rsidRDefault="00123940" w:rsidP="00123940">
      <w:pPr>
        <w:pStyle w:val="ListParagraph"/>
        <w:numPr>
          <w:ilvl w:val="1"/>
          <w:numId w:val="3"/>
        </w:numPr>
        <w:spacing w:line="360" w:lineRule="auto"/>
        <w:jc w:val="both"/>
      </w:pPr>
      <w:r>
        <w:rPr>
          <w:rFonts w:hint="cs"/>
          <w:rtl/>
        </w:rPr>
        <w:t>היעדר עבר פלילי;</w:t>
      </w:r>
    </w:p>
    <w:p w14:paraId="545C595D" w14:textId="77777777" w:rsidR="00123940" w:rsidRDefault="00123940" w:rsidP="00123940">
      <w:pPr>
        <w:pStyle w:val="ListParagraph"/>
        <w:numPr>
          <w:ilvl w:val="1"/>
          <w:numId w:val="3"/>
        </w:numPr>
        <w:spacing w:line="360" w:lineRule="auto"/>
        <w:jc w:val="both"/>
      </w:pPr>
      <w:r>
        <w:rPr>
          <w:rFonts w:hint="cs"/>
          <w:rtl/>
        </w:rPr>
        <w:t>אורח חיים נורמטיבי וחיובי, שיש עמו תרומה לחברה;</w:t>
      </w:r>
    </w:p>
    <w:p w14:paraId="75DD1BA0" w14:textId="77777777" w:rsidR="00123940" w:rsidRDefault="00123940" w:rsidP="00123940">
      <w:pPr>
        <w:pStyle w:val="ListParagraph"/>
        <w:numPr>
          <w:ilvl w:val="1"/>
          <w:numId w:val="3"/>
        </w:numPr>
        <w:spacing w:line="360" w:lineRule="auto"/>
        <w:jc w:val="both"/>
      </w:pPr>
      <w:r>
        <w:rPr>
          <w:rFonts w:hint="cs"/>
          <w:rtl/>
        </w:rPr>
        <w:t>הודאה ונטילת אחריות;</w:t>
      </w:r>
    </w:p>
    <w:p w14:paraId="3E79B6F8" w14:textId="77777777" w:rsidR="00123940" w:rsidRDefault="00123940" w:rsidP="00123940">
      <w:pPr>
        <w:pStyle w:val="ListParagraph"/>
        <w:numPr>
          <w:ilvl w:val="1"/>
          <w:numId w:val="3"/>
        </w:numPr>
        <w:spacing w:line="360" w:lineRule="auto"/>
        <w:jc w:val="both"/>
      </w:pPr>
      <w:r>
        <w:rPr>
          <w:rFonts w:hint="cs"/>
          <w:rtl/>
        </w:rPr>
        <w:t>מאמצי שיקום, המתבטאים בעיקר בהפסקת השימוש בסם;</w:t>
      </w:r>
    </w:p>
    <w:p w14:paraId="5E6D2D05" w14:textId="77777777" w:rsidR="00123940" w:rsidRDefault="00123940" w:rsidP="00123940">
      <w:pPr>
        <w:pStyle w:val="ListParagraph"/>
        <w:numPr>
          <w:ilvl w:val="1"/>
          <w:numId w:val="3"/>
        </w:numPr>
        <w:spacing w:line="360" w:lineRule="auto"/>
        <w:jc w:val="both"/>
      </w:pPr>
      <w:r>
        <w:rPr>
          <w:rFonts w:hint="cs"/>
          <w:rtl/>
        </w:rPr>
        <w:t>חלוף הזמן, במהלכו לא הסתבך הנאשם בעניין נוסף;</w:t>
      </w:r>
    </w:p>
    <w:p w14:paraId="1D650C5C" w14:textId="77777777" w:rsidR="00123940" w:rsidRDefault="00123940" w:rsidP="00123940">
      <w:pPr>
        <w:pStyle w:val="ListParagraph"/>
        <w:numPr>
          <w:ilvl w:val="0"/>
          <w:numId w:val="3"/>
        </w:numPr>
        <w:spacing w:line="360" w:lineRule="auto"/>
        <w:jc w:val="both"/>
      </w:pPr>
      <w:r>
        <w:rPr>
          <w:rFonts w:hint="cs"/>
          <w:rtl/>
        </w:rPr>
        <w:t xml:space="preserve">יש לקבוע אפוא את עונשו של הנאשם בתחתית המתחם: </w:t>
      </w:r>
      <w:r w:rsidRPr="00BF485A">
        <w:rPr>
          <w:rtl/>
        </w:rPr>
        <w:t>חיוב בשל"צ והטלת עיצום כספי בעין ישרתו את הצורך בענישה קונקרטית, ואילו מאסר מותנה והתחייבות ישרתו את הצורך בהרתעה.</w:t>
      </w:r>
      <w:r>
        <w:rPr>
          <w:rFonts w:hint="cs"/>
          <w:rtl/>
        </w:rPr>
        <w:t xml:space="preserve"> שעות השל"צ תצומצמנה לעומת ההיקף הנרחב שהומלץ ככל הנראה באיזון לביטול ההרשעה.</w:t>
      </w:r>
    </w:p>
    <w:p w14:paraId="4897DC58" w14:textId="77777777" w:rsidR="00123940" w:rsidRDefault="00123940" w:rsidP="00123940">
      <w:pPr>
        <w:spacing w:line="360" w:lineRule="auto"/>
        <w:jc w:val="both"/>
        <w:rPr>
          <w:rtl/>
        </w:rPr>
      </w:pPr>
    </w:p>
    <w:p w14:paraId="04ECFB48" w14:textId="77777777" w:rsidR="00123940" w:rsidRPr="00D22F33" w:rsidRDefault="00123940" w:rsidP="00123940">
      <w:pPr>
        <w:spacing w:line="360" w:lineRule="auto"/>
        <w:jc w:val="both"/>
        <w:rPr>
          <w:rtl/>
        </w:rPr>
      </w:pPr>
    </w:p>
    <w:p w14:paraId="1270AE6F" w14:textId="77777777" w:rsidR="00123940" w:rsidRDefault="00123940" w:rsidP="00123940">
      <w:pPr>
        <w:spacing w:line="360" w:lineRule="auto"/>
        <w:jc w:val="both"/>
        <w:rPr>
          <w:b/>
          <w:bCs/>
          <w:u w:val="single"/>
          <w:rtl/>
        </w:rPr>
      </w:pPr>
      <w:r>
        <w:rPr>
          <w:rFonts w:hint="cs"/>
          <w:b/>
          <w:bCs/>
          <w:u w:val="single"/>
          <w:rtl/>
        </w:rPr>
        <w:t>סוף-דבר, אני גוזר על הנאשם את העונשים הבאים:</w:t>
      </w:r>
    </w:p>
    <w:p w14:paraId="07E0916C" w14:textId="77777777" w:rsidR="00123940" w:rsidRDefault="00123940" w:rsidP="00123940">
      <w:pPr>
        <w:spacing w:line="360" w:lineRule="auto"/>
        <w:jc w:val="both"/>
        <w:rPr>
          <w:rtl/>
        </w:rPr>
      </w:pPr>
      <w:r>
        <w:rPr>
          <w:rFonts w:hint="cs"/>
          <w:rtl/>
        </w:rPr>
        <w:t>א.</w:t>
      </w:r>
      <w:r>
        <w:rPr>
          <w:rFonts w:hint="cs"/>
          <w:rtl/>
        </w:rPr>
        <w:tab/>
        <w:t>שישה חודשי מאסר על תנאי למשך שנתיים מהיום, שלא יעבור עבירת סם שהיא פשע;</w:t>
      </w:r>
    </w:p>
    <w:p w14:paraId="4D379F72" w14:textId="77777777" w:rsidR="00123940" w:rsidRDefault="00123940" w:rsidP="00123940">
      <w:pPr>
        <w:spacing w:line="360" w:lineRule="auto"/>
        <w:ind w:left="720" w:hanging="720"/>
        <w:jc w:val="both"/>
        <w:rPr>
          <w:rtl/>
        </w:rPr>
      </w:pPr>
      <w:r>
        <w:rPr>
          <w:rFonts w:hint="cs"/>
          <w:rtl/>
        </w:rPr>
        <w:t>ב.</w:t>
      </w:r>
      <w:r>
        <w:rPr>
          <w:rFonts w:hint="cs"/>
          <w:rtl/>
        </w:rPr>
        <w:tab/>
        <w:t>קנס בסך 1,000 ₪ או חודש מאסר תמורתו. הקנס ישולם בשני תשלומים חודשיים, שווים ורצופים, שהראשון שבהם לא יאוחר מיום 1.1.18, וכשמחדל או עיכוב באחד התשלומים יעמיד מלוא הסך לפירעון מידי;</w:t>
      </w:r>
    </w:p>
    <w:p w14:paraId="69ECAFA1" w14:textId="77777777" w:rsidR="00123940" w:rsidRDefault="00123940" w:rsidP="00123940">
      <w:pPr>
        <w:spacing w:line="360" w:lineRule="auto"/>
        <w:ind w:left="720" w:hanging="720"/>
        <w:jc w:val="both"/>
        <w:rPr>
          <w:rtl/>
        </w:rPr>
      </w:pPr>
      <w:r>
        <w:rPr>
          <w:rFonts w:hint="cs"/>
          <w:rtl/>
        </w:rPr>
        <w:t>ג.</w:t>
      </w:r>
      <w:r>
        <w:rPr>
          <w:rFonts w:hint="cs"/>
          <w:rtl/>
        </w:rPr>
        <w:tab/>
        <w:t>התחייבות בסך 1,000 ₪ למשך שנתיים מהיום, שלא יעבור עבירת סם מכל סוג. לא תיחתם ההתחייבות, יאסר הנאשם למשך חודש ימים;</w:t>
      </w:r>
    </w:p>
    <w:p w14:paraId="381A9DD0" w14:textId="77777777" w:rsidR="00123940" w:rsidRDefault="00123940" w:rsidP="00123940">
      <w:pPr>
        <w:spacing w:line="360" w:lineRule="auto"/>
        <w:ind w:left="720" w:hanging="720"/>
        <w:jc w:val="both"/>
        <w:rPr>
          <w:rtl/>
        </w:rPr>
      </w:pPr>
      <w:r>
        <w:rPr>
          <w:rFonts w:hint="cs"/>
          <w:rtl/>
        </w:rPr>
        <w:t>ד.</w:t>
      </w:r>
      <w:r>
        <w:rPr>
          <w:rFonts w:hint="cs"/>
          <w:rtl/>
        </w:rPr>
        <w:tab/>
        <w:t xml:space="preserve">240 שעות של"צ, בהסכמת הנאשם, שהוזהר כי אי-ציות להוראות שירות המבחן או הממונים במקום השל"צ, יוביל להשבת התיק לבית המשפט ולהטלת עונש חלופי נוסף. הנאשם מחויב במסירת בדיקות שתן לפי הוראות שירות המבחן. </w:t>
      </w:r>
      <w:r w:rsidRPr="00A50BF5">
        <w:rPr>
          <w:rtl/>
        </w:rPr>
        <w:t>שירו</w:t>
      </w:r>
      <w:r>
        <w:rPr>
          <w:rtl/>
        </w:rPr>
        <w:t>ת המבחן יגיש תוכנית של"צ לאישור</w:t>
      </w:r>
      <w:r w:rsidRPr="00A50BF5">
        <w:rPr>
          <w:rtl/>
        </w:rPr>
        <w:t xml:space="preserve"> למועד דיון הנקבע עתה ליום </w:t>
      </w:r>
      <w:r w:rsidRPr="003F6304">
        <w:rPr>
          <w:b/>
          <w:bCs/>
          <w:rtl/>
        </w:rPr>
        <w:t>17.1.18</w:t>
      </w:r>
      <w:r w:rsidRPr="00A50BF5">
        <w:rPr>
          <w:rtl/>
        </w:rPr>
        <w:t xml:space="preserve"> שעה 08:30, </w:t>
      </w:r>
      <w:r>
        <w:rPr>
          <w:rFonts w:hint="cs"/>
          <w:rtl/>
        </w:rPr>
        <w:t xml:space="preserve">והנאשם מוזהר בדבר חובת התייצבותו לדיון. </w:t>
      </w:r>
      <w:r w:rsidRPr="00A50BF5">
        <w:rPr>
          <w:rtl/>
        </w:rPr>
        <w:t>אם תגיע התכנית קודם לדיון – תאושר על-הכתב והצדדים יופטרו מהתייצבות</w:t>
      </w:r>
      <w:r>
        <w:rPr>
          <w:rFonts w:hint="cs"/>
          <w:rtl/>
        </w:rPr>
        <w:t>;</w:t>
      </w:r>
    </w:p>
    <w:p w14:paraId="702504BC" w14:textId="77777777" w:rsidR="00123940" w:rsidRDefault="00123940" w:rsidP="00123940">
      <w:pPr>
        <w:spacing w:line="360" w:lineRule="auto"/>
        <w:ind w:left="720" w:hanging="720"/>
        <w:jc w:val="both"/>
        <w:rPr>
          <w:rtl/>
        </w:rPr>
      </w:pPr>
    </w:p>
    <w:p w14:paraId="573387C6" w14:textId="77777777" w:rsidR="00123940" w:rsidRPr="00D22F33" w:rsidRDefault="00123940" w:rsidP="00123940">
      <w:pPr>
        <w:spacing w:line="360" w:lineRule="auto"/>
        <w:ind w:left="720" w:hanging="720"/>
        <w:jc w:val="both"/>
      </w:pPr>
    </w:p>
    <w:p w14:paraId="6EEC8AEC" w14:textId="77777777" w:rsidR="00123940" w:rsidRDefault="00123940" w:rsidP="00123940">
      <w:pPr>
        <w:spacing w:line="360" w:lineRule="auto"/>
        <w:jc w:val="both"/>
        <w:rPr>
          <w:rtl/>
        </w:rPr>
      </w:pPr>
      <w:r>
        <w:rPr>
          <w:rFonts w:hint="cs"/>
          <w:b/>
          <w:bCs/>
          <w:u w:val="single"/>
          <w:rtl/>
        </w:rPr>
        <w:t>הוראות נלוות:</w:t>
      </w:r>
    </w:p>
    <w:p w14:paraId="039A7154" w14:textId="77777777" w:rsidR="00123940" w:rsidRDefault="00123940" w:rsidP="00123940">
      <w:pPr>
        <w:spacing w:line="360" w:lineRule="auto"/>
        <w:ind w:left="720" w:hanging="720"/>
        <w:jc w:val="both"/>
        <w:rPr>
          <w:rtl/>
        </w:rPr>
      </w:pPr>
      <w:r>
        <w:rPr>
          <w:rFonts w:hint="cs"/>
          <w:rtl/>
        </w:rPr>
        <w:t>א.</w:t>
      </w:r>
      <w:r>
        <w:rPr>
          <w:rFonts w:hint="cs"/>
          <w:rtl/>
        </w:rPr>
        <w:tab/>
      </w:r>
      <w:r w:rsidRPr="00DB6E8A">
        <w:rPr>
          <w:rFonts w:hint="cs"/>
          <w:rtl/>
        </w:rPr>
        <w:t>מוצגים</w:t>
      </w:r>
      <w:r>
        <w:rPr>
          <w:rFonts w:hint="cs"/>
          <w:rtl/>
        </w:rPr>
        <w:t>: סמים וכלי גידול יושמדו. כל מוצג אחר, פרט לכסף, יועבר להחלטה פרטנית של קצין משטרה;</w:t>
      </w:r>
    </w:p>
    <w:p w14:paraId="56FA6514" w14:textId="77777777" w:rsidR="00123940" w:rsidRDefault="00123940" w:rsidP="00123940">
      <w:pPr>
        <w:spacing w:line="360" w:lineRule="auto"/>
        <w:ind w:left="720" w:hanging="720"/>
        <w:jc w:val="both"/>
        <w:rPr>
          <w:rtl/>
        </w:rPr>
      </w:pPr>
      <w:r>
        <w:rPr>
          <w:rFonts w:hint="cs"/>
          <w:rtl/>
        </w:rPr>
        <w:t>ב.</w:t>
      </w:r>
      <w:r>
        <w:rPr>
          <w:rFonts w:hint="cs"/>
          <w:rtl/>
        </w:rPr>
        <w:tab/>
        <w:t>עותק גזר הדין יועבר לשירות המבחן;</w:t>
      </w:r>
    </w:p>
    <w:p w14:paraId="5F0487A1" w14:textId="77777777" w:rsidR="00123940" w:rsidRDefault="00123940" w:rsidP="00123940">
      <w:pPr>
        <w:spacing w:line="360" w:lineRule="auto"/>
        <w:ind w:left="720" w:hanging="720"/>
        <w:jc w:val="both"/>
        <w:rPr>
          <w:rtl/>
        </w:rPr>
      </w:pPr>
      <w:r>
        <w:rPr>
          <w:rFonts w:hint="cs"/>
          <w:rtl/>
        </w:rPr>
        <w:t>ג.</w:t>
      </w:r>
      <w:r>
        <w:rPr>
          <w:rtl/>
        </w:rPr>
        <w:tab/>
      </w:r>
      <w:r>
        <w:rPr>
          <w:rFonts w:hint="cs"/>
          <w:rtl/>
        </w:rPr>
        <w:t>אם הפקיד הנאשם כסף בתחנת המשטרה, או בתיק קשור, יושב לו הפיקדון. הנאשם יוכל לבקש מהמזכירות להעביר פיקדון לזכות הקנס, ולקבל היתרה;</w:t>
      </w:r>
    </w:p>
    <w:p w14:paraId="4BD423BF" w14:textId="77777777" w:rsidR="00123940" w:rsidRDefault="00123940" w:rsidP="00123940">
      <w:pPr>
        <w:spacing w:line="360" w:lineRule="auto"/>
        <w:ind w:left="720" w:hanging="720"/>
        <w:jc w:val="both"/>
        <w:rPr>
          <w:rtl/>
        </w:rPr>
      </w:pPr>
    </w:p>
    <w:p w14:paraId="246C44AF" w14:textId="77777777" w:rsidR="00123940" w:rsidRDefault="00123940" w:rsidP="00123940">
      <w:pPr>
        <w:spacing w:line="360" w:lineRule="auto"/>
        <w:ind w:left="720" w:hanging="720"/>
        <w:jc w:val="both"/>
        <w:rPr>
          <w:rtl/>
        </w:rPr>
      </w:pPr>
    </w:p>
    <w:p w14:paraId="6893AF6F" w14:textId="77777777" w:rsidR="00123940" w:rsidRPr="00DB6E8A" w:rsidRDefault="00123940" w:rsidP="00123940">
      <w:pPr>
        <w:spacing w:line="360" w:lineRule="auto"/>
        <w:ind w:left="720" w:hanging="720"/>
        <w:jc w:val="both"/>
      </w:pPr>
      <w:r w:rsidRPr="00DB6E8A">
        <w:rPr>
          <w:rFonts w:hint="cs"/>
          <w:rtl/>
        </w:rPr>
        <w:t>זכות ערעור בתוך 45 יום מהיום</w:t>
      </w:r>
      <w:r>
        <w:rPr>
          <w:rFonts w:hint="cs"/>
          <w:rtl/>
        </w:rPr>
        <w:t xml:space="preserve"> לבית המשפט המחוזי</w:t>
      </w:r>
      <w:r w:rsidRPr="00DB6E8A">
        <w:rPr>
          <w:rFonts w:hint="cs"/>
          <w:rtl/>
        </w:rPr>
        <w:t>.</w:t>
      </w:r>
    </w:p>
    <w:p w14:paraId="04BE2891" w14:textId="77777777" w:rsidR="00123940" w:rsidRPr="00DB6E8A" w:rsidRDefault="00123940" w:rsidP="00123940"/>
    <w:p w14:paraId="0E270417" w14:textId="77777777" w:rsidR="00123940" w:rsidRPr="009F6F66" w:rsidRDefault="009F6F66" w:rsidP="00123940">
      <w:pPr>
        <w:spacing w:line="360" w:lineRule="auto"/>
        <w:ind w:left="720" w:hanging="720"/>
        <w:jc w:val="both"/>
        <w:rPr>
          <w:b/>
          <w:bCs/>
          <w:color w:val="FFFFFF"/>
          <w:sz w:val="2"/>
          <w:szCs w:val="2"/>
          <w:rtl/>
        </w:rPr>
      </w:pPr>
      <w:r w:rsidRPr="009F6F66">
        <w:rPr>
          <w:b/>
          <w:bCs/>
          <w:color w:val="FFFFFF"/>
          <w:sz w:val="2"/>
          <w:szCs w:val="2"/>
          <w:rtl/>
        </w:rPr>
        <w:t>5129371</w:t>
      </w:r>
    </w:p>
    <w:p w14:paraId="09D4AFCA" w14:textId="77777777" w:rsidR="00123940" w:rsidRPr="00250B83" w:rsidRDefault="009F6F66" w:rsidP="00123940">
      <w:pPr>
        <w:rPr>
          <w:rtl/>
        </w:rPr>
      </w:pPr>
      <w:r w:rsidRPr="009F6F66">
        <w:rPr>
          <w:rFonts w:ascii="Arial" w:hAnsi="Arial"/>
          <w:color w:val="FFFFFF"/>
          <w:sz w:val="2"/>
          <w:szCs w:val="2"/>
          <w:rtl/>
        </w:rPr>
        <w:t>54678313</w:t>
      </w:r>
      <w:r>
        <w:rPr>
          <w:rFonts w:ascii="Arial" w:hAnsi="Arial"/>
          <w:rtl/>
        </w:rPr>
        <w:t xml:space="preserve">ניתן היום,  ט' כסלו תשע"ח, 27 נובמבר 2017, במעמד הצדדים. </w:t>
      </w:r>
    </w:p>
    <w:p w14:paraId="3F688C29" w14:textId="77777777" w:rsidR="00123940" w:rsidRPr="00250B83" w:rsidRDefault="00123940" w:rsidP="00123940">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28D5C814" w14:textId="77777777" w:rsidR="00123940" w:rsidRPr="00250B83" w:rsidRDefault="00123940" w:rsidP="00123940">
      <w:pPr>
        <w:jc w:val="center"/>
        <w:rPr>
          <w:rFonts w:ascii="Arial" w:hAnsi="Arial"/>
          <w:rtl/>
        </w:rPr>
      </w:pPr>
    </w:p>
    <w:p w14:paraId="2C69702C" w14:textId="77777777" w:rsidR="00123940" w:rsidRPr="00250B83" w:rsidRDefault="00123940" w:rsidP="00123940">
      <w:pPr>
        <w:rPr>
          <w:rtl/>
        </w:rPr>
      </w:pPr>
    </w:p>
    <w:p w14:paraId="640117B5" w14:textId="77777777" w:rsidR="00123940" w:rsidRPr="00323926" w:rsidRDefault="00323926" w:rsidP="00123940">
      <w:pPr>
        <w:pStyle w:val="a3"/>
        <w:jc w:val="center"/>
        <w:rPr>
          <w:color w:val="FFFFFF"/>
          <w:sz w:val="2"/>
          <w:szCs w:val="2"/>
          <w:rtl/>
        </w:rPr>
      </w:pPr>
      <w:r w:rsidRPr="00323926">
        <w:rPr>
          <w:color w:val="FFFFFF"/>
          <w:sz w:val="2"/>
          <w:szCs w:val="2"/>
          <w:rtl/>
        </w:rPr>
        <w:t>5129371</w:t>
      </w:r>
    </w:p>
    <w:p w14:paraId="18F75EC9" w14:textId="77777777" w:rsidR="002D7B2F" w:rsidRPr="00323926" w:rsidRDefault="00323926" w:rsidP="009F6F66">
      <w:pPr>
        <w:keepNext/>
        <w:rPr>
          <w:rFonts w:ascii="David" w:hAnsi="David"/>
          <w:color w:val="FFFFFF"/>
          <w:sz w:val="2"/>
          <w:szCs w:val="2"/>
          <w:rtl/>
        </w:rPr>
      </w:pPr>
      <w:r w:rsidRPr="00323926">
        <w:rPr>
          <w:rFonts w:ascii="David" w:hAnsi="David"/>
          <w:color w:val="FFFFFF"/>
          <w:sz w:val="2"/>
          <w:szCs w:val="2"/>
          <w:rtl/>
        </w:rPr>
        <w:t>54678313</w:t>
      </w:r>
    </w:p>
    <w:p w14:paraId="64FC0B4D" w14:textId="77777777" w:rsidR="009F6F66" w:rsidRPr="009F6F66" w:rsidRDefault="009F6F66" w:rsidP="009F6F66">
      <w:pPr>
        <w:keepNext/>
        <w:rPr>
          <w:rFonts w:ascii="David" w:hAnsi="David"/>
          <w:color w:val="000000"/>
          <w:sz w:val="22"/>
          <w:szCs w:val="22"/>
          <w:rtl/>
        </w:rPr>
      </w:pPr>
      <w:r w:rsidRPr="009F6F66">
        <w:rPr>
          <w:rFonts w:ascii="David" w:hAnsi="David"/>
          <w:color w:val="000000"/>
          <w:sz w:val="22"/>
          <w:szCs w:val="22"/>
          <w:rtl/>
        </w:rPr>
        <w:t>עידו דרויאן גמליאל 54678313</w:t>
      </w:r>
    </w:p>
    <w:p w14:paraId="344A7159" w14:textId="77777777" w:rsidR="009F6F66" w:rsidRDefault="009F6F66" w:rsidP="009F6F66">
      <w:r w:rsidRPr="009F6F66">
        <w:rPr>
          <w:color w:val="000000"/>
          <w:rtl/>
        </w:rPr>
        <w:t>נוסח מסמך זה כפוף לשינויי ניסוח ועריכה</w:t>
      </w:r>
    </w:p>
    <w:p w14:paraId="26EB3E26" w14:textId="77777777" w:rsidR="009F6F66" w:rsidRDefault="009F6F66" w:rsidP="009F6F66">
      <w:pPr>
        <w:rPr>
          <w:rtl/>
        </w:rPr>
      </w:pPr>
    </w:p>
    <w:p w14:paraId="29BBF0FA" w14:textId="77777777" w:rsidR="009F6F66" w:rsidRDefault="009F6F66" w:rsidP="009F6F66">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r w:rsidR="00801831">
        <w:rPr>
          <w:rFonts w:hint="cs"/>
          <w:color w:val="0000FF"/>
          <w:u w:val="single"/>
          <w:rtl/>
        </w:rPr>
        <w:t xml:space="preserve"> </w:t>
      </w:r>
    </w:p>
    <w:p w14:paraId="2A187100" w14:textId="77777777" w:rsidR="009F6F66" w:rsidRPr="009F6F66" w:rsidRDefault="009F6F66" w:rsidP="00323926">
      <w:pPr>
        <w:rPr>
          <w:color w:val="0000FF"/>
          <w:u w:val="single"/>
        </w:rPr>
      </w:pPr>
    </w:p>
    <w:sectPr w:rsidR="009F6F66" w:rsidRPr="009F6F66" w:rsidSect="00323926">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D0878" w14:textId="77777777" w:rsidR="00843A24" w:rsidRDefault="00843A24" w:rsidP="00123940">
      <w:r>
        <w:separator/>
      </w:r>
    </w:p>
  </w:endnote>
  <w:endnote w:type="continuationSeparator" w:id="0">
    <w:p w14:paraId="61EBAAF6" w14:textId="77777777" w:rsidR="00843A24" w:rsidRDefault="00843A24" w:rsidP="0012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68AA1" w14:textId="77777777" w:rsidR="00FC4D13" w:rsidRDefault="00FC4D13" w:rsidP="003239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811D88" w14:textId="77777777" w:rsidR="00FC4D13" w:rsidRPr="00323926" w:rsidRDefault="00FC4D13" w:rsidP="00323926">
    <w:pPr>
      <w:pStyle w:val="a5"/>
      <w:pBdr>
        <w:top w:val="single" w:sz="4" w:space="1" w:color="auto"/>
        <w:between w:val="single" w:sz="4" w:space="0" w:color="auto"/>
      </w:pBdr>
      <w:spacing w:after="60"/>
      <w:jc w:val="center"/>
      <w:rPr>
        <w:rFonts w:ascii="FrankRuehl" w:hAnsi="FrankRuehl" w:cs="FrankRuehl"/>
        <w:color w:val="000000"/>
      </w:rPr>
    </w:pPr>
    <w:r w:rsidRPr="003239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06D13" w14:textId="77777777" w:rsidR="00FC4D13" w:rsidRDefault="00FC4D13" w:rsidP="003239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5696">
      <w:rPr>
        <w:rFonts w:ascii="FrankRuehl" w:hAnsi="FrankRuehl" w:cs="FrankRuehl"/>
        <w:noProof/>
        <w:rtl/>
      </w:rPr>
      <w:t>1</w:t>
    </w:r>
    <w:r>
      <w:rPr>
        <w:rFonts w:ascii="FrankRuehl" w:hAnsi="FrankRuehl" w:cs="FrankRuehl"/>
        <w:rtl/>
      </w:rPr>
      <w:fldChar w:fldCharType="end"/>
    </w:r>
  </w:p>
  <w:p w14:paraId="75D56C7B" w14:textId="77777777" w:rsidR="00FC4D13" w:rsidRPr="00323926" w:rsidRDefault="00FC4D13" w:rsidP="00323926">
    <w:pPr>
      <w:pStyle w:val="a5"/>
      <w:pBdr>
        <w:top w:val="single" w:sz="4" w:space="1" w:color="auto"/>
        <w:between w:val="single" w:sz="4" w:space="0" w:color="auto"/>
      </w:pBdr>
      <w:spacing w:after="60"/>
      <w:jc w:val="center"/>
      <w:rPr>
        <w:rFonts w:ascii="FrankRuehl" w:hAnsi="FrankRuehl" w:cs="FrankRuehl"/>
        <w:color w:val="000000"/>
      </w:rPr>
    </w:pPr>
    <w:r w:rsidRPr="00323926">
      <w:rPr>
        <w:rFonts w:ascii="FrankRuehl" w:hAnsi="FrankRuehl" w:cs="FrankRuehl"/>
        <w:color w:val="000000"/>
      </w:rPr>
      <w:pict w14:anchorId="3D65E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8E36B" w14:textId="77777777" w:rsidR="00843A24" w:rsidRDefault="00843A24" w:rsidP="00123940">
      <w:r>
        <w:separator/>
      </w:r>
    </w:p>
  </w:footnote>
  <w:footnote w:type="continuationSeparator" w:id="0">
    <w:p w14:paraId="3269838D" w14:textId="77777777" w:rsidR="00843A24" w:rsidRDefault="00843A24" w:rsidP="00123940">
      <w:r>
        <w:continuationSeparator/>
      </w:r>
    </w:p>
  </w:footnote>
  <w:footnote w:id="1">
    <w:p w14:paraId="0A86A4F6" w14:textId="77777777" w:rsidR="00FC4D13" w:rsidRDefault="00FC4D13" w:rsidP="00123940">
      <w:pPr>
        <w:pStyle w:val="a9"/>
        <w:rPr>
          <w:rtl/>
        </w:rPr>
      </w:pPr>
      <w:r>
        <w:rPr>
          <w:rStyle w:val="ab"/>
        </w:rPr>
        <w:footnoteRef/>
      </w:r>
      <w:r>
        <w:rPr>
          <w:rtl/>
        </w:rPr>
        <w:t xml:space="preserve"> </w:t>
      </w:r>
      <w:r>
        <w:rPr>
          <w:rtl/>
        </w:rPr>
        <w:tab/>
      </w:r>
      <w:r>
        <w:rPr>
          <w:rFonts w:hint="cs"/>
          <w:rtl/>
        </w:rPr>
        <w:t>צ"ל 650, ככל הנראה טעות סופר;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2909D" w14:textId="77777777" w:rsidR="00FC4D13" w:rsidRPr="00323926" w:rsidRDefault="00FC4D13" w:rsidP="003239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32055-11-15</w:t>
    </w:r>
    <w:r>
      <w:rPr>
        <w:rFonts w:ascii="David" w:hAnsi="David"/>
        <w:color w:val="000000"/>
        <w:sz w:val="22"/>
        <w:szCs w:val="22"/>
        <w:rtl/>
      </w:rPr>
      <w:tab/>
      <w:t xml:space="preserve"> מדינת ישראל נ' בועז מאושר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13F47" w14:textId="77777777" w:rsidR="00FC4D13" w:rsidRPr="00323926" w:rsidRDefault="00FC4D13" w:rsidP="003239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32055-11-15</w:t>
    </w:r>
    <w:r>
      <w:rPr>
        <w:rFonts w:ascii="David" w:hAnsi="David"/>
        <w:color w:val="000000"/>
        <w:sz w:val="22"/>
        <w:szCs w:val="22"/>
        <w:rtl/>
      </w:rPr>
      <w:tab/>
      <w:t xml:space="preserve"> מדינת ישראל נ' בועז מאושר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201E9"/>
    <w:multiLevelType w:val="hybridMultilevel"/>
    <w:tmpl w:val="43DA6E2E"/>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055F15"/>
    <w:multiLevelType w:val="hybridMultilevel"/>
    <w:tmpl w:val="DA207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B66A16"/>
    <w:multiLevelType w:val="hybridMultilevel"/>
    <w:tmpl w:val="D95C2B16"/>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59854906">
    <w:abstractNumId w:val="1"/>
  </w:num>
  <w:num w:numId="2" w16cid:durableId="1019356680">
    <w:abstractNumId w:val="2"/>
  </w:num>
  <w:num w:numId="3" w16cid:durableId="77001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3940"/>
    <w:rsid w:val="00123940"/>
    <w:rsid w:val="002D7B2F"/>
    <w:rsid w:val="00305257"/>
    <w:rsid w:val="00323926"/>
    <w:rsid w:val="00342470"/>
    <w:rsid w:val="005863C3"/>
    <w:rsid w:val="005A661C"/>
    <w:rsid w:val="0064024A"/>
    <w:rsid w:val="0070150D"/>
    <w:rsid w:val="00801831"/>
    <w:rsid w:val="00843A24"/>
    <w:rsid w:val="008D0154"/>
    <w:rsid w:val="009F6F66"/>
    <w:rsid w:val="00BA16A0"/>
    <w:rsid w:val="00C00E62"/>
    <w:rsid w:val="00E55696"/>
    <w:rsid w:val="00FC4D13"/>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DF7784C"/>
  <w15:chartTrackingRefBased/>
  <w15:docId w15:val="{3DE11D60-424B-40E5-A68D-7D33619E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394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23940"/>
    <w:pPr>
      <w:tabs>
        <w:tab w:val="center" w:pos="4153"/>
        <w:tab w:val="right" w:pos="8306"/>
      </w:tabs>
    </w:pPr>
  </w:style>
  <w:style w:type="character" w:customStyle="1" w:styleId="a4">
    <w:name w:val="כותרת עליונה תו"/>
    <w:link w:val="a3"/>
    <w:rsid w:val="00123940"/>
    <w:rPr>
      <w:rFonts w:ascii="Times New Roman" w:eastAsia="Times New Roman" w:hAnsi="Times New Roman" w:cs="David"/>
      <w:sz w:val="24"/>
      <w:szCs w:val="24"/>
    </w:rPr>
  </w:style>
  <w:style w:type="paragraph" w:styleId="a5">
    <w:name w:val="footer"/>
    <w:basedOn w:val="a"/>
    <w:link w:val="a6"/>
    <w:rsid w:val="00123940"/>
    <w:pPr>
      <w:tabs>
        <w:tab w:val="center" w:pos="4153"/>
        <w:tab w:val="right" w:pos="8306"/>
      </w:tabs>
    </w:pPr>
  </w:style>
  <w:style w:type="character" w:customStyle="1" w:styleId="a6">
    <w:name w:val="כותרת תחתונה תו"/>
    <w:link w:val="a5"/>
    <w:rsid w:val="00123940"/>
    <w:rPr>
      <w:rFonts w:ascii="Times New Roman" w:eastAsia="Times New Roman" w:hAnsi="Times New Roman" w:cs="David"/>
      <w:sz w:val="24"/>
      <w:szCs w:val="24"/>
    </w:rPr>
  </w:style>
  <w:style w:type="table" w:styleId="a7">
    <w:name w:val="Table Grid"/>
    <w:basedOn w:val="a1"/>
    <w:rsid w:val="0012394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23940"/>
  </w:style>
  <w:style w:type="paragraph" w:customStyle="1" w:styleId="ListParagraph">
    <w:name w:val="List Paragraph"/>
    <w:basedOn w:val="a"/>
    <w:qFormat/>
    <w:rsid w:val="00123940"/>
    <w:pPr>
      <w:ind w:left="720"/>
      <w:contextualSpacing/>
    </w:pPr>
  </w:style>
  <w:style w:type="paragraph" w:styleId="a9">
    <w:name w:val="footnote text"/>
    <w:basedOn w:val="a"/>
    <w:link w:val="aa"/>
    <w:rsid w:val="00123940"/>
    <w:rPr>
      <w:sz w:val="20"/>
      <w:szCs w:val="20"/>
    </w:rPr>
  </w:style>
  <w:style w:type="character" w:customStyle="1" w:styleId="aa">
    <w:name w:val="טקסט הערת שוליים תו"/>
    <w:link w:val="a9"/>
    <w:rsid w:val="00123940"/>
    <w:rPr>
      <w:rFonts w:ascii="Times New Roman" w:eastAsia="Times New Roman" w:hAnsi="Times New Roman" w:cs="David"/>
      <w:sz w:val="20"/>
      <w:szCs w:val="20"/>
    </w:rPr>
  </w:style>
  <w:style w:type="character" w:styleId="ab">
    <w:name w:val="footnote reference"/>
    <w:rsid w:val="00123940"/>
    <w:rPr>
      <w:vertAlign w:val="superscript"/>
    </w:rPr>
  </w:style>
  <w:style w:type="character" w:styleId="Hyperlink">
    <w:name w:val="Hyperlink"/>
    <w:rsid w:val="009F6F6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989/16.b.3" TargetMode="External"/><Relationship Id="rId18" Type="http://schemas.openxmlformats.org/officeDocument/2006/relationships/hyperlink" Target="http://www.nevo.co.il/law/4216" TargetMode="External"/><Relationship Id="rId26" Type="http://schemas.openxmlformats.org/officeDocument/2006/relationships/hyperlink" Target="http://www.nevo.co.il/law/71989" TargetMode="External"/><Relationship Id="rId39" Type="http://schemas.openxmlformats.org/officeDocument/2006/relationships/header" Target="header2.xml"/><Relationship Id="rId21" Type="http://schemas.openxmlformats.org/officeDocument/2006/relationships/hyperlink" Target="http://www.nevo.co.il/case/20597499" TargetMode="External"/><Relationship Id="rId34" Type="http://schemas.openxmlformats.org/officeDocument/2006/relationships/hyperlink" Target="http://www.nevo.co.il/case/20163834"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1989/19" TargetMode="External"/><Relationship Id="rId20" Type="http://schemas.openxmlformats.org/officeDocument/2006/relationships/hyperlink" Target="http://www.nevo.co.il/case/18777538" TargetMode="External"/><Relationship Id="rId29" Type="http://schemas.openxmlformats.org/officeDocument/2006/relationships/hyperlink" Target="http://www.nevo.co.il/law/71989/18.a"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1989/16" TargetMode="External"/><Relationship Id="rId24" Type="http://schemas.openxmlformats.org/officeDocument/2006/relationships/hyperlink" Target="http://www.nevo.co.il/case/21955456" TargetMode="External"/><Relationship Id="rId32" Type="http://schemas.openxmlformats.org/officeDocument/2006/relationships/hyperlink" Target="http://www.nevo.co.il/case/2040248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1989/18.a" TargetMode="External"/><Relationship Id="rId23" Type="http://schemas.openxmlformats.org/officeDocument/2006/relationships/hyperlink" Target="http://www.nevo.co.il/law/4839" TargetMode="External"/><Relationship Id="rId28" Type="http://schemas.openxmlformats.org/officeDocument/2006/relationships/hyperlink" Target="http://www.nevo.co.il/law/71989/16.b.2" TargetMode="External"/><Relationship Id="rId36" Type="http://schemas.openxmlformats.org/officeDocument/2006/relationships/hyperlink" Target="http://www.nevo.co.il/case/20595169" TargetMode="External"/><Relationship Id="rId10" Type="http://schemas.openxmlformats.org/officeDocument/2006/relationships/hyperlink" Target="http://www.nevo.co.il/law/71989" TargetMode="External"/><Relationship Id="rId19" Type="http://schemas.openxmlformats.org/officeDocument/2006/relationships/hyperlink" Target="http://www.nevo.co.il/case/5810781" TargetMode="External"/><Relationship Id="rId31" Type="http://schemas.openxmlformats.org/officeDocument/2006/relationships/hyperlink" Target="http://www.nevo.co.il/law/71989/16.b.3" TargetMode="External"/><Relationship Id="rId4" Type="http://schemas.openxmlformats.org/officeDocument/2006/relationships/webSettings" Target="webSettings.xml"/><Relationship Id="rId9" Type="http://schemas.openxmlformats.org/officeDocument/2006/relationships/hyperlink" Target="http://www.nevo.co.il/law/4839" TargetMode="External"/><Relationship Id="rId14" Type="http://schemas.openxmlformats.org/officeDocument/2006/relationships/hyperlink" Target="http://www.nevo.co.il/law/71989/18" TargetMode="External"/><Relationship Id="rId22" Type="http://schemas.openxmlformats.org/officeDocument/2006/relationships/hyperlink" Target="http://www.nevo.co.il/case/5147208" TargetMode="External"/><Relationship Id="rId27" Type="http://schemas.openxmlformats.org/officeDocument/2006/relationships/hyperlink" Target="http://www.nevo.co.il/law/71989/16;18" TargetMode="External"/><Relationship Id="rId30" Type="http://schemas.openxmlformats.org/officeDocument/2006/relationships/hyperlink" Target="http://www.nevo.co.il/law/71989/19" TargetMode="External"/><Relationship Id="rId35" Type="http://schemas.openxmlformats.org/officeDocument/2006/relationships/hyperlink" Target="http://www.nevo.co.il/case/22555735"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1989/16.b.2"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20409969" TargetMode="External"/><Relationship Id="rId33" Type="http://schemas.openxmlformats.org/officeDocument/2006/relationships/hyperlink" Target="http://www.nevo.co.il/case/2228987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1649</Words>
  <Characters>8246</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9876</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3407996</vt:i4>
      </vt:variant>
      <vt:variant>
        <vt:i4>87</vt:i4>
      </vt:variant>
      <vt:variant>
        <vt:i4>0</vt:i4>
      </vt:variant>
      <vt:variant>
        <vt:i4>5</vt:i4>
      </vt:variant>
      <vt:variant>
        <vt:lpwstr>http://www.nevo.co.il/case/20595169</vt:lpwstr>
      </vt:variant>
      <vt:variant>
        <vt:lpwstr/>
      </vt:variant>
      <vt:variant>
        <vt:i4>3211380</vt:i4>
      </vt:variant>
      <vt:variant>
        <vt:i4>84</vt:i4>
      </vt:variant>
      <vt:variant>
        <vt:i4>0</vt:i4>
      </vt:variant>
      <vt:variant>
        <vt:i4>5</vt:i4>
      </vt:variant>
      <vt:variant>
        <vt:lpwstr>http://www.nevo.co.il/case/22555735</vt:lpwstr>
      </vt:variant>
      <vt:variant>
        <vt:lpwstr/>
      </vt:variant>
      <vt:variant>
        <vt:i4>3342458</vt:i4>
      </vt:variant>
      <vt:variant>
        <vt:i4>81</vt:i4>
      </vt:variant>
      <vt:variant>
        <vt:i4>0</vt:i4>
      </vt:variant>
      <vt:variant>
        <vt:i4>5</vt:i4>
      </vt:variant>
      <vt:variant>
        <vt:lpwstr>http://www.nevo.co.il/case/20163834</vt:lpwstr>
      </vt:variant>
      <vt:variant>
        <vt:lpwstr/>
      </vt:variant>
      <vt:variant>
        <vt:i4>4063350</vt:i4>
      </vt:variant>
      <vt:variant>
        <vt:i4>78</vt:i4>
      </vt:variant>
      <vt:variant>
        <vt:i4>0</vt:i4>
      </vt:variant>
      <vt:variant>
        <vt:i4>5</vt:i4>
      </vt:variant>
      <vt:variant>
        <vt:lpwstr>http://www.nevo.co.il/case/22289876</vt:lpwstr>
      </vt:variant>
      <vt:variant>
        <vt:lpwstr/>
      </vt:variant>
      <vt:variant>
        <vt:i4>3932272</vt:i4>
      </vt:variant>
      <vt:variant>
        <vt:i4>75</vt:i4>
      </vt:variant>
      <vt:variant>
        <vt:i4>0</vt:i4>
      </vt:variant>
      <vt:variant>
        <vt:i4>5</vt:i4>
      </vt:variant>
      <vt:variant>
        <vt:lpwstr>http://www.nevo.co.il/case/20402486</vt:lpwstr>
      </vt:variant>
      <vt:variant>
        <vt:lpwstr/>
      </vt:variant>
      <vt:variant>
        <vt:i4>3866726</vt:i4>
      </vt:variant>
      <vt:variant>
        <vt:i4>72</vt:i4>
      </vt:variant>
      <vt:variant>
        <vt:i4>0</vt:i4>
      </vt:variant>
      <vt:variant>
        <vt:i4>5</vt:i4>
      </vt:variant>
      <vt:variant>
        <vt:lpwstr>http://www.nevo.co.il/law/71989/16.b.3</vt:lpwstr>
      </vt:variant>
      <vt:variant>
        <vt:lpwstr/>
      </vt:variant>
      <vt:variant>
        <vt:i4>6619238</vt:i4>
      </vt:variant>
      <vt:variant>
        <vt:i4>69</vt:i4>
      </vt:variant>
      <vt:variant>
        <vt:i4>0</vt:i4>
      </vt:variant>
      <vt:variant>
        <vt:i4>5</vt:i4>
      </vt:variant>
      <vt:variant>
        <vt:lpwstr>http://www.nevo.co.il/law/71989/19</vt:lpwstr>
      </vt:variant>
      <vt:variant>
        <vt:lpwstr/>
      </vt:variant>
      <vt:variant>
        <vt:i4>327752</vt:i4>
      </vt:variant>
      <vt:variant>
        <vt:i4>66</vt:i4>
      </vt:variant>
      <vt:variant>
        <vt:i4>0</vt:i4>
      </vt:variant>
      <vt:variant>
        <vt:i4>5</vt:i4>
      </vt:variant>
      <vt:variant>
        <vt:lpwstr>http://www.nevo.co.il/law/71989/18.a</vt:lpwstr>
      </vt:variant>
      <vt:variant>
        <vt:lpwstr/>
      </vt:variant>
      <vt:variant>
        <vt:i4>3801190</vt:i4>
      </vt:variant>
      <vt:variant>
        <vt:i4>63</vt:i4>
      </vt:variant>
      <vt:variant>
        <vt:i4>0</vt:i4>
      </vt:variant>
      <vt:variant>
        <vt:i4>5</vt:i4>
      </vt:variant>
      <vt:variant>
        <vt:lpwstr>http://www.nevo.co.il/law/71989/16.b.2</vt:lpwstr>
      </vt:variant>
      <vt:variant>
        <vt:lpwstr/>
      </vt:variant>
      <vt:variant>
        <vt:i4>5963869</vt:i4>
      </vt:variant>
      <vt:variant>
        <vt:i4>60</vt:i4>
      </vt:variant>
      <vt:variant>
        <vt:i4>0</vt:i4>
      </vt:variant>
      <vt:variant>
        <vt:i4>5</vt:i4>
      </vt:variant>
      <vt:variant>
        <vt:lpwstr>http://www.nevo.co.il/law/71989/16;18</vt:lpwstr>
      </vt:variant>
      <vt:variant>
        <vt:lpwstr/>
      </vt:variant>
      <vt:variant>
        <vt:i4>7536750</vt:i4>
      </vt:variant>
      <vt:variant>
        <vt:i4>57</vt:i4>
      </vt:variant>
      <vt:variant>
        <vt:i4>0</vt:i4>
      </vt:variant>
      <vt:variant>
        <vt:i4>5</vt:i4>
      </vt:variant>
      <vt:variant>
        <vt:lpwstr>http://www.nevo.co.il/law/71989</vt:lpwstr>
      </vt:variant>
      <vt:variant>
        <vt:lpwstr/>
      </vt:variant>
      <vt:variant>
        <vt:i4>3735677</vt:i4>
      </vt:variant>
      <vt:variant>
        <vt:i4>54</vt:i4>
      </vt:variant>
      <vt:variant>
        <vt:i4>0</vt:i4>
      </vt:variant>
      <vt:variant>
        <vt:i4>5</vt:i4>
      </vt:variant>
      <vt:variant>
        <vt:lpwstr>http://www.nevo.co.il/case/20409969</vt:lpwstr>
      </vt:variant>
      <vt:variant>
        <vt:lpwstr/>
      </vt:variant>
      <vt:variant>
        <vt:i4>3866740</vt:i4>
      </vt:variant>
      <vt:variant>
        <vt:i4>51</vt:i4>
      </vt:variant>
      <vt:variant>
        <vt:i4>0</vt:i4>
      </vt:variant>
      <vt:variant>
        <vt:i4>5</vt:i4>
      </vt:variant>
      <vt:variant>
        <vt:lpwstr>http://www.nevo.co.il/case/21955456</vt:lpwstr>
      </vt:variant>
      <vt:variant>
        <vt:lpwstr/>
      </vt:variant>
      <vt:variant>
        <vt:i4>8061031</vt:i4>
      </vt:variant>
      <vt:variant>
        <vt:i4>48</vt:i4>
      </vt:variant>
      <vt:variant>
        <vt:i4>0</vt:i4>
      </vt:variant>
      <vt:variant>
        <vt:i4>5</vt:i4>
      </vt:variant>
      <vt:variant>
        <vt:lpwstr>http://www.nevo.co.il/law/4839</vt:lpwstr>
      </vt:variant>
      <vt:variant>
        <vt:lpwstr/>
      </vt:variant>
      <vt:variant>
        <vt:i4>3866738</vt:i4>
      </vt:variant>
      <vt:variant>
        <vt:i4>45</vt:i4>
      </vt:variant>
      <vt:variant>
        <vt:i4>0</vt:i4>
      </vt:variant>
      <vt:variant>
        <vt:i4>5</vt:i4>
      </vt:variant>
      <vt:variant>
        <vt:lpwstr>http://www.nevo.co.il/case/5147208</vt:lpwstr>
      </vt:variant>
      <vt:variant>
        <vt:lpwstr/>
      </vt:variant>
      <vt:variant>
        <vt:i4>3735673</vt:i4>
      </vt:variant>
      <vt:variant>
        <vt:i4>42</vt:i4>
      </vt:variant>
      <vt:variant>
        <vt:i4>0</vt:i4>
      </vt:variant>
      <vt:variant>
        <vt:i4>5</vt:i4>
      </vt:variant>
      <vt:variant>
        <vt:lpwstr>http://www.nevo.co.il/case/20597499</vt:lpwstr>
      </vt:variant>
      <vt:variant>
        <vt:lpwstr/>
      </vt:variant>
      <vt:variant>
        <vt:i4>3276926</vt:i4>
      </vt:variant>
      <vt:variant>
        <vt:i4>39</vt:i4>
      </vt:variant>
      <vt:variant>
        <vt:i4>0</vt:i4>
      </vt:variant>
      <vt:variant>
        <vt:i4>5</vt:i4>
      </vt:variant>
      <vt:variant>
        <vt:lpwstr>http://www.nevo.co.il/case/18777538</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6619238</vt:i4>
      </vt:variant>
      <vt:variant>
        <vt:i4>27</vt:i4>
      </vt:variant>
      <vt:variant>
        <vt:i4>0</vt:i4>
      </vt:variant>
      <vt:variant>
        <vt:i4>5</vt:i4>
      </vt:variant>
      <vt:variant>
        <vt:lpwstr>http://www.nevo.co.il/law/71989/19</vt:lpwstr>
      </vt:variant>
      <vt:variant>
        <vt:lpwstr/>
      </vt:variant>
      <vt:variant>
        <vt:i4>327752</vt:i4>
      </vt:variant>
      <vt:variant>
        <vt:i4>24</vt:i4>
      </vt:variant>
      <vt:variant>
        <vt:i4>0</vt:i4>
      </vt:variant>
      <vt:variant>
        <vt:i4>5</vt:i4>
      </vt:variant>
      <vt:variant>
        <vt:lpwstr>http://www.nevo.co.il/law/71989/18.a</vt:lpwstr>
      </vt:variant>
      <vt:variant>
        <vt:lpwstr/>
      </vt:variant>
      <vt:variant>
        <vt:i4>6553702</vt:i4>
      </vt:variant>
      <vt:variant>
        <vt:i4>21</vt:i4>
      </vt:variant>
      <vt:variant>
        <vt:i4>0</vt:i4>
      </vt:variant>
      <vt:variant>
        <vt:i4>5</vt:i4>
      </vt:variant>
      <vt:variant>
        <vt:lpwstr>http://www.nevo.co.il/law/71989/18</vt:lpwstr>
      </vt:variant>
      <vt:variant>
        <vt:lpwstr/>
      </vt:variant>
      <vt:variant>
        <vt:i4>3866726</vt:i4>
      </vt:variant>
      <vt:variant>
        <vt:i4>18</vt:i4>
      </vt:variant>
      <vt:variant>
        <vt:i4>0</vt:i4>
      </vt:variant>
      <vt:variant>
        <vt:i4>5</vt:i4>
      </vt:variant>
      <vt:variant>
        <vt:lpwstr>http://www.nevo.co.il/law/71989/16.b.3</vt:lpwstr>
      </vt:variant>
      <vt:variant>
        <vt:lpwstr/>
      </vt:variant>
      <vt:variant>
        <vt:i4>3801190</vt:i4>
      </vt:variant>
      <vt:variant>
        <vt:i4>15</vt:i4>
      </vt:variant>
      <vt:variant>
        <vt:i4>0</vt:i4>
      </vt:variant>
      <vt:variant>
        <vt:i4>5</vt:i4>
      </vt:variant>
      <vt:variant>
        <vt:lpwstr>http://www.nevo.co.il/law/71989/16.b.2</vt:lpwstr>
      </vt:variant>
      <vt:variant>
        <vt:lpwstr/>
      </vt:variant>
      <vt:variant>
        <vt:i4>6946918</vt:i4>
      </vt:variant>
      <vt:variant>
        <vt:i4>12</vt:i4>
      </vt:variant>
      <vt:variant>
        <vt:i4>0</vt:i4>
      </vt:variant>
      <vt:variant>
        <vt:i4>5</vt:i4>
      </vt:variant>
      <vt:variant>
        <vt:lpwstr>http://www.nevo.co.il/law/71989/16</vt:lpwstr>
      </vt:variant>
      <vt:variant>
        <vt:lpwstr/>
      </vt:variant>
      <vt:variant>
        <vt:i4>7536750</vt:i4>
      </vt:variant>
      <vt:variant>
        <vt:i4>9</vt:i4>
      </vt:variant>
      <vt:variant>
        <vt:i4>0</vt:i4>
      </vt:variant>
      <vt:variant>
        <vt:i4>5</vt:i4>
      </vt:variant>
      <vt:variant>
        <vt:lpwstr>http://www.nevo.co.il/law/71989</vt:lpwstr>
      </vt:variant>
      <vt:variant>
        <vt:lpwstr/>
      </vt:variant>
      <vt:variant>
        <vt:i4>8061031</vt:i4>
      </vt:variant>
      <vt:variant>
        <vt:i4>6</vt:i4>
      </vt:variant>
      <vt:variant>
        <vt:i4>0</vt:i4>
      </vt:variant>
      <vt:variant>
        <vt:i4>5</vt:i4>
      </vt:variant>
      <vt:variant>
        <vt:lpwstr>http://www.nevo.co.il/law/4839</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2025-04-22T22:54:00Z</dcterms:created>
  <dcterms:modified xsi:type="dcterms:W3CDTF">2025-04-22T22:54:00Z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32055</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בועז מאושר</vt:lpwstr>
  </property>
  <property fmtid="{D5CDD505-2E9C-101B-9397-08002B2CF9AE}" pid="10" name="LAWYER">
    <vt:lpwstr>הרצוג;בר טוב;אזולאי</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20171127</vt:lpwstr>
  </property>
  <property fmtid="{D5CDD505-2E9C-101B-9397-08002B2CF9AE}" pid="14" name="TYPE_N_DATE">
    <vt:lpwstr>38020171127</vt:lpwstr>
  </property>
  <property fmtid="{D5CDD505-2E9C-101B-9397-08002B2CF9AE}" pid="15" name="WORDNUMPAGES">
    <vt:lpwstr>5</vt:lpwstr>
  </property>
  <property fmtid="{D5CDD505-2E9C-101B-9397-08002B2CF9AE}" pid="16" name="TYPE_ABS_DATE">
    <vt:lpwstr>380020171127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5810781;18777538;20597499;5147208;21955456;20409969;20402486;22289876;20163834;22555735;20595169</vt:lpwstr>
  </property>
  <property fmtid="{D5CDD505-2E9C-101B-9397-08002B2CF9AE}" pid="36" name="LAWLISTTMP1">
    <vt:lpwstr>4216/006:2</vt:lpwstr>
  </property>
  <property fmtid="{D5CDD505-2E9C-101B-9397-08002B2CF9AE}" pid="37" name="LAWLISTTMP2">
    <vt:lpwstr>4839</vt:lpwstr>
  </property>
  <property fmtid="{D5CDD505-2E9C-101B-9397-08002B2CF9AE}" pid="38" name="LAWLISTTMP3">
    <vt:lpwstr>71989/016:2;018:2;016.b.2:2;018.a:2;019:2;016.b.3:2</vt:lpwstr>
  </property>
</Properties>
</file>