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56D80" w:rsidRPr="00D35BBF" w14:paraId="3080397E" w14:textId="77777777">
        <w:trPr>
          <w:trHeight w:hRule="exact" w:val="418"/>
          <w:jc w:val="center"/>
        </w:trPr>
        <w:tc>
          <w:tcPr>
            <w:tcW w:w="8721" w:type="dxa"/>
            <w:gridSpan w:val="2"/>
          </w:tcPr>
          <w:p w14:paraId="229E5DC6" w14:textId="77777777" w:rsidR="00956D80" w:rsidRPr="00D35BBF" w:rsidRDefault="00D35BBF">
            <w:pPr>
              <w:pStyle w:val="a3"/>
              <w:jc w:val="center"/>
              <w:rPr>
                <w:rFonts w:ascii="Tahoma" w:hAnsi="Tahoma" w:cs="Tahoma"/>
                <w:color w:val="000080"/>
                <w:rtl/>
              </w:rPr>
            </w:pPr>
            <w:bookmarkStart w:id="0" w:name="LastJudge"/>
            <w:r w:rsidRPr="00D35BBF">
              <w:rPr>
                <w:rFonts w:ascii="Tahoma" w:hAnsi="Tahoma" w:cs="Tahoma"/>
                <w:b/>
                <w:bCs/>
                <w:color w:val="000080"/>
                <w:rtl/>
              </w:rPr>
              <w:t>בית משפט השלום בירושלים</w:t>
            </w:r>
          </w:p>
        </w:tc>
      </w:tr>
      <w:tr w:rsidR="00956D80" w:rsidRPr="00D35BBF" w14:paraId="05EEB3DE" w14:textId="77777777">
        <w:trPr>
          <w:trHeight w:val="337"/>
          <w:jc w:val="center"/>
        </w:trPr>
        <w:tc>
          <w:tcPr>
            <w:tcW w:w="5054" w:type="dxa"/>
          </w:tcPr>
          <w:p w14:paraId="422A51F8" w14:textId="77777777" w:rsidR="00956D80" w:rsidRPr="00D35BBF" w:rsidRDefault="00D35BBF">
            <w:pPr>
              <w:rPr>
                <w:rFonts w:cs="FrankRuehl"/>
                <w:sz w:val="28"/>
                <w:szCs w:val="28"/>
                <w:rtl/>
              </w:rPr>
            </w:pPr>
            <w:r w:rsidRPr="00D35BBF">
              <w:rPr>
                <w:rFonts w:cs="FrankRuehl"/>
                <w:sz w:val="28"/>
                <w:szCs w:val="28"/>
                <w:rtl/>
              </w:rPr>
              <w:t>ת"פ</w:t>
            </w:r>
            <w:r w:rsidRPr="00D35BBF">
              <w:rPr>
                <w:rFonts w:cs="FrankRuehl" w:hint="cs"/>
                <w:sz w:val="28"/>
                <w:szCs w:val="28"/>
                <w:rtl/>
              </w:rPr>
              <w:t xml:space="preserve"> </w:t>
            </w:r>
            <w:r w:rsidRPr="00D35BBF">
              <w:rPr>
                <w:rFonts w:cs="FrankRuehl"/>
                <w:sz w:val="28"/>
                <w:szCs w:val="28"/>
                <w:rtl/>
              </w:rPr>
              <w:t>36709-11-15</w:t>
            </w:r>
            <w:r w:rsidRPr="00D35BBF">
              <w:rPr>
                <w:rFonts w:cs="FrankRuehl" w:hint="cs"/>
                <w:sz w:val="28"/>
                <w:szCs w:val="28"/>
                <w:rtl/>
              </w:rPr>
              <w:t xml:space="preserve"> </w:t>
            </w:r>
            <w:r w:rsidRPr="00D35BBF">
              <w:rPr>
                <w:rFonts w:cs="FrankRuehl"/>
                <w:sz w:val="28"/>
                <w:szCs w:val="28"/>
                <w:rtl/>
              </w:rPr>
              <w:t>מדינת ישראל נ' סויסה</w:t>
            </w:r>
          </w:p>
        </w:tc>
        <w:tc>
          <w:tcPr>
            <w:tcW w:w="3667" w:type="dxa"/>
          </w:tcPr>
          <w:p w14:paraId="6C975D99" w14:textId="77777777" w:rsidR="00956D80" w:rsidRPr="00D35BBF" w:rsidRDefault="00956D80">
            <w:pPr>
              <w:pStyle w:val="a3"/>
              <w:jc w:val="right"/>
              <w:rPr>
                <w:rFonts w:cs="FrankRuehl"/>
                <w:sz w:val="28"/>
                <w:szCs w:val="28"/>
                <w:rtl/>
              </w:rPr>
            </w:pPr>
          </w:p>
        </w:tc>
      </w:tr>
    </w:tbl>
    <w:p w14:paraId="3176F3BC" w14:textId="77777777" w:rsidR="00956D80" w:rsidRPr="00D35BBF" w:rsidRDefault="00D35BBF">
      <w:pPr>
        <w:pStyle w:val="a3"/>
        <w:rPr>
          <w:rtl/>
        </w:rPr>
      </w:pPr>
      <w:r w:rsidRPr="00D35BBF">
        <w:rPr>
          <w:rFonts w:hint="cs"/>
          <w:rtl/>
        </w:rPr>
        <w:t xml:space="preserve"> </w:t>
      </w:r>
    </w:p>
    <w:p w14:paraId="3B7153F4" w14:textId="77777777" w:rsidR="00956D80" w:rsidRPr="00D35BBF" w:rsidRDefault="00956D80">
      <w:pPr>
        <w:pStyle w:val="a3"/>
        <w:rPr>
          <w:rtl/>
        </w:rPr>
      </w:pPr>
    </w:p>
    <w:p w14:paraId="05AE9D9F" w14:textId="77777777" w:rsidR="00956D80" w:rsidRPr="00D35BBF" w:rsidRDefault="00956D8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56D80" w:rsidRPr="00D35BBF" w14:paraId="2709DAE5" w14:textId="77777777">
        <w:trPr>
          <w:trHeight w:val="295"/>
          <w:jc w:val="center"/>
        </w:trPr>
        <w:tc>
          <w:tcPr>
            <w:tcW w:w="945" w:type="dxa"/>
            <w:tcBorders>
              <w:top w:val="nil"/>
              <w:left w:val="nil"/>
              <w:bottom w:val="nil"/>
              <w:right w:val="nil"/>
            </w:tcBorders>
            <w:shd w:val="clear" w:color="auto" w:fill="auto"/>
          </w:tcPr>
          <w:p w14:paraId="16E19868" w14:textId="77777777" w:rsidR="00956D80" w:rsidRPr="00D35BBF" w:rsidRDefault="00D35BBF">
            <w:pPr>
              <w:rPr>
                <w:rFonts w:ascii="Arial" w:hAnsi="Arial"/>
                <w:b/>
                <w:bCs/>
              </w:rPr>
            </w:pPr>
            <w:r w:rsidRPr="00D35BBF">
              <w:rPr>
                <w:rFonts w:ascii="Arial" w:hAnsi="Arial" w:hint="cs"/>
                <w:b/>
                <w:bCs/>
                <w:rtl/>
              </w:rPr>
              <w:t>ל</w:t>
            </w:r>
            <w:r w:rsidRPr="00D35BBF">
              <w:rPr>
                <w:rFonts w:ascii="Arial" w:hAnsi="Arial"/>
                <w:b/>
                <w:bCs/>
                <w:rtl/>
              </w:rPr>
              <w:t xml:space="preserve">פני </w:t>
            </w:r>
          </w:p>
        </w:tc>
        <w:tc>
          <w:tcPr>
            <w:tcW w:w="7875" w:type="dxa"/>
            <w:gridSpan w:val="2"/>
            <w:tcBorders>
              <w:top w:val="nil"/>
              <w:left w:val="nil"/>
              <w:bottom w:val="nil"/>
              <w:right w:val="nil"/>
            </w:tcBorders>
            <w:shd w:val="clear" w:color="auto" w:fill="auto"/>
          </w:tcPr>
          <w:p w14:paraId="67A097BC" w14:textId="77777777" w:rsidR="00956D80" w:rsidRPr="00D35BBF" w:rsidRDefault="00D35BBF">
            <w:pPr>
              <w:rPr>
                <w:rFonts w:ascii="Arial" w:hAnsi="Arial"/>
                <w:b/>
                <w:bCs/>
                <w:rtl/>
              </w:rPr>
            </w:pPr>
            <w:r w:rsidRPr="00D35BBF">
              <w:rPr>
                <w:rFonts w:ascii="Arial" w:hAnsi="Arial" w:hint="cs"/>
                <w:b/>
                <w:bCs/>
                <w:rtl/>
              </w:rPr>
              <w:t>כבוד ה</w:t>
            </w:r>
            <w:r w:rsidRPr="00D35BBF">
              <w:rPr>
                <w:rFonts w:hint="cs"/>
                <w:b/>
                <w:bCs/>
                <w:rtl/>
              </w:rPr>
              <w:t>שופטת</w:t>
            </w:r>
            <w:r w:rsidRPr="00D35BBF">
              <w:rPr>
                <w:rFonts w:ascii="Arial" w:hAnsi="Arial" w:hint="cs"/>
                <w:b/>
                <w:bCs/>
                <w:rtl/>
              </w:rPr>
              <w:t xml:space="preserve">  </w:t>
            </w:r>
            <w:r w:rsidRPr="00D35BBF">
              <w:rPr>
                <w:rFonts w:hint="cs"/>
                <w:b/>
                <w:bCs/>
                <w:rtl/>
              </w:rPr>
              <w:t>חנה מרים לומפ</w:t>
            </w:r>
          </w:p>
          <w:p w14:paraId="16E9EBDA" w14:textId="77777777" w:rsidR="00956D80" w:rsidRPr="00D35BBF" w:rsidRDefault="00956D80">
            <w:pPr>
              <w:jc w:val="both"/>
              <w:rPr>
                <w:rFonts w:ascii="Arial" w:hAnsi="Arial"/>
                <w:b/>
                <w:bCs/>
              </w:rPr>
            </w:pPr>
          </w:p>
        </w:tc>
      </w:tr>
      <w:tr w:rsidR="00956D80" w:rsidRPr="00D35BBF" w14:paraId="2F207608" w14:textId="77777777">
        <w:trPr>
          <w:trHeight w:val="355"/>
          <w:jc w:val="center"/>
        </w:trPr>
        <w:tc>
          <w:tcPr>
            <w:tcW w:w="945" w:type="dxa"/>
            <w:tcBorders>
              <w:top w:val="nil"/>
              <w:left w:val="nil"/>
              <w:bottom w:val="nil"/>
              <w:right w:val="nil"/>
            </w:tcBorders>
            <w:shd w:val="clear" w:color="auto" w:fill="auto"/>
          </w:tcPr>
          <w:p w14:paraId="401F4EB8" w14:textId="77777777" w:rsidR="00956D80" w:rsidRPr="00D35BBF" w:rsidRDefault="00D35BBF">
            <w:pPr>
              <w:jc w:val="both"/>
              <w:rPr>
                <w:rFonts w:ascii="Arial" w:hAnsi="Arial"/>
                <w:b/>
                <w:bCs/>
                <w:sz w:val="28"/>
                <w:szCs w:val="28"/>
              </w:rPr>
            </w:pPr>
            <w:bookmarkStart w:id="1" w:name="FirstAppellant"/>
            <w:r w:rsidRPr="00D35BBF">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0C1BC648" w14:textId="77777777" w:rsidR="00956D80" w:rsidRPr="00D35BBF" w:rsidRDefault="00D35BBF">
            <w:pPr>
              <w:rPr>
                <w:b/>
                <w:bCs/>
                <w:sz w:val="28"/>
                <w:szCs w:val="28"/>
              </w:rPr>
            </w:pPr>
            <w:r w:rsidRPr="00D35BBF">
              <w:rPr>
                <w:rFonts w:hint="cs"/>
                <w:b/>
                <w:bCs/>
                <w:sz w:val="28"/>
                <w:szCs w:val="28"/>
                <w:rtl/>
              </w:rPr>
              <w:t>מדינת ישראל</w:t>
            </w:r>
          </w:p>
        </w:tc>
        <w:tc>
          <w:tcPr>
            <w:tcW w:w="3761" w:type="dxa"/>
            <w:tcBorders>
              <w:top w:val="nil"/>
              <w:left w:val="nil"/>
              <w:bottom w:val="nil"/>
              <w:right w:val="nil"/>
            </w:tcBorders>
            <w:shd w:val="clear" w:color="auto" w:fill="auto"/>
          </w:tcPr>
          <w:p w14:paraId="20927F0A" w14:textId="77777777" w:rsidR="00956D80" w:rsidRPr="00D35BBF" w:rsidRDefault="00956D80">
            <w:pPr>
              <w:jc w:val="both"/>
              <w:rPr>
                <w:rFonts w:ascii="Arial" w:hAnsi="Arial"/>
                <w:b/>
                <w:bCs/>
                <w:sz w:val="28"/>
                <w:szCs w:val="28"/>
              </w:rPr>
            </w:pPr>
          </w:p>
        </w:tc>
      </w:tr>
      <w:tr w:rsidR="00956D80" w:rsidRPr="00D35BBF" w14:paraId="158642C1" w14:textId="77777777">
        <w:trPr>
          <w:trHeight w:val="355"/>
          <w:jc w:val="center"/>
        </w:trPr>
        <w:tc>
          <w:tcPr>
            <w:tcW w:w="945" w:type="dxa"/>
            <w:tcBorders>
              <w:top w:val="nil"/>
              <w:left w:val="nil"/>
              <w:bottom w:val="nil"/>
              <w:right w:val="nil"/>
            </w:tcBorders>
            <w:shd w:val="clear" w:color="auto" w:fill="auto"/>
          </w:tcPr>
          <w:p w14:paraId="0B5CCAC1" w14:textId="77777777" w:rsidR="00956D80" w:rsidRPr="00D35BBF" w:rsidRDefault="00956D80">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01DB0A49" w14:textId="77777777" w:rsidR="00956D80" w:rsidRPr="00D35BBF" w:rsidRDefault="00D35BBF">
            <w:pPr>
              <w:jc w:val="both"/>
              <w:rPr>
                <w:b/>
                <w:bCs/>
                <w:sz w:val="28"/>
                <w:szCs w:val="28"/>
                <w:rtl/>
              </w:rPr>
            </w:pPr>
            <w:r w:rsidRPr="00D35BBF">
              <w:rPr>
                <w:rFonts w:hint="cs"/>
                <w:b/>
                <w:bCs/>
                <w:sz w:val="28"/>
                <w:szCs w:val="28"/>
                <w:rtl/>
              </w:rPr>
              <w:t>ע"י ב"כ עו"ד עומרית אבני</w:t>
            </w:r>
          </w:p>
        </w:tc>
        <w:tc>
          <w:tcPr>
            <w:tcW w:w="3761" w:type="dxa"/>
            <w:tcBorders>
              <w:top w:val="nil"/>
              <w:left w:val="nil"/>
              <w:bottom w:val="nil"/>
              <w:right w:val="nil"/>
            </w:tcBorders>
            <w:shd w:val="clear" w:color="auto" w:fill="auto"/>
          </w:tcPr>
          <w:p w14:paraId="4B264086" w14:textId="77777777" w:rsidR="00956D80" w:rsidRPr="00D35BBF" w:rsidRDefault="00D35BBF">
            <w:pPr>
              <w:jc w:val="right"/>
              <w:rPr>
                <w:rFonts w:ascii="Arial" w:hAnsi="Arial"/>
                <w:b/>
                <w:bCs/>
                <w:sz w:val="28"/>
                <w:szCs w:val="28"/>
                <w:rtl/>
              </w:rPr>
            </w:pPr>
            <w:r w:rsidRPr="00D35BBF">
              <w:rPr>
                <w:rFonts w:ascii="Arial" w:hAnsi="Arial" w:hint="cs"/>
                <w:b/>
                <w:bCs/>
                <w:sz w:val="28"/>
                <w:szCs w:val="28"/>
                <w:rtl/>
              </w:rPr>
              <w:t>ה</w:t>
            </w:r>
            <w:r w:rsidRPr="00D35BBF">
              <w:rPr>
                <w:rFonts w:hint="cs"/>
                <w:b/>
                <w:bCs/>
                <w:sz w:val="28"/>
                <w:szCs w:val="28"/>
                <w:rtl/>
              </w:rPr>
              <w:t>מאשימה</w:t>
            </w:r>
          </w:p>
        </w:tc>
      </w:tr>
      <w:bookmarkEnd w:id="2"/>
      <w:tr w:rsidR="00956D80" w:rsidRPr="00D35BBF" w14:paraId="06E46907" w14:textId="77777777">
        <w:trPr>
          <w:trHeight w:val="355"/>
          <w:jc w:val="center"/>
        </w:trPr>
        <w:tc>
          <w:tcPr>
            <w:tcW w:w="945" w:type="dxa"/>
            <w:tcBorders>
              <w:top w:val="nil"/>
              <w:left w:val="nil"/>
              <w:bottom w:val="nil"/>
              <w:right w:val="nil"/>
            </w:tcBorders>
            <w:shd w:val="clear" w:color="auto" w:fill="auto"/>
          </w:tcPr>
          <w:p w14:paraId="5ABBAA12" w14:textId="77777777" w:rsidR="00956D80" w:rsidRPr="00D35BBF" w:rsidRDefault="00956D80">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6C786B13" w14:textId="77777777" w:rsidR="00956D80" w:rsidRPr="00D35BBF" w:rsidRDefault="00956D80">
            <w:pPr>
              <w:jc w:val="center"/>
              <w:rPr>
                <w:rFonts w:ascii="Arial" w:hAnsi="Arial"/>
                <w:b/>
                <w:bCs/>
                <w:sz w:val="28"/>
                <w:szCs w:val="28"/>
                <w:rtl/>
              </w:rPr>
            </w:pPr>
          </w:p>
          <w:p w14:paraId="62B09F60" w14:textId="77777777" w:rsidR="00956D80" w:rsidRPr="00D35BBF" w:rsidRDefault="00D35BBF">
            <w:pPr>
              <w:jc w:val="center"/>
              <w:rPr>
                <w:rFonts w:ascii="Arial" w:hAnsi="Arial"/>
                <w:b/>
                <w:bCs/>
                <w:sz w:val="28"/>
                <w:szCs w:val="28"/>
                <w:rtl/>
              </w:rPr>
            </w:pPr>
            <w:r w:rsidRPr="00D35BBF">
              <w:rPr>
                <w:rFonts w:ascii="Arial" w:hAnsi="Arial"/>
                <w:b/>
                <w:bCs/>
                <w:sz w:val="28"/>
                <w:szCs w:val="28"/>
                <w:rtl/>
              </w:rPr>
              <w:t>נגד</w:t>
            </w:r>
          </w:p>
          <w:p w14:paraId="2CDF203C" w14:textId="77777777" w:rsidR="00956D80" w:rsidRPr="00D35BBF" w:rsidRDefault="00956D80">
            <w:pPr>
              <w:jc w:val="both"/>
              <w:rPr>
                <w:rFonts w:ascii="Arial" w:hAnsi="Arial"/>
                <w:b/>
                <w:bCs/>
                <w:sz w:val="28"/>
                <w:szCs w:val="28"/>
              </w:rPr>
            </w:pPr>
          </w:p>
        </w:tc>
      </w:tr>
      <w:tr w:rsidR="00956D80" w:rsidRPr="00D35BBF" w14:paraId="2E5882D2" w14:textId="77777777">
        <w:trPr>
          <w:trHeight w:val="355"/>
          <w:jc w:val="center"/>
        </w:trPr>
        <w:tc>
          <w:tcPr>
            <w:tcW w:w="945" w:type="dxa"/>
            <w:tcBorders>
              <w:top w:val="nil"/>
              <w:left w:val="nil"/>
              <w:bottom w:val="nil"/>
              <w:right w:val="nil"/>
            </w:tcBorders>
            <w:shd w:val="clear" w:color="auto" w:fill="auto"/>
          </w:tcPr>
          <w:p w14:paraId="039DF31C" w14:textId="77777777" w:rsidR="00956D80" w:rsidRPr="00D35BBF" w:rsidRDefault="00956D80">
            <w:pPr>
              <w:rPr>
                <w:rFonts w:ascii="Arial" w:hAnsi="Arial"/>
                <w:b/>
                <w:bCs/>
                <w:sz w:val="28"/>
                <w:szCs w:val="28"/>
                <w:rtl/>
              </w:rPr>
            </w:pPr>
          </w:p>
        </w:tc>
        <w:tc>
          <w:tcPr>
            <w:tcW w:w="4114" w:type="dxa"/>
            <w:tcBorders>
              <w:top w:val="nil"/>
              <w:left w:val="nil"/>
              <w:bottom w:val="nil"/>
              <w:right w:val="nil"/>
            </w:tcBorders>
            <w:shd w:val="clear" w:color="auto" w:fill="auto"/>
          </w:tcPr>
          <w:p w14:paraId="5D842A2C" w14:textId="77777777" w:rsidR="00956D80" w:rsidRPr="00D35BBF" w:rsidRDefault="00D35BBF">
            <w:pPr>
              <w:rPr>
                <w:b/>
                <w:bCs/>
                <w:sz w:val="28"/>
                <w:szCs w:val="28"/>
                <w:rtl/>
              </w:rPr>
            </w:pPr>
            <w:r w:rsidRPr="00D35BBF">
              <w:rPr>
                <w:rFonts w:hint="cs"/>
                <w:b/>
                <w:bCs/>
                <w:sz w:val="28"/>
                <w:szCs w:val="28"/>
                <w:rtl/>
              </w:rPr>
              <w:t>יעקב סויסה</w:t>
            </w:r>
          </w:p>
        </w:tc>
        <w:tc>
          <w:tcPr>
            <w:tcW w:w="3761" w:type="dxa"/>
            <w:tcBorders>
              <w:top w:val="nil"/>
              <w:left w:val="nil"/>
              <w:bottom w:val="nil"/>
              <w:right w:val="nil"/>
            </w:tcBorders>
            <w:shd w:val="clear" w:color="auto" w:fill="auto"/>
          </w:tcPr>
          <w:p w14:paraId="3252D23F" w14:textId="77777777" w:rsidR="00956D80" w:rsidRPr="00D35BBF" w:rsidRDefault="00956D80">
            <w:pPr>
              <w:jc w:val="right"/>
              <w:rPr>
                <w:rFonts w:ascii="Arial" w:hAnsi="Arial"/>
                <w:b/>
                <w:bCs/>
                <w:sz w:val="28"/>
                <w:szCs w:val="28"/>
              </w:rPr>
            </w:pPr>
          </w:p>
        </w:tc>
      </w:tr>
      <w:tr w:rsidR="00956D80" w:rsidRPr="00D35BBF" w14:paraId="4E937F5C" w14:textId="77777777">
        <w:trPr>
          <w:trHeight w:val="355"/>
          <w:jc w:val="center"/>
        </w:trPr>
        <w:tc>
          <w:tcPr>
            <w:tcW w:w="945" w:type="dxa"/>
            <w:tcBorders>
              <w:top w:val="nil"/>
              <w:left w:val="nil"/>
              <w:bottom w:val="nil"/>
              <w:right w:val="nil"/>
            </w:tcBorders>
            <w:shd w:val="clear" w:color="auto" w:fill="auto"/>
          </w:tcPr>
          <w:p w14:paraId="149F7427" w14:textId="77777777" w:rsidR="00956D80" w:rsidRPr="00D35BBF" w:rsidRDefault="00956D80">
            <w:pPr>
              <w:jc w:val="both"/>
              <w:rPr>
                <w:rFonts w:ascii="Arial" w:hAnsi="Arial"/>
                <w:b/>
                <w:bCs/>
                <w:sz w:val="28"/>
                <w:szCs w:val="28"/>
                <w:rtl/>
              </w:rPr>
            </w:pPr>
          </w:p>
        </w:tc>
        <w:tc>
          <w:tcPr>
            <w:tcW w:w="4114" w:type="dxa"/>
            <w:tcBorders>
              <w:top w:val="nil"/>
              <w:left w:val="nil"/>
              <w:bottom w:val="nil"/>
              <w:right w:val="nil"/>
            </w:tcBorders>
            <w:shd w:val="clear" w:color="auto" w:fill="auto"/>
          </w:tcPr>
          <w:p w14:paraId="4437C90B" w14:textId="77777777" w:rsidR="00956D80" w:rsidRPr="00D35BBF" w:rsidRDefault="00D35BBF">
            <w:pPr>
              <w:jc w:val="both"/>
              <w:rPr>
                <w:b/>
                <w:bCs/>
                <w:sz w:val="28"/>
                <w:szCs w:val="28"/>
                <w:rtl/>
              </w:rPr>
            </w:pPr>
            <w:r w:rsidRPr="00D35BBF">
              <w:rPr>
                <w:rFonts w:hint="cs"/>
                <w:b/>
                <w:bCs/>
                <w:sz w:val="28"/>
                <w:szCs w:val="28"/>
                <w:rtl/>
              </w:rPr>
              <w:t>ע"י ב"כ עו"ד משה סוחמי</w:t>
            </w:r>
          </w:p>
        </w:tc>
        <w:tc>
          <w:tcPr>
            <w:tcW w:w="3761" w:type="dxa"/>
            <w:tcBorders>
              <w:top w:val="nil"/>
              <w:left w:val="nil"/>
              <w:bottom w:val="nil"/>
              <w:right w:val="nil"/>
            </w:tcBorders>
            <w:shd w:val="clear" w:color="auto" w:fill="auto"/>
          </w:tcPr>
          <w:p w14:paraId="2B2892C6" w14:textId="77777777" w:rsidR="00956D80" w:rsidRPr="00D35BBF" w:rsidRDefault="00D35BBF">
            <w:pPr>
              <w:jc w:val="right"/>
              <w:rPr>
                <w:rFonts w:ascii="Arial" w:hAnsi="Arial"/>
                <w:b/>
                <w:bCs/>
                <w:sz w:val="28"/>
                <w:szCs w:val="28"/>
              </w:rPr>
            </w:pPr>
            <w:r w:rsidRPr="00D35BBF">
              <w:rPr>
                <w:rFonts w:ascii="Arial" w:hAnsi="Arial" w:hint="cs"/>
                <w:b/>
                <w:bCs/>
                <w:sz w:val="28"/>
                <w:szCs w:val="28"/>
                <w:rtl/>
              </w:rPr>
              <w:t>ה</w:t>
            </w:r>
            <w:r w:rsidRPr="00D35BBF">
              <w:rPr>
                <w:rFonts w:hint="cs"/>
                <w:b/>
                <w:bCs/>
                <w:sz w:val="28"/>
                <w:szCs w:val="28"/>
                <w:rtl/>
              </w:rPr>
              <w:t>נאשם</w:t>
            </w:r>
          </w:p>
        </w:tc>
      </w:tr>
    </w:tbl>
    <w:p w14:paraId="0B89C690" w14:textId="77777777" w:rsidR="00392826" w:rsidRDefault="00392826">
      <w:pPr>
        <w:rPr>
          <w:sz w:val="28"/>
          <w:szCs w:val="28"/>
          <w:rtl/>
        </w:rPr>
      </w:pPr>
      <w:bookmarkStart w:id="3" w:name="LawTable"/>
      <w:bookmarkEnd w:id="3"/>
    </w:p>
    <w:p w14:paraId="3F93497F" w14:textId="77777777" w:rsidR="00392826" w:rsidRPr="00392826" w:rsidRDefault="00392826" w:rsidP="00392826">
      <w:pPr>
        <w:spacing w:after="120" w:line="240" w:lineRule="exact"/>
        <w:ind w:left="283" w:hanging="283"/>
        <w:jc w:val="both"/>
        <w:rPr>
          <w:rFonts w:ascii="FrankRuehl" w:hAnsi="FrankRuehl" w:cs="FrankRuehl"/>
          <w:rtl/>
        </w:rPr>
      </w:pPr>
    </w:p>
    <w:p w14:paraId="1077560C" w14:textId="77777777" w:rsidR="00392826" w:rsidRPr="00392826" w:rsidRDefault="00392826" w:rsidP="00392826">
      <w:pPr>
        <w:spacing w:after="120" w:line="240" w:lineRule="exact"/>
        <w:ind w:left="283" w:hanging="283"/>
        <w:jc w:val="both"/>
        <w:rPr>
          <w:rFonts w:ascii="FrankRuehl" w:hAnsi="FrankRuehl" w:cs="FrankRuehl"/>
          <w:rtl/>
        </w:rPr>
      </w:pPr>
      <w:r w:rsidRPr="00392826">
        <w:rPr>
          <w:rFonts w:ascii="FrankRuehl" w:hAnsi="FrankRuehl" w:cs="FrankRuehl"/>
          <w:rtl/>
        </w:rPr>
        <w:t xml:space="preserve">חקיקה שאוזכרה: </w:t>
      </w:r>
    </w:p>
    <w:p w14:paraId="4D2CB3B8" w14:textId="77777777" w:rsidR="00392826" w:rsidRPr="00392826" w:rsidRDefault="00392826" w:rsidP="00392826">
      <w:pPr>
        <w:spacing w:after="120" w:line="240" w:lineRule="exact"/>
        <w:ind w:left="283" w:hanging="283"/>
        <w:jc w:val="both"/>
        <w:rPr>
          <w:rFonts w:ascii="FrankRuehl" w:hAnsi="FrankRuehl" w:cs="FrankRuehl"/>
          <w:rtl/>
        </w:rPr>
      </w:pPr>
      <w:hyperlink r:id="rId7" w:history="1">
        <w:r w:rsidRPr="00392826">
          <w:rPr>
            <w:rFonts w:ascii="FrankRuehl" w:hAnsi="FrankRuehl" w:cs="FrankRuehl"/>
            <w:color w:val="0000FF"/>
            <w:u w:val="single"/>
            <w:rtl/>
          </w:rPr>
          <w:t>פקודת הסמים המסוכנים [נוסח חדש], תשל"ג-1973</w:t>
        </w:r>
      </w:hyperlink>
      <w:r w:rsidRPr="00392826">
        <w:rPr>
          <w:rFonts w:ascii="FrankRuehl" w:hAnsi="FrankRuehl" w:cs="FrankRuehl"/>
          <w:rtl/>
        </w:rPr>
        <w:t xml:space="preserve">: סע'  </w:t>
      </w:r>
      <w:hyperlink r:id="rId8" w:history="1">
        <w:r w:rsidRPr="00392826">
          <w:rPr>
            <w:rFonts w:ascii="FrankRuehl" w:hAnsi="FrankRuehl" w:cs="FrankRuehl"/>
            <w:color w:val="0000FF"/>
            <w:u w:val="single"/>
            <w:rtl/>
          </w:rPr>
          <w:t>6</w:t>
        </w:r>
      </w:hyperlink>
      <w:r w:rsidRPr="00392826">
        <w:rPr>
          <w:rFonts w:ascii="FrankRuehl" w:hAnsi="FrankRuehl" w:cs="FrankRuehl"/>
          <w:rtl/>
        </w:rPr>
        <w:t xml:space="preserve">, </w:t>
      </w:r>
      <w:hyperlink r:id="rId9" w:history="1">
        <w:r w:rsidRPr="00392826">
          <w:rPr>
            <w:rFonts w:ascii="FrankRuehl" w:hAnsi="FrankRuehl" w:cs="FrankRuehl"/>
            <w:color w:val="0000FF"/>
            <w:u w:val="single"/>
            <w:rtl/>
          </w:rPr>
          <w:t>10</w:t>
        </w:r>
      </w:hyperlink>
    </w:p>
    <w:p w14:paraId="46F77DDF" w14:textId="77777777" w:rsidR="00392826" w:rsidRPr="00392826" w:rsidRDefault="00392826" w:rsidP="00392826">
      <w:pPr>
        <w:spacing w:after="120" w:line="240" w:lineRule="exact"/>
        <w:ind w:left="283" w:hanging="283"/>
        <w:jc w:val="both"/>
        <w:rPr>
          <w:rFonts w:ascii="FrankRuehl" w:hAnsi="FrankRuehl" w:cs="FrankRuehl"/>
          <w:rtl/>
        </w:rPr>
      </w:pPr>
      <w:hyperlink r:id="rId10" w:history="1">
        <w:r w:rsidRPr="00392826">
          <w:rPr>
            <w:rFonts w:ascii="FrankRuehl" w:hAnsi="FrankRuehl" w:cs="FrankRuehl"/>
            <w:color w:val="0000FF"/>
            <w:u w:val="single"/>
            <w:rtl/>
          </w:rPr>
          <w:t>חוק העונשין, תשל"ז-1977</w:t>
        </w:r>
      </w:hyperlink>
      <w:r w:rsidRPr="00392826">
        <w:rPr>
          <w:rFonts w:ascii="FrankRuehl" w:hAnsi="FrankRuehl" w:cs="FrankRuehl"/>
          <w:rtl/>
        </w:rPr>
        <w:t xml:space="preserve">: סע'  </w:t>
      </w:r>
      <w:hyperlink r:id="rId11" w:history="1">
        <w:r w:rsidRPr="00392826">
          <w:rPr>
            <w:rFonts w:ascii="FrankRuehl" w:hAnsi="FrankRuehl" w:cs="FrankRuehl"/>
            <w:color w:val="0000FF"/>
            <w:u w:val="single"/>
            <w:rtl/>
          </w:rPr>
          <w:t>40 ג'</w:t>
        </w:r>
      </w:hyperlink>
      <w:r w:rsidRPr="00392826">
        <w:rPr>
          <w:rFonts w:ascii="FrankRuehl" w:hAnsi="FrankRuehl" w:cs="FrankRuehl"/>
          <w:rtl/>
        </w:rPr>
        <w:t xml:space="preserve">, </w:t>
      </w:r>
      <w:hyperlink r:id="rId12" w:history="1">
        <w:r w:rsidRPr="00392826">
          <w:rPr>
            <w:rFonts w:ascii="FrankRuehl" w:hAnsi="FrankRuehl" w:cs="FrankRuehl"/>
            <w:color w:val="0000FF"/>
            <w:u w:val="single"/>
            <w:rtl/>
          </w:rPr>
          <w:t>40 ט'</w:t>
        </w:r>
      </w:hyperlink>
    </w:p>
    <w:p w14:paraId="1FA4C0A9" w14:textId="77777777" w:rsidR="00392826" w:rsidRPr="00392826" w:rsidRDefault="00392826" w:rsidP="00392826">
      <w:pPr>
        <w:spacing w:after="120" w:line="240" w:lineRule="exact"/>
        <w:ind w:left="283" w:hanging="283"/>
        <w:jc w:val="both"/>
        <w:rPr>
          <w:rFonts w:ascii="FrankRuehl" w:hAnsi="FrankRuehl" w:cs="FrankRuehl"/>
          <w:rtl/>
        </w:rPr>
      </w:pPr>
    </w:p>
    <w:p w14:paraId="0E7FD569" w14:textId="77777777" w:rsidR="00392826" w:rsidRPr="00392826" w:rsidRDefault="00392826">
      <w:pPr>
        <w:rPr>
          <w:sz w:val="28"/>
          <w:szCs w:val="28"/>
          <w:rtl/>
        </w:rPr>
      </w:pPr>
      <w:bookmarkStart w:id="4" w:name="LawTable_End"/>
      <w:bookmarkEnd w:id="4"/>
    </w:p>
    <w:p w14:paraId="592AD198" w14:textId="77777777" w:rsidR="00392826" w:rsidRPr="00392826" w:rsidRDefault="00392826">
      <w:pPr>
        <w:rPr>
          <w:b/>
          <w:bCs/>
          <w:sz w:val="28"/>
          <w:szCs w:val="28"/>
          <w:rtl/>
        </w:rPr>
      </w:pPr>
    </w:p>
    <w:p w14:paraId="5AB793C0" w14:textId="77777777" w:rsidR="00956D80" w:rsidRPr="00392826" w:rsidRDefault="00956D80">
      <w:pPr>
        <w:rPr>
          <w:b/>
          <w:bCs/>
          <w:sz w:val="28"/>
          <w:szCs w:val="28"/>
          <w:rtl/>
        </w:rPr>
      </w:pPr>
    </w:p>
    <w:p w14:paraId="4FAC1D4B" w14:textId="77777777" w:rsidR="00D35BBF" w:rsidRPr="00D35BBF" w:rsidRDefault="00D35BBF">
      <w:pPr>
        <w:rPr>
          <w:rFonts w:ascii="Arial" w:hAnsi="Arial"/>
          <w:rtl/>
        </w:rPr>
      </w:pPr>
    </w:p>
    <w:p w14:paraId="18EC9958" w14:textId="77777777" w:rsidR="00956D80" w:rsidRPr="00D35BBF" w:rsidRDefault="00956D8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D80" w14:paraId="012B59C9" w14:textId="77777777">
        <w:trPr>
          <w:trHeight w:val="355"/>
          <w:jc w:val="center"/>
        </w:trPr>
        <w:tc>
          <w:tcPr>
            <w:tcW w:w="8820" w:type="dxa"/>
            <w:tcBorders>
              <w:top w:val="nil"/>
              <w:left w:val="nil"/>
              <w:bottom w:val="nil"/>
              <w:right w:val="nil"/>
            </w:tcBorders>
            <w:shd w:val="clear" w:color="auto" w:fill="auto"/>
          </w:tcPr>
          <w:p w14:paraId="47C3894E" w14:textId="77777777" w:rsidR="00D35BBF" w:rsidRPr="00D35BBF" w:rsidRDefault="00D35BBF" w:rsidP="00D35BBF">
            <w:pPr>
              <w:jc w:val="center"/>
              <w:rPr>
                <w:rFonts w:ascii="Arial" w:hAnsi="Arial"/>
                <w:b/>
                <w:bCs/>
                <w:sz w:val="28"/>
                <w:szCs w:val="28"/>
                <w:u w:val="single"/>
                <w:rtl/>
              </w:rPr>
            </w:pPr>
            <w:bookmarkStart w:id="5" w:name="PsakDin" w:colFirst="0" w:colLast="0"/>
            <w:bookmarkEnd w:id="0"/>
            <w:r w:rsidRPr="00D35BBF">
              <w:rPr>
                <w:rFonts w:ascii="Arial" w:hAnsi="Arial"/>
                <w:b/>
                <w:bCs/>
                <w:sz w:val="28"/>
                <w:szCs w:val="28"/>
                <w:u w:val="single"/>
                <w:rtl/>
              </w:rPr>
              <w:t>גזר דין</w:t>
            </w:r>
          </w:p>
          <w:p w14:paraId="337741FD" w14:textId="77777777" w:rsidR="00956D80" w:rsidRPr="00D35BBF" w:rsidRDefault="00956D80" w:rsidP="00D35BBF">
            <w:pPr>
              <w:jc w:val="center"/>
              <w:rPr>
                <w:rFonts w:ascii="Arial" w:hAnsi="Arial"/>
                <w:b/>
                <w:bCs/>
                <w:sz w:val="28"/>
                <w:szCs w:val="28"/>
                <w:u w:val="single"/>
                <w:rtl/>
              </w:rPr>
            </w:pPr>
          </w:p>
        </w:tc>
      </w:tr>
      <w:bookmarkEnd w:id="5"/>
    </w:tbl>
    <w:p w14:paraId="77202372" w14:textId="77777777" w:rsidR="00956D80" w:rsidRDefault="00956D80">
      <w:pPr>
        <w:rPr>
          <w:rFonts w:ascii="Arial" w:hAnsi="Arial"/>
          <w:rtl/>
        </w:rPr>
      </w:pPr>
    </w:p>
    <w:p w14:paraId="26FCCBCC" w14:textId="77777777" w:rsidR="00956D80" w:rsidRDefault="00D35BBF">
      <w:pPr>
        <w:rPr>
          <w:b/>
          <w:bCs/>
          <w:u w:val="single"/>
          <w:rtl/>
        </w:rPr>
      </w:pPr>
      <w:r>
        <w:rPr>
          <w:rFonts w:hint="cs"/>
          <w:b/>
          <w:bCs/>
          <w:u w:val="single"/>
          <w:rtl/>
        </w:rPr>
        <w:t>רקע</w:t>
      </w:r>
    </w:p>
    <w:p w14:paraId="4B230808" w14:textId="77777777" w:rsidR="00956D80" w:rsidRDefault="00956D80">
      <w:pPr>
        <w:rPr>
          <w:sz w:val="12"/>
          <w:szCs w:val="12"/>
          <w:rtl/>
        </w:rPr>
      </w:pPr>
    </w:p>
    <w:p w14:paraId="19F7FA38" w14:textId="77777777" w:rsidR="00956D80" w:rsidRDefault="00D35BBF">
      <w:pPr>
        <w:pStyle w:val="ListParagraph"/>
        <w:numPr>
          <w:ilvl w:val="0"/>
          <w:numId w:val="1"/>
        </w:numPr>
        <w:spacing w:line="360" w:lineRule="auto"/>
        <w:jc w:val="both"/>
      </w:pPr>
      <w:r>
        <w:rPr>
          <w:rFonts w:hint="cs"/>
          <w:rtl/>
        </w:rPr>
        <w:t xml:space="preserve">הנאשם הורשע בעקבות הסדר טיעון בכתב אישום מתוקן בעבירות של גידול והחזקת כלים להכנת סם שלא לצריכה עצמית בהתאם </w:t>
      </w:r>
      <w:hyperlink r:id="rId13" w:history="1">
        <w:r w:rsidR="00A263CD" w:rsidRPr="00A263CD">
          <w:rPr>
            <w:rStyle w:val="Hyperlink"/>
            <w:rFonts w:hint="eastAsia"/>
            <w:rtl/>
          </w:rPr>
          <w:t>לסעיפים</w:t>
        </w:r>
        <w:r w:rsidR="00A263CD" w:rsidRPr="00A263CD">
          <w:rPr>
            <w:rStyle w:val="Hyperlink"/>
            <w:rtl/>
          </w:rPr>
          <w:t xml:space="preserve"> 6</w:t>
        </w:r>
      </w:hyperlink>
      <w:r>
        <w:rPr>
          <w:rFonts w:hint="cs"/>
          <w:rtl/>
        </w:rPr>
        <w:t xml:space="preserve"> ו-</w:t>
      </w:r>
      <w:hyperlink r:id="rId14" w:history="1">
        <w:r w:rsidR="00A263CD" w:rsidRPr="00A263CD">
          <w:rPr>
            <w:rStyle w:val="Hyperlink"/>
            <w:rtl/>
          </w:rPr>
          <w:t>10</w:t>
        </w:r>
      </w:hyperlink>
      <w:r>
        <w:rPr>
          <w:rFonts w:hint="cs"/>
          <w:rtl/>
        </w:rPr>
        <w:t xml:space="preserve"> רישא ל</w:t>
      </w:r>
      <w:hyperlink r:id="rId15" w:history="1">
        <w:r w:rsidRPr="00D35BBF">
          <w:rPr>
            <w:rStyle w:val="Hyperlink"/>
            <w:rFonts w:hint="eastAsia"/>
            <w:rtl/>
          </w:rPr>
          <w:t>פקודת</w:t>
        </w:r>
        <w:r w:rsidRPr="00D35BBF">
          <w:rPr>
            <w:rStyle w:val="Hyperlink"/>
            <w:rtl/>
          </w:rPr>
          <w:t xml:space="preserve"> הסמים המסוכנים</w:t>
        </w:r>
      </w:hyperlink>
      <w:r>
        <w:rPr>
          <w:rFonts w:hint="cs"/>
          <w:rtl/>
        </w:rPr>
        <w:t xml:space="preserve"> (נוסח חדש) התשל"ג </w:t>
      </w:r>
      <w:r>
        <w:rPr>
          <w:rtl/>
        </w:rPr>
        <w:t>–</w:t>
      </w:r>
      <w:r>
        <w:rPr>
          <w:rFonts w:hint="cs"/>
          <w:rtl/>
        </w:rPr>
        <w:t xml:space="preserve"> 1973. </w:t>
      </w:r>
    </w:p>
    <w:p w14:paraId="5946EB9E" w14:textId="77777777" w:rsidR="00956D80" w:rsidRDefault="00956D80">
      <w:pPr>
        <w:pStyle w:val="ListParagraph"/>
        <w:spacing w:line="360" w:lineRule="auto"/>
        <w:jc w:val="both"/>
        <w:rPr>
          <w:sz w:val="12"/>
          <w:szCs w:val="12"/>
        </w:rPr>
      </w:pPr>
    </w:p>
    <w:p w14:paraId="10C9EBDC" w14:textId="77777777" w:rsidR="00956D80" w:rsidRDefault="00D35BBF">
      <w:pPr>
        <w:pStyle w:val="ListParagraph"/>
        <w:numPr>
          <w:ilvl w:val="0"/>
          <w:numId w:val="1"/>
        </w:numPr>
        <w:spacing w:line="360" w:lineRule="auto"/>
        <w:jc w:val="both"/>
      </w:pPr>
      <w:r>
        <w:rPr>
          <w:rFonts w:hint="cs"/>
          <w:rtl/>
        </w:rPr>
        <w:t xml:space="preserve">מעובדות כתב האישום עולה, כי </w:t>
      </w:r>
      <w:bookmarkStart w:id="6" w:name="ABSTRACT_START"/>
      <w:bookmarkEnd w:id="6"/>
      <w:r>
        <w:rPr>
          <w:rFonts w:hint="cs"/>
          <w:rtl/>
        </w:rPr>
        <w:t xml:space="preserve">ביום 01.11.15 בין השעות 12:30-19:00 בבית במושב זכריה, גידל הנאשם סם מסוכן מסוג קנבוס במשקל כולל של 1148.18 גרם נטו (להלן: "השתילים"), מבלי שהדבר הותר לו בפקודה או בתקנות או ברישיון מאת המנהל. בנוסף, החזיק הנאשם כלים המשמשים להכנת סם מסוכן בלא היתר. </w:t>
      </w:r>
    </w:p>
    <w:p w14:paraId="2D6A1A22" w14:textId="77777777" w:rsidR="00956D80" w:rsidRDefault="00956D80">
      <w:pPr>
        <w:pStyle w:val="ListParagraph"/>
        <w:spacing w:line="360" w:lineRule="auto"/>
        <w:jc w:val="both"/>
        <w:rPr>
          <w:sz w:val="12"/>
          <w:szCs w:val="12"/>
        </w:rPr>
      </w:pPr>
      <w:bookmarkStart w:id="7" w:name="ABSTRACT_END"/>
      <w:bookmarkEnd w:id="7"/>
    </w:p>
    <w:p w14:paraId="5A796191" w14:textId="77777777" w:rsidR="00956D80" w:rsidRDefault="00D35BBF">
      <w:pPr>
        <w:pStyle w:val="ListParagraph"/>
        <w:numPr>
          <w:ilvl w:val="0"/>
          <w:numId w:val="1"/>
        </w:numPr>
        <w:spacing w:line="360" w:lineRule="auto"/>
        <w:jc w:val="both"/>
      </w:pPr>
      <w:r>
        <w:rPr>
          <w:rFonts w:hint="cs"/>
          <w:rtl/>
        </w:rPr>
        <w:t xml:space="preserve">עוד עולה מעובדות כתב האישום, כי הנאשם הכשיר בית בן שתי קומות ומחסן לצורך הקמת מעבדת סמים, כאשר בקומה הראשונה שיש בה שלושה חדרים וסלון, התקין </w:t>
      </w:r>
      <w:r>
        <w:rPr>
          <w:rFonts w:hint="cs"/>
          <w:rtl/>
        </w:rPr>
        <w:lastRenderedPageBreak/>
        <w:t xml:space="preserve">הנאשם בכל אחד מהחדרים מאווררים, צינורות עם טפטפות, אורות פלורסנט, שנאים, בלוני גז ומערכת אוורור. במטבח, הוצבו ארבעה בלוני גז, ובחדר הפנימי שקית דשן. עוד בחדר האמבטיה נתפסו חומרי דישון רבים, ובחדר השירותים הוצבה חבית גדולה מלאה במים מחוברת בצנרת ישירות לאסלה, וממנה יוצאים צינורות המתפצלים לחדרי הדירה השונים ומובילים מים לצרכי הקנבוס. עוד היו מותקנים בפתחי הסלון וילונות שחורים, מתקני אוורור, צינורות השקיה, בלוני חמצן ומנורות בעצמה של 1,000 וואט. בחדר נוסף הוצבו צמחי קנבוס מחולקים לארבע קבוצות גיל: פגייה שכללה צמחים קטנים שאופסנו בקופסאות פלסטיק אטומות, צמחי קנבוס בשני גדלים באדניות בגודל המתאים שהוצבו על גבי מתקן הכולל מדפים ועמודים, אליהם חוברו צינורות השקיה וארבעה צמחים גדולים בתוך אדניות גדולות. </w:t>
      </w:r>
    </w:p>
    <w:p w14:paraId="7DA0E1FF" w14:textId="77777777" w:rsidR="00956D80" w:rsidRDefault="00956D80">
      <w:pPr>
        <w:pStyle w:val="ListParagraph"/>
        <w:spacing w:line="360" w:lineRule="auto"/>
        <w:jc w:val="both"/>
        <w:rPr>
          <w:sz w:val="12"/>
          <w:szCs w:val="12"/>
          <w:rtl/>
        </w:rPr>
      </w:pPr>
    </w:p>
    <w:p w14:paraId="200AEA2D" w14:textId="77777777" w:rsidR="00956D80" w:rsidRDefault="00D35BBF">
      <w:pPr>
        <w:pStyle w:val="ListParagraph"/>
        <w:numPr>
          <w:ilvl w:val="0"/>
          <w:numId w:val="1"/>
        </w:numPr>
        <w:spacing w:line="360" w:lineRule="auto"/>
        <w:jc w:val="both"/>
      </w:pPr>
      <w:r>
        <w:rPr>
          <w:rFonts w:hint="cs"/>
          <w:rtl/>
        </w:rPr>
        <w:t>עוד היו בבית שני חדרי הכנה לצמחי קנבוס, בהם הוצב מתקן ברזל ועליו היו עציצים ללא אדמה ושתילי קנבוס. בחדרים אלה הותקנו גופי תאורה, מערכת אוורור והשקיה. סך הכל נתפסו בדירה 443 עציצי קנבוס, מהם 177 צמחים ללא אדניות, 192 באדניות גדולות, 70 באדניות קטנות וארבעה צמחים גדולים בעציצים.</w:t>
      </w:r>
    </w:p>
    <w:p w14:paraId="5DC6819C" w14:textId="77777777" w:rsidR="00956D80" w:rsidRDefault="00956D80">
      <w:pPr>
        <w:pStyle w:val="ListParagraph"/>
        <w:spacing w:line="360" w:lineRule="auto"/>
        <w:jc w:val="both"/>
        <w:rPr>
          <w:sz w:val="12"/>
          <w:szCs w:val="12"/>
        </w:rPr>
      </w:pPr>
    </w:p>
    <w:p w14:paraId="23671F88" w14:textId="77777777" w:rsidR="00956D80" w:rsidRDefault="00D35BBF">
      <w:pPr>
        <w:pStyle w:val="ListParagraph"/>
        <w:numPr>
          <w:ilvl w:val="0"/>
          <w:numId w:val="1"/>
        </w:numPr>
        <w:spacing w:line="360" w:lineRule="auto"/>
        <w:jc w:val="both"/>
      </w:pPr>
      <w:r>
        <w:rPr>
          <w:rFonts w:hint="cs"/>
          <w:rtl/>
        </w:rPr>
        <w:t xml:space="preserve">לא הייתה הסכמה בין הצדדים לעניין העונש. </w:t>
      </w:r>
    </w:p>
    <w:p w14:paraId="4631606C" w14:textId="77777777" w:rsidR="00956D80" w:rsidRDefault="00956D80">
      <w:pPr>
        <w:pStyle w:val="ListParagraph"/>
        <w:spacing w:line="360" w:lineRule="auto"/>
        <w:ind w:left="0"/>
        <w:jc w:val="both"/>
        <w:rPr>
          <w:rtl/>
        </w:rPr>
      </w:pPr>
    </w:p>
    <w:p w14:paraId="6F4CFC07" w14:textId="77777777" w:rsidR="00956D80" w:rsidRDefault="00D35BBF">
      <w:pPr>
        <w:pStyle w:val="ListParagraph"/>
        <w:spacing w:line="360" w:lineRule="auto"/>
        <w:ind w:left="0"/>
        <w:jc w:val="both"/>
        <w:rPr>
          <w:b/>
          <w:bCs/>
          <w:u w:val="single"/>
          <w:rtl/>
        </w:rPr>
      </w:pPr>
      <w:r>
        <w:rPr>
          <w:rFonts w:hint="cs"/>
          <w:b/>
          <w:bCs/>
          <w:u w:val="single"/>
          <w:rtl/>
        </w:rPr>
        <w:t>טענות הצדדים</w:t>
      </w:r>
    </w:p>
    <w:p w14:paraId="776D8EDA" w14:textId="77777777" w:rsidR="00956D80" w:rsidRDefault="00D35BBF">
      <w:pPr>
        <w:pStyle w:val="ListParagraph"/>
        <w:numPr>
          <w:ilvl w:val="0"/>
          <w:numId w:val="1"/>
        </w:numPr>
        <w:spacing w:line="360" w:lineRule="auto"/>
        <w:jc w:val="both"/>
      </w:pPr>
      <w:r>
        <w:rPr>
          <w:rFonts w:hint="cs"/>
          <w:rtl/>
        </w:rPr>
        <w:t>ב"כ המאשימה טענה כי הערכים החברתיים שנפגעו בשל מעשיו של הנאשם הם הגנה על החברה כולה מפני פגיעות הנגרמות עקב שימוש בסמים, לרבות פגיעות הנגרמות לאוכלוסיית המשתמשים עצמם ובית המשפט מצווה לעצור את נגע הסמים הפושה בחברה.</w:t>
      </w:r>
    </w:p>
    <w:p w14:paraId="410E3A34" w14:textId="77777777" w:rsidR="00956D80" w:rsidRDefault="00956D80">
      <w:pPr>
        <w:pStyle w:val="ListParagraph"/>
        <w:spacing w:line="360" w:lineRule="auto"/>
        <w:jc w:val="both"/>
        <w:rPr>
          <w:sz w:val="12"/>
          <w:szCs w:val="12"/>
        </w:rPr>
      </w:pPr>
    </w:p>
    <w:p w14:paraId="59DBC437" w14:textId="77777777" w:rsidR="00956D80" w:rsidRDefault="00D35BBF">
      <w:pPr>
        <w:pStyle w:val="ListParagraph"/>
        <w:numPr>
          <w:ilvl w:val="0"/>
          <w:numId w:val="1"/>
        </w:numPr>
        <w:spacing w:line="360" w:lineRule="auto"/>
        <w:jc w:val="both"/>
      </w:pPr>
      <w:r>
        <w:rPr>
          <w:rFonts w:hint="cs"/>
          <w:rtl/>
        </w:rPr>
        <w:t xml:space="preserve"> אשר לנסיבות ביצוע העבירה, יש לשקול את התכנון המוקדם והמדוקדק אשר עולה ממעשי הנאשם שהשתמש בבית ייעודי לצורך גידול הסמים בהתאם לחלוקת החדרים והתאמת המבנה לצרכי הגידול, אספקת אוורור, השקיה, תאורה ודשן לצמחים, וכן בהתחשב בכמות הגדולה של העציצים והמשקל אשר עלה עד כדי קילוגרם אחד. ב"כ המאשימה הגישה תמונה של המבנה והעציצים ולדבריה ניתן להתרשם מהיקף הצמחים ומהתשתיות המרשימות שהושקעו במקום, וב"כ המאשימה הדגישה שלא המשקל בפועל הוא החשוב, אלא הפוטנציאל הגלום בעציצים שכן נתפסו בשלב מוקדם ויכלו להגשים צמחים בוגרים במשקל משמעותי.</w:t>
      </w:r>
    </w:p>
    <w:p w14:paraId="5F035E53" w14:textId="77777777" w:rsidR="00956D80" w:rsidRDefault="00956D80">
      <w:pPr>
        <w:pStyle w:val="ListParagraph"/>
        <w:spacing w:line="360" w:lineRule="auto"/>
        <w:jc w:val="both"/>
        <w:rPr>
          <w:sz w:val="12"/>
          <w:szCs w:val="12"/>
        </w:rPr>
      </w:pPr>
    </w:p>
    <w:p w14:paraId="1F468905" w14:textId="77777777" w:rsidR="00956D80" w:rsidRDefault="00D35BBF">
      <w:pPr>
        <w:pStyle w:val="ListParagraph"/>
        <w:numPr>
          <w:ilvl w:val="0"/>
          <w:numId w:val="1"/>
        </w:numPr>
        <w:spacing w:line="360" w:lineRule="auto"/>
        <w:jc w:val="both"/>
      </w:pPr>
      <w:r>
        <w:rPr>
          <w:rFonts w:hint="cs"/>
          <w:rtl/>
        </w:rPr>
        <w:t xml:space="preserve">אשר למדיניות הענישה הנוהגת, הגישה ב"כ המאשימה מספר פסקי דין בהם הוטלו עונשים של 8 ו-10 חודשי מאסר, והנסיבות היו מקלות יותר. ב"כ המאשימה הדגישה כי בשל הפוטנציאל המשמעותי ביותר שהיה גלום בתשתית ובצרכים של הנאשם, מתחם העונש </w:t>
      </w:r>
      <w:r>
        <w:rPr>
          <w:rFonts w:hint="cs"/>
          <w:rtl/>
        </w:rPr>
        <w:lastRenderedPageBreak/>
        <w:t xml:space="preserve">ההולם הוא בין 18 ל-36 חודשי מאסר, וכן ביקשה להטיל עליו עונש של מאסר על תנאי וקנס משמעותי. </w:t>
      </w:r>
    </w:p>
    <w:p w14:paraId="700349BF" w14:textId="77777777" w:rsidR="00956D80" w:rsidRDefault="00956D80">
      <w:pPr>
        <w:pStyle w:val="ListParagraph"/>
        <w:spacing w:line="360" w:lineRule="auto"/>
        <w:jc w:val="both"/>
        <w:rPr>
          <w:sz w:val="12"/>
          <w:szCs w:val="12"/>
        </w:rPr>
      </w:pPr>
    </w:p>
    <w:p w14:paraId="493128C9" w14:textId="77777777" w:rsidR="00956D80" w:rsidRDefault="00D35BBF">
      <w:pPr>
        <w:pStyle w:val="ListParagraph"/>
        <w:numPr>
          <w:ilvl w:val="0"/>
          <w:numId w:val="1"/>
        </w:numPr>
        <w:spacing w:line="360" w:lineRule="auto"/>
        <w:jc w:val="both"/>
      </w:pPr>
      <w:r>
        <w:rPr>
          <w:rFonts w:hint="cs"/>
          <w:rtl/>
        </w:rPr>
        <w:t>אשר לעונש המתאים, סברה ב"כ המאשימה כי בהתחשב בעברו של הנאשם ובהיעדר אפיק שיקומי, יש להטיל על הנאשם עונש ברף האמצעי של המתחם וביקשה להטיל עליו 24 חודשי מאסר, מאסר על תנאי וקנס משמעותי.</w:t>
      </w:r>
    </w:p>
    <w:p w14:paraId="7DF67F5B" w14:textId="77777777" w:rsidR="00956D80" w:rsidRDefault="00956D80">
      <w:pPr>
        <w:pStyle w:val="ListParagraph"/>
        <w:spacing w:line="360" w:lineRule="auto"/>
        <w:jc w:val="both"/>
        <w:rPr>
          <w:sz w:val="12"/>
          <w:szCs w:val="12"/>
        </w:rPr>
      </w:pPr>
    </w:p>
    <w:p w14:paraId="7480CC2D" w14:textId="77777777" w:rsidR="00956D80" w:rsidRDefault="00D35BBF">
      <w:pPr>
        <w:pStyle w:val="ListParagraph"/>
        <w:numPr>
          <w:ilvl w:val="0"/>
          <w:numId w:val="1"/>
        </w:numPr>
        <w:spacing w:line="360" w:lineRule="auto"/>
        <w:jc w:val="both"/>
      </w:pPr>
      <w:r>
        <w:rPr>
          <w:rFonts w:hint="cs"/>
          <w:rtl/>
        </w:rPr>
        <w:t xml:space="preserve">ב"כ הנאשם סבר, כי נוכח המשקל הלא גבוה של העציצים ובהתחשב במתחמים שנקבעו בשורה ארוכה של פסקי דין בבתי המשפט השלום והמחוזי, כאשר דובר במשקלים גדולים יותר, מתחם העונש ההולם צריך להיות נמוך בהרבה מהמתחם לו עתרה המאשימה, והציג שורה ארוכה של פסקי דין לתמיכה בטענותיו. ב"כ הנאשם סבר, כי מתחם העונש ההולם צריך להתחיל מרף תחתון של מאסר שירוצה בעבודות שירות. </w:t>
      </w:r>
    </w:p>
    <w:p w14:paraId="0C25DFF3" w14:textId="77777777" w:rsidR="00956D80" w:rsidRDefault="00956D80">
      <w:pPr>
        <w:pStyle w:val="ListParagraph"/>
        <w:spacing w:line="360" w:lineRule="auto"/>
        <w:jc w:val="both"/>
        <w:rPr>
          <w:sz w:val="12"/>
          <w:szCs w:val="12"/>
        </w:rPr>
      </w:pPr>
    </w:p>
    <w:p w14:paraId="240D1BA9" w14:textId="77777777" w:rsidR="00956D80" w:rsidRDefault="00D35BBF">
      <w:pPr>
        <w:pStyle w:val="ListParagraph"/>
        <w:numPr>
          <w:ilvl w:val="0"/>
          <w:numId w:val="1"/>
        </w:numPr>
        <w:spacing w:line="360" w:lineRule="auto"/>
        <w:jc w:val="both"/>
      </w:pPr>
      <w:r>
        <w:rPr>
          <w:rFonts w:hint="cs"/>
          <w:rtl/>
        </w:rPr>
        <w:t>אשר לעונש המתאים, סבר ב"כ הנאשם כי יש להטיל על הנאשם עונש ברף התחתון של המתחם, שכן עברו הפלילי הוא ישן, ולא בעבירות סמים. עברו הוא בתקופה שהנאשם היה על גבול הקטינות, ומאז חלפו שנים בהם הנאשם לא הסתבך ולא נפתחו לו תיקים נוספים עד לביצוע העבירות בתיק זה. הנאשם עובד לפרנסתו, הוא אב לארבעה ילדים. הוא ביצע את העבירה על רקע משבר כלכלי אליו הוא נקלע, כאשר הנאשם הגיע לפת לחם כתוצאה מפשיטת רגל. הנאשם לקח אחריות למעשיו, מתחרט עליהם, לקח אחריות למעשיו עוד בשלב החקירה וכן בבית המשפט ומדובר באדם מן הישוב. עוד ביקש ב"כ הנאשם להתחשב בכך שהנאשם שהה במעצר למשך למעלה מחודש ובהמשך שהה במעצר בית מלא עד היום. העבירה בוצעה ממניע כלכלי ולא בשל שימוש בסמים, ולכן לא ביקש לשלוח אותו לקצין המבחן, שכן הדבר היה דוחה את משך ההליך הפלילי לזמן משמעותי, על כן יש לזקוף לטובת הנאשם את קיצור ההליך הפלילי.</w:t>
      </w:r>
    </w:p>
    <w:p w14:paraId="25EAE695" w14:textId="77777777" w:rsidR="00956D80" w:rsidRDefault="00956D80">
      <w:pPr>
        <w:pStyle w:val="ListParagraph"/>
        <w:spacing w:line="360" w:lineRule="auto"/>
        <w:jc w:val="both"/>
        <w:rPr>
          <w:sz w:val="12"/>
          <w:szCs w:val="12"/>
        </w:rPr>
      </w:pPr>
    </w:p>
    <w:p w14:paraId="3F9CA0D8" w14:textId="77777777" w:rsidR="00956D80" w:rsidRDefault="00D35BBF">
      <w:pPr>
        <w:pStyle w:val="ListParagraph"/>
        <w:numPr>
          <w:ilvl w:val="0"/>
          <w:numId w:val="1"/>
        </w:numPr>
        <w:spacing w:line="360" w:lineRule="auto"/>
        <w:jc w:val="both"/>
      </w:pPr>
      <w:r>
        <w:rPr>
          <w:rFonts w:hint="cs"/>
          <w:rtl/>
        </w:rPr>
        <w:t>הנאשם בדברו האחרון מסר בבכי, כי הוא טעה, הוא מתחרט על מעשיו ומדובר באחת התקופות הקשות ביותר שחווה עד היום. הוא מתבייש במעשיו, עד כדי כך שילדיו סברו שהיה בחוץ לארץ בזמן ששהה במעצר.</w:t>
      </w:r>
    </w:p>
    <w:p w14:paraId="76D35994" w14:textId="77777777" w:rsidR="00956D80" w:rsidRDefault="00956D80">
      <w:pPr>
        <w:spacing w:line="360" w:lineRule="auto"/>
        <w:jc w:val="both"/>
      </w:pPr>
    </w:p>
    <w:p w14:paraId="25207E2D" w14:textId="77777777" w:rsidR="00956D80" w:rsidRDefault="00D35BBF">
      <w:pPr>
        <w:spacing w:line="360" w:lineRule="auto"/>
        <w:jc w:val="both"/>
        <w:rPr>
          <w:b/>
          <w:bCs/>
          <w:u w:val="single"/>
        </w:rPr>
      </w:pPr>
      <w:r>
        <w:rPr>
          <w:rFonts w:hint="cs"/>
          <w:b/>
          <w:bCs/>
          <w:u w:val="single"/>
          <w:rtl/>
        </w:rPr>
        <w:t>מתחם העונש ההולם</w:t>
      </w:r>
    </w:p>
    <w:p w14:paraId="6A953E1D" w14:textId="77777777" w:rsidR="00956D80" w:rsidRDefault="00D35BBF">
      <w:pPr>
        <w:pStyle w:val="ListParagraph"/>
        <w:numPr>
          <w:ilvl w:val="0"/>
          <w:numId w:val="1"/>
        </w:numPr>
        <w:spacing w:line="360" w:lineRule="auto"/>
        <w:jc w:val="both"/>
      </w:pPr>
      <w:bookmarkStart w:id="8" w:name="casename_body"/>
      <w:r>
        <w:rPr>
          <w:rFonts w:hint="cs"/>
          <w:rtl/>
        </w:rPr>
        <w:t>ב</w:t>
      </w:r>
      <w:hyperlink r:id="rId16" w:history="1">
        <w:bookmarkEnd w:id="8"/>
        <w:r w:rsidRPr="00D35BBF">
          <w:rPr>
            <w:rStyle w:val="Hyperlink"/>
            <w:rFonts w:hint="eastAsia"/>
            <w:rtl/>
          </w:rPr>
          <w:t>ע</w:t>
        </w:r>
        <w:r w:rsidRPr="00D35BBF">
          <w:rPr>
            <w:rStyle w:val="Hyperlink"/>
            <w:rtl/>
          </w:rPr>
          <w:t>"פ  6747/11</w:t>
        </w:r>
      </w:hyperlink>
      <w:r>
        <w:rPr>
          <w:rFonts w:hint="cs"/>
          <w:rtl/>
        </w:rPr>
        <w:t xml:space="preserve"> מדינת ישראל נ' מערוף אבו רקיק (מיום 3.1.13) חזר בית משפט העליון על החומרה הטמונה בעבירות הקשורות בסמים והנזק הרב אשר הן גורמות לחברה. בית המשפט העליון הפנה לקביעה שנקבעה </w:t>
      </w:r>
      <w:r>
        <w:rPr>
          <w:rFonts w:hint="cs"/>
          <w:b/>
          <w:bCs/>
          <w:rtl/>
        </w:rPr>
        <w:t>ב</w:t>
      </w:r>
      <w:hyperlink r:id="rId17" w:history="1">
        <w:r w:rsidRPr="00D35BBF">
          <w:rPr>
            <w:rStyle w:val="Hyperlink"/>
            <w:rFonts w:hint="eastAsia"/>
            <w:b/>
            <w:bCs/>
            <w:rtl/>
          </w:rPr>
          <w:t>ע</w:t>
        </w:r>
        <w:r w:rsidRPr="00D35BBF">
          <w:rPr>
            <w:rStyle w:val="Hyperlink"/>
            <w:b/>
            <w:bCs/>
            <w:rtl/>
          </w:rPr>
          <w:t>"פ 211/09</w:t>
        </w:r>
      </w:hyperlink>
      <w:r>
        <w:rPr>
          <w:rFonts w:hint="cs"/>
          <w:b/>
          <w:bCs/>
          <w:rtl/>
        </w:rPr>
        <w:t xml:space="preserve"> אזולאי נ' מדינת ישראל</w:t>
      </w:r>
      <w:r>
        <w:rPr>
          <w:rFonts w:hint="cs"/>
          <w:rtl/>
        </w:rPr>
        <w:t xml:space="preserve"> ([פורסם בנבו], 22.6.2010):</w:t>
      </w:r>
    </w:p>
    <w:p w14:paraId="7A7CE075" w14:textId="77777777" w:rsidR="00956D80" w:rsidRDefault="00956D80">
      <w:pPr>
        <w:pStyle w:val="Ruller4"/>
        <w:ind w:left="720" w:hanging="153"/>
        <w:rPr>
          <w:rFonts w:cs="David"/>
          <w:sz w:val="12"/>
          <w:szCs w:val="12"/>
          <w:rtl/>
        </w:rPr>
      </w:pPr>
    </w:p>
    <w:p w14:paraId="23BBE75C" w14:textId="77777777" w:rsidR="00956D80" w:rsidRDefault="00D35BBF">
      <w:pPr>
        <w:pStyle w:val="Ruller5"/>
        <w:ind w:left="1417"/>
        <w:rPr>
          <w:rFonts w:cs="David"/>
          <w:b/>
          <w:bCs/>
          <w:sz w:val="24"/>
          <w:szCs w:val="24"/>
          <w:rtl/>
        </w:rPr>
      </w:pPr>
      <w:r>
        <w:rPr>
          <w:rFonts w:cs="David" w:hint="cs"/>
          <w:b/>
          <w:bCs/>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18" w:history="1">
        <w:r w:rsidRPr="00D35BBF">
          <w:rPr>
            <w:rStyle w:val="Hyperlink"/>
            <w:rFonts w:cs="David" w:hint="eastAsia"/>
            <w:b/>
            <w:bCs/>
            <w:sz w:val="24"/>
            <w:szCs w:val="24"/>
            <w:rtl/>
          </w:rPr>
          <w:t>ע</w:t>
        </w:r>
        <w:r w:rsidRPr="00D35BBF">
          <w:rPr>
            <w:rStyle w:val="Hyperlink"/>
            <w:rFonts w:cs="David"/>
            <w:b/>
            <w:bCs/>
            <w:sz w:val="24"/>
            <w:szCs w:val="24"/>
            <w:rtl/>
          </w:rPr>
          <w:t>"</w:t>
        </w:r>
        <w:r w:rsidRPr="00D35BBF">
          <w:rPr>
            <w:rStyle w:val="Hyperlink"/>
            <w:rFonts w:cs="David" w:hint="eastAsia"/>
            <w:b/>
            <w:bCs/>
            <w:sz w:val="24"/>
            <w:szCs w:val="24"/>
            <w:rtl/>
          </w:rPr>
          <w:t>פ</w:t>
        </w:r>
        <w:r w:rsidRPr="00D35BBF">
          <w:rPr>
            <w:rStyle w:val="Hyperlink"/>
            <w:rFonts w:cs="David"/>
            <w:b/>
            <w:bCs/>
            <w:sz w:val="24"/>
            <w:szCs w:val="24"/>
            <w:rtl/>
          </w:rPr>
          <w:t xml:space="preserve"> 9482/09</w:t>
        </w:r>
      </w:hyperlink>
      <w:r>
        <w:rPr>
          <w:rFonts w:cs="David" w:hint="cs"/>
          <w:b/>
          <w:bCs/>
          <w:sz w:val="24"/>
          <w:szCs w:val="24"/>
          <w:rtl/>
        </w:rPr>
        <w:t xml:space="preserve"> </w:t>
      </w:r>
      <w:r>
        <w:rPr>
          <w:rFonts w:ascii="Times New Roman" w:hAnsi="Times New Roman" w:cs="David" w:hint="cs"/>
          <w:b/>
          <w:bCs/>
          <w:spacing w:val="0"/>
          <w:sz w:val="24"/>
          <w:szCs w:val="24"/>
          <w:rtl/>
        </w:rPr>
        <w:t>ביטון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24.7.2011); </w:t>
      </w:r>
      <w:hyperlink r:id="rId19" w:history="1">
        <w:r w:rsidRPr="00D35BBF">
          <w:rPr>
            <w:rStyle w:val="Hyperlink"/>
            <w:rFonts w:cs="David" w:hint="eastAsia"/>
            <w:b/>
            <w:bCs/>
            <w:sz w:val="24"/>
            <w:szCs w:val="24"/>
            <w:rtl/>
          </w:rPr>
          <w:t>ע</w:t>
        </w:r>
        <w:r w:rsidRPr="00D35BBF">
          <w:rPr>
            <w:rStyle w:val="Hyperlink"/>
            <w:rFonts w:cs="David"/>
            <w:b/>
            <w:bCs/>
            <w:sz w:val="24"/>
            <w:szCs w:val="24"/>
            <w:rtl/>
          </w:rPr>
          <w:t>"</w:t>
        </w:r>
        <w:r w:rsidRPr="00D35BBF">
          <w:rPr>
            <w:rStyle w:val="Hyperlink"/>
            <w:rFonts w:cs="David" w:hint="eastAsia"/>
            <w:b/>
            <w:bCs/>
            <w:sz w:val="24"/>
            <w:szCs w:val="24"/>
            <w:rtl/>
          </w:rPr>
          <w:t>פ</w:t>
        </w:r>
        <w:r w:rsidRPr="00D35BBF">
          <w:rPr>
            <w:rStyle w:val="Hyperlink"/>
            <w:rFonts w:cs="David"/>
            <w:b/>
            <w:bCs/>
            <w:sz w:val="24"/>
            <w:szCs w:val="24"/>
            <w:rtl/>
          </w:rPr>
          <w:t xml:space="preserve"> 5765/10</w:t>
        </w:r>
      </w:hyperlink>
      <w:r>
        <w:rPr>
          <w:rFonts w:cs="David" w:hint="cs"/>
          <w:b/>
          <w:bCs/>
          <w:sz w:val="24"/>
          <w:szCs w:val="24"/>
          <w:rtl/>
        </w:rPr>
        <w:t xml:space="preserve"> </w:t>
      </w:r>
      <w:r>
        <w:rPr>
          <w:rFonts w:ascii="Times New Roman" w:hAnsi="Times New Roman" w:cs="David" w:hint="cs"/>
          <w:b/>
          <w:bCs/>
          <w:spacing w:val="0"/>
          <w:sz w:val="24"/>
          <w:szCs w:val="24"/>
          <w:rtl/>
        </w:rPr>
        <w:t>פלוני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xml:space="preserve">, 5.6.2011); </w:t>
      </w:r>
      <w:hyperlink r:id="rId20" w:history="1">
        <w:r w:rsidRPr="00D35BBF">
          <w:rPr>
            <w:rStyle w:val="Hyperlink"/>
            <w:rFonts w:cs="David" w:hint="eastAsia"/>
            <w:b/>
            <w:bCs/>
            <w:sz w:val="24"/>
            <w:szCs w:val="24"/>
            <w:rtl/>
          </w:rPr>
          <w:t>ע</w:t>
        </w:r>
        <w:r w:rsidRPr="00D35BBF">
          <w:rPr>
            <w:rStyle w:val="Hyperlink"/>
            <w:rFonts w:cs="David"/>
            <w:b/>
            <w:bCs/>
            <w:sz w:val="24"/>
            <w:szCs w:val="24"/>
            <w:rtl/>
          </w:rPr>
          <w:t>"</w:t>
        </w:r>
        <w:r w:rsidRPr="00D35BBF">
          <w:rPr>
            <w:rStyle w:val="Hyperlink"/>
            <w:rFonts w:cs="David" w:hint="eastAsia"/>
            <w:b/>
            <w:bCs/>
            <w:sz w:val="24"/>
            <w:szCs w:val="24"/>
            <w:rtl/>
          </w:rPr>
          <w:t>פ</w:t>
        </w:r>
        <w:r w:rsidRPr="00D35BBF">
          <w:rPr>
            <w:rStyle w:val="Hyperlink"/>
            <w:rFonts w:cs="David"/>
            <w:b/>
            <w:bCs/>
            <w:sz w:val="24"/>
            <w:szCs w:val="24"/>
            <w:rtl/>
          </w:rPr>
          <w:t xml:space="preserve"> 3570/09</w:t>
        </w:r>
      </w:hyperlink>
      <w:r>
        <w:rPr>
          <w:rFonts w:cs="David" w:hint="cs"/>
          <w:b/>
          <w:bCs/>
          <w:sz w:val="24"/>
          <w:szCs w:val="24"/>
          <w:rtl/>
        </w:rPr>
        <w:t xml:space="preserve"> </w:t>
      </w:r>
      <w:r>
        <w:rPr>
          <w:rFonts w:ascii="Times New Roman" w:hAnsi="Times New Roman" w:cs="David" w:hint="cs"/>
          <w:b/>
          <w:bCs/>
          <w:spacing w:val="0"/>
          <w:sz w:val="24"/>
          <w:szCs w:val="24"/>
          <w:rtl/>
        </w:rPr>
        <w:t>אבו עמרה נ' מדינת ישראל</w:t>
      </w:r>
      <w:r>
        <w:rPr>
          <w:rFonts w:cs="David" w:hint="cs"/>
          <w:b/>
          <w:bCs/>
          <w:sz w:val="24"/>
          <w:szCs w:val="24"/>
          <w:rtl/>
        </w:rPr>
        <w:t xml:space="preserve"> (</w:t>
      </w:r>
      <w:r>
        <w:rPr>
          <w:rFonts w:ascii="Times New Roman" w:hAnsi="Times New Roman" w:cs="David" w:hint="cs"/>
          <w:b/>
          <w:bCs/>
          <w:spacing w:val="0"/>
          <w:sz w:val="24"/>
          <w:szCs w:val="24"/>
          <w:rtl/>
        </w:rPr>
        <w:t>[פורסם בנבו]</w:t>
      </w:r>
      <w:r>
        <w:rPr>
          <w:rFonts w:cs="David" w:hint="cs"/>
          <w:b/>
          <w:bCs/>
          <w:sz w:val="24"/>
          <w:szCs w:val="24"/>
          <w:rtl/>
        </w:rPr>
        <w:t>, 3.5.2010)).</w:t>
      </w:r>
    </w:p>
    <w:p w14:paraId="7AA77BD3" w14:textId="77777777" w:rsidR="00956D80" w:rsidRDefault="00956D80">
      <w:pPr>
        <w:pStyle w:val="Ruller5"/>
        <w:rPr>
          <w:rFonts w:cs="David"/>
          <w:b/>
          <w:bCs/>
          <w:sz w:val="12"/>
          <w:szCs w:val="12"/>
        </w:rPr>
      </w:pPr>
    </w:p>
    <w:p w14:paraId="064651D4" w14:textId="77777777" w:rsidR="00956D80" w:rsidRDefault="00956D80">
      <w:pPr>
        <w:pStyle w:val="ListParagraph"/>
        <w:spacing w:line="360" w:lineRule="auto"/>
        <w:jc w:val="both"/>
        <w:rPr>
          <w:rFonts w:ascii="Arial" w:hAnsi="Arial"/>
          <w:b/>
          <w:bCs/>
          <w:sz w:val="12"/>
          <w:szCs w:val="12"/>
        </w:rPr>
      </w:pPr>
    </w:p>
    <w:p w14:paraId="52BDF560" w14:textId="77777777" w:rsidR="00956D80" w:rsidRDefault="00D35BBF">
      <w:pPr>
        <w:pStyle w:val="ListParagraph"/>
        <w:numPr>
          <w:ilvl w:val="0"/>
          <w:numId w:val="1"/>
        </w:numPr>
        <w:spacing w:line="360" w:lineRule="auto"/>
        <w:jc w:val="both"/>
        <w:rPr>
          <w:rFonts w:ascii="Arial" w:hAnsi="Arial"/>
          <w:rtl/>
        </w:rPr>
      </w:pPr>
      <w:r>
        <w:rPr>
          <w:rFonts w:ascii="Arial" w:hAnsi="Arial" w:hint="cs"/>
          <w:rtl/>
        </w:rPr>
        <w:t>עמדת בית המשפט העליון וכן העובדה שהמחוקק קבע לצד עבירת הגידול, עונש מאסר של עד 20 שנה, מלמדים על כך שמדובר בערך חברתי ממעלה ראשונה. במקרה שלפני כתב האישום הוגש בבית משפט השלום ולכן העונש הקבוע לצד העבירה הוא עד 7 שנות מאסר, אולם גם כך מדובר במדרג החומרה הגבוה ביותר בבית משפט השלום.</w:t>
      </w:r>
    </w:p>
    <w:p w14:paraId="5C7B4907" w14:textId="77777777" w:rsidR="00956D80" w:rsidRDefault="00956D80">
      <w:pPr>
        <w:spacing w:line="360" w:lineRule="auto"/>
        <w:ind w:left="360"/>
        <w:jc w:val="both"/>
        <w:rPr>
          <w:rFonts w:ascii="Arial" w:hAnsi="Arial"/>
          <w:sz w:val="12"/>
          <w:szCs w:val="12"/>
          <w:rtl/>
        </w:rPr>
      </w:pPr>
    </w:p>
    <w:p w14:paraId="00AD73A1" w14:textId="77777777" w:rsidR="00956D80" w:rsidRDefault="00A263CD">
      <w:pPr>
        <w:pStyle w:val="ListParagraph"/>
        <w:numPr>
          <w:ilvl w:val="0"/>
          <w:numId w:val="1"/>
        </w:numPr>
        <w:spacing w:line="360" w:lineRule="auto"/>
        <w:jc w:val="both"/>
        <w:rPr>
          <w:rFonts w:ascii="Arial" w:hAnsi="Arial"/>
        </w:rPr>
      </w:pPr>
      <w:hyperlink r:id="rId21" w:history="1">
        <w:r w:rsidRPr="00A263CD">
          <w:rPr>
            <w:rStyle w:val="Hyperlink"/>
            <w:rFonts w:ascii="Arial" w:hAnsi="Arial" w:hint="eastAsia"/>
            <w:rtl/>
          </w:rPr>
          <w:t>סעיף</w:t>
        </w:r>
        <w:r w:rsidRPr="00A263CD">
          <w:rPr>
            <w:rStyle w:val="Hyperlink"/>
            <w:rFonts w:ascii="Arial" w:hAnsi="Arial"/>
            <w:rtl/>
          </w:rPr>
          <w:t xml:space="preserve"> 40 ג'</w:t>
        </w:r>
      </w:hyperlink>
      <w:r w:rsidR="00D35BBF">
        <w:rPr>
          <w:rFonts w:ascii="Arial" w:hAnsi="Arial" w:hint="cs"/>
          <w:rtl/>
        </w:rPr>
        <w:t xml:space="preserve"> ל</w:t>
      </w:r>
      <w:hyperlink r:id="rId22" w:history="1">
        <w:r w:rsidR="00D35BBF" w:rsidRPr="00D35BBF">
          <w:rPr>
            <w:rStyle w:val="Hyperlink"/>
            <w:rFonts w:ascii="Arial" w:hAnsi="Arial" w:hint="eastAsia"/>
            <w:rtl/>
          </w:rPr>
          <w:t>חוק</w:t>
        </w:r>
        <w:r w:rsidR="00D35BBF" w:rsidRPr="00D35BBF">
          <w:rPr>
            <w:rStyle w:val="Hyperlink"/>
            <w:rFonts w:ascii="Arial" w:hAnsi="Arial"/>
            <w:rtl/>
          </w:rPr>
          <w:t xml:space="preserve"> העונשין</w:t>
        </w:r>
      </w:hyperlink>
      <w:r w:rsidR="00D35BBF">
        <w:rPr>
          <w:rFonts w:ascii="Arial" w:hAnsi="Arial" w:hint="cs"/>
          <w:rtl/>
        </w:rPr>
        <w:t xml:space="preserve"> קובע כי בעת קביעת מתחם העונש ההולם על בית המשפט להתחשב בנסיבות הקשורות בביצוע העבירה בהתאם </w:t>
      </w:r>
      <w:hyperlink r:id="rId23" w:history="1">
        <w:r w:rsidRPr="00A263CD">
          <w:rPr>
            <w:rStyle w:val="Hyperlink"/>
            <w:rFonts w:ascii="Arial" w:hAnsi="Arial" w:hint="eastAsia"/>
            <w:rtl/>
          </w:rPr>
          <w:t>לסעיף</w:t>
        </w:r>
        <w:r w:rsidRPr="00A263CD">
          <w:rPr>
            <w:rStyle w:val="Hyperlink"/>
            <w:rFonts w:ascii="Arial" w:hAnsi="Arial"/>
            <w:rtl/>
          </w:rPr>
          <w:t xml:space="preserve"> 40 ט'</w:t>
        </w:r>
      </w:hyperlink>
      <w:r w:rsidR="00D35BBF">
        <w:rPr>
          <w:rFonts w:ascii="Arial" w:hAnsi="Arial" w:hint="cs"/>
          <w:rtl/>
        </w:rPr>
        <w:t xml:space="preserve"> לחוק העונשין. מנסיבות ביצוע העבירה עולה כי מדובר בעבירות שבוצעו תוך תכנון מוקדם, שכן הנאשם רכש מבעוד מועד את הציוד הנדרש לגידול הסמים, גידל עציצים רבים והשתמש בבית גדול במושב זכריה רק לשם כך. חלקו של הנאשם בביצוע העבירות הוא מרכזי שכן הוא המעורב היחיד בעניין. עוד יש להתחשב בכך שמדובר בכמות סם לא קטנה, אומנם נתפס סם במשקל של כקילוגרם, אך פוטנציאל העציצים היה גבוה בהרבה שכן נתפסו בבית 443 עציצים בשלב גידול ראשוני. עוד עולה מנסיבות ביצוע העבירה כי הנאשם הוא חוליה משמעותית בשרשרת הפצת הסם, שכן כמות הסמים אותה עתיד הנאשם היה לגדל היא גדולה והנאשם הקדיש לכך משאבים גדולים ובהם החזקת בית שלם, אמצעי גידול, חשמל ומים. הנאשם גם לא משתמש בסמים, כך שכל מטרת הגידול הייתה בצע כסף.</w:t>
      </w:r>
    </w:p>
    <w:p w14:paraId="1939920D" w14:textId="77777777" w:rsidR="00956D80" w:rsidRDefault="00956D80">
      <w:pPr>
        <w:pStyle w:val="ListParagraph"/>
        <w:spacing w:line="360" w:lineRule="auto"/>
        <w:jc w:val="both"/>
        <w:rPr>
          <w:rFonts w:ascii="Arial" w:hAnsi="Arial"/>
          <w:sz w:val="12"/>
          <w:szCs w:val="12"/>
        </w:rPr>
      </w:pPr>
    </w:p>
    <w:p w14:paraId="50A4B6CB" w14:textId="77777777" w:rsidR="00956D80" w:rsidRDefault="00D35BBF">
      <w:pPr>
        <w:pStyle w:val="ListParagraph"/>
        <w:numPr>
          <w:ilvl w:val="0"/>
          <w:numId w:val="1"/>
        </w:numPr>
        <w:spacing w:line="360" w:lineRule="auto"/>
        <w:jc w:val="both"/>
        <w:rPr>
          <w:rFonts w:ascii="Arial" w:hAnsi="Arial"/>
          <w:b/>
          <w:bCs/>
        </w:rPr>
      </w:pPr>
      <w:r>
        <w:rPr>
          <w:rFonts w:ascii="Arial" w:hAnsi="Arial" w:hint="cs"/>
          <w:rtl/>
        </w:rPr>
        <w:t>יפים לעניין זה אף דברי בית המשפט המחוזי ב</w:t>
      </w:r>
      <w:hyperlink r:id="rId24" w:history="1">
        <w:r w:rsidRPr="00D35BBF">
          <w:rPr>
            <w:rStyle w:val="Hyperlink"/>
            <w:rFonts w:ascii="Arial" w:hAnsi="Arial" w:hint="eastAsia"/>
            <w:rtl/>
          </w:rPr>
          <w:t>עפ</w:t>
        </w:r>
        <w:r w:rsidRPr="00D35BBF">
          <w:rPr>
            <w:rStyle w:val="Hyperlink"/>
            <w:rFonts w:ascii="Arial" w:hAnsi="Arial"/>
            <w:rtl/>
          </w:rPr>
          <w:t>"ג (ת"א) 24376-07-14</w:t>
        </w:r>
      </w:hyperlink>
      <w:r>
        <w:rPr>
          <w:rFonts w:ascii="Arial" w:hAnsi="Arial" w:hint="cs"/>
          <w:rtl/>
        </w:rPr>
        <w:t xml:space="preserve"> </w:t>
      </w:r>
      <w:r>
        <w:rPr>
          <w:rFonts w:ascii="Arial" w:hAnsi="Arial" w:hint="cs"/>
          <w:b/>
          <w:bCs/>
          <w:rtl/>
        </w:rPr>
        <w:t xml:space="preserve">עמר נגד מדינת ישראל </w:t>
      </w:r>
      <w:r>
        <w:rPr>
          <w:rFonts w:ascii="Arial" w:hAnsi="Arial" w:hint="cs"/>
          <w:rtl/>
        </w:rPr>
        <w:t>(מיום</w:t>
      </w:r>
      <w:r>
        <w:rPr>
          <w:rFonts w:ascii="Arial" w:hAnsi="Arial" w:hint="cs"/>
          <w:b/>
          <w:bCs/>
          <w:rtl/>
        </w:rPr>
        <w:t xml:space="preserve"> </w:t>
      </w:r>
      <w:r>
        <w:rPr>
          <w:rFonts w:ascii="Arial" w:hAnsi="Arial" w:hint="cs"/>
          <w:rtl/>
        </w:rPr>
        <w:t>18.2.15)</w:t>
      </w:r>
      <w:r>
        <w:rPr>
          <w:rFonts w:ascii="Arial" w:hAnsi="Arial" w:hint="cs"/>
          <w:b/>
          <w:bCs/>
          <w:rtl/>
        </w:rPr>
        <w:t>.</w:t>
      </w:r>
    </w:p>
    <w:p w14:paraId="5A056652" w14:textId="77777777" w:rsidR="00956D80" w:rsidRDefault="00956D80">
      <w:pPr>
        <w:pStyle w:val="ListParagraph"/>
        <w:spacing w:line="360" w:lineRule="auto"/>
        <w:jc w:val="both"/>
        <w:rPr>
          <w:rFonts w:ascii="Arial" w:hAnsi="Arial"/>
          <w:b/>
          <w:bCs/>
          <w:sz w:val="12"/>
          <w:szCs w:val="12"/>
          <w:rtl/>
        </w:rPr>
      </w:pPr>
    </w:p>
    <w:p w14:paraId="1C332E69" w14:textId="77777777" w:rsidR="00956D80" w:rsidRDefault="00D35BBF">
      <w:pPr>
        <w:pStyle w:val="ListParagraph"/>
        <w:autoSpaceDE w:val="0"/>
        <w:autoSpaceDN w:val="0"/>
        <w:adjustRightInd w:val="0"/>
        <w:spacing w:before="100" w:after="100"/>
        <w:ind w:left="1417" w:right="1134"/>
        <w:jc w:val="both"/>
        <w:rPr>
          <w:b/>
          <w:bCs/>
          <w:rtl/>
        </w:rPr>
      </w:pPr>
      <w:r>
        <w:rPr>
          <w:rFonts w:hint="cs"/>
          <w:b/>
          <w:bCs/>
          <w:rtl/>
        </w:rPr>
        <w:t>"נראה כי התופעה של מעבדות סמים הפכה להיות "להיט". העבירה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המערער שבפנינו פעל כמקצוען מובהק במישור זה. לא בכדי הזכרנו ופירטנו את הציוד הרב שנמצא בדירתו. הציוד מעיד על כך שאין מדובר בעיסוק מקרי ואקראי, אלא בעיסוק שיטתי ומתמשך שהמערער השקיע בו זמן, משאבים כספיים ועבודה."</w:t>
      </w:r>
      <w:r>
        <w:rPr>
          <w:rFonts w:hint="cs"/>
          <w:rtl/>
        </w:rPr>
        <w:t xml:space="preserve"> (שם בפסקה 5)</w:t>
      </w:r>
    </w:p>
    <w:p w14:paraId="728824B8" w14:textId="77777777" w:rsidR="00956D80" w:rsidRDefault="00956D80">
      <w:pPr>
        <w:pStyle w:val="ListParagraph"/>
        <w:autoSpaceDE w:val="0"/>
        <w:autoSpaceDN w:val="0"/>
        <w:adjustRightInd w:val="0"/>
        <w:spacing w:before="100" w:after="100"/>
        <w:ind w:left="1417" w:right="1134"/>
        <w:jc w:val="both"/>
        <w:rPr>
          <w:b/>
          <w:bCs/>
          <w:sz w:val="12"/>
          <w:szCs w:val="12"/>
          <w:rtl/>
        </w:rPr>
      </w:pPr>
    </w:p>
    <w:p w14:paraId="6BF597FC" w14:textId="77777777" w:rsidR="00956D80" w:rsidRDefault="00956D80">
      <w:pPr>
        <w:pStyle w:val="ListParagraph"/>
        <w:spacing w:line="360" w:lineRule="auto"/>
        <w:jc w:val="both"/>
        <w:rPr>
          <w:rFonts w:ascii="Arial" w:hAnsi="Arial"/>
          <w:sz w:val="12"/>
          <w:szCs w:val="12"/>
          <w:rtl/>
        </w:rPr>
      </w:pPr>
    </w:p>
    <w:p w14:paraId="47D4832D" w14:textId="77777777" w:rsidR="00956D80" w:rsidRDefault="00D35BBF">
      <w:pPr>
        <w:pStyle w:val="ListParagraph"/>
        <w:numPr>
          <w:ilvl w:val="0"/>
          <w:numId w:val="1"/>
        </w:numPr>
        <w:spacing w:line="360" w:lineRule="auto"/>
        <w:jc w:val="both"/>
        <w:rPr>
          <w:rFonts w:ascii="Calibri" w:hAnsi="Calibri"/>
          <w:sz w:val="12"/>
          <w:szCs w:val="12"/>
        </w:rPr>
      </w:pPr>
      <w:r>
        <w:rPr>
          <w:rFonts w:ascii="Calibri" w:hAnsi="Calibri" w:hint="cs"/>
          <w:rtl/>
        </w:rPr>
        <w:t xml:space="preserve">אשר לענישה הנוהגת -  בתיקי "מעבדות" הענישה הנוהגת היא ככלל לעונשי מאסר שבין חודשי מאסר קצרים ועד ל-30 חודשי מאסר, וזאת בהתחשב בכמות הסם שנתפסה, טיב המעבדה ומשך הפעלתה (ר' </w:t>
      </w:r>
      <w:hyperlink r:id="rId25" w:history="1">
        <w:r w:rsidR="00392826" w:rsidRPr="00392826">
          <w:rPr>
            <w:rFonts w:ascii="Calibri" w:hAnsi="Calibri"/>
            <w:color w:val="0000FF"/>
            <w:u w:val="single"/>
            <w:rtl/>
          </w:rPr>
          <w:t xml:space="preserve">27605-04-11 </w:t>
        </w:r>
      </w:hyperlink>
      <w:r>
        <w:rPr>
          <w:rFonts w:ascii="Calibri" w:hAnsi="Calibri" w:hint="cs"/>
          <w:rtl/>
        </w:rPr>
        <w:t xml:space="preserve"> וההפניות לשורה ארוכה של גזרי דין המאוזכרים שם, </w:t>
      </w:r>
      <w:hyperlink r:id="rId26" w:history="1">
        <w:r w:rsidRPr="00D35BBF">
          <w:rPr>
            <w:rStyle w:val="Hyperlink"/>
            <w:rFonts w:ascii="Calibri" w:hAnsi="Calibri" w:hint="eastAsia"/>
            <w:rtl/>
          </w:rPr>
          <w:t>ת</w:t>
        </w:r>
        <w:r w:rsidRPr="00D35BBF">
          <w:rPr>
            <w:rStyle w:val="Hyperlink"/>
            <w:rFonts w:ascii="Calibri" w:hAnsi="Calibri"/>
            <w:rtl/>
          </w:rPr>
          <w:t>.</w:t>
        </w:r>
        <w:r w:rsidRPr="00D35BBF">
          <w:rPr>
            <w:rStyle w:val="Hyperlink"/>
            <w:rFonts w:ascii="Calibri" w:hAnsi="Calibri" w:hint="eastAsia"/>
            <w:rtl/>
          </w:rPr>
          <w:t>פ</w:t>
        </w:r>
        <w:r w:rsidRPr="00D35BBF">
          <w:rPr>
            <w:rStyle w:val="Hyperlink"/>
            <w:rFonts w:ascii="Calibri" w:hAnsi="Calibri"/>
            <w:rtl/>
          </w:rPr>
          <w:t>. 46662-04-15</w:t>
        </w:r>
      </w:hyperlink>
      <w:r>
        <w:rPr>
          <w:rFonts w:ascii="Calibri" w:hAnsi="Calibri" w:hint="cs"/>
          <w:rtl/>
        </w:rPr>
        <w:t xml:space="preserve"> וההפניות לשורה ארוכה של גזרי דין המאוזכרים שם, </w:t>
      </w:r>
      <w:hyperlink r:id="rId27" w:history="1">
        <w:r w:rsidRPr="00D35BBF">
          <w:rPr>
            <w:rStyle w:val="Hyperlink"/>
            <w:rFonts w:ascii="Calibri" w:hAnsi="Calibri" w:hint="eastAsia"/>
            <w:rtl/>
          </w:rPr>
          <w:t>עפ</w:t>
        </w:r>
        <w:r w:rsidRPr="00D35BBF">
          <w:rPr>
            <w:rStyle w:val="Hyperlink"/>
            <w:rFonts w:ascii="Calibri" w:hAnsi="Calibri"/>
            <w:rtl/>
          </w:rPr>
          <w:t>"</w:t>
        </w:r>
        <w:r w:rsidRPr="00D35BBF">
          <w:rPr>
            <w:rStyle w:val="Hyperlink"/>
            <w:rFonts w:ascii="Calibri" w:hAnsi="Calibri" w:hint="eastAsia"/>
            <w:rtl/>
          </w:rPr>
          <w:t>ג</w:t>
        </w:r>
        <w:r w:rsidRPr="00D35BBF">
          <w:rPr>
            <w:rStyle w:val="Hyperlink"/>
            <w:rFonts w:ascii="Calibri" w:hAnsi="Calibri"/>
            <w:rtl/>
          </w:rPr>
          <w:t xml:space="preserve"> 24376-07-14</w:t>
        </w:r>
      </w:hyperlink>
      <w:r>
        <w:rPr>
          <w:rFonts w:ascii="Calibri" w:hAnsi="Calibri" w:hint="cs"/>
          <w:rtl/>
        </w:rPr>
        <w:t xml:space="preserve">, עפ"ג 24358-10-14, </w:t>
      </w:r>
      <w:hyperlink r:id="rId28" w:history="1">
        <w:r w:rsidRPr="00D35BBF">
          <w:rPr>
            <w:rStyle w:val="Hyperlink"/>
            <w:rFonts w:ascii="Calibri" w:hAnsi="Calibri" w:hint="eastAsia"/>
            <w:rtl/>
          </w:rPr>
          <w:t>ת</w:t>
        </w:r>
        <w:r w:rsidRPr="00D35BBF">
          <w:rPr>
            <w:rStyle w:val="Hyperlink"/>
            <w:rFonts w:ascii="Calibri" w:hAnsi="Calibri"/>
            <w:rtl/>
          </w:rPr>
          <w:t>.</w:t>
        </w:r>
        <w:r w:rsidRPr="00D35BBF">
          <w:rPr>
            <w:rStyle w:val="Hyperlink"/>
            <w:rFonts w:ascii="Calibri" w:hAnsi="Calibri" w:hint="eastAsia"/>
            <w:rtl/>
          </w:rPr>
          <w:t>פ</w:t>
        </w:r>
        <w:r w:rsidRPr="00D35BBF">
          <w:rPr>
            <w:rStyle w:val="Hyperlink"/>
            <w:rFonts w:ascii="Calibri" w:hAnsi="Calibri"/>
            <w:rtl/>
          </w:rPr>
          <w:t>.16958-01-14</w:t>
        </w:r>
      </w:hyperlink>
      <w:r>
        <w:rPr>
          <w:rFonts w:ascii="Calibri" w:hAnsi="Calibri" w:hint="cs"/>
          <w:rtl/>
        </w:rPr>
        <w:t xml:space="preserve"> וכן </w:t>
      </w:r>
      <w:hyperlink r:id="rId29" w:history="1">
        <w:r w:rsidRPr="00D35BBF">
          <w:rPr>
            <w:rStyle w:val="Hyperlink"/>
            <w:rFonts w:ascii="Calibri" w:hAnsi="Calibri" w:hint="eastAsia"/>
            <w:rtl/>
          </w:rPr>
          <w:t>ת</w:t>
        </w:r>
        <w:r w:rsidRPr="00D35BBF">
          <w:rPr>
            <w:rStyle w:val="Hyperlink"/>
            <w:rFonts w:ascii="Calibri" w:hAnsi="Calibri"/>
            <w:rtl/>
          </w:rPr>
          <w:t>.</w:t>
        </w:r>
        <w:r w:rsidRPr="00D35BBF">
          <w:rPr>
            <w:rStyle w:val="Hyperlink"/>
            <w:rFonts w:ascii="Calibri" w:hAnsi="Calibri" w:hint="eastAsia"/>
            <w:rtl/>
          </w:rPr>
          <w:t>פ</w:t>
        </w:r>
        <w:r w:rsidRPr="00D35BBF">
          <w:rPr>
            <w:rStyle w:val="Hyperlink"/>
            <w:rFonts w:ascii="Calibri" w:hAnsi="Calibri"/>
            <w:rtl/>
          </w:rPr>
          <w:t>. 58475-09-14</w:t>
        </w:r>
      </w:hyperlink>
      <w:r>
        <w:rPr>
          <w:rFonts w:ascii="Calibri" w:hAnsi="Calibri" w:hint="cs"/>
          <w:rtl/>
        </w:rPr>
        <w:t xml:space="preserve">). </w:t>
      </w:r>
    </w:p>
    <w:p w14:paraId="3EB92D17" w14:textId="77777777" w:rsidR="00956D80" w:rsidRDefault="00956D80">
      <w:pPr>
        <w:pStyle w:val="ListParagraph"/>
        <w:spacing w:line="360" w:lineRule="auto"/>
        <w:jc w:val="both"/>
        <w:rPr>
          <w:rFonts w:ascii="Calibri" w:hAnsi="Calibri"/>
          <w:sz w:val="12"/>
          <w:szCs w:val="12"/>
        </w:rPr>
      </w:pPr>
    </w:p>
    <w:p w14:paraId="610399BB" w14:textId="77777777" w:rsidR="00956D80" w:rsidRDefault="00D35BBF">
      <w:pPr>
        <w:pStyle w:val="ListParagraph"/>
        <w:numPr>
          <w:ilvl w:val="0"/>
          <w:numId w:val="1"/>
        </w:numPr>
        <w:spacing w:line="360" w:lineRule="auto"/>
        <w:jc w:val="both"/>
      </w:pPr>
      <w:r>
        <w:rPr>
          <w:rFonts w:ascii="Arial" w:hAnsi="Arial" w:hint="cs"/>
          <w:rtl/>
        </w:rPr>
        <w:t xml:space="preserve">בהתחשב בכל אלה </w:t>
      </w:r>
      <w:r>
        <w:rPr>
          <w:rFonts w:hint="cs"/>
          <w:rtl/>
        </w:rPr>
        <w:t xml:space="preserve">אני סבורה כי מתחם הענישה ההולם, בנסיבותיו של תיק זה, תוך מתן דגש לפוטנציאל הגידול הרב שהיה טמון במיזם אותו הקים הנאשם, אשר ניתן ללמוד עליו ממספר השתילים, גודלו של המבנה והמשאבים אותם השקיע הנאשם, שנגדע בתחילתו שלא מרצונו של הנאשם אלא בשל התערבות המשטרה, נע בין עונש של 8 חודשי מאסר בפועל ועד ל-24 חודשי מאסר בפועל. </w:t>
      </w:r>
    </w:p>
    <w:p w14:paraId="622D749F" w14:textId="77777777" w:rsidR="00956D80" w:rsidRDefault="00956D80">
      <w:pPr>
        <w:pStyle w:val="ListParagraph"/>
        <w:spacing w:line="360" w:lineRule="auto"/>
        <w:jc w:val="both"/>
      </w:pPr>
    </w:p>
    <w:p w14:paraId="04DFE1DD" w14:textId="77777777" w:rsidR="00956D80" w:rsidRDefault="00D35BBF">
      <w:pPr>
        <w:spacing w:line="360" w:lineRule="auto"/>
        <w:jc w:val="both"/>
        <w:rPr>
          <w:rFonts w:ascii="Calibri" w:hAnsi="Calibri"/>
          <w:b/>
          <w:bCs/>
          <w:u w:val="single"/>
        </w:rPr>
      </w:pPr>
      <w:r>
        <w:rPr>
          <w:rFonts w:ascii="Calibri" w:hAnsi="Calibri" w:hint="cs"/>
          <w:b/>
          <w:bCs/>
          <w:u w:val="single"/>
          <w:rtl/>
        </w:rPr>
        <w:t>העונש המתאים</w:t>
      </w:r>
    </w:p>
    <w:p w14:paraId="1BE8968E" w14:textId="77777777" w:rsidR="00956D80" w:rsidRDefault="00D35BBF">
      <w:pPr>
        <w:pStyle w:val="ListParagraph"/>
        <w:numPr>
          <w:ilvl w:val="0"/>
          <w:numId w:val="1"/>
        </w:numPr>
        <w:spacing w:line="360" w:lineRule="auto"/>
        <w:jc w:val="both"/>
      </w:pPr>
      <w:r>
        <w:rPr>
          <w:rFonts w:ascii="Arial" w:hAnsi="Arial" w:hint="cs"/>
          <w:rtl/>
        </w:rPr>
        <w:t xml:space="preserve">לחומרה, אשקול את הצורך בהרתעת הנאשם וכן את הצורך בהרתעת הרבים ולעניין זה יפים דבריו של בית המשפט העליון </w:t>
      </w:r>
      <w:r>
        <w:rPr>
          <w:rFonts w:hint="cs"/>
          <w:rtl/>
        </w:rPr>
        <w:t>בדבר הצורך במלחמה בתופעה ובמיגורה, תוך הטלת עונשים מרתיעים.</w:t>
      </w:r>
    </w:p>
    <w:p w14:paraId="44E49310" w14:textId="77777777" w:rsidR="00956D80" w:rsidRDefault="00956D80">
      <w:pPr>
        <w:pStyle w:val="ListParagraph"/>
        <w:spacing w:line="360" w:lineRule="auto"/>
        <w:jc w:val="both"/>
        <w:rPr>
          <w:sz w:val="14"/>
          <w:szCs w:val="14"/>
          <w:rtl/>
        </w:rPr>
      </w:pPr>
    </w:p>
    <w:p w14:paraId="0FEA9F9D" w14:textId="77777777" w:rsidR="00956D80" w:rsidRDefault="00D35BBF">
      <w:pPr>
        <w:pStyle w:val="ListParagraph"/>
        <w:autoSpaceDE w:val="0"/>
        <w:autoSpaceDN w:val="0"/>
        <w:adjustRightInd w:val="0"/>
        <w:spacing w:before="100" w:after="100"/>
        <w:ind w:left="1417" w:right="1134"/>
        <w:jc w:val="both"/>
        <w:rPr>
          <w:b/>
          <w:bCs/>
          <w:rtl/>
        </w:rPr>
      </w:pPr>
      <w:r>
        <w:rPr>
          <w:rFonts w:hint="cs"/>
          <w:b/>
          <w:bCs/>
          <w:rtl/>
        </w:rPr>
        <w:t>"אכן,</w:t>
      </w:r>
      <w:r>
        <w:rPr>
          <w:rFonts w:hint="cs"/>
          <w:b/>
          <w:bCs/>
        </w:rPr>
        <w:t xml:space="preserve"> </w:t>
      </w:r>
      <w:r>
        <w:rPr>
          <w:rFonts w:hint="cs"/>
          <w:b/>
          <w:bCs/>
          <w:rtl/>
        </w:rPr>
        <w:t>נגע</w:t>
      </w:r>
      <w:r>
        <w:rPr>
          <w:rFonts w:hint="cs"/>
          <w:b/>
          <w:bCs/>
        </w:rPr>
        <w:t xml:space="preserve"> </w:t>
      </w:r>
      <w:r>
        <w:rPr>
          <w:rFonts w:hint="cs"/>
          <w:b/>
          <w:bCs/>
          <w:rtl/>
        </w:rPr>
        <w:t>הסמים</w:t>
      </w:r>
      <w:r>
        <w:rPr>
          <w:rFonts w:hint="cs"/>
          <w:b/>
          <w:bCs/>
        </w:rPr>
        <w:t xml:space="preserve"> </w:t>
      </w:r>
      <w:r>
        <w:rPr>
          <w:rFonts w:hint="cs"/>
          <w:b/>
          <w:bCs/>
          <w:rtl/>
        </w:rPr>
        <w:t>הפוגע</w:t>
      </w:r>
      <w:r>
        <w:rPr>
          <w:rFonts w:hint="cs"/>
          <w:b/>
          <w:bCs/>
        </w:rPr>
        <w:t xml:space="preserve"> </w:t>
      </w:r>
      <w:r>
        <w:rPr>
          <w:rFonts w:hint="cs"/>
          <w:b/>
          <w:bCs/>
          <w:rtl/>
        </w:rPr>
        <w:t>קשות</w:t>
      </w:r>
      <w:r>
        <w:rPr>
          <w:rFonts w:hint="cs"/>
          <w:b/>
          <w:bCs/>
        </w:rPr>
        <w:t xml:space="preserve"> </w:t>
      </w:r>
      <w:r>
        <w:rPr>
          <w:rFonts w:hint="cs"/>
          <w:b/>
          <w:bCs/>
          <w:rtl/>
        </w:rPr>
        <w:t>בחברתנו</w:t>
      </w:r>
      <w:r>
        <w:rPr>
          <w:rFonts w:hint="cs"/>
          <w:b/>
          <w:bCs/>
        </w:rPr>
        <w:t xml:space="preserve"> </w:t>
      </w:r>
      <w:r>
        <w:rPr>
          <w:rFonts w:hint="cs"/>
          <w:b/>
          <w:bCs/>
          <w:rtl/>
        </w:rPr>
        <w:t>מחייב</w:t>
      </w:r>
      <w:r>
        <w:rPr>
          <w:rFonts w:hint="cs"/>
          <w:b/>
          <w:bCs/>
        </w:rPr>
        <w:t xml:space="preserve"> </w:t>
      </w:r>
      <w:r>
        <w:rPr>
          <w:rFonts w:hint="cs"/>
          <w:b/>
          <w:bCs/>
          <w:rtl/>
        </w:rPr>
        <w:t>מלחמת</w:t>
      </w:r>
      <w:r>
        <w:rPr>
          <w:rFonts w:hint="cs"/>
          <w:b/>
          <w:bCs/>
        </w:rPr>
        <w:t xml:space="preserve"> </w:t>
      </w:r>
      <w:r>
        <w:rPr>
          <w:rFonts w:hint="cs"/>
          <w:b/>
          <w:bCs/>
          <w:rtl/>
        </w:rPr>
        <w:t>חורמה</w:t>
      </w:r>
      <w:r>
        <w:rPr>
          <w:rFonts w:hint="cs"/>
          <w:b/>
          <w:bCs/>
        </w:rPr>
        <w:t xml:space="preserve"> </w:t>
      </w:r>
      <w:r>
        <w:rPr>
          <w:rFonts w:hint="cs"/>
          <w:b/>
          <w:bCs/>
          <w:rtl/>
        </w:rPr>
        <w:t>והעונשים</w:t>
      </w:r>
      <w:r>
        <w:rPr>
          <w:rFonts w:hint="cs"/>
          <w:b/>
          <w:bCs/>
        </w:rPr>
        <w:t xml:space="preserve"> </w:t>
      </w:r>
      <w:r>
        <w:rPr>
          <w:rFonts w:hint="cs"/>
          <w:b/>
          <w:bCs/>
          <w:rtl/>
        </w:rPr>
        <w:t>שיגזרו</w:t>
      </w:r>
      <w:r>
        <w:rPr>
          <w:rFonts w:hint="cs"/>
          <w:b/>
          <w:bCs/>
        </w:rPr>
        <w:t xml:space="preserve"> </w:t>
      </w:r>
      <w:r>
        <w:rPr>
          <w:rFonts w:hint="cs"/>
          <w:b/>
          <w:bCs/>
          <w:rtl/>
        </w:rPr>
        <w:t>על</w:t>
      </w:r>
      <w:r>
        <w:rPr>
          <w:rFonts w:hint="cs"/>
          <w:b/>
          <w:bCs/>
        </w:rPr>
        <w:t xml:space="preserve"> </w:t>
      </w:r>
      <w:r>
        <w:rPr>
          <w:rFonts w:hint="cs"/>
          <w:b/>
          <w:bCs/>
          <w:rtl/>
        </w:rPr>
        <w:t>ידי</w:t>
      </w:r>
      <w:r>
        <w:rPr>
          <w:rFonts w:hint="cs"/>
          <w:b/>
          <w:bCs/>
        </w:rPr>
        <w:t xml:space="preserve"> </w:t>
      </w:r>
      <w:r>
        <w:rPr>
          <w:rFonts w:hint="cs"/>
          <w:b/>
          <w:bCs/>
          <w:rtl/>
        </w:rPr>
        <w:t>בתי</w:t>
      </w:r>
      <w:r>
        <w:rPr>
          <w:rFonts w:hint="cs"/>
          <w:b/>
          <w:bCs/>
        </w:rPr>
        <w:t xml:space="preserve"> </w:t>
      </w:r>
      <w:r>
        <w:rPr>
          <w:rFonts w:hint="cs"/>
          <w:b/>
          <w:bCs/>
          <w:rtl/>
        </w:rPr>
        <w:t>המשפט</w:t>
      </w:r>
      <w:r>
        <w:rPr>
          <w:rFonts w:hint="cs"/>
          <w:b/>
          <w:bCs/>
        </w:rPr>
        <w:t xml:space="preserve"> </w:t>
      </w:r>
      <w:r>
        <w:rPr>
          <w:rFonts w:hint="cs"/>
          <w:b/>
          <w:bCs/>
          <w:rtl/>
        </w:rPr>
        <w:t>בשל</w:t>
      </w:r>
      <w:r>
        <w:rPr>
          <w:rFonts w:hint="cs"/>
          <w:b/>
          <w:bCs/>
        </w:rPr>
        <w:t xml:space="preserve"> </w:t>
      </w:r>
      <w:r>
        <w:rPr>
          <w:rFonts w:hint="cs"/>
          <w:b/>
          <w:bCs/>
          <w:rtl/>
        </w:rPr>
        <w:t>עבירות</w:t>
      </w:r>
      <w:r>
        <w:rPr>
          <w:rFonts w:hint="cs"/>
          <w:b/>
          <w:bCs/>
        </w:rPr>
        <w:t xml:space="preserve"> </w:t>
      </w:r>
      <w:r>
        <w:rPr>
          <w:rFonts w:hint="cs"/>
          <w:b/>
          <w:bCs/>
          <w:rtl/>
        </w:rPr>
        <w:t>סמים</w:t>
      </w:r>
      <w:r>
        <w:rPr>
          <w:rFonts w:hint="cs"/>
          <w:b/>
          <w:bCs/>
        </w:rPr>
        <w:t xml:space="preserve"> </w:t>
      </w:r>
      <w:r>
        <w:rPr>
          <w:rFonts w:hint="cs"/>
          <w:b/>
          <w:bCs/>
          <w:rtl/>
        </w:rPr>
        <w:t>צריכים</w:t>
      </w:r>
      <w:r>
        <w:rPr>
          <w:rFonts w:hint="cs"/>
          <w:b/>
          <w:bCs/>
        </w:rPr>
        <w:t xml:space="preserve"> </w:t>
      </w:r>
      <w:r>
        <w:rPr>
          <w:rFonts w:hint="cs"/>
          <w:b/>
          <w:bCs/>
          <w:rtl/>
        </w:rPr>
        <w:t>להשתלב</w:t>
      </w:r>
      <w:r>
        <w:rPr>
          <w:rFonts w:hint="cs"/>
          <w:b/>
          <w:bCs/>
        </w:rPr>
        <w:t xml:space="preserve"> </w:t>
      </w:r>
      <w:r>
        <w:rPr>
          <w:rFonts w:hint="cs"/>
          <w:b/>
          <w:bCs/>
          <w:rtl/>
        </w:rPr>
        <w:t>במאבק</w:t>
      </w:r>
      <w:r>
        <w:rPr>
          <w:rFonts w:hint="cs"/>
          <w:b/>
          <w:bCs/>
        </w:rPr>
        <w:t xml:space="preserve"> </w:t>
      </w:r>
      <w:r>
        <w:rPr>
          <w:rFonts w:hint="cs"/>
          <w:b/>
          <w:bCs/>
          <w:rtl/>
        </w:rPr>
        <w:t>הכולל</w:t>
      </w:r>
      <w:r>
        <w:rPr>
          <w:rFonts w:hint="cs"/>
          <w:b/>
          <w:bCs/>
        </w:rPr>
        <w:t xml:space="preserve"> </w:t>
      </w:r>
      <w:r>
        <w:rPr>
          <w:rFonts w:hint="cs"/>
          <w:b/>
          <w:bCs/>
          <w:rtl/>
        </w:rPr>
        <w:t>להדברת</w:t>
      </w:r>
      <w:r>
        <w:rPr>
          <w:rFonts w:hint="cs"/>
          <w:b/>
          <w:bCs/>
        </w:rPr>
        <w:t xml:space="preserve"> </w:t>
      </w:r>
      <w:r>
        <w:rPr>
          <w:rFonts w:hint="cs"/>
          <w:b/>
          <w:bCs/>
          <w:rtl/>
        </w:rPr>
        <w:t>הנגע.</w:t>
      </w:r>
      <w:r>
        <w:rPr>
          <w:rFonts w:hint="cs"/>
          <w:b/>
          <w:bCs/>
        </w:rPr>
        <w:t xml:space="preserve"> </w:t>
      </w:r>
      <w:r>
        <w:rPr>
          <w:rFonts w:hint="cs"/>
          <w:b/>
          <w:bCs/>
          <w:rtl/>
        </w:rPr>
        <w:t>על</w:t>
      </w:r>
      <w:r>
        <w:rPr>
          <w:rFonts w:hint="cs"/>
          <w:b/>
          <w:bCs/>
        </w:rPr>
        <w:t xml:space="preserve"> </w:t>
      </w:r>
      <w:r>
        <w:rPr>
          <w:rFonts w:hint="cs"/>
          <w:b/>
          <w:bCs/>
          <w:rtl/>
        </w:rPr>
        <w:t>כן,</w:t>
      </w:r>
      <w:r>
        <w:rPr>
          <w:rFonts w:hint="cs"/>
          <w:b/>
          <w:bCs/>
        </w:rPr>
        <w:t xml:space="preserve"> </w:t>
      </w:r>
      <w:r>
        <w:rPr>
          <w:rFonts w:hint="cs"/>
          <w:b/>
          <w:bCs/>
          <w:rtl/>
        </w:rPr>
        <w:t>יש</w:t>
      </w:r>
      <w:r>
        <w:rPr>
          <w:rFonts w:hint="cs"/>
          <w:b/>
          <w:bCs/>
        </w:rPr>
        <w:t xml:space="preserve"> </w:t>
      </w:r>
      <w:r>
        <w:rPr>
          <w:rFonts w:hint="cs"/>
          <w:b/>
          <w:bCs/>
          <w:rtl/>
        </w:rPr>
        <w:t>ליתן</w:t>
      </w:r>
      <w:r>
        <w:rPr>
          <w:rFonts w:hint="cs"/>
          <w:b/>
          <w:bCs/>
        </w:rPr>
        <w:t xml:space="preserve"> </w:t>
      </w:r>
      <w:r>
        <w:rPr>
          <w:rFonts w:hint="cs"/>
          <w:b/>
          <w:bCs/>
          <w:rtl/>
        </w:rPr>
        <w:t>משקל</w:t>
      </w:r>
      <w:r>
        <w:rPr>
          <w:rFonts w:hint="cs"/>
          <w:b/>
          <w:bCs/>
        </w:rPr>
        <w:t xml:space="preserve"> </w:t>
      </w:r>
      <w:r>
        <w:rPr>
          <w:rFonts w:hint="cs"/>
          <w:b/>
          <w:bCs/>
          <w:rtl/>
        </w:rPr>
        <w:t>ממשי</w:t>
      </w:r>
      <w:r>
        <w:rPr>
          <w:rFonts w:hint="cs"/>
          <w:b/>
          <w:bCs/>
        </w:rPr>
        <w:t xml:space="preserve"> </w:t>
      </w:r>
      <w:r>
        <w:rPr>
          <w:rFonts w:hint="cs"/>
          <w:b/>
          <w:bCs/>
          <w:rtl/>
        </w:rPr>
        <w:t>לשיקול</w:t>
      </w:r>
      <w:r>
        <w:rPr>
          <w:rFonts w:hint="cs"/>
          <w:b/>
          <w:bCs/>
        </w:rPr>
        <w:t xml:space="preserve"> </w:t>
      </w:r>
      <w:r>
        <w:rPr>
          <w:rFonts w:hint="cs"/>
          <w:b/>
          <w:bCs/>
          <w:rtl/>
        </w:rPr>
        <w:t>ההרתעתי</w:t>
      </w:r>
      <w:r>
        <w:rPr>
          <w:rFonts w:hint="cs"/>
          <w:b/>
          <w:bCs/>
        </w:rPr>
        <w:t xml:space="preserve"> </w:t>
      </w:r>
      <w:r>
        <w:rPr>
          <w:rFonts w:hint="cs"/>
          <w:b/>
          <w:bCs/>
          <w:rtl/>
        </w:rPr>
        <w:t>אל</w:t>
      </w:r>
      <w:r>
        <w:rPr>
          <w:rFonts w:hint="cs"/>
          <w:b/>
          <w:bCs/>
        </w:rPr>
        <w:t xml:space="preserve"> </w:t>
      </w:r>
      <w:r>
        <w:rPr>
          <w:rFonts w:hint="cs"/>
          <w:b/>
          <w:bCs/>
          <w:rtl/>
        </w:rPr>
        <w:t>מול</w:t>
      </w:r>
      <w:r>
        <w:rPr>
          <w:rFonts w:hint="cs"/>
          <w:b/>
          <w:bCs/>
        </w:rPr>
        <w:t xml:space="preserve"> </w:t>
      </w:r>
      <w:r>
        <w:rPr>
          <w:rFonts w:hint="cs"/>
          <w:b/>
          <w:bCs/>
          <w:rtl/>
        </w:rPr>
        <w:t>השיקולים</w:t>
      </w:r>
      <w:r>
        <w:rPr>
          <w:rFonts w:hint="cs"/>
          <w:b/>
          <w:bCs/>
        </w:rPr>
        <w:t xml:space="preserve"> </w:t>
      </w:r>
      <w:r>
        <w:rPr>
          <w:rFonts w:hint="cs"/>
          <w:b/>
          <w:bCs/>
          <w:rtl/>
        </w:rPr>
        <w:t>האישיים,</w:t>
      </w:r>
      <w:r>
        <w:rPr>
          <w:rFonts w:hint="cs"/>
          <w:b/>
          <w:bCs/>
        </w:rPr>
        <w:t xml:space="preserve"> </w:t>
      </w:r>
      <w:r>
        <w:rPr>
          <w:rFonts w:hint="cs"/>
          <w:b/>
          <w:bCs/>
          <w:rtl/>
        </w:rPr>
        <w:t>אשר</w:t>
      </w:r>
      <w:r>
        <w:rPr>
          <w:rFonts w:hint="cs"/>
          <w:b/>
          <w:bCs/>
        </w:rPr>
        <w:t xml:space="preserve"> </w:t>
      </w:r>
      <w:r>
        <w:rPr>
          <w:rFonts w:hint="cs"/>
          <w:b/>
          <w:bCs/>
          <w:rtl/>
        </w:rPr>
        <w:t>משקלם</w:t>
      </w:r>
      <w:r>
        <w:rPr>
          <w:rFonts w:hint="cs"/>
          <w:b/>
          <w:bCs/>
        </w:rPr>
        <w:t xml:space="preserve"> </w:t>
      </w:r>
      <w:r>
        <w:rPr>
          <w:rFonts w:hint="cs"/>
          <w:b/>
          <w:bCs/>
          <w:rtl/>
        </w:rPr>
        <w:t>יהיה</w:t>
      </w:r>
      <w:r>
        <w:rPr>
          <w:rFonts w:hint="cs"/>
          <w:b/>
          <w:bCs/>
        </w:rPr>
        <w:t xml:space="preserve"> </w:t>
      </w:r>
      <w:r>
        <w:rPr>
          <w:rFonts w:hint="cs"/>
          <w:b/>
          <w:bCs/>
          <w:rtl/>
        </w:rPr>
        <w:t>נמוך</w:t>
      </w:r>
      <w:r>
        <w:rPr>
          <w:rFonts w:hint="cs"/>
          <w:b/>
          <w:bCs/>
        </w:rPr>
        <w:t xml:space="preserve"> </w:t>
      </w:r>
      <w:r>
        <w:rPr>
          <w:rFonts w:hint="cs"/>
          <w:b/>
          <w:bCs/>
          <w:rtl/>
        </w:rPr>
        <w:t>יותר</w:t>
      </w:r>
      <w:r>
        <w:rPr>
          <w:rFonts w:hint="cs"/>
          <w:b/>
          <w:bCs/>
        </w:rPr>
        <w:t xml:space="preserve"> </w:t>
      </w:r>
      <w:r>
        <w:rPr>
          <w:rFonts w:hint="cs"/>
          <w:b/>
          <w:bCs/>
          <w:rtl/>
        </w:rPr>
        <w:t>במקרים</w:t>
      </w:r>
      <w:r>
        <w:rPr>
          <w:rFonts w:hint="cs"/>
          <w:b/>
          <w:bCs/>
        </w:rPr>
        <w:t xml:space="preserve"> </w:t>
      </w:r>
      <w:r>
        <w:rPr>
          <w:rFonts w:hint="cs"/>
          <w:b/>
          <w:bCs/>
          <w:rtl/>
        </w:rPr>
        <w:t>כגון</w:t>
      </w:r>
      <w:r>
        <w:rPr>
          <w:rFonts w:hint="cs"/>
          <w:b/>
          <w:bCs/>
        </w:rPr>
        <w:t xml:space="preserve"> </w:t>
      </w:r>
      <w:r>
        <w:rPr>
          <w:rFonts w:hint="cs"/>
          <w:b/>
          <w:bCs/>
          <w:rtl/>
        </w:rPr>
        <w:t>אלה</w:t>
      </w:r>
      <w:r>
        <w:rPr>
          <w:b/>
          <w:bCs/>
        </w:rPr>
        <w:t>".</w:t>
      </w:r>
      <w:r>
        <w:rPr>
          <w:rFonts w:hint="cs"/>
          <w:b/>
          <w:bCs/>
          <w:rtl/>
        </w:rPr>
        <w:t xml:space="preserve"> </w:t>
      </w:r>
      <w:r>
        <w:rPr>
          <w:rFonts w:hint="cs"/>
          <w:rtl/>
        </w:rPr>
        <w:t>ר'</w:t>
      </w:r>
      <w:r>
        <w:rPr>
          <w:rFonts w:hint="cs"/>
          <w:b/>
          <w:bCs/>
          <w:rtl/>
        </w:rPr>
        <w:t xml:space="preserve"> </w:t>
      </w:r>
      <w:hyperlink r:id="rId30" w:history="1">
        <w:r w:rsidRPr="00D35BBF">
          <w:rPr>
            <w:rStyle w:val="Hyperlink"/>
            <w:rFonts w:hint="eastAsia"/>
            <w:rtl/>
          </w:rPr>
          <w:t>ע</w:t>
        </w:r>
        <w:r w:rsidRPr="00D35BBF">
          <w:rPr>
            <w:rStyle w:val="Hyperlink"/>
            <w:rtl/>
          </w:rPr>
          <w:t>"פ 9482/09</w:t>
        </w:r>
      </w:hyperlink>
      <w:r>
        <w:t xml:space="preserve"> </w:t>
      </w:r>
      <w:r>
        <w:rPr>
          <w:rFonts w:hint="cs"/>
          <w:rtl/>
        </w:rPr>
        <w:t>‏</w:t>
      </w:r>
      <w:r>
        <w:rPr>
          <w:rFonts w:hint="cs"/>
          <w:b/>
          <w:bCs/>
          <w:rtl/>
        </w:rPr>
        <w:t>שמעון</w:t>
      </w:r>
      <w:r>
        <w:rPr>
          <w:rFonts w:hint="cs"/>
          <w:b/>
          <w:bCs/>
        </w:rPr>
        <w:t xml:space="preserve"> </w:t>
      </w:r>
      <w:r>
        <w:rPr>
          <w:rFonts w:hint="cs"/>
          <w:b/>
          <w:bCs/>
          <w:rtl/>
        </w:rPr>
        <w:t>ביטון</w:t>
      </w:r>
      <w:r>
        <w:rPr>
          <w:rFonts w:hint="cs"/>
          <w:b/>
          <w:bCs/>
        </w:rPr>
        <w:t xml:space="preserve"> </w:t>
      </w:r>
      <w:r>
        <w:rPr>
          <w:rFonts w:hint="cs"/>
          <w:b/>
          <w:bCs/>
          <w:rtl/>
        </w:rPr>
        <w:t>נגד מדינת ישראל</w:t>
      </w:r>
      <w:r>
        <w:rPr>
          <w:rFonts w:hint="cs"/>
          <w:rtl/>
        </w:rPr>
        <w:t xml:space="preserve"> ([טרם פורסם] מיום 24.7.11) </w:t>
      </w:r>
    </w:p>
    <w:p w14:paraId="36F9F27F" w14:textId="77777777" w:rsidR="00956D80" w:rsidRDefault="00956D80">
      <w:pPr>
        <w:pStyle w:val="ListParagraph"/>
        <w:autoSpaceDE w:val="0"/>
        <w:autoSpaceDN w:val="0"/>
        <w:adjustRightInd w:val="0"/>
        <w:spacing w:before="100" w:after="100"/>
        <w:ind w:left="1417" w:right="1134"/>
        <w:jc w:val="both"/>
        <w:rPr>
          <w:b/>
          <w:bCs/>
          <w:rtl/>
        </w:rPr>
      </w:pPr>
    </w:p>
    <w:p w14:paraId="2DD8CF46" w14:textId="77777777" w:rsidR="00956D80" w:rsidRDefault="00D35BBF">
      <w:pPr>
        <w:pStyle w:val="ListParagraph"/>
        <w:numPr>
          <w:ilvl w:val="0"/>
          <w:numId w:val="1"/>
        </w:numPr>
        <w:spacing w:line="360" w:lineRule="auto"/>
        <w:jc w:val="both"/>
        <w:rPr>
          <w:b/>
          <w:bCs/>
        </w:rPr>
      </w:pPr>
      <w:r>
        <w:rPr>
          <w:rFonts w:ascii="Arial" w:hAnsi="Arial" w:hint="cs"/>
          <w:rtl/>
        </w:rPr>
        <w:t>יפים לעניין זה אף דברי בית המשפט המחוזי ב</w:t>
      </w:r>
      <w:hyperlink r:id="rId31" w:history="1">
        <w:r w:rsidRPr="00D35BBF">
          <w:rPr>
            <w:rStyle w:val="Hyperlink"/>
            <w:rFonts w:ascii="Arial" w:hAnsi="Arial" w:hint="eastAsia"/>
            <w:rtl/>
          </w:rPr>
          <w:t>עפ</w:t>
        </w:r>
        <w:r w:rsidRPr="00D35BBF">
          <w:rPr>
            <w:rStyle w:val="Hyperlink"/>
            <w:rFonts w:ascii="Arial" w:hAnsi="Arial"/>
            <w:rtl/>
          </w:rPr>
          <w:t>"ג (ת"א) 42358-10-14</w:t>
        </w:r>
      </w:hyperlink>
      <w:r>
        <w:rPr>
          <w:rFonts w:ascii="Arial" w:hAnsi="Arial" w:hint="cs"/>
          <w:rtl/>
        </w:rPr>
        <w:t xml:space="preserve"> </w:t>
      </w:r>
      <w:r>
        <w:rPr>
          <w:rFonts w:ascii="Arial" w:hAnsi="Arial" w:hint="cs"/>
          <w:b/>
          <w:bCs/>
          <w:rtl/>
        </w:rPr>
        <w:t xml:space="preserve">גיא נגד מדינת ישראל </w:t>
      </w:r>
      <w:r>
        <w:rPr>
          <w:rFonts w:ascii="Arial" w:hAnsi="Arial" w:hint="cs"/>
          <w:rtl/>
        </w:rPr>
        <w:t>(מיום</w:t>
      </w:r>
      <w:r>
        <w:rPr>
          <w:rFonts w:ascii="Arial" w:hAnsi="Arial" w:hint="cs"/>
          <w:b/>
          <w:bCs/>
          <w:rtl/>
        </w:rPr>
        <w:t xml:space="preserve"> </w:t>
      </w:r>
      <w:r>
        <w:rPr>
          <w:rFonts w:ascii="Arial" w:hAnsi="Arial" w:hint="cs"/>
          <w:rtl/>
        </w:rPr>
        <w:t>18.2.15)</w:t>
      </w:r>
      <w:r>
        <w:rPr>
          <w:rFonts w:ascii="Arial" w:hAnsi="Arial" w:hint="cs"/>
          <w:b/>
          <w:bCs/>
          <w:rtl/>
        </w:rPr>
        <w:t>.</w:t>
      </w:r>
    </w:p>
    <w:p w14:paraId="719481CD" w14:textId="77777777" w:rsidR="00956D80" w:rsidRDefault="00956D80">
      <w:pPr>
        <w:pStyle w:val="ListParagraph"/>
        <w:spacing w:line="360" w:lineRule="auto"/>
        <w:jc w:val="both"/>
        <w:rPr>
          <w:b/>
          <w:bCs/>
          <w:sz w:val="12"/>
          <w:szCs w:val="12"/>
        </w:rPr>
      </w:pPr>
    </w:p>
    <w:p w14:paraId="6944795A" w14:textId="77777777" w:rsidR="00956D80" w:rsidRDefault="00D35BBF">
      <w:pPr>
        <w:pStyle w:val="ListParagraph"/>
        <w:autoSpaceDE w:val="0"/>
        <w:autoSpaceDN w:val="0"/>
        <w:adjustRightInd w:val="0"/>
        <w:spacing w:before="100" w:after="100"/>
        <w:ind w:left="1417" w:right="1134"/>
        <w:jc w:val="both"/>
        <w:rPr>
          <w:b/>
          <w:bCs/>
          <w:rtl/>
        </w:rPr>
      </w:pPr>
      <w:r>
        <w:rPr>
          <w:rFonts w:hint="cs"/>
          <w:b/>
          <w:bCs/>
          <w:rtl/>
        </w:rPr>
        <w:t>"ובאשר למשמעות העבירה – לצערנו, מזדמן לנו מידי יום ביומו להרחיב את הדיבור על תופעת מעבדות הסם מזווית הראיה שלנו, קרי של ערכאת ערעור שהעיסוק בתחום הפלילי הוא לחם חוקה. 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 את דברנו בנושא זה אמרנו למשל ב</w:t>
      </w:r>
      <w:hyperlink r:id="rId32" w:history="1">
        <w:r w:rsidR="00392826" w:rsidRPr="00392826">
          <w:rPr>
            <w:b/>
            <w:bCs/>
            <w:color w:val="0000FF"/>
            <w:u w:val="single"/>
            <w:rtl/>
          </w:rPr>
          <w:t>ע"פ 46738-09-14</w:t>
        </w:r>
      </w:hyperlink>
      <w:r>
        <w:rPr>
          <w:rFonts w:hint="cs"/>
          <w:b/>
          <w:bCs/>
          <w:rtl/>
        </w:rPr>
        <w:t xml:space="preserve"> שניתן ביום 31.12.14, שם הרחבנו את הדיבור על משמעות גידול הסם והצורך להילחם בו באמצעות ענישה מרתיעה. דברים שאמרנו שם נכונים גם במקרה הנוכחי. המגדלים והמפיצים מצויים באותו מקום עצמו מבחינה ערכית, מעשית, שלא לדבר על חוקית, שהרי תקרת הענישה זהה."</w:t>
      </w:r>
      <w:r>
        <w:rPr>
          <w:rFonts w:hint="cs"/>
          <w:rtl/>
        </w:rPr>
        <w:t xml:space="preserve"> (שם בפסקה 5)</w:t>
      </w:r>
    </w:p>
    <w:p w14:paraId="02F0507C" w14:textId="77777777" w:rsidR="00956D80" w:rsidRDefault="00956D80">
      <w:pPr>
        <w:pStyle w:val="ListParagraph"/>
        <w:autoSpaceDE w:val="0"/>
        <w:autoSpaceDN w:val="0"/>
        <w:adjustRightInd w:val="0"/>
        <w:spacing w:before="100" w:after="100"/>
        <w:ind w:left="1417" w:right="1134"/>
        <w:jc w:val="both"/>
        <w:rPr>
          <w:b/>
          <w:bCs/>
          <w:sz w:val="12"/>
          <w:szCs w:val="12"/>
        </w:rPr>
      </w:pPr>
    </w:p>
    <w:p w14:paraId="584C4FE8" w14:textId="77777777" w:rsidR="00956D80" w:rsidRDefault="00956D80">
      <w:pPr>
        <w:pStyle w:val="ListParagraph"/>
        <w:autoSpaceDE w:val="0"/>
        <w:autoSpaceDN w:val="0"/>
        <w:adjustRightInd w:val="0"/>
        <w:spacing w:before="100" w:after="100"/>
        <w:ind w:left="1417" w:right="1134"/>
        <w:jc w:val="both"/>
        <w:rPr>
          <w:b/>
          <w:bCs/>
          <w:sz w:val="12"/>
          <w:szCs w:val="12"/>
          <w:rtl/>
        </w:rPr>
      </w:pPr>
    </w:p>
    <w:p w14:paraId="02A24D3B" w14:textId="77777777" w:rsidR="00956D80" w:rsidRDefault="00D35BBF">
      <w:pPr>
        <w:pStyle w:val="ListParagraph"/>
        <w:numPr>
          <w:ilvl w:val="0"/>
          <w:numId w:val="1"/>
        </w:numPr>
        <w:spacing w:line="360" w:lineRule="auto"/>
        <w:jc w:val="both"/>
      </w:pPr>
      <w:r>
        <w:rPr>
          <w:rFonts w:ascii="Arial" w:hAnsi="Arial" w:hint="cs"/>
          <w:rtl/>
        </w:rPr>
        <w:t>לקולא אשקול את נסיבותיו האישיות של הנאשם, הנאשם יליד 1979 נשוי ואב לארבעה ילדים, הוא לקח אחריות מלאה למעשיו עוד בשלב החקירה ושיתף פעולה עם הרשויות באופן מלא. עוד אשקול את שהותו של הנאשם במעצר במשך למעלה מחודש ובהמשך שהה במעצר בית מלא עד למועד מתן גזר הדין. הנאשם ביצע את המעשה על רקע מצוקה כלכלית קשה, הביע חרטה מלאה על המעשה</w:t>
      </w:r>
      <w:r>
        <w:rPr>
          <w:rFonts w:hint="cs"/>
          <w:rtl/>
        </w:rPr>
        <w:t xml:space="preserve"> ונראה כי ההליך הפלילי הציב לו גבולות ברורים.</w:t>
      </w:r>
    </w:p>
    <w:p w14:paraId="277981AA" w14:textId="77777777" w:rsidR="00956D80" w:rsidRDefault="00956D80">
      <w:pPr>
        <w:pStyle w:val="ListParagraph"/>
        <w:spacing w:line="360" w:lineRule="auto"/>
        <w:jc w:val="both"/>
        <w:rPr>
          <w:sz w:val="12"/>
          <w:szCs w:val="12"/>
        </w:rPr>
      </w:pPr>
    </w:p>
    <w:p w14:paraId="7B701732" w14:textId="77777777" w:rsidR="00956D80" w:rsidRDefault="00D35BBF">
      <w:pPr>
        <w:pStyle w:val="ListParagraph"/>
        <w:numPr>
          <w:ilvl w:val="0"/>
          <w:numId w:val="1"/>
        </w:numPr>
        <w:spacing w:line="360" w:lineRule="auto"/>
        <w:jc w:val="both"/>
      </w:pPr>
      <w:r>
        <w:rPr>
          <w:rFonts w:hint="cs"/>
          <w:rtl/>
        </w:rPr>
        <w:t>אשר לעברו הפלילי של הנאשם, הנאשם צבר לחובתו ארבע הרשעות קודמות בעבירות רכוש ואלימות בין השנים 1997-1998 עת היה על גבול הקטינות. מאז הנאשם לא עבר עבירות נוספות ועל כן לא נתתי משקל משמעותי לעברו הפלילי.</w:t>
      </w:r>
    </w:p>
    <w:p w14:paraId="1636D21A" w14:textId="77777777" w:rsidR="00956D80" w:rsidRDefault="00956D80">
      <w:pPr>
        <w:pStyle w:val="ListParagraph"/>
        <w:spacing w:line="360" w:lineRule="auto"/>
        <w:jc w:val="both"/>
        <w:rPr>
          <w:sz w:val="12"/>
          <w:szCs w:val="12"/>
        </w:rPr>
      </w:pPr>
    </w:p>
    <w:p w14:paraId="5026E984" w14:textId="77777777" w:rsidR="00956D80" w:rsidRDefault="00D35BBF">
      <w:pPr>
        <w:pStyle w:val="ListParagraph"/>
        <w:numPr>
          <w:ilvl w:val="0"/>
          <w:numId w:val="1"/>
        </w:numPr>
        <w:spacing w:line="360" w:lineRule="auto"/>
        <w:jc w:val="both"/>
      </w:pPr>
      <w:r>
        <w:rPr>
          <w:rStyle w:val="normal-h"/>
          <w:rFonts w:hint="cs"/>
          <w:rtl/>
        </w:rPr>
        <w:t>לאחר ששקלתי את הנסיבות לחומרה ולקולא ובשים לב להלכה כי יש לתת</w:t>
      </w:r>
      <w:r>
        <w:rPr>
          <w:rFonts w:hint="cs"/>
        </w:rPr>
        <w:t xml:space="preserve"> </w:t>
      </w:r>
      <w:r>
        <w:rPr>
          <w:rFonts w:hint="cs"/>
          <w:rtl/>
        </w:rPr>
        <w:t>משקל</w:t>
      </w:r>
      <w:r>
        <w:rPr>
          <w:rFonts w:hint="cs"/>
        </w:rPr>
        <w:t xml:space="preserve"> </w:t>
      </w:r>
      <w:r>
        <w:rPr>
          <w:rFonts w:hint="cs"/>
          <w:rtl/>
        </w:rPr>
        <w:t>ממשי</w:t>
      </w:r>
      <w:r>
        <w:rPr>
          <w:rFonts w:hint="cs"/>
        </w:rPr>
        <w:t xml:space="preserve"> </w:t>
      </w:r>
      <w:r>
        <w:rPr>
          <w:rFonts w:hint="cs"/>
          <w:rtl/>
        </w:rPr>
        <w:t>לשיקול</w:t>
      </w:r>
      <w:r>
        <w:rPr>
          <w:rFonts w:hint="cs"/>
        </w:rPr>
        <w:t xml:space="preserve"> </w:t>
      </w:r>
      <w:r>
        <w:rPr>
          <w:rFonts w:hint="cs"/>
          <w:rtl/>
        </w:rPr>
        <w:t>ההרתעתי</w:t>
      </w:r>
      <w:r>
        <w:rPr>
          <w:rFonts w:hint="cs"/>
        </w:rPr>
        <w:t xml:space="preserve"> </w:t>
      </w:r>
      <w:r>
        <w:rPr>
          <w:rFonts w:hint="cs"/>
          <w:rtl/>
        </w:rPr>
        <w:t>אל</w:t>
      </w:r>
      <w:r>
        <w:rPr>
          <w:rFonts w:hint="cs"/>
        </w:rPr>
        <w:t xml:space="preserve"> </w:t>
      </w:r>
      <w:r>
        <w:rPr>
          <w:rFonts w:hint="cs"/>
          <w:rtl/>
        </w:rPr>
        <w:t>מול</w:t>
      </w:r>
      <w:r>
        <w:rPr>
          <w:rFonts w:hint="cs"/>
        </w:rPr>
        <w:t xml:space="preserve"> </w:t>
      </w:r>
      <w:r>
        <w:rPr>
          <w:rFonts w:hint="cs"/>
          <w:rtl/>
        </w:rPr>
        <w:t>השיקולים</w:t>
      </w:r>
      <w:r>
        <w:rPr>
          <w:rFonts w:hint="cs"/>
        </w:rPr>
        <w:t xml:space="preserve"> </w:t>
      </w:r>
      <w:r>
        <w:rPr>
          <w:rFonts w:hint="cs"/>
          <w:rtl/>
        </w:rPr>
        <w:t>האישיים,</w:t>
      </w:r>
      <w:r>
        <w:rPr>
          <w:rFonts w:hint="cs"/>
        </w:rPr>
        <w:t xml:space="preserve"> </w:t>
      </w:r>
      <w:r>
        <w:rPr>
          <w:rFonts w:hint="cs"/>
          <w:rtl/>
        </w:rPr>
        <w:t>אשר</w:t>
      </w:r>
      <w:r>
        <w:rPr>
          <w:rFonts w:hint="cs"/>
        </w:rPr>
        <w:t xml:space="preserve"> </w:t>
      </w:r>
      <w:r>
        <w:rPr>
          <w:rFonts w:hint="cs"/>
          <w:rtl/>
        </w:rPr>
        <w:t>משקלם</w:t>
      </w:r>
      <w:r>
        <w:rPr>
          <w:rFonts w:hint="cs"/>
        </w:rPr>
        <w:t xml:space="preserve"> </w:t>
      </w:r>
      <w:r>
        <w:rPr>
          <w:rFonts w:hint="cs"/>
          <w:rtl/>
        </w:rPr>
        <w:t>יהיה</w:t>
      </w:r>
      <w:r>
        <w:rPr>
          <w:rFonts w:hint="cs"/>
        </w:rPr>
        <w:t xml:space="preserve"> </w:t>
      </w:r>
      <w:r>
        <w:rPr>
          <w:rFonts w:hint="cs"/>
          <w:rtl/>
        </w:rPr>
        <w:t>נמוך</w:t>
      </w:r>
      <w:r>
        <w:rPr>
          <w:rFonts w:hint="cs"/>
        </w:rPr>
        <w:t xml:space="preserve"> </w:t>
      </w:r>
      <w:r>
        <w:rPr>
          <w:rFonts w:hint="cs"/>
          <w:rtl/>
        </w:rPr>
        <w:t>יותר</w:t>
      </w:r>
      <w:r>
        <w:rPr>
          <w:rFonts w:hint="cs"/>
        </w:rPr>
        <w:t xml:space="preserve"> </w:t>
      </w:r>
      <w:r>
        <w:rPr>
          <w:rFonts w:hint="cs"/>
          <w:rtl/>
        </w:rPr>
        <w:t>במקרים</w:t>
      </w:r>
      <w:r>
        <w:rPr>
          <w:rFonts w:hint="cs"/>
        </w:rPr>
        <w:t xml:space="preserve"> </w:t>
      </w:r>
      <w:r>
        <w:rPr>
          <w:rFonts w:hint="cs"/>
          <w:rtl/>
        </w:rPr>
        <w:t>כגון</w:t>
      </w:r>
      <w:r>
        <w:rPr>
          <w:rFonts w:hint="cs"/>
        </w:rPr>
        <w:t xml:space="preserve"> </w:t>
      </w:r>
      <w:r>
        <w:rPr>
          <w:rFonts w:hint="cs"/>
          <w:rtl/>
        </w:rPr>
        <w:t>אלה</w:t>
      </w:r>
      <w:r>
        <w:t xml:space="preserve"> </w:t>
      </w:r>
      <w:r>
        <w:rPr>
          <w:rFonts w:hint="cs"/>
          <w:rtl/>
        </w:rPr>
        <w:t>החלטתי להטיל על הנאשם את העונשים כדלהלן:</w:t>
      </w:r>
    </w:p>
    <w:p w14:paraId="7FD93E06" w14:textId="77777777" w:rsidR="00956D80" w:rsidRDefault="00956D80">
      <w:pPr>
        <w:pStyle w:val="ListParagraph"/>
        <w:spacing w:line="360" w:lineRule="auto"/>
        <w:jc w:val="both"/>
        <w:rPr>
          <w:sz w:val="12"/>
          <w:szCs w:val="12"/>
        </w:rPr>
      </w:pPr>
    </w:p>
    <w:p w14:paraId="4C2D5A8C" w14:textId="77777777" w:rsidR="00956D80" w:rsidRDefault="00D35BBF">
      <w:pPr>
        <w:pStyle w:val="ListParagraph"/>
        <w:numPr>
          <w:ilvl w:val="1"/>
          <w:numId w:val="1"/>
        </w:numPr>
        <w:spacing w:line="360" w:lineRule="auto"/>
        <w:jc w:val="both"/>
      </w:pPr>
      <w:r>
        <w:rPr>
          <w:rStyle w:val="normal-h"/>
          <w:rFonts w:hint="cs"/>
          <w:rtl/>
        </w:rPr>
        <w:t xml:space="preserve"> 10 חודשי מאסר בניכוי ימי מעצרו.</w:t>
      </w:r>
    </w:p>
    <w:p w14:paraId="02F79C22" w14:textId="77777777" w:rsidR="00956D80" w:rsidRDefault="00956D80">
      <w:pPr>
        <w:pStyle w:val="ListParagraph"/>
        <w:spacing w:line="360" w:lineRule="auto"/>
        <w:ind w:left="1440"/>
        <w:jc w:val="both"/>
        <w:rPr>
          <w:sz w:val="12"/>
          <w:szCs w:val="12"/>
        </w:rPr>
      </w:pPr>
    </w:p>
    <w:p w14:paraId="702D6DB6" w14:textId="77777777" w:rsidR="00956D80" w:rsidRDefault="00D35BBF">
      <w:pPr>
        <w:pStyle w:val="ListParagraph"/>
        <w:numPr>
          <w:ilvl w:val="1"/>
          <w:numId w:val="1"/>
        </w:numPr>
        <w:spacing w:line="360" w:lineRule="auto"/>
        <w:jc w:val="both"/>
        <w:rPr>
          <w:rStyle w:val="normal-h"/>
        </w:rPr>
      </w:pPr>
      <w:r>
        <w:rPr>
          <w:rStyle w:val="normal-h"/>
          <w:rFonts w:hint="cs"/>
          <w:rtl/>
        </w:rPr>
        <w:t>8 חודשי מאסר. הנאשם לא ירצה עונש אלא אם יעבור בתוך שנתיים מיום שחרורו מהמאסר, על כל עבירת סמים מסוג פשע.</w:t>
      </w:r>
    </w:p>
    <w:p w14:paraId="19D6C327" w14:textId="77777777" w:rsidR="00956D80" w:rsidRDefault="00956D80">
      <w:pPr>
        <w:pStyle w:val="ListParagraph"/>
        <w:spacing w:line="360" w:lineRule="auto"/>
        <w:ind w:left="1440"/>
        <w:jc w:val="both"/>
        <w:rPr>
          <w:rStyle w:val="normal-h"/>
          <w:sz w:val="12"/>
          <w:szCs w:val="12"/>
        </w:rPr>
      </w:pPr>
    </w:p>
    <w:p w14:paraId="5F096617" w14:textId="77777777" w:rsidR="00956D80" w:rsidRDefault="00D35BBF">
      <w:pPr>
        <w:pStyle w:val="ListParagraph"/>
        <w:numPr>
          <w:ilvl w:val="1"/>
          <w:numId w:val="1"/>
        </w:numPr>
        <w:spacing w:line="360" w:lineRule="auto"/>
        <w:jc w:val="both"/>
      </w:pPr>
      <w:r>
        <w:rPr>
          <w:rStyle w:val="normal-h"/>
          <w:rFonts w:hint="cs"/>
          <w:rtl/>
        </w:rPr>
        <w:t xml:space="preserve">3 חודשי מאסר. הנאשם לא ירצה עונש, אלא אם יעבור בתוך שנתיים מיום שחרורו מהמאסר, כל עבירת סמים מסוג עוון. </w:t>
      </w:r>
    </w:p>
    <w:p w14:paraId="069E5FAB" w14:textId="77777777" w:rsidR="00956D80" w:rsidRDefault="00956D80">
      <w:pPr>
        <w:pStyle w:val="ListParagraph"/>
        <w:spacing w:line="360" w:lineRule="auto"/>
        <w:ind w:left="1440"/>
        <w:jc w:val="both"/>
        <w:rPr>
          <w:sz w:val="12"/>
          <w:szCs w:val="12"/>
        </w:rPr>
      </w:pPr>
    </w:p>
    <w:p w14:paraId="04C8D866" w14:textId="77777777" w:rsidR="00956D80" w:rsidRDefault="00D35BBF">
      <w:pPr>
        <w:pStyle w:val="ListParagraph"/>
        <w:numPr>
          <w:ilvl w:val="1"/>
          <w:numId w:val="1"/>
        </w:numPr>
        <w:spacing w:line="360" w:lineRule="auto"/>
        <w:jc w:val="both"/>
      </w:pPr>
      <w:r>
        <w:rPr>
          <w:rFonts w:hint="cs"/>
          <w:rtl/>
        </w:rPr>
        <w:t>ניתן צו להשמדת המוצגים.</w:t>
      </w:r>
    </w:p>
    <w:p w14:paraId="28227A27" w14:textId="77777777" w:rsidR="00956D80" w:rsidRDefault="00956D80">
      <w:pPr>
        <w:spacing w:line="360" w:lineRule="auto"/>
        <w:jc w:val="both"/>
        <w:rPr>
          <w:b/>
          <w:bCs/>
          <w:rtl/>
        </w:rPr>
      </w:pPr>
    </w:p>
    <w:p w14:paraId="4DB4ED61" w14:textId="77777777" w:rsidR="00956D80" w:rsidRDefault="00D35BBF">
      <w:pPr>
        <w:rPr>
          <w:b/>
          <w:bCs/>
          <w:rtl/>
        </w:rPr>
      </w:pPr>
      <w:r w:rsidRPr="00D35BBF">
        <w:rPr>
          <w:b/>
          <w:bCs/>
          <w:color w:val="FFFFFF"/>
          <w:sz w:val="2"/>
          <w:szCs w:val="2"/>
          <w:rtl/>
        </w:rPr>
        <w:t>5129371</w:t>
      </w:r>
      <w:r>
        <w:rPr>
          <w:rFonts w:hint="cs"/>
          <w:b/>
          <w:bCs/>
          <w:rtl/>
        </w:rPr>
        <w:t>זכות ערעור לבית המשפט המחוזי בירושלים תוך 45 יום מהיום.</w:t>
      </w:r>
    </w:p>
    <w:p w14:paraId="31037975" w14:textId="77777777" w:rsidR="00956D80" w:rsidRPr="00D35BBF" w:rsidRDefault="00D35BBF">
      <w:pPr>
        <w:rPr>
          <w:color w:val="FFFFFF"/>
          <w:sz w:val="2"/>
          <w:szCs w:val="2"/>
          <w:rtl/>
        </w:rPr>
      </w:pPr>
      <w:r w:rsidRPr="00D35BBF">
        <w:rPr>
          <w:color w:val="FFFFFF"/>
          <w:sz w:val="2"/>
          <w:szCs w:val="2"/>
          <w:rtl/>
        </w:rPr>
        <w:t>54678313</w:t>
      </w:r>
    </w:p>
    <w:p w14:paraId="6D574176" w14:textId="77777777" w:rsidR="00956D80" w:rsidRDefault="00D35BBF">
      <w:pPr>
        <w:jc w:val="center"/>
      </w:pPr>
      <w:r>
        <w:rPr>
          <w:rFonts w:ascii="Arial" w:hAnsi="Arial"/>
          <w:rtl/>
        </w:rPr>
        <w:t xml:space="preserve">ניתן היום,  ו' אדר א' תשע"ו, 15 פברואר 2016,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774267" w14:textId="77777777" w:rsidR="00956D80" w:rsidRDefault="00956D80">
      <w:pPr>
        <w:jc w:val="center"/>
        <w:rPr>
          <w:rFonts w:ascii="Arial" w:hAnsi="Arial" w:cs="FrankRuehl"/>
          <w:sz w:val="28"/>
          <w:szCs w:val="28"/>
          <w:rtl/>
        </w:rPr>
      </w:pPr>
    </w:p>
    <w:p w14:paraId="453B510B" w14:textId="77777777" w:rsidR="00956D80" w:rsidRDefault="00956D80">
      <w:pPr>
        <w:rPr>
          <w:rFonts w:cs="FrankRuehl"/>
          <w:sz w:val="28"/>
          <w:szCs w:val="28"/>
          <w:rtl/>
        </w:rPr>
      </w:pPr>
    </w:p>
    <w:p w14:paraId="0FA0F4DB" w14:textId="77777777" w:rsidR="00956D80" w:rsidRDefault="00956D80">
      <w:pPr>
        <w:pStyle w:val="a3"/>
        <w:jc w:val="center"/>
        <w:rPr>
          <w:rtl/>
        </w:rPr>
      </w:pPr>
    </w:p>
    <w:p w14:paraId="2CDE3194" w14:textId="77777777" w:rsidR="00D35BBF" w:rsidRPr="00D35BBF" w:rsidRDefault="00D35BBF" w:rsidP="00D35BBF">
      <w:pPr>
        <w:keepNext/>
        <w:rPr>
          <w:rFonts w:ascii="David" w:hAnsi="David"/>
          <w:color w:val="000000"/>
          <w:sz w:val="22"/>
          <w:szCs w:val="22"/>
          <w:rtl/>
        </w:rPr>
      </w:pPr>
      <w:r w:rsidRPr="00D35BBF">
        <w:rPr>
          <w:rFonts w:ascii="David" w:hAnsi="David"/>
          <w:color w:val="000000"/>
          <w:sz w:val="22"/>
          <w:szCs w:val="22"/>
          <w:rtl/>
        </w:rPr>
        <w:t>חנה מרים לומפ 54678313</w:t>
      </w:r>
    </w:p>
    <w:p w14:paraId="6320C132" w14:textId="77777777" w:rsidR="00D35BBF" w:rsidRDefault="00D35BBF" w:rsidP="00D35BBF">
      <w:r w:rsidRPr="00D35BBF">
        <w:rPr>
          <w:color w:val="000000"/>
          <w:rtl/>
        </w:rPr>
        <w:t>נוסח מסמך זה כפוף לשינויי ניסוח ועריכה</w:t>
      </w:r>
    </w:p>
    <w:p w14:paraId="7AA09179" w14:textId="77777777" w:rsidR="00D35BBF" w:rsidRDefault="00D35BBF" w:rsidP="00D35BBF">
      <w:pPr>
        <w:rPr>
          <w:rtl/>
        </w:rPr>
      </w:pPr>
    </w:p>
    <w:p w14:paraId="7CF9C7E3" w14:textId="77777777" w:rsidR="00D35BBF" w:rsidRDefault="00D35BBF" w:rsidP="00D35BBF">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392826">
        <w:rPr>
          <w:rFonts w:hint="cs"/>
          <w:color w:val="0000FF"/>
          <w:u w:val="single"/>
          <w:rtl/>
        </w:rPr>
        <w:t xml:space="preserve"> </w:t>
      </w:r>
    </w:p>
    <w:p w14:paraId="15765644" w14:textId="77777777" w:rsidR="00956D80" w:rsidRPr="00D35BBF" w:rsidRDefault="00956D80" w:rsidP="00D35BBF">
      <w:pPr>
        <w:jc w:val="center"/>
        <w:rPr>
          <w:color w:val="0000FF"/>
          <w:u w:val="single"/>
        </w:rPr>
      </w:pPr>
    </w:p>
    <w:sectPr w:rsidR="00956D80" w:rsidRPr="00D35BBF" w:rsidSect="00D35BBF">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97098" w14:textId="77777777" w:rsidR="003B256F" w:rsidRDefault="003B256F">
      <w:r>
        <w:separator/>
      </w:r>
    </w:p>
  </w:endnote>
  <w:endnote w:type="continuationSeparator" w:id="0">
    <w:p w14:paraId="6A87B80F" w14:textId="77777777" w:rsidR="003B256F" w:rsidRDefault="003B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0D716" w14:textId="77777777" w:rsidR="008542B2" w:rsidRDefault="008542B2" w:rsidP="00D35B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E8416F" w14:textId="77777777" w:rsidR="008542B2" w:rsidRPr="00D35BBF" w:rsidRDefault="008542B2" w:rsidP="00D35BBF">
    <w:pPr>
      <w:pStyle w:val="a4"/>
      <w:pBdr>
        <w:top w:val="single" w:sz="4" w:space="1" w:color="auto"/>
        <w:between w:val="single" w:sz="4" w:space="0" w:color="auto"/>
      </w:pBdr>
      <w:spacing w:after="60"/>
      <w:jc w:val="center"/>
      <w:rPr>
        <w:rFonts w:ascii="FrankRuehl" w:hAnsi="FrankRuehl" w:cs="FrankRuehl"/>
        <w:color w:val="000000"/>
      </w:rPr>
    </w:pPr>
    <w:r w:rsidRPr="00D35B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B043C" w14:textId="77777777" w:rsidR="008542B2" w:rsidRDefault="008542B2" w:rsidP="00D35B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3B3B">
      <w:rPr>
        <w:rFonts w:ascii="FrankRuehl" w:hAnsi="FrankRuehl" w:cs="FrankRuehl"/>
        <w:noProof/>
        <w:rtl/>
      </w:rPr>
      <w:t>2</w:t>
    </w:r>
    <w:r>
      <w:rPr>
        <w:rFonts w:ascii="FrankRuehl" w:hAnsi="FrankRuehl" w:cs="FrankRuehl"/>
        <w:rtl/>
      </w:rPr>
      <w:fldChar w:fldCharType="end"/>
    </w:r>
  </w:p>
  <w:p w14:paraId="484E6962" w14:textId="77777777" w:rsidR="008542B2" w:rsidRPr="00D35BBF" w:rsidRDefault="008542B2" w:rsidP="00D35BBF">
    <w:pPr>
      <w:pStyle w:val="a4"/>
      <w:pBdr>
        <w:top w:val="single" w:sz="4" w:space="1" w:color="auto"/>
        <w:between w:val="single" w:sz="4" w:space="0" w:color="auto"/>
      </w:pBdr>
      <w:spacing w:after="60"/>
      <w:jc w:val="center"/>
      <w:rPr>
        <w:rFonts w:ascii="FrankRuehl" w:hAnsi="FrankRuehl" w:cs="FrankRuehl"/>
        <w:color w:val="000000"/>
      </w:rPr>
    </w:pPr>
    <w:r w:rsidRPr="00D35BBF">
      <w:rPr>
        <w:rFonts w:ascii="FrankRuehl" w:hAnsi="FrankRuehl" w:cs="FrankRuehl"/>
        <w:color w:val="000000"/>
      </w:rPr>
      <w:pict w14:anchorId="037D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69F63" w14:textId="77777777" w:rsidR="003B256F" w:rsidRDefault="003B256F">
      <w:r>
        <w:separator/>
      </w:r>
    </w:p>
  </w:footnote>
  <w:footnote w:type="continuationSeparator" w:id="0">
    <w:p w14:paraId="5D753EB8" w14:textId="77777777" w:rsidR="003B256F" w:rsidRDefault="003B2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82E0E" w14:textId="77777777" w:rsidR="008542B2" w:rsidRPr="00D35BBF" w:rsidRDefault="008542B2" w:rsidP="00D35B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36709-11-15</w:t>
    </w:r>
    <w:r>
      <w:rPr>
        <w:rFonts w:ascii="David" w:hAnsi="David"/>
        <w:color w:val="000000"/>
        <w:sz w:val="22"/>
        <w:szCs w:val="22"/>
        <w:rtl/>
      </w:rPr>
      <w:tab/>
      <w:t xml:space="preserve"> מדינת ישראל נ' יעקב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DCE" w14:textId="77777777" w:rsidR="008542B2" w:rsidRPr="00D35BBF" w:rsidRDefault="008542B2" w:rsidP="00D35B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36709-11-15</w:t>
    </w:r>
    <w:r>
      <w:rPr>
        <w:rFonts w:ascii="David" w:hAnsi="David"/>
        <w:color w:val="000000"/>
        <w:sz w:val="22"/>
        <w:szCs w:val="22"/>
        <w:rtl/>
      </w:rPr>
      <w:tab/>
      <w:t xml:space="preserve"> מדינת ישראל נ' יעקב סויסה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01CCE"/>
    <w:multiLevelType w:val="hybridMultilevel"/>
    <w:tmpl w:val="6FBA8B64"/>
    <w:lvl w:ilvl="0" w:tplc="620251CA">
      <w:start w:val="1"/>
      <w:numFmt w:val="decimal"/>
      <w:lvlText w:val="%1."/>
      <w:lvlJc w:val="left"/>
      <w:pPr>
        <w:ind w:left="720" w:hanging="360"/>
      </w:pPr>
      <w:rPr>
        <w:b w:val="0"/>
        <w:bCs w:val="0"/>
        <w:sz w:val="24"/>
        <w:szCs w:val="24"/>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54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6D80"/>
    <w:rsid w:val="00083B3B"/>
    <w:rsid w:val="00365A1C"/>
    <w:rsid w:val="00392826"/>
    <w:rsid w:val="003B256F"/>
    <w:rsid w:val="00535DC0"/>
    <w:rsid w:val="008542B2"/>
    <w:rsid w:val="00956D80"/>
    <w:rsid w:val="009A5E61"/>
    <w:rsid w:val="00A263CD"/>
    <w:rsid w:val="00D35BBF"/>
    <w:rsid w:val="00D81E09"/>
    <w:rsid w:val="00D87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358D13"/>
  <w15:chartTrackingRefBased/>
  <w15:docId w15:val="{9CF01761-9917-46CB-94CD-1160CA5A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D8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6D80"/>
    <w:pPr>
      <w:tabs>
        <w:tab w:val="center" w:pos="4153"/>
        <w:tab w:val="right" w:pos="8306"/>
      </w:tabs>
    </w:pPr>
  </w:style>
  <w:style w:type="paragraph" w:styleId="a4">
    <w:name w:val="footer"/>
    <w:basedOn w:val="a"/>
    <w:rsid w:val="00956D80"/>
    <w:pPr>
      <w:tabs>
        <w:tab w:val="center" w:pos="4153"/>
        <w:tab w:val="right" w:pos="8306"/>
      </w:tabs>
    </w:pPr>
  </w:style>
  <w:style w:type="character" w:styleId="a5">
    <w:name w:val="page number"/>
    <w:basedOn w:val="a0"/>
    <w:rsid w:val="00956D80"/>
  </w:style>
  <w:style w:type="paragraph" w:customStyle="1" w:styleId="ListParagraph">
    <w:name w:val="List Paragraph"/>
    <w:basedOn w:val="a"/>
    <w:rsid w:val="00956D80"/>
    <w:pPr>
      <w:ind w:left="720"/>
      <w:contextualSpacing/>
    </w:pPr>
  </w:style>
  <w:style w:type="character" w:styleId="Hyperlink">
    <w:name w:val="Hyperlink"/>
    <w:rsid w:val="00956D80"/>
    <w:rPr>
      <w:color w:val="0000FF"/>
      <w:u w:val="single"/>
    </w:rPr>
  </w:style>
  <w:style w:type="paragraph" w:customStyle="1" w:styleId="Ruller4">
    <w:name w:val="Ruller4"/>
    <w:basedOn w:val="a"/>
    <w:rsid w:val="00956D8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956D80"/>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normal-h">
    <w:name w:val="normal-h"/>
    <w:basedOn w:val="a0"/>
    <w:rsid w:val="0095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5726579" TargetMode="External"/><Relationship Id="rId26" Type="http://schemas.openxmlformats.org/officeDocument/2006/relationships/hyperlink" Target="http://www.nevo.co.il/case/20235191" TargetMode="External"/><Relationship Id="rId39" Type="http://schemas.openxmlformats.org/officeDocument/2006/relationships/theme" Target="theme/theme1.xml"/><Relationship Id="rId21" Type="http://schemas.openxmlformats.org/officeDocument/2006/relationships/hyperlink" Target="http://www.nevo.co.il/law/70301/40c"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5698919" TargetMode="External"/><Relationship Id="rId25" Type="http://schemas.openxmlformats.org/officeDocument/2006/relationships/hyperlink" Target="http://www.nevo.co.il/case/279179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585052" TargetMode="External"/><Relationship Id="rId20" Type="http://schemas.openxmlformats.org/officeDocument/2006/relationships/hyperlink" Target="http://www.nevo.co.il/case/5903534" TargetMode="External"/><Relationship Id="rId29" Type="http://schemas.openxmlformats.org/officeDocument/2006/relationships/hyperlink" Target="http://www.nevo.co.il/case/180690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case/17045282" TargetMode="External"/><Relationship Id="rId32" Type="http://schemas.openxmlformats.org/officeDocument/2006/relationships/hyperlink" Target="http://www.nevo.co.il/case/1804584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1237056"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6076151" TargetMode="External"/><Relationship Id="rId31" Type="http://schemas.openxmlformats.org/officeDocument/2006/relationships/hyperlink" Target="http://www.nevo.co.il/case/18119161"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045282" TargetMode="External"/><Relationship Id="rId30" Type="http://schemas.openxmlformats.org/officeDocument/2006/relationships/hyperlink" Target="http://www.nevo.co.il/case/5726579"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1959</Words>
  <Characters>9800</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11736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3145840</vt:i4>
      </vt:variant>
      <vt:variant>
        <vt:i4>75</vt:i4>
      </vt:variant>
      <vt:variant>
        <vt:i4>0</vt:i4>
      </vt:variant>
      <vt:variant>
        <vt:i4>5</vt:i4>
      </vt:variant>
      <vt:variant>
        <vt:lpwstr>http://www.nevo.co.il/case/18045843</vt:lpwstr>
      </vt:variant>
      <vt:variant>
        <vt:lpwstr/>
      </vt:variant>
      <vt:variant>
        <vt:i4>4128892</vt:i4>
      </vt:variant>
      <vt:variant>
        <vt:i4>72</vt:i4>
      </vt:variant>
      <vt:variant>
        <vt:i4>0</vt:i4>
      </vt:variant>
      <vt:variant>
        <vt:i4>5</vt:i4>
      </vt:variant>
      <vt:variant>
        <vt:lpwstr>http://www.nevo.co.il/case/18119161</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3997818</vt:i4>
      </vt:variant>
      <vt:variant>
        <vt:i4>66</vt:i4>
      </vt:variant>
      <vt:variant>
        <vt:i4>0</vt:i4>
      </vt:variant>
      <vt:variant>
        <vt:i4>5</vt:i4>
      </vt:variant>
      <vt:variant>
        <vt:lpwstr>http://www.nevo.co.il/case/18069059</vt:lpwstr>
      </vt:variant>
      <vt:variant>
        <vt:lpwstr/>
      </vt:variant>
      <vt:variant>
        <vt:i4>3211382</vt:i4>
      </vt:variant>
      <vt:variant>
        <vt:i4>63</vt:i4>
      </vt:variant>
      <vt:variant>
        <vt:i4>0</vt:i4>
      </vt:variant>
      <vt:variant>
        <vt:i4>5</vt:i4>
      </vt:variant>
      <vt:variant>
        <vt:lpwstr>http://www.nevo.co.il/case/11237056</vt:lpwstr>
      </vt:variant>
      <vt:variant>
        <vt:lpwstr/>
      </vt:variant>
      <vt:variant>
        <vt:i4>3932277</vt:i4>
      </vt:variant>
      <vt:variant>
        <vt:i4>60</vt:i4>
      </vt:variant>
      <vt:variant>
        <vt:i4>0</vt:i4>
      </vt:variant>
      <vt:variant>
        <vt:i4>5</vt:i4>
      </vt:variant>
      <vt:variant>
        <vt:lpwstr>http://www.nevo.co.il/case/17045282</vt:lpwstr>
      </vt:variant>
      <vt:variant>
        <vt:lpwstr/>
      </vt:variant>
      <vt:variant>
        <vt:i4>3932278</vt:i4>
      </vt:variant>
      <vt:variant>
        <vt:i4>57</vt:i4>
      </vt:variant>
      <vt:variant>
        <vt:i4>0</vt:i4>
      </vt:variant>
      <vt:variant>
        <vt:i4>5</vt:i4>
      </vt:variant>
      <vt:variant>
        <vt:lpwstr>http://www.nevo.co.il/case/20235191</vt:lpwstr>
      </vt:variant>
      <vt:variant>
        <vt:lpwstr/>
      </vt:variant>
      <vt:variant>
        <vt:i4>3801211</vt:i4>
      </vt:variant>
      <vt:variant>
        <vt:i4>54</vt:i4>
      </vt:variant>
      <vt:variant>
        <vt:i4>0</vt:i4>
      </vt:variant>
      <vt:variant>
        <vt:i4>5</vt:i4>
      </vt:variant>
      <vt:variant>
        <vt:lpwstr>http://www.nevo.co.il/case/2791796</vt:lpwstr>
      </vt:variant>
      <vt:variant>
        <vt:lpwstr/>
      </vt:variant>
      <vt:variant>
        <vt:i4>3932277</vt:i4>
      </vt:variant>
      <vt:variant>
        <vt:i4>51</vt:i4>
      </vt:variant>
      <vt:variant>
        <vt:i4>0</vt:i4>
      </vt:variant>
      <vt:variant>
        <vt:i4>5</vt:i4>
      </vt:variant>
      <vt:variant>
        <vt:lpwstr>http://www.nevo.co.il/case/17045282</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3407997</vt:i4>
      </vt:variant>
      <vt:variant>
        <vt:i4>39</vt:i4>
      </vt:variant>
      <vt:variant>
        <vt:i4>0</vt:i4>
      </vt:variant>
      <vt:variant>
        <vt:i4>5</vt:i4>
      </vt:variant>
      <vt:variant>
        <vt:lpwstr>http://www.nevo.co.il/case/5903534</vt:lpwstr>
      </vt:variant>
      <vt:variant>
        <vt:lpwstr/>
      </vt:variant>
      <vt:variant>
        <vt:i4>3211383</vt:i4>
      </vt:variant>
      <vt:variant>
        <vt:i4>36</vt:i4>
      </vt:variant>
      <vt:variant>
        <vt:i4>0</vt:i4>
      </vt:variant>
      <vt:variant>
        <vt:i4>5</vt:i4>
      </vt:variant>
      <vt:variant>
        <vt:lpwstr>http://www.nevo.co.il/case/6076151</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4128881</vt:i4>
      </vt:variant>
      <vt:variant>
        <vt:i4>27</vt:i4>
      </vt:variant>
      <vt:variant>
        <vt:i4>0</vt:i4>
      </vt:variant>
      <vt:variant>
        <vt:i4>5</vt:i4>
      </vt:variant>
      <vt:variant>
        <vt:lpwstr>http://www.nevo.co.il/case/5585052</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36709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יעקב סויסה</vt:lpwstr>
  </property>
  <property fmtid="{D5CDD505-2E9C-101B-9397-08002B2CF9AE}" pid="10" name="LAWYER">
    <vt:lpwstr>עומרית אבני;משה סוחמי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20160215</vt:lpwstr>
  </property>
  <property fmtid="{D5CDD505-2E9C-101B-9397-08002B2CF9AE}" pid="14" name="TYPE_N_DATE">
    <vt:lpwstr>38020160215</vt:lpwstr>
  </property>
  <property fmtid="{D5CDD505-2E9C-101B-9397-08002B2CF9AE}" pid="15" name="WORDNUMPAGES">
    <vt:lpwstr>6</vt:lpwstr>
  </property>
  <property fmtid="{D5CDD505-2E9C-101B-9397-08002B2CF9AE}" pid="16" name="TYPE_ABS_DATE">
    <vt:lpwstr>380020160215</vt:lpwstr>
  </property>
  <property fmtid="{D5CDD505-2E9C-101B-9397-08002B2CF9AE}" pid="17" name="ISABSTRACT">
    <vt:lpwstr>Y</vt:lpwstr>
  </property>
  <property fmtid="{D5CDD505-2E9C-101B-9397-08002B2CF9AE}" pid="18" name="CASESLISTTMP1">
    <vt:lpwstr>5585052;5698919;5726579:2;6076151;5903534;17045282:2;2791796;20235191;11237056;18069059;18119161;18045843</vt:lpwstr>
  </property>
  <property fmtid="{D5CDD505-2E9C-101B-9397-08002B2CF9AE}" pid="19" name="LAWLISTTMP1">
    <vt:lpwstr>4216/006;010</vt:lpwstr>
  </property>
  <property fmtid="{D5CDD505-2E9C-101B-9397-08002B2CF9AE}" pid="20" name="LAWLISTTMP2">
    <vt:lpwstr>70301/040c;040i</vt:lpwstr>
  </property>
</Properties>
</file>