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4"/>
        <w:gridCol w:w="3667"/>
      </w:tblGrid>
      <w:tr w:rsidR="00216D31" w:rsidRPr="00623035" w14:paraId="397BF413" w14:textId="77777777" w:rsidTr="00902F00">
        <w:trPr>
          <w:trHeight w:hRule="exact" w:val="418"/>
          <w:jc w:val="center"/>
        </w:trPr>
        <w:tc>
          <w:tcPr>
            <w:tcW w:w="8721" w:type="dxa"/>
            <w:gridSpan w:val="2"/>
          </w:tcPr>
          <w:p w14:paraId="310C21DD" w14:textId="77777777" w:rsidR="00216D31" w:rsidRPr="00623035" w:rsidRDefault="00216D31" w:rsidP="00FA2757">
            <w:pPr>
              <w:pStyle w:val="a3"/>
              <w:jc w:val="center"/>
              <w:rPr>
                <w:rFonts w:ascii="Tahoma" w:hAnsi="Tahoma" w:cs="Tahoma"/>
                <w:color w:val="000080"/>
                <w:rtl/>
              </w:rPr>
            </w:pPr>
            <w:bookmarkStart w:id="0" w:name="FirstLawyer"/>
            <w:bookmarkStart w:id="1" w:name="LastJudge"/>
            <w:r w:rsidRPr="00623035">
              <w:rPr>
                <w:rFonts w:ascii="Tahoma" w:hAnsi="Tahoma" w:cs="Tahoma"/>
                <w:b/>
                <w:bCs/>
                <w:color w:val="000080"/>
                <w:sz w:val="20"/>
                <w:szCs w:val="20"/>
                <w:rtl/>
              </w:rPr>
              <w:t>בית משפט השלום בקריית גת</w:t>
            </w:r>
            <w:r w:rsidRPr="00623035">
              <w:rPr>
                <w:rFonts w:ascii="Tahoma" w:hAnsi="Tahoma" w:cs="Tahoma" w:hint="cs"/>
                <w:b/>
                <w:bCs/>
                <w:color w:val="000080"/>
                <w:sz w:val="20"/>
                <w:szCs w:val="20"/>
                <w:rtl/>
              </w:rPr>
              <w:t xml:space="preserve"> </w:t>
            </w:r>
            <w:r w:rsidRPr="00623035">
              <w:rPr>
                <w:rFonts w:ascii="Tahoma" w:hAnsi="Tahoma" w:cs="Tahoma"/>
                <w:b/>
                <w:bCs/>
                <w:color w:val="000080"/>
                <w:sz w:val="20"/>
                <w:szCs w:val="20"/>
                <w:rtl/>
              </w:rPr>
              <w:t>–</w:t>
            </w:r>
            <w:r w:rsidRPr="00623035">
              <w:rPr>
                <w:rFonts w:ascii="Tahoma" w:hAnsi="Tahoma" w:cs="Tahoma" w:hint="cs"/>
                <w:b/>
                <w:bCs/>
                <w:color w:val="000080"/>
                <w:sz w:val="20"/>
                <w:szCs w:val="20"/>
                <w:rtl/>
              </w:rPr>
              <w:t xml:space="preserve"> בשבתו באשקלון</w:t>
            </w:r>
            <w:r w:rsidRPr="00623035">
              <w:rPr>
                <w:rFonts w:ascii="Tahoma" w:hAnsi="Tahoma" w:cs="Tahoma"/>
                <w:b/>
                <w:bCs/>
                <w:color w:val="000080"/>
                <w:sz w:val="20"/>
                <w:szCs w:val="20"/>
                <w:rtl/>
              </w:rPr>
              <w:t xml:space="preserve"> </w:t>
            </w:r>
          </w:p>
        </w:tc>
      </w:tr>
      <w:tr w:rsidR="00216D31" w:rsidRPr="00623035" w14:paraId="455B86CF" w14:textId="77777777" w:rsidTr="00902F00">
        <w:trPr>
          <w:trHeight w:val="337"/>
          <w:jc w:val="center"/>
        </w:trPr>
        <w:tc>
          <w:tcPr>
            <w:tcW w:w="5054" w:type="dxa"/>
          </w:tcPr>
          <w:p w14:paraId="634F601B" w14:textId="77777777" w:rsidR="00216D31" w:rsidRPr="00623035" w:rsidRDefault="00216D31" w:rsidP="00FA2757">
            <w:pPr>
              <w:rPr>
                <w:rFonts w:cs="FrankRuehl"/>
                <w:sz w:val="28"/>
                <w:szCs w:val="28"/>
                <w:rtl/>
              </w:rPr>
            </w:pPr>
            <w:r w:rsidRPr="00623035">
              <w:rPr>
                <w:rFonts w:cs="FrankRuehl"/>
                <w:sz w:val="28"/>
                <w:szCs w:val="28"/>
                <w:rtl/>
              </w:rPr>
              <w:t>ת"פ</w:t>
            </w:r>
            <w:r w:rsidRPr="00623035">
              <w:rPr>
                <w:rFonts w:cs="FrankRuehl" w:hint="cs"/>
                <w:sz w:val="28"/>
                <w:szCs w:val="28"/>
                <w:rtl/>
              </w:rPr>
              <w:t xml:space="preserve"> </w:t>
            </w:r>
            <w:r w:rsidRPr="00623035">
              <w:rPr>
                <w:rFonts w:cs="FrankRuehl"/>
                <w:sz w:val="28"/>
                <w:szCs w:val="28"/>
                <w:rtl/>
              </w:rPr>
              <w:t>54499-11-15</w:t>
            </w:r>
            <w:r w:rsidRPr="00623035">
              <w:rPr>
                <w:rFonts w:cs="FrankRuehl" w:hint="cs"/>
                <w:sz w:val="28"/>
                <w:szCs w:val="28"/>
                <w:rtl/>
              </w:rPr>
              <w:t xml:space="preserve"> </w:t>
            </w:r>
            <w:r w:rsidRPr="00623035">
              <w:rPr>
                <w:rFonts w:cs="FrankRuehl"/>
                <w:sz w:val="28"/>
                <w:szCs w:val="28"/>
                <w:rtl/>
              </w:rPr>
              <w:t>מדינת ישראל נ' חדאד</w:t>
            </w:r>
          </w:p>
          <w:p w14:paraId="7726D887" w14:textId="77777777" w:rsidR="00216D31" w:rsidRPr="00623035" w:rsidRDefault="00216D31" w:rsidP="00FA2757">
            <w:pPr>
              <w:pStyle w:val="a3"/>
              <w:rPr>
                <w:rFonts w:cs="FrankRuehl"/>
                <w:sz w:val="28"/>
                <w:szCs w:val="28"/>
                <w:rtl/>
              </w:rPr>
            </w:pPr>
          </w:p>
        </w:tc>
        <w:tc>
          <w:tcPr>
            <w:tcW w:w="3667" w:type="dxa"/>
          </w:tcPr>
          <w:p w14:paraId="284DA263" w14:textId="77777777" w:rsidR="00216D31" w:rsidRPr="00623035" w:rsidRDefault="00216D31" w:rsidP="00FA2757">
            <w:pPr>
              <w:pStyle w:val="a3"/>
              <w:jc w:val="right"/>
              <w:rPr>
                <w:rFonts w:cs="FrankRuehl"/>
                <w:sz w:val="28"/>
                <w:szCs w:val="28"/>
                <w:rtl/>
              </w:rPr>
            </w:pPr>
          </w:p>
        </w:tc>
      </w:tr>
    </w:tbl>
    <w:p w14:paraId="634F7AAE" w14:textId="77777777" w:rsidR="00216D31" w:rsidRPr="00623035" w:rsidRDefault="00216D31" w:rsidP="00216D31">
      <w:pPr>
        <w:pStyle w:val="a3"/>
        <w:rPr>
          <w:rtl/>
        </w:rPr>
      </w:pPr>
      <w:r w:rsidRPr="00623035">
        <w:rPr>
          <w:rFonts w:hint="cs"/>
          <w:rtl/>
        </w:rPr>
        <w:t xml:space="preserve"> </w:t>
      </w:r>
    </w:p>
    <w:p w14:paraId="7B2249FC" w14:textId="77777777" w:rsidR="00216D31" w:rsidRPr="00623035" w:rsidRDefault="00216D31" w:rsidP="00216D31">
      <w:pPr>
        <w:rPr>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216D31" w:rsidRPr="00623035" w14:paraId="62CF5237" w14:textId="77777777" w:rsidTr="00216D31">
        <w:trPr>
          <w:trHeight w:val="295"/>
          <w:jc w:val="center"/>
        </w:trPr>
        <w:tc>
          <w:tcPr>
            <w:tcW w:w="923" w:type="dxa"/>
            <w:tcBorders>
              <w:top w:val="nil"/>
              <w:left w:val="nil"/>
              <w:bottom w:val="nil"/>
              <w:right w:val="nil"/>
            </w:tcBorders>
            <w:shd w:val="clear" w:color="auto" w:fill="auto"/>
          </w:tcPr>
          <w:p w14:paraId="6D7D5483" w14:textId="77777777" w:rsidR="00216D31" w:rsidRPr="00623035" w:rsidRDefault="00216D31" w:rsidP="00216D31">
            <w:pPr>
              <w:jc w:val="both"/>
              <w:rPr>
                <w:rFonts w:ascii="Arial" w:hAnsi="Arial" w:cs="FrankRuehl"/>
                <w:sz w:val="28"/>
                <w:szCs w:val="28"/>
              </w:rPr>
            </w:pPr>
            <w:r w:rsidRPr="00623035">
              <w:rPr>
                <w:rFonts w:ascii="Arial" w:hAnsi="Arial" w:cs="FrankRuehl" w:hint="cs"/>
                <w:sz w:val="28"/>
                <w:szCs w:val="28"/>
                <w:rtl/>
              </w:rPr>
              <w:t>ב</w:t>
            </w:r>
            <w:r w:rsidRPr="00623035">
              <w:rPr>
                <w:rFonts w:ascii="Arial" w:hAnsi="Arial" w:cs="FrankRuehl"/>
                <w:sz w:val="28"/>
                <w:szCs w:val="28"/>
                <w:rtl/>
              </w:rPr>
              <w:t xml:space="preserve">פני </w:t>
            </w:r>
          </w:p>
        </w:tc>
        <w:tc>
          <w:tcPr>
            <w:tcW w:w="7897" w:type="dxa"/>
            <w:gridSpan w:val="2"/>
            <w:tcBorders>
              <w:top w:val="nil"/>
              <w:left w:val="nil"/>
              <w:bottom w:val="nil"/>
              <w:right w:val="nil"/>
            </w:tcBorders>
            <w:shd w:val="clear" w:color="auto" w:fill="auto"/>
          </w:tcPr>
          <w:p w14:paraId="7C200B1D" w14:textId="77777777" w:rsidR="00216D31" w:rsidRPr="00623035" w:rsidRDefault="00216D31" w:rsidP="00FA2757">
            <w:pPr>
              <w:rPr>
                <w:rFonts w:ascii="Arial" w:hAnsi="Arial"/>
                <w:b/>
                <w:bCs/>
                <w:rtl/>
              </w:rPr>
            </w:pPr>
            <w:r w:rsidRPr="00623035">
              <w:rPr>
                <w:rFonts w:ascii="Arial" w:hAnsi="Arial" w:hint="cs"/>
                <w:b/>
                <w:bCs/>
                <w:rtl/>
              </w:rPr>
              <w:t>כבוד ה</w:t>
            </w:r>
            <w:r w:rsidRPr="00623035">
              <w:rPr>
                <w:rFonts w:ascii="Arial" w:hAnsi="Arial"/>
                <w:b/>
                <w:bCs/>
                <w:rtl/>
              </w:rPr>
              <w:t>שופטת</w:t>
            </w:r>
            <w:r w:rsidRPr="00623035">
              <w:rPr>
                <w:rFonts w:ascii="Arial" w:hAnsi="Arial" w:hint="cs"/>
                <w:b/>
                <w:bCs/>
                <w:rtl/>
              </w:rPr>
              <w:t xml:space="preserve">  </w:t>
            </w:r>
            <w:r w:rsidRPr="00623035">
              <w:rPr>
                <w:rFonts w:ascii="Arial" w:hAnsi="Arial"/>
                <w:b/>
                <w:bCs/>
                <w:rtl/>
              </w:rPr>
              <w:t>נועה חקלאי</w:t>
            </w:r>
          </w:p>
          <w:p w14:paraId="74575C88" w14:textId="77777777" w:rsidR="00216D31" w:rsidRPr="00623035" w:rsidRDefault="00216D31" w:rsidP="00FA2757">
            <w:pPr>
              <w:rPr>
                <w:rtl/>
              </w:rPr>
            </w:pPr>
          </w:p>
          <w:p w14:paraId="5685B721" w14:textId="77777777" w:rsidR="00216D31" w:rsidRPr="00623035" w:rsidRDefault="00216D31" w:rsidP="00216D31">
            <w:pPr>
              <w:jc w:val="both"/>
              <w:rPr>
                <w:rFonts w:ascii="Arial" w:hAnsi="Arial" w:cs="FrankRuehl"/>
                <w:sz w:val="28"/>
                <w:szCs w:val="28"/>
              </w:rPr>
            </w:pPr>
          </w:p>
        </w:tc>
      </w:tr>
      <w:tr w:rsidR="00216D31" w:rsidRPr="00623035" w14:paraId="450C4DDD" w14:textId="77777777" w:rsidTr="00216D31">
        <w:trPr>
          <w:trHeight w:val="355"/>
          <w:jc w:val="center"/>
        </w:trPr>
        <w:tc>
          <w:tcPr>
            <w:tcW w:w="923" w:type="dxa"/>
            <w:tcBorders>
              <w:top w:val="nil"/>
              <w:left w:val="nil"/>
              <w:bottom w:val="nil"/>
              <w:right w:val="nil"/>
            </w:tcBorders>
            <w:shd w:val="clear" w:color="auto" w:fill="auto"/>
          </w:tcPr>
          <w:p w14:paraId="4691F108" w14:textId="77777777" w:rsidR="00216D31" w:rsidRPr="00623035" w:rsidRDefault="00216D31" w:rsidP="00216D31">
            <w:pPr>
              <w:jc w:val="both"/>
              <w:rPr>
                <w:rFonts w:ascii="Arial" w:hAnsi="Arial" w:cs="FrankRuehl"/>
                <w:sz w:val="28"/>
                <w:szCs w:val="28"/>
              </w:rPr>
            </w:pPr>
            <w:bookmarkStart w:id="2" w:name="FirstAppellant"/>
            <w:r w:rsidRPr="00623035">
              <w:rPr>
                <w:rFonts w:ascii="Arial" w:hAnsi="Arial" w:cs="FrankRuehl" w:hint="cs"/>
                <w:sz w:val="28"/>
                <w:szCs w:val="28"/>
                <w:rtl/>
              </w:rPr>
              <w:t>בעניין:</w:t>
            </w:r>
          </w:p>
        </w:tc>
        <w:tc>
          <w:tcPr>
            <w:tcW w:w="4126" w:type="dxa"/>
            <w:tcBorders>
              <w:top w:val="nil"/>
              <w:left w:val="nil"/>
              <w:bottom w:val="nil"/>
              <w:right w:val="nil"/>
            </w:tcBorders>
            <w:shd w:val="clear" w:color="auto" w:fill="auto"/>
          </w:tcPr>
          <w:p w14:paraId="67D88CB5" w14:textId="77777777" w:rsidR="00216D31" w:rsidRPr="00623035" w:rsidRDefault="00216D31" w:rsidP="00FA2757">
            <w:r w:rsidRPr="00623035">
              <w:rPr>
                <w:rFonts w:ascii="Arial" w:hAnsi="Arial" w:cs="FrankRuehl"/>
                <w:sz w:val="28"/>
                <w:szCs w:val="28"/>
                <w:rtl/>
              </w:rPr>
              <w:t>מדינת ישראל</w:t>
            </w:r>
            <w:r w:rsidRPr="00623035">
              <w:rPr>
                <w:rFonts w:ascii="Arial" w:hAnsi="Arial" w:cs="FrankRuehl"/>
                <w:sz w:val="28"/>
                <w:szCs w:val="28"/>
                <w:rtl/>
              </w:rPr>
              <w:br/>
            </w:r>
            <w:r w:rsidRPr="00623035">
              <w:rPr>
                <w:rFonts w:hint="cs"/>
                <w:rtl/>
              </w:rPr>
              <w:t>על ידי ב"כ עו"ד לירן פרג'</w:t>
            </w:r>
          </w:p>
        </w:tc>
        <w:tc>
          <w:tcPr>
            <w:tcW w:w="3771" w:type="dxa"/>
            <w:tcBorders>
              <w:top w:val="nil"/>
              <w:left w:val="nil"/>
              <w:bottom w:val="nil"/>
              <w:right w:val="nil"/>
            </w:tcBorders>
            <w:shd w:val="clear" w:color="auto" w:fill="auto"/>
          </w:tcPr>
          <w:p w14:paraId="799ADC8F" w14:textId="77777777" w:rsidR="00216D31" w:rsidRPr="00623035" w:rsidRDefault="00216D31" w:rsidP="00216D31">
            <w:pPr>
              <w:jc w:val="both"/>
              <w:rPr>
                <w:rFonts w:ascii="Arial" w:hAnsi="Arial" w:cs="FrankRuehl"/>
                <w:sz w:val="28"/>
                <w:szCs w:val="28"/>
              </w:rPr>
            </w:pPr>
          </w:p>
        </w:tc>
      </w:tr>
      <w:bookmarkEnd w:id="2"/>
      <w:tr w:rsidR="00216D31" w:rsidRPr="00623035" w14:paraId="3C51F13A" w14:textId="77777777" w:rsidTr="00216D31">
        <w:trPr>
          <w:trHeight w:val="355"/>
          <w:jc w:val="center"/>
        </w:trPr>
        <w:tc>
          <w:tcPr>
            <w:tcW w:w="923" w:type="dxa"/>
            <w:tcBorders>
              <w:top w:val="nil"/>
              <w:left w:val="nil"/>
              <w:bottom w:val="nil"/>
              <w:right w:val="nil"/>
            </w:tcBorders>
            <w:shd w:val="clear" w:color="auto" w:fill="auto"/>
          </w:tcPr>
          <w:p w14:paraId="0413F121" w14:textId="77777777" w:rsidR="00216D31" w:rsidRPr="00623035" w:rsidRDefault="00216D31" w:rsidP="00216D31">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0C162A4D" w14:textId="77777777" w:rsidR="00216D31" w:rsidRPr="00623035" w:rsidRDefault="00216D31" w:rsidP="00216D31">
            <w:pPr>
              <w:jc w:val="both"/>
              <w:rPr>
                <w:rtl/>
              </w:rPr>
            </w:pPr>
          </w:p>
        </w:tc>
        <w:tc>
          <w:tcPr>
            <w:tcW w:w="3771" w:type="dxa"/>
            <w:tcBorders>
              <w:top w:val="nil"/>
              <w:left w:val="nil"/>
              <w:bottom w:val="nil"/>
              <w:right w:val="nil"/>
            </w:tcBorders>
            <w:shd w:val="clear" w:color="auto" w:fill="auto"/>
          </w:tcPr>
          <w:p w14:paraId="49617F00" w14:textId="77777777" w:rsidR="00216D31" w:rsidRPr="00623035" w:rsidRDefault="00216D31" w:rsidP="00216D31">
            <w:pPr>
              <w:jc w:val="right"/>
              <w:rPr>
                <w:rFonts w:ascii="Arial" w:hAnsi="Arial" w:cs="FrankRuehl"/>
                <w:sz w:val="28"/>
                <w:szCs w:val="28"/>
                <w:rtl/>
              </w:rPr>
            </w:pPr>
            <w:r w:rsidRPr="00623035">
              <w:rPr>
                <w:rFonts w:ascii="Arial" w:hAnsi="Arial" w:cs="FrankRuehl" w:hint="cs"/>
                <w:sz w:val="28"/>
                <w:szCs w:val="28"/>
                <w:rtl/>
              </w:rPr>
              <w:t>ה</w:t>
            </w:r>
            <w:r w:rsidRPr="00623035">
              <w:rPr>
                <w:rFonts w:ascii="Arial" w:hAnsi="Arial" w:cs="FrankRuehl"/>
                <w:sz w:val="28"/>
                <w:szCs w:val="28"/>
                <w:rtl/>
              </w:rPr>
              <w:t>מאשימה</w:t>
            </w:r>
          </w:p>
        </w:tc>
      </w:tr>
      <w:tr w:rsidR="00216D31" w:rsidRPr="00623035" w14:paraId="0628698E" w14:textId="77777777" w:rsidTr="00216D31">
        <w:trPr>
          <w:trHeight w:val="355"/>
          <w:jc w:val="center"/>
        </w:trPr>
        <w:tc>
          <w:tcPr>
            <w:tcW w:w="923" w:type="dxa"/>
            <w:tcBorders>
              <w:top w:val="nil"/>
              <w:left w:val="nil"/>
              <w:bottom w:val="nil"/>
              <w:right w:val="nil"/>
            </w:tcBorders>
            <w:shd w:val="clear" w:color="auto" w:fill="auto"/>
          </w:tcPr>
          <w:p w14:paraId="2EA009D3" w14:textId="77777777" w:rsidR="00216D31" w:rsidRPr="00623035" w:rsidRDefault="00216D31" w:rsidP="00216D31">
            <w:pPr>
              <w:jc w:val="both"/>
              <w:rPr>
                <w:rFonts w:ascii="Arial" w:hAnsi="Arial" w:cs="FrankRuehl"/>
                <w:sz w:val="28"/>
                <w:szCs w:val="28"/>
                <w:rtl/>
              </w:rPr>
            </w:pPr>
          </w:p>
        </w:tc>
        <w:tc>
          <w:tcPr>
            <w:tcW w:w="7897" w:type="dxa"/>
            <w:gridSpan w:val="2"/>
            <w:tcBorders>
              <w:top w:val="nil"/>
              <w:left w:val="nil"/>
              <w:bottom w:val="nil"/>
              <w:right w:val="nil"/>
            </w:tcBorders>
            <w:shd w:val="clear" w:color="auto" w:fill="auto"/>
          </w:tcPr>
          <w:p w14:paraId="4CA5AFA1" w14:textId="77777777" w:rsidR="00216D31" w:rsidRPr="00623035" w:rsidRDefault="00216D31" w:rsidP="00216D31">
            <w:pPr>
              <w:jc w:val="center"/>
              <w:rPr>
                <w:rFonts w:ascii="Arial" w:hAnsi="Arial" w:cs="FrankRuehl"/>
                <w:b/>
                <w:bCs/>
                <w:sz w:val="28"/>
                <w:szCs w:val="28"/>
                <w:rtl/>
              </w:rPr>
            </w:pPr>
          </w:p>
          <w:p w14:paraId="0B4F9460" w14:textId="77777777" w:rsidR="00216D31" w:rsidRPr="00623035" w:rsidRDefault="00216D31" w:rsidP="00216D31">
            <w:pPr>
              <w:jc w:val="center"/>
              <w:rPr>
                <w:rFonts w:ascii="Arial" w:hAnsi="Arial" w:cs="FrankRuehl"/>
                <w:b/>
                <w:bCs/>
                <w:sz w:val="28"/>
                <w:szCs w:val="28"/>
                <w:rtl/>
              </w:rPr>
            </w:pPr>
            <w:r w:rsidRPr="00623035">
              <w:rPr>
                <w:rFonts w:ascii="Arial" w:hAnsi="Arial" w:cs="FrankRuehl"/>
                <w:b/>
                <w:bCs/>
                <w:sz w:val="28"/>
                <w:szCs w:val="28"/>
                <w:rtl/>
              </w:rPr>
              <w:t>נגד</w:t>
            </w:r>
          </w:p>
          <w:p w14:paraId="06FBD509" w14:textId="77777777" w:rsidR="00216D31" w:rsidRPr="00623035" w:rsidRDefault="00216D31" w:rsidP="00216D31">
            <w:pPr>
              <w:jc w:val="both"/>
              <w:rPr>
                <w:rFonts w:ascii="Arial" w:hAnsi="Arial" w:cs="FrankRuehl"/>
                <w:sz w:val="28"/>
                <w:szCs w:val="28"/>
              </w:rPr>
            </w:pPr>
          </w:p>
        </w:tc>
      </w:tr>
      <w:tr w:rsidR="00216D31" w:rsidRPr="00623035" w14:paraId="77AEA3F8" w14:textId="77777777" w:rsidTr="00216D31">
        <w:trPr>
          <w:trHeight w:val="355"/>
          <w:jc w:val="center"/>
        </w:trPr>
        <w:tc>
          <w:tcPr>
            <w:tcW w:w="923" w:type="dxa"/>
            <w:tcBorders>
              <w:top w:val="nil"/>
              <w:left w:val="nil"/>
              <w:bottom w:val="nil"/>
              <w:right w:val="nil"/>
            </w:tcBorders>
            <w:shd w:val="clear" w:color="auto" w:fill="auto"/>
          </w:tcPr>
          <w:p w14:paraId="5766114D" w14:textId="77777777" w:rsidR="00216D31" w:rsidRPr="00623035" w:rsidRDefault="00216D31" w:rsidP="00FA2757">
            <w:pPr>
              <w:rPr>
                <w:rFonts w:ascii="Arial" w:hAnsi="Arial" w:cs="FrankRuehl"/>
                <w:sz w:val="28"/>
                <w:szCs w:val="28"/>
                <w:rtl/>
              </w:rPr>
            </w:pPr>
          </w:p>
        </w:tc>
        <w:tc>
          <w:tcPr>
            <w:tcW w:w="4126" w:type="dxa"/>
            <w:tcBorders>
              <w:top w:val="nil"/>
              <w:left w:val="nil"/>
              <w:bottom w:val="nil"/>
              <w:right w:val="nil"/>
            </w:tcBorders>
            <w:shd w:val="clear" w:color="auto" w:fill="auto"/>
          </w:tcPr>
          <w:p w14:paraId="01B290F7" w14:textId="77777777" w:rsidR="00216D31" w:rsidRPr="00623035" w:rsidRDefault="00216D31" w:rsidP="00FA2757">
            <w:pPr>
              <w:rPr>
                <w:rtl/>
              </w:rPr>
            </w:pPr>
            <w:r w:rsidRPr="00623035">
              <w:rPr>
                <w:rFonts w:ascii="Arial" w:hAnsi="Arial" w:cs="FrankRuehl"/>
                <w:sz w:val="28"/>
                <w:szCs w:val="28"/>
                <w:rtl/>
              </w:rPr>
              <w:t>עובדיה חדאד</w:t>
            </w:r>
            <w:r w:rsidRPr="00623035">
              <w:rPr>
                <w:rtl/>
              </w:rPr>
              <w:br/>
            </w:r>
            <w:r w:rsidRPr="00623035">
              <w:rPr>
                <w:rFonts w:hint="cs"/>
                <w:rtl/>
              </w:rPr>
              <w:t>על ידי ב"כ עו"ד ליאור רונן</w:t>
            </w:r>
          </w:p>
        </w:tc>
        <w:tc>
          <w:tcPr>
            <w:tcW w:w="3771" w:type="dxa"/>
            <w:tcBorders>
              <w:top w:val="nil"/>
              <w:left w:val="nil"/>
              <w:bottom w:val="nil"/>
              <w:right w:val="nil"/>
            </w:tcBorders>
            <w:shd w:val="clear" w:color="auto" w:fill="auto"/>
          </w:tcPr>
          <w:p w14:paraId="3A700CFA" w14:textId="77777777" w:rsidR="00216D31" w:rsidRPr="00623035" w:rsidRDefault="00216D31" w:rsidP="00216D31">
            <w:pPr>
              <w:jc w:val="right"/>
              <w:rPr>
                <w:rFonts w:ascii="Arial" w:hAnsi="Arial" w:cs="FrankRuehl"/>
                <w:sz w:val="28"/>
                <w:szCs w:val="28"/>
              </w:rPr>
            </w:pPr>
          </w:p>
        </w:tc>
      </w:tr>
      <w:tr w:rsidR="00216D31" w:rsidRPr="00623035" w14:paraId="40F05C16" w14:textId="77777777" w:rsidTr="00216D31">
        <w:trPr>
          <w:trHeight w:val="355"/>
          <w:jc w:val="center"/>
        </w:trPr>
        <w:tc>
          <w:tcPr>
            <w:tcW w:w="923" w:type="dxa"/>
            <w:tcBorders>
              <w:top w:val="nil"/>
              <w:left w:val="nil"/>
              <w:bottom w:val="nil"/>
              <w:right w:val="nil"/>
            </w:tcBorders>
            <w:shd w:val="clear" w:color="auto" w:fill="auto"/>
          </w:tcPr>
          <w:p w14:paraId="01D54713" w14:textId="77777777" w:rsidR="00216D31" w:rsidRPr="00623035" w:rsidRDefault="00216D31" w:rsidP="00216D31">
            <w:pPr>
              <w:jc w:val="both"/>
              <w:rPr>
                <w:rFonts w:ascii="Arial" w:hAnsi="Arial" w:cs="FrankRuehl"/>
                <w:sz w:val="28"/>
                <w:szCs w:val="28"/>
                <w:rtl/>
              </w:rPr>
            </w:pPr>
          </w:p>
        </w:tc>
        <w:tc>
          <w:tcPr>
            <w:tcW w:w="4126" w:type="dxa"/>
            <w:tcBorders>
              <w:top w:val="nil"/>
              <w:left w:val="nil"/>
              <w:bottom w:val="nil"/>
              <w:right w:val="nil"/>
            </w:tcBorders>
            <w:shd w:val="clear" w:color="auto" w:fill="auto"/>
          </w:tcPr>
          <w:p w14:paraId="6E145F9E" w14:textId="77777777" w:rsidR="00216D31" w:rsidRPr="00623035" w:rsidRDefault="00216D31" w:rsidP="00216D31">
            <w:pPr>
              <w:jc w:val="both"/>
              <w:rPr>
                <w:rtl/>
              </w:rPr>
            </w:pPr>
          </w:p>
        </w:tc>
        <w:tc>
          <w:tcPr>
            <w:tcW w:w="3771" w:type="dxa"/>
            <w:tcBorders>
              <w:top w:val="nil"/>
              <w:left w:val="nil"/>
              <w:bottom w:val="nil"/>
              <w:right w:val="nil"/>
            </w:tcBorders>
            <w:shd w:val="clear" w:color="auto" w:fill="auto"/>
          </w:tcPr>
          <w:p w14:paraId="1EA527B0" w14:textId="77777777" w:rsidR="00216D31" w:rsidRPr="00623035" w:rsidRDefault="00216D31" w:rsidP="00216D31">
            <w:pPr>
              <w:jc w:val="right"/>
              <w:rPr>
                <w:rFonts w:ascii="Arial" w:hAnsi="Arial" w:cs="FrankRuehl"/>
                <w:sz w:val="28"/>
                <w:szCs w:val="28"/>
              </w:rPr>
            </w:pPr>
            <w:r w:rsidRPr="00623035">
              <w:rPr>
                <w:rFonts w:ascii="Arial" w:hAnsi="Arial" w:cs="FrankRuehl" w:hint="cs"/>
                <w:sz w:val="28"/>
                <w:szCs w:val="28"/>
                <w:rtl/>
              </w:rPr>
              <w:t>ה</w:t>
            </w:r>
            <w:r w:rsidRPr="00623035">
              <w:rPr>
                <w:rFonts w:ascii="Arial" w:hAnsi="Arial" w:cs="FrankRuehl"/>
                <w:sz w:val="28"/>
                <w:szCs w:val="28"/>
                <w:rtl/>
              </w:rPr>
              <w:t>נאשם</w:t>
            </w:r>
          </w:p>
        </w:tc>
      </w:tr>
    </w:tbl>
    <w:p w14:paraId="600986F7" w14:textId="77777777" w:rsidR="00902F00" w:rsidRDefault="00902F00" w:rsidP="00216D31">
      <w:pPr>
        <w:rPr>
          <w:rtl/>
        </w:rPr>
      </w:pPr>
      <w:bookmarkStart w:id="3" w:name="LawTable"/>
      <w:bookmarkEnd w:id="3"/>
    </w:p>
    <w:p w14:paraId="688B9CCD" w14:textId="77777777" w:rsidR="00902F00" w:rsidRPr="00902F00" w:rsidRDefault="00902F00" w:rsidP="00902F00">
      <w:pPr>
        <w:spacing w:after="120" w:line="240" w:lineRule="exact"/>
        <w:ind w:left="283" w:hanging="283"/>
        <w:jc w:val="both"/>
        <w:rPr>
          <w:rFonts w:ascii="FrankRuehl" w:hAnsi="FrankRuehl" w:cs="FrankRuehl"/>
          <w:rtl/>
        </w:rPr>
      </w:pPr>
    </w:p>
    <w:p w14:paraId="4F0B53F7" w14:textId="77777777" w:rsidR="00902F00" w:rsidRPr="00902F00" w:rsidRDefault="00902F00" w:rsidP="00902F00">
      <w:pPr>
        <w:spacing w:after="120" w:line="240" w:lineRule="exact"/>
        <w:ind w:left="283" w:hanging="283"/>
        <w:jc w:val="both"/>
        <w:rPr>
          <w:rFonts w:ascii="FrankRuehl" w:hAnsi="FrankRuehl" w:cs="FrankRuehl"/>
          <w:rtl/>
        </w:rPr>
      </w:pPr>
      <w:r w:rsidRPr="00902F00">
        <w:rPr>
          <w:rFonts w:ascii="FrankRuehl" w:hAnsi="FrankRuehl" w:cs="FrankRuehl"/>
          <w:rtl/>
        </w:rPr>
        <w:t xml:space="preserve">חקיקה שאוזכרה: </w:t>
      </w:r>
    </w:p>
    <w:p w14:paraId="00A10F5D" w14:textId="77777777" w:rsidR="00902F00" w:rsidRPr="00902F00" w:rsidRDefault="00902F00" w:rsidP="00902F00">
      <w:pPr>
        <w:spacing w:after="120" w:line="240" w:lineRule="exact"/>
        <w:ind w:left="283" w:hanging="283"/>
        <w:jc w:val="both"/>
        <w:rPr>
          <w:rFonts w:ascii="FrankRuehl" w:hAnsi="FrankRuehl" w:cs="FrankRuehl"/>
          <w:rtl/>
        </w:rPr>
      </w:pPr>
      <w:hyperlink r:id="rId7" w:history="1">
        <w:r w:rsidRPr="00902F00">
          <w:rPr>
            <w:rFonts w:ascii="FrankRuehl" w:hAnsi="FrankRuehl" w:cs="FrankRuehl"/>
            <w:color w:val="0000FF"/>
            <w:u w:val="single"/>
            <w:rtl/>
          </w:rPr>
          <w:t>פקודת הסמים המסוכנים [נוסח חדש], תשל"ג-1973</w:t>
        </w:r>
      </w:hyperlink>
      <w:r w:rsidRPr="00902F00">
        <w:rPr>
          <w:rFonts w:ascii="FrankRuehl" w:hAnsi="FrankRuehl" w:cs="FrankRuehl"/>
          <w:rtl/>
        </w:rPr>
        <w:t xml:space="preserve">: סע'  </w:t>
      </w:r>
      <w:hyperlink r:id="rId8" w:history="1">
        <w:r w:rsidRPr="00902F00">
          <w:rPr>
            <w:rFonts w:ascii="FrankRuehl" w:hAnsi="FrankRuehl" w:cs="FrankRuehl"/>
            <w:color w:val="0000FF"/>
            <w:u w:val="single"/>
            <w:rtl/>
          </w:rPr>
          <w:t>7.א.</w:t>
        </w:r>
      </w:hyperlink>
      <w:r w:rsidRPr="00902F00">
        <w:rPr>
          <w:rFonts w:ascii="FrankRuehl" w:hAnsi="FrankRuehl" w:cs="FrankRuehl"/>
          <w:rtl/>
        </w:rPr>
        <w:t xml:space="preserve">, </w:t>
      </w:r>
      <w:hyperlink r:id="rId9" w:history="1">
        <w:r w:rsidRPr="00902F00">
          <w:rPr>
            <w:rFonts w:ascii="FrankRuehl" w:hAnsi="FrankRuehl" w:cs="FrankRuehl"/>
            <w:color w:val="0000FF"/>
            <w:u w:val="single"/>
            <w:rtl/>
          </w:rPr>
          <w:t>7.ג</w:t>
        </w:r>
      </w:hyperlink>
    </w:p>
    <w:p w14:paraId="3DD71417" w14:textId="77777777" w:rsidR="00902F00" w:rsidRPr="00902F00" w:rsidRDefault="00902F00" w:rsidP="00902F00">
      <w:pPr>
        <w:spacing w:after="120" w:line="240" w:lineRule="exact"/>
        <w:ind w:left="283" w:hanging="283"/>
        <w:jc w:val="both"/>
        <w:rPr>
          <w:rFonts w:ascii="FrankRuehl" w:hAnsi="FrankRuehl" w:cs="FrankRuehl"/>
          <w:rtl/>
        </w:rPr>
      </w:pPr>
    </w:p>
    <w:p w14:paraId="7F2A7DC3" w14:textId="77777777" w:rsidR="00902F00" w:rsidRPr="00902F00" w:rsidRDefault="00902F00" w:rsidP="00216D31">
      <w:pPr>
        <w:rPr>
          <w:rtl/>
        </w:rPr>
      </w:pPr>
      <w:bookmarkStart w:id="4" w:name="LawTable_End"/>
      <w:bookmarkEnd w:id="4"/>
    </w:p>
    <w:p w14:paraId="1C278B1E" w14:textId="77777777" w:rsidR="00623035" w:rsidRPr="00623035" w:rsidRDefault="00623035" w:rsidP="00216D31">
      <w:pPr>
        <w:rPr>
          <w:rtl/>
        </w:rPr>
      </w:pPr>
    </w:p>
    <w:p w14:paraId="3410B951" w14:textId="77777777" w:rsidR="00623035" w:rsidRPr="00623035" w:rsidRDefault="00623035" w:rsidP="00216D31">
      <w:pPr>
        <w:rPr>
          <w:rtl/>
        </w:rPr>
      </w:pPr>
    </w:p>
    <w:p w14:paraId="00A233D8" w14:textId="77777777" w:rsidR="00216D31" w:rsidRPr="00623035" w:rsidRDefault="00216D31" w:rsidP="00216D31"/>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216D31" w14:paraId="73EBF6A6" w14:textId="77777777" w:rsidTr="00216D31">
        <w:trPr>
          <w:trHeight w:val="355"/>
          <w:jc w:val="center"/>
        </w:trPr>
        <w:tc>
          <w:tcPr>
            <w:tcW w:w="8820" w:type="dxa"/>
            <w:tcBorders>
              <w:top w:val="nil"/>
              <w:left w:val="nil"/>
              <w:bottom w:val="nil"/>
              <w:right w:val="nil"/>
            </w:tcBorders>
            <w:shd w:val="clear" w:color="auto" w:fill="auto"/>
          </w:tcPr>
          <w:p w14:paraId="69AB89A8" w14:textId="77777777" w:rsidR="00623035" w:rsidRPr="00623035" w:rsidRDefault="00623035" w:rsidP="00623035">
            <w:pPr>
              <w:jc w:val="center"/>
              <w:rPr>
                <w:rFonts w:ascii="Arial" w:hAnsi="Arial" w:cs="FrankRuehl"/>
                <w:b/>
                <w:bCs/>
                <w:sz w:val="32"/>
                <w:szCs w:val="32"/>
                <w:u w:val="single"/>
                <w:rtl/>
              </w:rPr>
            </w:pPr>
            <w:bookmarkStart w:id="5" w:name="PsakDin" w:colFirst="0" w:colLast="0"/>
            <w:bookmarkEnd w:id="0"/>
            <w:bookmarkEnd w:id="1"/>
            <w:r w:rsidRPr="00623035">
              <w:rPr>
                <w:rFonts w:ascii="Arial" w:hAnsi="Arial" w:cs="FrankRuehl"/>
                <w:b/>
                <w:bCs/>
                <w:sz w:val="32"/>
                <w:szCs w:val="32"/>
                <w:u w:val="single"/>
                <w:rtl/>
              </w:rPr>
              <w:t>גזר דין</w:t>
            </w:r>
          </w:p>
          <w:p w14:paraId="74CCE7F7" w14:textId="77777777" w:rsidR="00216D31" w:rsidRPr="00623035" w:rsidRDefault="00216D31" w:rsidP="00623035">
            <w:pPr>
              <w:jc w:val="center"/>
              <w:rPr>
                <w:rFonts w:ascii="Arial" w:hAnsi="Arial" w:cs="FrankRuehl"/>
                <w:bCs/>
                <w:sz w:val="32"/>
                <w:szCs w:val="32"/>
                <w:u w:val="single"/>
                <w:rtl/>
              </w:rPr>
            </w:pPr>
          </w:p>
        </w:tc>
      </w:tr>
      <w:bookmarkEnd w:id="5"/>
    </w:tbl>
    <w:p w14:paraId="3E622B53" w14:textId="77777777" w:rsidR="00216D31" w:rsidRPr="00B05847" w:rsidRDefault="00216D31" w:rsidP="00216D31">
      <w:pPr>
        <w:rPr>
          <w:rFonts w:ascii="Arial" w:hAnsi="Arial"/>
          <w:rtl/>
        </w:rPr>
      </w:pPr>
    </w:p>
    <w:p w14:paraId="5724F414" w14:textId="77777777" w:rsidR="00216D31" w:rsidRPr="00B05847" w:rsidRDefault="00216D31" w:rsidP="00216D31">
      <w:pPr>
        <w:rPr>
          <w:rFonts w:ascii="Arial" w:hAnsi="Arial"/>
          <w:rtl/>
        </w:rPr>
      </w:pPr>
    </w:p>
    <w:p w14:paraId="3FB496CE" w14:textId="77777777" w:rsidR="00216D31" w:rsidRDefault="00216D31" w:rsidP="00216D31">
      <w:pPr>
        <w:rPr>
          <w:b/>
          <w:bCs/>
          <w:u w:val="single"/>
          <w:rtl/>
          <w:lang w:eastAsia="he-IL"/>
        </w:rPr>
      </w:pPr>
      <w:r>
        <w:rPr>
          <w:rFonts w:hint="cs"/>
          <w:b/>
          <w:bCs/>
          <w:u w:val="single"/>
          <w:rtl/>
        </w:rPr>
        <w:t>כתב האישום</w:t>
      </w:r>
    </w:p>
    <w:p w14:paraId="0E0A3A20" w14:textId="77777777" w:rsidR="00216D31" w:rsidRDefault="00216D31" w:rsidP="00216D31">
      <w:pPr>
        <w:rPr>
          <w:b/>
          <w:bCs/>
          <w:u w:val="single"/>
          <w:rtl/>
          <w:lang w:eastAsia="he-IL"/>
        </w:rPr>
      </w:pPr>
    </w:p>
    <w:p w14:paraId="39649692" w14:textId="77777777" w:rsidR="00216D31" w:rsidRPr="00216D31" w:rsidRDefault="00216D31" w:rsidP="00216D31">
      <w:pPr>
        <w:numPr>
          <w:ilvl w:val="0"/>
          <w:numId w:val="1"/>
        </w:numPr>
        <w:spacing w:before="100" w:beforeAutospacing="1" w:after="100" w:afterAutospacing="1" w:line="300" w:lineRule="exact"/>
        <w:contextualSpacing/>
        <w:jc w:val="both"/>
        <w:rPr>
          <w:rFonts w:ascii="Calibri" w:hAnsi="Calibri"/>
          <w:color w:val="000000"/>
          <w:rtl/>
        </w:rPr>
      </w:pPr>
      <w:bookmarkStart w:id="6" w:name="ABSTRACT_START"/>
      <w:bookmarkEnd w:id="6"/>
      <w:r w:rsidRPr="00216D31">
        <w:rPr>
          <w:rFonts w:ascii="Calibri" w:hAnsi="Calibri" w:hint="cs"/>
          <w:color w:val="000000"/>
          <w:rtl/>
        </w:rPr>
        <w:t xml:space="preserve">הנאשם הורשע על פי הודאתו בעבירה של החזקת סמים לצריכה עצמית בניגוד </w:t>
      </w:r>
      <w:hyperlink r:id="rId10" w:history="1">
        <w:r w:rsidR="00902F00" w:rsidRPr="00902F00">
          <w:rPr>
            <w:rFonts w:ascii="Calibri" w:hAnsi="Calibri" w:hint="eastAsia"/>
            <w:color w:val="0000FF"/>
            <w:u w:val="single"/>
            <w:rtl/>
          </w:rPr>
          <w:t>לסעיף</w:t>
        </w:r>
        <w:r w:rsidR="00902F00" w:rsidRPr="00902F00">
          <w:rPr>
            <w:rFonts w:ascii="Calibri" w:hAnsi="Calibri"/>
            <w:color w:val="0000FF"/>
            <w:u w:val="single"/>
            <w:rtl/>
          </w:rPr>
          <w:t xml:space="preserve"> 7(</w:t>
        </w:r>
        <w:r w:rsidR="00902F00" w:rsidRPr="00902F00">
          <w:rPr>
            <w:rFonts w:ascii="Calibri" w:hAnsi="Calibri" w:hint="eastAsia"/>
            <w:color w:val="0000FF"/>
            <w:u w:val="single"/>
            <w:rtl/>
          </w:rPr>
          <w:t>א</w:t>
        </w:r>
        <w:r w:rsidR="00902F00" w:rsidRPr="00902F00">
          <w:rPr>
            <w:rFonts w:ascii="Calibri" w:hAnsi="Calibri"/>
            <w:color w:val="0000FF"/>
            <w:u w:val="single"/>
            <w:rtl/>
          </w:rPr>
          <w:t>)+7(</w:t>
        </w:r>
        <w:r w:rsidR="00902F00" w:rsidRPr="00902F00">
          <w:rPr>
            <w:rFonts w:ascii="Calibri" w:hAnsi="Calibri" w:hint="eastAsia"/>
            <w:color w:val="0000FF"/>
            <w:u w:val="single"/>
            <w:rtl/>
          </w:rPr>
          <w:t>ג</w:t>
        </w:r>
        <w:r w:rsidR="00902F00" w:rsidRPr="00902F00">
          <w:rPr>
            <w:rFonts w:ascii="Calibri" w:hAnsi="Calibri"/>
            <w:color w:val="0000FF"/>
            <w:u w:val="single"/>
            <w:rtl/>
          </w:rPr>
          <w:t>)</w:t>
        </w:r>
      </w:hyperlink>
      <w:r w:rsidRPr="00216D31">
        <w:rPr>
          <w:rFonts w:ascii="Calibri" w:hAnsi="Calibri" w:hint="cs"/>
          <w:color w:val="000000"/>
          <w:rtl/>
        </w:rPr>
        <w:t xml:space="preserve"> ל</w:t>
      </w:r>
      <w:hyperlink r:id="rId11" w:history="1">
        <w:r w:rsidR="00623035" w:rsidRPr="00623035">
          <w:rPr>
            <w:rStyle w:val="Hyperlink"/>
            <w:rFonts w:ascii="Calibri" w:hAnsi="Calibri" w:hint="eastAsia"/>
            <w:rtl/>
          </w:rPr>
          <w:t>פקודת</w:t>
        </w:r>
        <w:r w:rsidR="00623035" w:rsidRPr="00623035">
          <w:rPr>
            <w:rStyle w:val="Hyperlink"/>
            <w:rFonts w:ascii="Calibri" w:hAnsi="Calibri"/>
            <w:rtl/>
          </w:rPr>
          <w:t xml:space="preserve"> </w:t>
        </w:r>
        <w:r w:rsidR="00623035" w:rsidRPr="00623035">
          <w:rPr>
            <w:rStyle w:val="Hyperlink"/>
            <w:rFonts w:ascii="Calibri" w:hAnsi="Calibri" w:hint="eastAsia"/>
            <w:rtl/>
          </w:rPr>
          <w:t>הסמים</w:t>
        </w:r>
        <w:r w:rsidR="00623035" w:rsidRPr="00623035">
          <w:rPr>
            <w:rStyle w:val="Hyperlink"/>
            <w:rFonts w:ascii="Calibri" w:hAnsi="Calibri"/>
            <w:rtl/>
          </w:rPr>
          <w:t xml:space="preserve"> </w:t>
        </w:r>
        <w:r w:rsidR="00623035" w:rsidRPr="00623035">
          <w:rPr>
            <w:rStyle w:val="Hyperlink"/>
            <w:rFonts w:ascii="Calibri" w:hAnsi="Calibri" w:hint="eastAsia"/>
            <w:rtl/>
          </w:rPr>
          <w:t>המסוכנים</w:t>
        </w:r>
      </w:hyperlink>
      <w:r w:rsidRPr="00216D31">
        <w:rPr>
          <w:rFonts w:ascii="Calibri" w:hAnsi="Calibri" w:hint="cs"/>
          <w:color w:val="000000"/>
          <w:rtl/>
        </w:rPr>
        <w:t xml:space="preserve"> (נוסח חדש) תשל"ג 1973.</w:t>
      </w:r>
    </w:p>
    <w:p w14:paraId="62F13AAD" w14:textId="77777777" w:rsidR="00216D31" w:rsidRPr="00216D31" w:rsidRDefault="00216D31" w:rsidP="00216D31">
      <w:pPr>
        <w:spacing w:before="100" w:beforeAutospacing="1" w:after="100" w:afterAutospacing="1" w:line="300" w:lineRule="exact"/>
        <w:ind w:left="720"/>
        <w:contextualSpacing/>
        <w:rPr>
          <w:rFonts w:ascii="Calibri" w:hAnsi="Calibri"/>
          <w:color w:val="000000"/>
        </w:rPr>
      </w:pPr>
    </w:p>
    <w:p w14:paraId="5B64DE4E" w14:textId="77777777" w:rsidR="00216D31" w:rsidRPr="00216D31" w:rsidRDefault="00216D31" w:rsidP="00216D31">
      <w:pPr>
        <w:spacing w:before="100" w:beforeAutospacing="1" w:after="100" w:afterAutospacing="1" w:line="300" w:lineRule="exact"/>
        <w:ind w:left="720"/>
        <w:contextualSpacing/>
        <w:rPr>
          <w:rFonts w:ascii="Calibri" w:hAnsi="Calibri"/>
          <w:color w:val="000000"/>
          <w:rtl/>
        </w:rPr>
      </w:pPr>
      <w:r w:rsidRPr="00216D31">
        <w:rPr>
          <w:rFonts w:ascii="Calibri" w:hAnsi="Calibri" w:hint="cs"/>
          <w:color w:val="000000"/>
          <w:rtl/>
        </w:rPr>
        <w:t>על פי עובדות כתב האישום המתוקן ביום 4.12.14 החזיק הנאשם בסם מסוכן מסוג קוקאין במשקל של 0.26 גרם  וזאת לצריכתו העצמית וללא היתר או רישיון כדין.</w:t>
      </w:r>
    </w:p>
    <w:p w14:paraId="47B13FE9" w14:textId="77777777" w:rsidR="00216D31" w:rsidRPr="00216D31" w:rsidRDefault="00216D31" w:rsidP="00216D31">
      <w:pPr>
        <w:spacing w:before="100" w:beforeAutospacing="1" w:after="100" w:afterAutospacing="1" w:line="300" w:lineRule="exact"/>
        <w:ind w:left="720"/>
        <w:contextualSpacing/>
        <w:rPr>
          <w:rFonts w:ascii="Calibri" w:hAnsi="Calibri"/>
          <w:color w:val="000000"/>
          <w:rtl/>
        </w:rPr>
      </w:pPr>
      <w:bookmarkStart w:id="7" w:name="ABSTRACT_END"/>
      <w:bookmarkEnd w:id="7"/>
      <w:r w:rsidRPr="00216D31">
        <w:rPr>
          <w:rFonts w:ascii="Calibri" w:hAnsi="Calibri" w:hint="cs"/>
          <w:color w:val="000000"/>
          <w:rtl/>
        </w:rPr>
        <w:t xml:space="preserve"> </w:t>
      </w:r>
    </w:p>
    <w:p w14:paraId="75EDA4DC" w14:textId="77777777" w:rsidR="00216D31" w:rsidRDefault="00216D31" w:rsidP="00216D31">
      <w:pPr>
        <w:tabs>
          <w:tab w:val="left" w:pos="1571"/>
        </w:tabs>
        <w:spacing w:before="100" w:beforeAutospacing="1" w:after="100" w:afterAutospacing="1" w:line="300" w:lineRule="exact"/>
        <w:rPr>
          <w:rFonts w:ascii="David" w:hAnsi="David"/>
          <w:b/>
          <w:bCs/>
          <w:color w:val="000000"/>
          <w:u w:val="single"/>
          <w:rtl/>
        </w:rPr>
      </w:pPr>
      <w:r>
        <w:rPr>
          <w:rFonts w:hint="cs"/>
          <w:b/>
          <w:bCs/>
          <w:color w:val="000000"/>
          <w:u w:val="single"/>
          <w:rtl/>
        </w:rPr>
        <w:t>הסדר הטיעון</w:t>
      </w:r>
    </w:p>
    <w:p w14:paraId="38DA763F" w14:textId="77777777" w:rsidR="00216D31" w:rsidRDefault="00216D31" w:rsidP="00216D31">
      <w:pPr>
        <w:numPr>
          <w:ilvl w:val="0"/>
          <w:numId w:val="1"/>
        </w:numPr>
        <w:spacing w:before="100" w:beforeAutospacing="1" w:after="100" w:afterAutospacing="1" w:line="300" w:lineRule="exact"/>
        <w:contextualSpacing/>
        <w:jc w:val="both"/>
        <w:rPr>
          <w:b/>
          <w:rtl/>
          <w:lang w:eastAsia="he-IL"/>
        </w:rPr>
      </w:pPr>
      <w:r>
        <w:rPr>
          <w:rFonts w:hint="cs"/>
          <w:b/>
          <w:rtl/>
          <w:lang w:eastAsia="he-IL"/>
        </w:rPr>
        <w:t xml:space="preserve">ביום 9.6.16  הציגו הצדדים להסדר לפיו הנאשם יודה בכתב האישום, יורשע ויופנה לשירות המבחן על מנת שתיבחן שאלת הארכת המאסר המותנה.  הוסכם כי ככל שהתסקיר יהיה </w:t>
      </w:r>
      <w:r>
        <w:rPr>
          <w:rFonts w:hint="cs"/>
          <w:b/>
          <w:rtl/>
          <w:lang w:eastAsia="he-IL"/>
        </w:rPr>
        <w:lastRenderedPageBreak/>
        <w:t>חיובי הצדדים יעתרו במשותף לאמץ את המלצותיו וככל שהתסקיר יהיה שלילי הצדדים יטענו פתוח לעניין העונש.</w:t>
      </w:r>
    </w:p>
    <w:p w14:paraId="2FF71F23" w14:textId="77777777" w:rsidR="00216D31" w:rsidRDefault="00216D31" w:rsidP="00216D31">
      <w:pPr>
        <w:spacing w:before="100" w:beforeAutospacing="1" w:after="100" w:afterAutospacing="1" w:line="300" w:lineRule="exact"/>
        <w:ind w:left="720"/>
        <w:contextualSpacing/>
        <w:rPr>
          <w:b/>
          <w:lang w:eastAsia="he-IL"/>
        </w:rPr>
      </w:pPr>
    </w:p>
    <w:p w14:paraId="367249CC" w14:textId="77777777" w:rsidR="00216D31" w:rsidRDefault="00216D31" w:rsidP="00216D31">
      <w:pPr>
        <w:spacing w:before="100" w:beforeAutospacing="1" w:after="100" w:afterAutospacing="1" w:line="300" w:lineRule="exact"/>
        <w:rPr>
          <w:b/>
          <w:lang w:eastAsia="he-IL"/>
        </w:rPr>
      </w:pPr>
      <w:r>
        <w:rPr>
          <w:rFonts w:hint="cs"/>
          <w:bCs/>
          <w:u w:val="single"/>
          <w:rtl/>
          <w:lang w:eastAsia="he-IL"/>
        </w:rPr>
        <w:t xml:space="preserve">תסקירי שירות המבחן </w:t>
      </w:r>
    </w:p>
    <w:p w14:paraId="5985E6E8" w14:textId="77777777" w:rsidR="00216D31" w:rsidRDefault="00216D31" w:rsidP="00216D31">
      <w:pPr>
        <w:numPr>
          <w:ilvl w:val="0"/>
          <w:numId w:val="1"/>
        </w:numPr>
        <w:spacing w:before="100" w:beforeAutospacing="1" w:after="100" w:afterAutospacing="1" w:line="300" w:lineRule="exact"/>
        <w:contextualSpacing/>
        <w:jc w:val="both"/>
        <w:rPr>
          <w:b/>
          <w:lang w:eastAsia="he-IL"/>
        </w:rPr>
      </w:pPr>
      <w:r>
        <w:rPr>
          <w:rFonts w:hint="cs"/>
          <w:b/>
          <w:rtl/>
          <w:lang w:eastAsia="he-IL"/>
        </w:rPr>
        <w:t xml:space="preserve">בעניינו של הנאשם התקבלו תסקירים רבים. בתסקיר מיום 8.1.17 ציין שירות המבחן כי לא נוצר קשר עם הנאשם. בתסקיר מיום 4.6.17 ציין שירות המבחן כי נוצר קשר עם הנאשם, נקבעו לו 4 פגישות אך הוא לא הגיע לאף אחת. כך גם בתסקירים מיום 25.9.17 ומיום 30.1.18 ציין שירות המבחן כי על אף שהוסברה לנאשם חשיבות ההתייצבות לפגישה – הוא לא הגיע.  </w:t>
      </w:r>
    </w:p>
    <w:p w14:paraId="00F83D48" w14:textId="77777777" w:rsidR="00216D31" w:rsidRDefault="00216D31" w:rsidP="00216D31">
      <w:pPr>
        <w:spacing w:before="100" w:beforeAutospacing="1" w:after="100" w:afterAutospacing="1" w:line="300" w:lineRule="exact"/>
        <w:ind w:left="720"/>
        <w:contextualSpacing/>
        <w:rPr>
          <w:b/>
          <w:lang w:eastAsia="he-IL"/>
        </w:rPr>
      </w:pPr>
    </w:p>
    <w:p w14:paraId="4E53B551" w14:textId="77777777" w:rsidR="00216D31" w:rsidRDefault="00216D31" w:rsidP="00216D31">
      <w:pPr>
        <w:numPr>
          <w:ilvl w:val="0"/>
          <w:numId w:val="1"/>
        </w:numPr>
        <w:spacing w:before="100" w:beforeAutospacing="1" w:after="100" w:afterAutospacing="1" w:line="300" w:lineRule="exact"/>
        <w:contextualSpacing/>
        <w:jc w:val="both"/>
        <w:rPr>
          <w:b/>
          <w:lang w:eastAsia="he-IL"/>
        </w:rPr>
      </w:pPr>
      <w:r>
        <w:rPr>
          <w:rFonts w:hint="cs"/>
          <w:b/>
          <w:rtl/>
          <w:lang w:eastAsia="he-IL"/>
        </w:rPr>
        <w:t>בתסקיר מיום 19.3.18 סקר שירות המבחן את הרקע האישי והמשפחתי של הנאשם. הנאשם עלה לישראל בגיל 15, אחרי חודשיים שירות צבאי נשפט על עריקות וקיבל פטור מהמשך שירות. עובד בעבודות מזדמנות במרכולים. עוזר בכלכלת הבית. הנאשם החל בשימוש בסמים מגיל 16. הנאשם הודה בביצוע העבירה.  שירות המבחן התרשם כי לנאשם קושי להתמיד במסגרות, בקבלת סמכות ובעמידה בגבולות. להערכת שירות המבחן קיים סיכון גבוה להישנות עבירות כל עוד צורך סמים. שירות המבחן המליץ על דחיית הדיון לצורך בחינת שילובו של הנאשם בהליך טיפולי.</w:t>
      </w:r>
    </w:p>
    <w:p w14:paraId="7C5FCD2C" w14:textId="77777777" w:rsidR="00216D31" w:rsidRDefault="00216D31" w:rsidP="00216D31">
      <w:pPr>
        <w:spacing w:before="100" w:beforeAutospacing="1" w:after="100" w:afterAutospacing="1" w:line="300" w:lineRule="exact"/>
        <w:ind w:left="720"/>
        <w:contextualSpacing/>
        <w:rPr>
          <w:b/>
          <w:lang w:eastAsia="he-IL"/>
        </w:rPr>
      </w:pPr>
    </w:p>
    <w:p w14:paraId="024F1A1B" w14:textId="77777777" w:rsidR="00216D31" w:rsidRDefault="00216D31" w:rsidP="00216D31">
      <w:pPr>
        <w:numPr>
          <w:ilvl w:val="0"/>
          <w:numId w:val="1"/>
        </w:numPr>
        <w:spacing w:before="100" w:beforeAutospacing="1" w:after="100" w:afterAutospacing="1" w:line="300" w:lineRule="exact"/>
        <w:contextualSpacing/>
        <w:jc w:val="both"/>
        <w:rPr>
          <w:b/>
          <w:lang w:eastAsia="he-IL"/>
        </w:rPr>
      </w:pPr>
      <w:r>
        <w:rPr>
          <w:rFonts w:hint="cs"/>
          <w:b/>
          <w:rtl/>
          <w:lang w:eastAsia="he-IL"/>
        </w:rPr>
        <w:t>בתסקיר מיום 13.5.18 ציין שירות המבחן כי לא ניתן לשלב את הנאשם בקהילה טיפולית בטרם יעבור גמילה פיזית באשפוזית. שירות המבחן המליץ על דחיה נוספת של מספר חודשים.</w:t>
      </w:r>
    </w:p>
    <w:p w14:paraId="2FA940DF" w14:textId="77777777" w:rsidR="00216D31" w:rsidRDefault="00216D31" w:rsidP="00216D31">
      <w:pPr>
        <w:spacing w:before="100" w:beforeAutospacing="1" w:after="100" w:afterAutospacing="1" w:line="300" w:lineRule="exact"/>
        <w:ind w:left="720"/>
        <w:contextualSpacing/>
        <w:rPr>
          <w:b/>
          <w:lang w:eastAsia="he-IL"/>
        </w:rPr>
      </w:pPr>
    </w:p>
    <w:p w14:paraId="0B2A744C" w14:textId="77777777" w:rsidR="00216D31" w:rsidRDefault="00216D31" w:rsidP="00216D31">
      <w:pPr>
        <w:numPr>
          <w:ilvl w:val="0"/>
          <w:numId w:val="1"/>
        </w:numPr>
        <w:spacing w:before="100" w:beforeAutospacing="1" w:after="100" w:afterAutospacing="1" w:line="300" w:lineRule="exact"/>
        <w:contextualSpacing/>
        <w:jc w:val="both"/>
        <w:rPr>
          <w:b/>
          <w:lang w:eastAsia="he-IL"/>
        </w:rPr>
      </w:pPr>
      <w:r>
        <w:rPr>
          <w:rFonts w:hint="cs"/>
          <w:b/>
          <w:rtl/>
          <w:lang w:eastAsia="he-IL"/>
        </w:rPr>
        <w:t>בתסקיר מיום  9.7.18 ציין שירות המבחן כי הנאשם התאשפז לצורך לגמילה וסיים את תקופת האשפוז. לאור המשך הבעת המוטיבציה לתהליך הטיפולי המליץ שירות המבחן על דחיה נוספת.</w:t>
      </w:r>
    </w:p>
    <w:p w14:paraId="76BC4473" w14:textId="77777777" w:rsidR="00216D31" w:rsidRDefault="00216D31" w:rsidP="00216D31">
      <w:pPr>
        <w:spacing w:before="100" w:beforeAutospacing="1" w:after="100" w:afterAutospacing="1" w:line="300" w:lineRule="exact"/>
        <w:ind w:left="720"/>
        <w:contextualSpacing/>
        <w:rPr>
          <w:b/>
          <w:lang w:eastAsia="he-IL"/>
        </w:rPr>
      </w:pPr>
    </w:p>
    <w:p w14:paraId="2F9ADC80" w14:textId="77777777" w:rsidR="00216D31" w:rsidRDefault="00216D31" w:rsidP="00216D31">
      <w:pPr>
        <w:numPr>
          <w:ilvl w:val="0"/>
          <w:numId w:val="1"/>
        </w:numPr>
        <w:spacing w:before="100" w:beforeAutospacing="1" w:after="100" w:afterAutospacing="1" w:line="300" w:lineRule="exact"/>
        <w:contextualSpacing/>
        <w:jc w:val="both"/>
        <w:rPr>
          <w:b/>
          <w:lang w:eastAsia="he-IL"/>
        </w:rPr>
      </w:pPr>
      <w:r>
        <w:rPr>
          <w:rFonts w:hint="cs"/>
          <w:b/>
          <w:rtl/>
          <w:lang w:eastAsia="he-IL"/>
        </w:rPr>
        <w:t>בתסקיר מיום 28.10.18 ציין שירות המבחן כי הנאשם לא יצר קשר עם הגורמים הטיפוליים ולפיכך נמנע שירות המבחן מהמלצה טיפולית בעניינו.</w:t>
      </w:r>
    </w:p>
    <w:p w14:paraId="6309E38E" w14:textId="77777777" w:rsidR="00216D31" w:rsidRDefault="00216D31" w:rsidP="00216D31">
      <w:pPr>
        <w:spacing w:before="100" w:beforeAutospacing="1" w:after="100" w:afterAutospacing="1" w:line="300" w:lineRule="exact"/>
        <w:ind w:left="720"/>
        <w:contextualSpacing/>
        <w:rPr>
          <w:b/>
          <w:lang w:eastAsia="he-IL"/>
        </w:rPr>
      </w:pPr>
    </w:p>
    <w:p w14:paraId="0D6B9C40" w14:textId="77777777" w:rsidR="00216D31" w:rsidRDefault="00216D31" w:rsidP="00216D31">
      <w:pPr>
        <w:numPr>
          <w:ilvl w:val="0"/>
          <w:numId w:val="1"/>
        </w:numPr>
        <w:spacing w:before="100" w:beforeAutospacing="1" w:after="100" w:afterAutospacing="1" w:line="300" w:lineRule="exact"/>
        <w:contextualSpacing/>
        <w:jc w:val="both"/>
        <w:rPr>
          <w:b/>
          <w:lang w:eastAsia="he-IL"/>
        </w:rPr>
      </w:pPr>
      <w:r>
        <w:rPr>
          <w:rFonts w:hint="cs"/>
          <w:b/>
          <w:rtl/>
          <w:lang w:eastAsia="he-IL"/>
        </w:rPr>
        <w:t>בתסקיר מיום 3.2.19 ציין שירות המבחן  כי הנאשם התחייב לשוב ולעבור גמילה פיזית ולהשתלב בהליך טיפולי, אך למרות הצהרותיו התנהלותו מלמדת על חוסר כוחות מצידו להתגייס לטיפול ולשקם את חייו. לאור האמור נמנע שירות המבחן מהמלצה טיפולית בעניינו.</w:t>
      </w:r>
    </w:p>
    <w:p w14:paraId="7455F8AC" w14:textId="77777777" w:rsidR="00216D31" w:rsidRDefault="00216D31" w:rsidP="00216D31">
      <w:pPr>
        <w:spacing w:before="100" w:beforeAutospacing="1" w:after="100" w:afterAutospacing="1" w:line="300" w:lineRule="exact"/>
        <w:contextualSpacing/>
        <w:rPr>
          <w:b/>
          <w:lang w:eastAsia="he-IL"/>
        </w:rPr>
      </w:pPr>
    </w:p>
    <w:p w14:paraId="2131CBE2" w14:textId="77777777" w:rsidR="00216D31" w:rsidRDefault="00216D31" w:rsidP="00216D31">
      <w:pPr>
        <w:spacing w:before="100" w:beforeAutospacing="1" w:after="100" w:afterAutospacing="1" w:line="300" w:lineRule="exact"/>
        <w:rPr>
          <w:bCs/>
          <w:u w:val="single"/>
          <w:rtl/>
          <w:lang w:eastAsia="he-IL"/>
        </w:rPr>
      </w:pPr>
      <w:r>
        <w:rPr>
          <w:rFonts w:hint="cs"/>
          <w:bCs/>
          <w:u w:val="single"/>
          <w:rtl/>
          <w:lang w:eastAsia="he-IL"/>
        </w:rPr>
        <w:t xml:space="preserve">טיעוני הצדדים לעונש:  </w:t>
      </w:r>
    </w:p>
    <w:p w14:paraId="0E675813" w14:textId="77777777" w:rsidR="00216D31" w:rsidRDefault="00216D31" w:rsidP="00216D31">
      <w:pPr>
        <w:numPr>
          <w:ilvl w:val="0"/>
          <w:numId w:val="1"/>
        </w:numPr>
        <w:spacing w:before="100" w:beforeAutospacing="1" w:after="100" w:afterAutospacing="1" w:line="300" w:lineRule="exact"/>
        <w:contextualSpacing/>
        <w:jc w:val="both"/>
        <w:rPr>
          <w:bCs/>
          <w:u w:val="single"/>
          <w:lang w:eastAsia="he-IL"/>
        </w:rPr>
      </w:pPr>
      <w:r w:rsidRPr="00216D31">
        <w:rPr>
          <w:rFonts w:ascii="Calibri" w:hAnsi="Calibri" w:hint="cs"/>
          <w:color w:val="000000"/>
          <w:rtl/>
        </w:rPr>
        <w:t xml:space="preserve">ב"כ המאשימה הגישה את הרשעותיו הקודמות של הנאשם ואת המאסר המותנה שתלוי ועומד נגדו. הפנתה לערכים המוגנים שנפגעו, טענה כי מידת הפגיעה בערכים היא בינונית. הפנתה לפסיקה הנוהגת, טענה כי מתחם העונש ההולם נע ממאסר מותנה ועד 6 חודשי מאסר. הפנתה להעדר שיתוף הפעולה עם שירות המבחן, טענה כי אין הצדקה לסטות </w:t>
      </w:r>
      <w:r w:rsidRPr="00216D31">
        <w:rPr>
          <w:rFonts w:ascii="Calibri" w:hAnsi="Calibri" w:hint="cs"/>
          <w:color w:val="000000"/>
          <w:rtl/>
        </w:rPr>
        <w:lastRenderedPageBreak/>
        <w:t>ממתחם העונש ההולם ועתרה להשית על הנאשם 6 חודשים מאסר תוך הפעלת המאסר המותנה בחופף וענישה נלווית.</w:t>
      </w:r>
    </w:p>
    <w:p w14:paraId="2DAA8282" w14:textId="77777777" w:rsidR="00216D31" w:rsidRDefault="00216D31" w:rsidP="00216D31">
      <w:pPr>
        <w:spacing w:before="100" w:beforeAutospacing="1" w:after="100" w:afterAutospacing="1" w:line="300" w:lineRule="exact"/>
        <w:ind w:left="720"/>
        <w:contextualSpacing/>
        <w:jc w:val="both"/>
        <w:rPr>
          <w:bCs/>
          <w:u w:val="single"/>
          <w:lang w:eastAsia="he-IL"/>
        </w:rPr>
      </w:pPr>
    </w:p>
    <w:p w14:paraId="015D7226" w14:textId="77777777" w:rsidR="00216D31" w:rsidRDefault="00216D31" w:rsidP="00216D31">
      <w:pPr>
        <w:numPr>
          <w:ilvl w:val="0"/>
          <w:numId w:val="1"/>
        </w:numPr>
        <w:spacing w:before="100" w:beforeAutospacing="1" w:after="100" w:afterAutospacing="1" w:line="300" w:lineRule="exact"/>
        <w:contextualSpacing/>
        <w:jc w:val="both"/>
        <w:rPr>
          <w:b/>
          <w:lang w:eastAsia="he-IL"/>
        </w:rPr>
      </w:pPr>
      <w:r w:rsidRPr="00045EC9">
        <w:rPr>
          <w:rFonts w:hint="cs"/>
          <w:b/>
          <w:rtl/>
          <w:lang w:eastAsia="he-IL"/>
        </w:rPr>
        <w:t>ב"כ הנאשם ציין ששירות המבחן לא המליץ על הפעלת התנאי אלא ננע בהמלצה בעניין זה. הפנה לשינוי במדיניות האכיה ביחס לעבירות הסמים, לחלוף הזמן, לכך שלא נתחו תיקים. לדבריו הפעלת מאסר מותנה תהיה בלתי מידתית בנסיבות תיק זה.</w:t>
      </w:r>
    </w:p>
    <w:p w14:paraId="78F0C2C4" w14:textId="77777777" w:rsidR="00216D31" w:rsidRDefault="00216D31" w:rsidP="00216D31">
      <w:pPr>
        <w:spacing w:before="100" w:beforeAutospacing="1" w:after="100" w:afterAutospacing="1" w:line="300" w:lineRule="exact"/>
        <w:ind w:left="720"/>
        <w:contextualSpacing/>
        <w:jc w:val="both"/>
        <w:rPr>
          <w:b/>
          <w:lang w:eastAsia="he-IL"/>
        </w:rPr>
      </w:pPr>
    </w:p>
    <w:p w14:paraId="476CC46D" w14:textId="77777777" w:rsidR="00216D31" w:rsidRDefault="00216D31" w:rsidP="00216D31">
      <w:pPr>
        <w:numPr>
          <w:ilvl w:val="0"/>
          <w:numId w:val="1"/>
        </w:numPr>
        <w:spacing w:before="100" w:beforeAutospacing="1" w:after="100" w:afterAutospacing="1" w:line="300" w:lineRule="exact"/>
        <w:contextualSpacing/>
        <w:jc w:val="both"/>
        <w:rPr>
          <w:b/>
          <w:lang w:eastAsia="he-IL"/>
        </w:rPr>
      </w:pPr>
      <w:r>
        <w:rPr>
          <w:rFonts w:hint="cs"/>
          <w:b/>
          <w:rtl/>
          <w:lang w:eastAsia="he-IL"/>
        </w:rPr>
        <w:t>הנאשם ציין שהוא אינו מתעסק בסמים, הוא נקי, אמור להתחתן בקרוב, לדבריו אינו זקוק לקהילה טיפולית משום שכבר אינו צורך סמים.</w:t>
      </w:r>
    </w:p>
    <w:p w14:paraId="32B86C48" w14:textId="77777777" w:rsidR="00216D31" w:rsidRPr="00216D31" w:rsidRDefault="00216D31" w:rsidP="00216D31">
      <w:pPr>
        <w:spacing w:before="100" w:beforeAutospacing="1" w:after="100" w:afterAutospacing="1" w:line="300" w:lineRule="exact"/>
        <w:ind w:left="720"/>
        <w:contextualSpacing/>
        <w:rPr>
          <w:rFonts w:ascii="Calibri" w:hAnsi="Calibri"/>
          <w:b/>
          <w:bCs/>
          <w:color w:val="000000"/>
          <w:u w:val="single"/>
        </w:rPr>
      </w:pPr>
    </w:p>
    <w:p w14:paraId="681EC219" w14:textId="77777777" w:rsidR="00216D31" w:rsidRDefault="00216D31" w:rsidP="00216D31">
      <w:pPr>
        <w:spacing w:before="100" w:beforeAutospacing="1" w:after="100" w:afterAutospacing="1" w:line="300" w:lineRule="exact"/>
        <w:contextualSpacing/>
        <w:rPr>
          <w:bCs/>
          <w:sz w:val="32"/>
          <w:szCs w:val="32"/>
          <w:u w:val="single"/>
          <w:lang w:eastAsia="he-IL"/>
        </w:rPr>
      </w:pPr>
    </w:p>
    <w:p w14:paraId="7F091EE8" w14:textId="77777777" w:rsidR="00216D31" w:rsidRDefault="00216D31" w:rsidP="00216D31">
      <w:pPr>
        <w:spacing w:before="100" w:beforeAutospacing="1" w:after="100" w:afterAutospacing="1" w:line="300" w:lineRule="exact"/>
        <w:contextualSpacing/>
        <w:rPr>
          <w:bCs/>
          <w:sz w:val="32"/>
          <w:szCs w:val="32"/>
          <w:u w:val="single"/>
          <w:rtl/>
          <w:lang w:eastAsia="he-IL"/>
        </w:rPr>
      </w:pPr>
    </w:p>
    <w:p w14:paraId="1BF3A4B7" w14:textId="77777777" w:rsidR="00216D31" w:rsidRDefault="00216D31" w:rsidP="00216D31">
      <w:pPr>
        <w:spacing w:before="100" w:beforeAutospacing="1" w:after="100" w:afterAutospacing="1" w:line="300" w:lineRule="exact"/>
        <w:contextualSpacing/>
        <w:rPr>
          <w:bCs/>
          <w:sz w:val="32"/>
          <w:szCs w:val="32"/>
          <w:u w:val="single"/>
          <w:rtl/>
          <w:lang w:eastAsia="he-IL"/>
        </w:rPr>
      </w:pPr>
    </w:p>
    <w:p w14:paraId="6D02D2D3" w14:textId="77777777" w:rsidR="00216D31" w:rsidRPr="00216D31" w:rsidRDefault="00216D31" w:rsidP="00216D31">
      <w:pPr>
        <w:spacing w:before="100" w:beforeAutospacing="1" w:after="100" w:afterAutospacing="1" w:line="300" w:lineRule="exact"/>
        <w:contextualSpacing/>
        <w:rPr>
          <w:rFonts w:ascii="Calibri" w:hAnsi="Calibri"/>
          <w:b/>
          <w:bCs/>
          <w:color w:val="000000"/>
          <w:sz w:val="32"/>
          <w:szCs w:val="32"/>
          <w:u w:val="single"/>
          <w:rtl/>
        </w:rPr>
      </w:pPr>
      <w:r>
        <w:rPr>
          <w:rFonts w:hint="cs"/>
          <w:bCs/>
          <w:sz w:val="32"/>
          <w:szCs w:val="32"/>
          <w:u w:val="single"/>
          <w:rtl/>
          <w:lang w:eastAsia="he-IL"/>
        </w:rPr>
        <w:t>דיון</w:t>
      </w:r>
    </w:p>
    <w:p w14:paraId="205EDA65" w14:textId="77777777" w:rsidR="00216D31" w:rsidRDefault="00216D31" w:rsidP="00216D31">
      <w:pPr>
        <w:spacing w:before="100" w:beforeAutospacing="1" w:after="100" w:afterAutospacing="1" w:line="180" w:lineRule="exact"/>
        <w:rPr>
          <w:rFonts w:ascii="David" w:hAnsi="David"/>
          <w:b/>
          <w:bCs/>
          <w:color w:val="000000"/>
          <w:u w:val="single"/>
        </w:rPr>
      </w:pPr>
    </w:p>
    <w:p w14:paraId="71ED2456" w14:textId="77777777" w:rsidR="00216D31" w:rsidRDefault="00216D31" w:rsidP="00216D31">
      <w:pPr>
        <w:spacing w:before="100" w:beforeAutospacing="1" w:after="100" w:afterAutospacing="1" w:line="300" w:lineRule="exact"/>
        <w:rPr>
          <w:b/>
          <w:bCs/>
          <w:color w:val="000000"/>
          <w:u w:val="single"/>
          <w:rtl/>
        </w:rPr>
      </w:pPr>
      <w:r>
        <w:rPr>
          <w:rFonts w:hint="cs"/>
          <w:b/>
          <w:bCs/>
          <w:color w:val="000000"/>
          <w:u w:val="single"/>
          <w:rtl/>
        </w:rPr>
        <w:t>מתחם העונש ההולם</w:t>
      </w:r>
    </w:p>
    <w:p w14:paraId="3197FAAB" w14:textId="77777777" w:rsidR="00216D31" w:rsidRDefault="00216D31" w:rsidP="00216D31">
      <w:pPr>
        <w:numPr>
          <w:ilvl w:val="0"/>
          <w:numId w:val="1"/>
        </w:numPr>
        <w:spacing w:before="100" w:beforeAutospacing="1" w:after="100" w:afterAutospacing="1" w:line="300" w:lineRule="exact"/>
        <w:contextualSpacing/>
        <w:jc w:val="both"/>
        <w:rPr>
          <w:b/>
          <w:rtl/>
          <w:lang w:eastAsia="he-IL"/>
        </w:rPr>
      </w:pPr>
      <w:r>
        <w:rPr>
          <w:rFonts w:hint="cs"/>
          <w:bCs/>
          <w:rtl/>
          <w:lang w:eastAsia="he-IL"/>
        </w:rPr>
        <w:t>הערך החברתי</w:t>
      </w:r>
      <w:r>
        <w:rPr>
          <w:rFonts w:hint="cs"/>
          <w:b/>
          <w:rtl/>
          <w:lang w:eastAsia="he-IL"/>
        </w:rPr>
        <w:t xml:space="preserve"> אשר נפגע בעבירה של שימוש בסמים לצריכה עצמית הוא הוא הגנה מפני הנזקים הישירים והעקיפים אשר נגרמים  עקב שימוש בסמים (פגיעה בשלומו ובריאותו הפיזי והנפשי של הציבור, התדרדרות לעבירות רכוש ואלימות לצורך השגת הסמים). </w:t>
      </w:r>
    </w:p>
    <w:p w14:paraId="2E783CAD" w14:textId="77777777" w:rsidR="00216D31" w:rsidRDefault="00216D31" w:rsidP="00216D31">
      <w:pPr>
        <w:spacing w:before="100" w:beforeAutospacing="1" w:after="100" w:afterAutospacing="1" w:line="300" w:lineRule="exact"/>
        <w:ind w:left="720"/>
        <w:contextualSpacing/>
        <w:rPr>
          <w:b/>
          <w:lang w:eastAsia="he-IL"/>
        </w:rPr>
      </w:pPr>
    </w:p>
    <w:p w14:paraId="55BC886C" w14:textId="77777777" w:rsidR="00216D31" w:rsidRDefault="00216D31" w:rsidP="00216D31">
      <w:pPr>
        <w:spacing w:before="100" w:beforeAutospacing="1" w:after="100" w:afterAutospacing="1" w:line="300" w:lineRule="exact"/>
        <w:ind w:left="720"/>
        <w:contextualSpacing/>
        <w:rPr>
          <w:b/>
          <w:lang w:eastAsia="he-IL"/>
        </w:rPr>
      </w:pPr>
      <w:r>
        <w:rPr>
          <w:rFonts w:hint="cs"/>
          <w:b/>
          <w:rtl/>
          <w:lang w:eastAsia="he-IL"/>
        </w:rPr>
        <w:t>ראו דברי כב' הש' ברלינר ב</w:t>
      </w:r>
      <w:hyperlink r:id="rId12" w:history="1">
        <w:r w:rsidR="00623035" w:rsidRPr="00623035">
          <w:rPr>
            <w:rStyle w:val="Hyperlink"/>
            <w:rFonts w:hint="eastAsia"/>
            <w:b/>
            <w:rtl/>
            <w:lang w:eastAsia="he-IL"/>
          </w:rPr>
          <w:t>ע</w:t>
        </w:r>
        <w:r w:rsidR="00623035" w:rsidRPr="00623035">
          <w:rPr>
            <w:rStyle w:val="Hyperlink"/>
            <w:b/>
            <w:rtl/>
            <w:lang w:eastAsia="he-IL"/>
          </w:rPr>
          <w:t>"פ 170/07</w:t>
        </w:r>
      </w:hyperlink>
      <w:r>
        <w:rPr>
          <w:rFonts w:hint="cs"/>
          <w:b/>
          <w:rtl/>
          <w:lang w:eastAsia="he-IL"/>
        </w:rPr>
        <w:t xml:space="preserve"> </w:t>
      </w:r>
      <w:r>
        <w:rPr>
          <w:rFonts w:hint="cs"/>
          <w:bCs/>
          <w:rtl/>
          <w:lang w:eastAsia="he-IL"/>
        </w:rPr>
        <w:t>מטיס נ' מדינת ישראל</w:t>
      </w:r>
      <w:r>
        <w:rPr>
          <w:rFonts w:hint="cs"/>
          <w:b/>
          <w:rtl/>
          <w:lang w:eastAsia="he-IL"/>
        </w:rPr>
        <w:t xml:space="preserve"> ביחס לשימוש עצמי בסמים מסוג קנאביס וחשיש:</w:t>
      </w:r>
    </w:p>
    <w:p w14:paraId="3CCA6D54" w14:textId="77777777" w:rsidR="00216D31" w:rsidRDefault="00216D31" w:rsidP="00216D31">
      <w:pPr>
        <w:spacing w:before="100" w:beforeAutospacing="1" w:after="100" w:afterAutospacing="1" w:line="300" w:lineRule="exact"/>
        <w:ind w:left="720"/>
        <w:contextualSpacing/>
        <w:rPr>
          <w:b/>
          <w:rtl/>
          <w:lang w:eastAsia="he-IL"/>
        </w:rPr>
      </w:pPr>
    </w:p>
    <w:p w14:paraId="3CD0FE0A" w14:textId="77777777" w:rsidR="00216D31" w:rsidRDefault="00216D31" w:rsidP="00216D31">
      <w:pPr>
        <w:spacing w:before="100" w:beforeAutospacing="1" w:after="100" w:afterAutospacing="1" w:line="300" w:lineRule="exact"/>
        <w:ind w:left="1440"/>
        <w:contextualSpacing/>
        <w:rPr>
          <w:b/>
          <w:rtl/>
          <w:lang w:eastAsia="he-IL"/>
        </w:rPr>
      </w:pPr>
      <w:r>
        <w:rPr>
          <w:rFonts w:hint="cs"/>
          <w:b/>
          <w:rtl/>
          <w:lang w:eastAsia="he-IL"/>
        </w:rPr>
        <w:t>"אכן הסם שמדובר בו בתיק הנוכחי הוא קנבוס שמוגדר כ"סם קל". לרוע המזל סמים קלים מהווים לעיתים קרובות את יריית הפתיחה להתמכרות לסמים קשים יותר שלא לדבר על כך שגם בשימוש בהם עצמם טמונה סכנה".</w:t>
      </w:r>
    </w:p>
    <w:p w14:paraId="38AEAD42" w14:textId="77777777" w:rsidR="00216D31" w:rsidRDefault="00216D31" w:rsidP="00216D31">
      <w:pPr>
        <w:spacing w:before="100" w:beforeAutospacing="1" w:after="100" w:afterAutospacing="1" w:line="300" w:lineRule="exact"/>
        <w:ind w:left="1440"/>
        <w:contextualSpacing/>
        <w:rPr>
          <w:b/>
          <w:rtl/>
          <w:lang w:eastAsia="he-IL"/>
        </w:rPr>
      </w:pPr>
    </w:p>
    <w:p w14:paraId="20399ED6" w14:textId="77777777" w:rsidR="00216D31" w:rsidRPr="00216D31" w:rsidRDefault="00216D31" w:rsidP="00216D31">
      <w:pPr>
        <w:numPr>
          <w:ilvl w:val="0"/>
          <w:numId w:val="1"/>
        </w:numPr>
        <w:tabs>
          <w:tab w:val="num" w:pos="0"/>
        </w:tabs>
        <w:spacing w:before="100" w:beforeAutospacing="1" w:after="100" w:afterAutospacing="1" w:line="300" w:lineRule="exact"/>
        <w:contextualSpacing/>
        <w:jc w:val="both"/>
        <w:rPr>
          <w:rFonts w:ascii="Calibri" w:hAnsi="Calibri"/>
          <w:b/>
          <w:bCs/>
          <w:color w:val="000000"/>
          <w:u w:val="single"/>
          <w:rtl/>
        </w:rPr>
      </w:pPr>
      <w:r>
        <w:rPr>
          <w:rFonts w:hint="cs"/>
          <w:bCs/>
          <w:rtl/>
          <w:lang w:eastAsia="he-IL"/>
        </w:rPr>
        <w:t>מידת הפגיעה בערך המוגן</w:t>
      </w:r>
      <w:r>
        <w:rPr>
          <w:rFonts w:hint="cs"/>
          <w:b/>
          <w:rtl/>
          <w:lang w:eastAsia="he-IL"/>
        </w:rPr>
        <w:t xml:space="preserve"> היא ברף הנמוך- בינוני, בשים לב לסוג הסם (קוקאין), לכמותו (0.26 = גרם) ולכך שנועד לצריכה עצמית.</w:t>
      </w:r>
    </w:p>
    <w:p w14:paraId="5D8F33C2" w14:textId="77777777" w:rsidR="00216D31" w:rsidRPr="00216D31" w:rsidRDefault="00216D31" w:rsidP="00216D31">
      <w:pPr>
        <w:spacing w:after="200" w:line="276" w:lineRule="auto"/>
        <w:ind w:left="720"/>
        <w:contextualSpacing/>
        <w:rPr>
          <w:rFonts w:ascii="Calibri" w:hAnsi="Calibri"/>
          <w:b/>
          <w:bCs/>
          <w:color w:val="000000"/>
          <w:u w:val="single"/>
        </w:rPr>
      </w:pPr>
    </w:p>
    <w:p w14:paraId="59C18645" w14:textId="77777777" w:rsidR="00216D31" w:rsidRPr="00216D31" w:rsidRDefault="00216D31" w:rsidP="00216D31">
      <w:pPr>
        <w:numPr>
          <w:ilvl w:val="0"/>
          <w:numId w:val="1"/>
        </w:numPr>
        <w:tabs>
          <w:tab w:val="num" w:pos="0"/>
        </w:tabs>
        <w:spacing w:before="100" w:beforeAutospacing="1" w:after="100" w:afterAutospacing="1" w:line="300" w:lineRule="exact"/>
        <w:contextualSpacing/>
        <w:jc w:val="both"/>
        <w:rPr>
          <w:rFonts w:ascii="Calibri" w:hAnsi="Calibri"/>
          <w:color w:val="000000"/>
          <w:rtl/>
        </w:rPr>
      </w:pPr>
      <w:r>
        <w:rPr>
          <w:rFonts w:ascii="Calibri" w:hAnsi="Calibri" w:hint="cs"/>
          <w:b/>
          <w:bCs/>
          <w:rtl/>
        </w:rPr>
        <w:t xml:space="preserve">באשר לנסיבות ביצוע העבירה, </w:t>
      </w:r>
      <w:r>
        <w:rPr>
          <w:rFonts w:ascii="Calibri" w:hAnsi="Calibri" w:hint="cs"/>
          <w:rtl/>
        </w:rPr>
        <w:t>נתתי דעתי לכך שה</w:t>
      </w:r>
      <w:r w:rsidRPr="00216D31">
        <w:rPr>
          <w:rFonts w:ascii="Calibri" w:hAnsi="Calibri" w:hint="cs"/>
          <w:color w:val="000000"/>
          <w:rtl/>
        </w:rPr>
        <w:t>עבירה לא בוצעה בתחכום. נתתי דעתי לסוג הסם ומשקלו ולכך שנועד לצריכה עצמית.</w:t>
      </w:r>
    </w:p>
    <w:p w14:paraId="7048FB60" w14:textId="77777777" w:rsidR="00216D31" w:rsidRPr="00216D31" w:rsidRDefault="00216D31" w:rsidP="00216D31">
      <w:pPr>
        <w:spacing w:before="100" w:beforeAutospacing="1" w:after="100" w:afterAutospacing="1" w:line="300" w:lineRule="exact"/>
        <w:ind w:left="720"/>
        <w:contextualSpacing/>
        <w:rPr>
          <w:rFonts w:ascii="Calibri" w:hAnsi="Calibri"/>
          <w:b/>
          <w:bCs/>
          <w:color w:val="000000"/>
          <w:u w:val="single"/>
        </w:rPr>
      </w:pPr>
    </w:p>
    <w:p w14:paraId="3AE08ACF" w14:textId="77777777" w:rsidR="00216D31" w:rsidRDefault="00216D31" w:rsidP="00216D31">
      <w:pPr>
        <w:numPr>
          <w:ilvl w:val="0"/>
          <w:numId w:val="1"/>
        </w:numPr>
        <w:tabs>
          <w:tab w:val="num" w:pos="0"/>
        </w:tabs>
        <w:spacing w:before="100" w:beforeAutospacing="1" w:after="100" w:afterAutospacing="1" w:line="300" w:lineRule="exact"/>
        <w:contextualSpacing/>
        <w:jc w:val="both"/>
        <w:rPr>
          <w:b/>
          <w:lang w:eastAsia="he-IL"/>
        </w:rPr>
      </w:pPr>
      <w:r>
        <w:rPr>
          <w:rFonts w:hint="cs"/>
          <w:b/>
          <w:rtl/>
          <w:lang w:eastAsia="he-IL"/>
        </w:rPr>
        <w:t xml:space="preserve">בחינת </w:t>
      </w:r>
      <w:r>
        <w:rPr>
          <w:rFonts w:hint="cs"/>
          <w:bCs/>
          <w:rtl/>
          <w:lang w:eastAsia="he-IL"/>
        </w:rPr>
        <w:t>מדיניות הענישה הנוהגת</w:t>
      </w:r>
      <w:r>
        <w:rPr>
          <w:rFonts w:hint="cs"/>
          <w:b/>
          <w:rtl/>
          <w:lang w:eastAsia="he-IL"/>
        </w:rPr>
        <w:t xml:space="preserve"> מעלה כי במקרים דומים (מבחינת כמות וסוג הסם) הוטלו על נאשמים עונשים הנעים ממאסר מותנה ועד לתקופות מאסר קצרות שיכול וירוצו בעבודות שירות.  במקרים רבים אף נמנעו מהרשעה. ראו למשל:</w:t>
      </w:r>
      <w:r>
        <w:rPr>
          <w:rFonts w:hint="cs"/>
          <w:b/>
          <w:rtl/>
          <w:lang w:eastAsia="he-IL"/>
        </w:rPr>
        <w:tab/>
      </w:r>
    </w:p>
    <w:p w14:paraId="533A07A2" w14:textId="77777777" w:rsidR="00216D31" w:rsidRDefault="00216D31" w:rsidP="00216D31">
      <w:pPr>
        <w:spacing w:before="100" w:beforeAutospacing="1" w:after="100" w:afterAutospacing="1" w:line="300" w:lineRule="exact"/>
        <w:ind w:left="720"/>
        <w:contextualSpacing/>
        <w:rPr>
          <w:b/>
          <w:lang w:eastAsia="he-IL"/>
        </w:rPr>
      </w:pPr>
    </w:p>
    <w:p w14:paraId="7443A2EC" w14:textId="77777777" w:rsidR="00216D31" w:rsidRDefault="00623035" w:rsidP="00216D31">
      <w:pPr>
        <w:numPr>
          <w:ilvl w:val="0"/>
          <w:numId w:val="2"/>
        </w:numPr>
        <w:spacing w:before="100" w:beforeAutospacing="1" w:after="100" w:afterAutospacing="1" w:line="300" w:lineRule="exact"/>
        <w:contextualSpacing/>
        <w:jc w:val="both"/>
        <w:rPr>
          <w:b/>
          <w:sz w:val="22"/>
          <w:szCs w:val="22"/>
          <w:rtl/>
          <w:lang w:eastAsia="he-IL"/>
        </w:rPr>
      </w:pPr>
      <w:hyperlink r:id="rId13" w:history="1">
        <w:r w:rsidRPr="00623035">
          <w:rPr>
            <w:rStyle w:val="Hyperlink"/>
            <w:rFonts w:hint="eastAsia"/>
            <w:b/>
            <w:sz w:val="22"/>
            <w:szCs w:val="22"/>
            <w:rtl/>
            <w:lang w:eastAsia="he-IL"/>
          </w:rPr>
          <w:t>רע</w:t>
        </w:r>
        <w:r w:rsidRPr="00623035">
          <w:rPr>
            <w:rStyle w:val="Hyperlink"/>
            <w:b/>
            <w:sz w:val="22"/>
            <w:szCs w:val="22"/>
            <w:rtl/>
            <w:lang w:eastAsia="he-IL"/>
          </w:rPr>
          <w:t>"פ 6138/09</w:t>
        </w:r>
      </w:hyperlink>
      <w:r w:rsidR="00216D31">
        <w:rPr>
          <w:rFonts w:hint="cs"/>
          <w:b/>
          <w:sz w:val="22"/>
          <w:szCs w:val="22"/>
          <w:rtl/>
          <w:lang w:eastAsia="he-IL"/>
        </w:rPr>
        <w:t xml:space="preserve"> </w:t>
      </w:r>
      <w:r w:rsidR="00216D31">
        <w:rPr>
          <w:rFonts w:hint="cs"/>
          <w:bCs/>
          <w:sz w:val="22"/>
          <w:szCs w:val="22"/>
          <w:rtl/>
          <w:lang w:eastAsia="he-IL"/>
        </w:rPr>
        <w:t>איליה פרדזב נ' מדינת ישראל</w:t>
      </w:r>
      <w:r w:rsidR="00216D31">
        <w:rPr>
          <w:rFonts w:hint="cs"/>
          <w:b/>
          <w:sz w:val="22"/>
          <w:szCs w:val="22"/>
          <w:rtl/>
          <w:lang w:eastAsia="he-IL"/>
        </w:rPr>
        <w:t>. הנאשם הורשע בביצוע מספר עבירות של החזקת סם מסוכן לצריכה עצמית ונדון ל-8 חודשי מאסר וענישה נלווית. ערעורו נדחה.</w:t>
      </w:r>
    </w:p>
    <w:p w14:paraId="61CE261A" w14:textId="77777777" w:rsidR="00216D31" w:rsidRPr="005F4E26" w:rsidRDefault="00623035" w:rsidP="00216D31">
      <w:pPr>
        <w:numPr>
          <w:ilvl w:val="0"/>
          <w:numId w:val="2"/>
        </w:numPr>
        <w:spacing w:before="100" w:beforeAutospacing="1" w:after="100" w:afterAutospacing="1" w:line="300" w:lineRule="exact"/>
        <w:contextualSpacing/>
        <w:jc w:val="both"/>
        <w:rPr>
          <w:b/>
          <w:sz w:val="22"/>
          <w:szCs w:val="22"/>
          <w:lang w:eastAsia="he-IL"/>
        </w:rPr>
      </w:pPr>
      <w:hyperlink r:id="rId14" w:history="1">
        <w:r w:rsidRPr="00623035">
          <w:rPr>
            <w:rStyle w:val="Hyperlink"/>
            <w:rFonts w:hint="eastAsia"/>
            <w:b/>
            <w:sz w:val="22"/>
            <w:szCs w:val="22"/>
            <w:rtl/>
            <w:lang w:eastAsia="he-IL"/>
          </w:rPr>
          <w:t>ת</w:t>
        </w:r>
        <w:r w:rsidRPr="00623035">
          <w:rPr>
            <w:rStyle w:val="Hyperlink"/>
            <w:b/>
            <w:sz w:val="22"/>
            <w:szCs w:val="22"/>
            <w:rtl/>
            <w:lang w:eastAsia="he-IL"/>
          </w:rPr>
          <w:t>"פ (מחוזי-פ"ת)  32746-11-09</w:t>
        </w:r>
      </w:hyperlink>
      <w:r w:rsidR="00216D31">
        <w:rPr>
          <w:rFonts w:hint="cs"/>
          <w:b/>
          <w:sz w:val="22"/>
          <w:szCs w:val="22"/>
          <w:rtl/>
          <w:lang w:eastAsia="he-IL"/>
        </w:rPr>
        <w:t xml:space="preserve"> </w:t>
      </w:r>
      <w:r w:rsidR="00216D31">
        <w:rPr>
          <w:rFonts w:hint="cs"/>
          <w:bCs/>
          <w:sz w:val="22"/>
          <w:szCs w:val="22"/>
          <w:rtl/>
          <w:lang w:eastAsia="he-IL"/>
        </w:rPr>
        <w:t>מדינת ישראל נ' ביטון ואח'</w:t>
      </w:r>
      <w:r w:rsidR="00216D31">
        <w:rPr>
          <w:rFonts w:hint="cs"/>
          <w:b/>
          <w:sz w:val="22"/>
          <w:szCs w:val="22"/>
          <w:rtl/>
          <w:lang w:eastAsia="he-IL"/>
        </w:rPr>
        <w:t xml:space="preserve">. נאשם, נעדר עבר פלילי, הורשע בהחזקת קנבוס במשקל כ-18 גרם, נדון למאסר החופף את תקופת מעצרו למשך חודשיים ושבוע, </w:t>
      </w:r>
      <w:r w:rsidR="00216D31" w:rsidRPr="005F4E26">
        <w:rPr>
          <w:rFonts w:hint="cs"/>
          <w:b/>
          <w:sz w:val="22"/>
          <w:szCs w:val="22"/>
          <w:rtl/>
          <w:lang w:eastAsia="he-IL"/>
        </w:rPr>
        <w:t xml:space="preserve">וענישה נלווית. עונש דומה הוטל במסגרת אותו תיק על נאשם אחר, בעל עבר פלילי ישן.  </w:t>
      </w:r>
    </w:p>
    <w:p w14:paraId="3C98A2B7" w14:textId="77777777" w:rsidR="00216D31" w:rsidRPr="00216D31" w:rsidRDefault="00491D81" w:rsidP="00216D31">
      <w:pPr>
        <w:numPr>
          <w:ilvl w:val="0"/>
          <w:numId w:val="2"/>
        </w:numPr>
        <w:shd w:val="clear" w:color="auto" w:fill="FFFFFF"/>
        <w:spacing w:after="160" w:line="360" w:lineRule="auto"/>
        <w:ind w:right="-426"/>
        <w:contextualSpacing/>
        <w:jc w:val="both"/>
        <w:rPr>
          <w:rFonts w:ascii="Calibri" w:hAnsi="Calibri"/>
          <w:sz w:val="22"/>
          <w:szCs w:val="22"/>
        </w:rPr>
      </w:pPr>
      <w:hyperlink r:id="rId15" w:history="1">
        <w:r w:rsidR="00216D31" w:rsidRPr="00216D31">
          <w:rPr>
            <w:rStyle w:val="Hyperlink"/>
            <w:rFonts w:ascii="Calibri" w:hAnsi="Calibri" w:hint="cs"/>
            <w:sz w:val="22"/>
            <w:szCs w:val="22"/>
            <w:rtl/>
          </w:rPr>
          <w:t>ת"פ (י-ם) 16926-04-16</w:t>
        </w:r>
      </w:hyperlink>
      <w:r w:rsidR="00216D31" w:rsidRPr="00216D31">
        <w:rPr>
          <w:rFonts w:ascii="Calibri" w:hAnsi="Calibri"/>
          <w:sz w:val="22"/>
          <w:szCs w:val="22"/>
          <w:rtl/>
        </w:rPr>
        <w:t xml:space="preserve"> </w:t>
      </w:r>
      <w:r w:rsidR="00216D31" w:rsidRPr="00216D31">
        <w:rPr>
          <w:rFonts w:ascii="Calibri" w:hAnsi="Calibri" w:hint="cs"/>
          <w:b/>
          <w:bCs/>
          <w:sz w:val="22"/>
          <w:szCs w:val="22"/>
          <w:rtl/>
        </w:rPr>
        <w:t>מדינת ישראל נ' יואל כף</w:t>
      </w:r>
      <w:r w:rsidR="00216D31" w:rsidRPr="00216D31">
        <w:rPr>
          <w:rFonts w:ascii="Calibri" w:hAnsi="Calibri" w:hint="cs"/>
          <w:sz w:val="22"/>
          <w:szCs w:val="22"/>
          <w:rtl/>
        </w:rPr>
        <w:t xml:space="preserve">  הנאשם הורשע בעבירה של החזקת סמים לצריכה עצמית במשקל של 20.109 גר'. נגזרו עליו 3 חוד' מע"ת וקנס. </w:t>
      </w:r>
    </w:p>
    <w:p w14:paraId="46A71634" w14:textId="77777777" w:rsidR="00216D31" w:rsidRPr="00216D31" w:rsidRDefault="00623035" w:rsidP="00216D31">
      <w:pPr>
        <w:numPr>
          <w:ilvl w:val="0"/>
          <w:numId w:val="2"/>
        </w:numPr>
        <w:shd w:val="clear" w:color="auto" w:fill="FFFFFF"/>
        <w:spacing w:after="160" w:line="360" w:lineRule="auto"/>
        <w:ind w:right="-426"/>
        <w:contextualSpacing/>
        <w:jc w:val="both"/>
        <w:rPr>
          <w:rFonts w:ascii="Calibri" w:hAnsi="Calibri"/>
          <w:sz w:val="22"/>
          <w:szCs w:val="22"/>
        </w:rPr>
      </w:pPr>
      <w:hyperlink r:id="rId16" w:history="1">
        <w:r w:rsidRPr="00623035">
          <w:rPr>
            <w:rStyle w:val="Hyperlink"/>
            <w:rFonts w:ascii="Calibri" w:hAnsi="Calibri" w:hint="eastAsia"/>
            <w:sz w:val="22"/>
            <w:szCs w:val="22"/>
            <w:rtl/>
            <w:lang w:eastAsia="he-IL"/>
          </w:rPr>
          <w:t>ת</w:t>
        </w:r>
        <w:r w:rsidRPr="00623035">
          <w:rPr>
            <w:rStyle w:val="Hyperlink"/>
            <w:rFonts w:ascii="Calibri" w:hAnsi="Calibri"/>
            <w:sz w:val="22"/>
            <w:szCs w:val="22"/>
            <w:rtl/>
            <w:lang w:eastAsia="he-IL"/>
          </w:rPr>
          <w:t>"</w:t>
        </w:r>
        <w:r w:rsidRPr="00623035">
          <w:rPr>
            <w:rStyle w:val="Hyperlink"/>
            <w:rFonts w:ascii="Calibri" w:hAnsi="Calibri" w:hint="eastAsia"/>
            <w:sz w:val="22"/>
            <w:szCs w:val="22"/>
            <w:rtl/>
            <w:lang w:eastAsia="he-IL"/>
          </w:rPr>
          <w:t>פ</w:t>
        </w:r>
        <w:r w:rsidRPr="00623035">
          <w:rPr>
            <w:rStyle w:val="Hyperlink"/>
            <w:rFonts w:ascii="Calibri" w:hAnsi="Calibri"/>
            <w:sz w:val="22"/>
            <w:szCs w:val="22"/>
            <w:rtl/>
            <w:lang w:eastAsia="he-IL"/>
          </w:rPr>
          <w:t xml:space="preserve"> (</w:t>
        </w:r>
        <w:r w:rsidRPr="00623035">
          <w:rPr>
            <w:rStyle w:val="Hyperlink"/>
            <w:rFonts w:ascii="Calibri" w:hAnsi="Calibri" w:hint="eastAsia"/>
            <w:sz w:val="22"/>
            <w:szCs w:val="22"/>
            <w:rtl/>
            <w:lang w:eastAsia="he-IL"/>
          </w:rPr>
          <w:t>באר</w:t>
        </w:r>
        <w:r w:rsidRPr="00623035">
          <w:rPr>
            <w:rStyle w:val="Hyperlink"/>
            <w:rFonts w:ascii="Calibri" w:hAnsi="Calibri"/>
            <w:sz w:val="22"/>
            <w:szCs w:val="22"/>
            <w:rtl/>
            <w:lang w:eastAsia="he-IL"/>
          </w:rPr>
          <w:t xml:space="preserve"> </w:t>
        </w:r>
        <w:r w:rsidRPr="00623035">
          <w:rPr>
            <w:rStyle w:val="Hyperlink"/>
            <w:rFonts w:ascii="Calibri" w:hAnsi="Calibri" w:hint="eastAsia"/>
            <w:sz w:val="22"/>
            <w:szCs w:val="22"/>
            <w:rtl/>
            <w:lang w:eastAsia="he-IL"/>
          </w:rPr>
          <w:t>שבע</w:t>
        </w:r>
        <w:r w:rsidRPr="00623035">
          <w:rPr>
            <w:rStyle w:val="Hyperlink"/>
            <w:rFonts w:ascii="Calibri" w:hAnsi="Calibri"/>
            <w:sz w:val="22"/>
            <w:szCs w:val="22"/>
            <w:rtl/>
            <w:lang w:eastAsia="he-IL"/>
          </w:rPr>
          <w:t>) 32753-12-13</w:t>
        </w:r>
      </w:hyperlink>
      <w:r w:rsidR="00216D31" w:rsidRPr="00216D31">
        <w:rPr>
          <w:rFonts w:ascii="Calibri" w:hAnsi="Calibri"/>
          <w:sz w:val="22"/>
          <w:szCs w:val="22"/>
          <w:rtl/>
          <w:lang w:eastAsia="he-IL"/>
        </w:rPr>
        <w:t xml:space="preserve"> </w:t>
      </w:r>
      <w:r w:rsidR="00216D31" w:rsidRPr="00216D31">
        <w:rPr>
          <w:rFonts w:ascii="Calibri" w:hAnsi="Calibri" w:hint="cs"/>
          <w:b/>
          <w:bCs/>
          <w:sz w:val="22"/>
          <w:szCs w:val="22"/>
          <w:rtl/>
          <w:lang w:eastAsia="he-IL"/>
        </w:rPr>
        <w:t>מדינת ישראל נ' בן אבו</w:t>
      </w:r>
      <w:r w:rsidR="00216D31" w:rsidRPr="00216D31">
        <w:rPr>
          <w:rFonts w:ascii="Calibri" w:hAnsi="Calibri" w:hint="cs"/>
          <w:sz w:val="22"/>
          <w:szCs w:val="22"/>
          <w:rtl/>
          <w:lang w:eastAsia="he-IL"/>
        </w:rPr>
        <w:t>. הנאשם הורשע בעבירה של החזקת סם לצריכה עצמית מסוג הרואין במשקל 0.1984 גר'. נגזרו עליו במסגרת הסדר התחייבות, והארכת מאסר מותנה שהיה תלוי ועומד כנגדו.</w:t>
      </w:r>
      <w:r w:rsidR="00216D31" w:rsidRPr="00216D31">
        <w:rPr>
          <w:rFonts w:ascii="Calibri" w:hAnsi="Calibri" w:hint="cs"/>
          <w:b/>
          <w:bCs/>
          <w:sz w:val="22"/>
          <w:szCs w:val="22"/>
          <w:rtl/>
          <w:lang w:eastAsia="he-IL"/>
        </w:rPr>
        <w:t xml:space="preserve"> </w:t>
      </w:r>
    </w:p>
    <w:p w14:paraId="130BACEC" w14:textId="77777777" w:rsidR="00216D31" w:rsidRPr="00216D31" w:rsidRDefault="00623035" w:rsidP="00216D31">
      <w:pPr>
        <w:numPr>
          <w:ilvl w:val="0"/>
          <w:numId w:val="2"/>
        </w:numPr>
        <w:shd w:val="clear" w:color="auto" w:fill="FFFFFF"/>
        <w:spacing w:after="160" w:line="360" w:lineRule="auto"/>
        <w:ind w:right="-426"/>
        <w:contextualSpacing/>
        <w:jc w:val="both"/>
        <w:rPr>
          <w:rFonts w:ascii="Calibri" w:hAnsi="Calibri"/>
          <w:sz w:val="22"/>
          <w:szCs w:val="22"/>
        </w:rPr>
      </w:pPr>
      <w:hyperlink r:id="rId17" w:history="1">
        <w:r w:rsidRPr="00623035">
          <w:rPr>
            <w:rStyle w:val="Hyperlink"/>
            <w:rFonts w:ascii="Calibri" w:hAnsi="Calibri" w:hint="eastAsia"/>
            <w:sz w:val="22"/>
            <w:szCs w:val="22"/>
            <w:rtl/>
            <w:lang w:eastAsia="he-IL"/>
          </w:rPr>
          <w:t>ת</w:t>
        </w:r>
        <w:r w:rsidRPr="00623035">
          <w:rPr>
            <w:rStyle w:val="Hyperlink"/>
            <w:rFonts w:ascii="Calibri" w:hAnsi="Calibri"/>
            <w:sz w:val="22"/>
            <w:szCs w:val="22"/>
            <w:rtl/>
            <w:lang w:eastAsia="he-IL"/>
          </w:rPr>
          <w:t>"</w:t>
        </w:r>
        <w:r w:rsidRPr="00623035">
          <w:rPr>
            <w:rStyle w:val="Hyperlink"/>
            <w:rFonts w:ascii="Calibri" w:hAnsi="Calibri" w:hint="eastAsia"/>
            <w:sz w:val="22"/>
            <w:szCs w:val="22"/>
            <w:rtl/>
            <w:lang w:eastAsia="he-IL"/>
          </w:rPr>
          <w:t>פ</w:t>
        </w:r>
        <w:r w:rsidRPr="00623035">
          <w:rPr>
            <w:rStyle w:val="Hyperlink"/>
            <w:rFonts w:ascii="Calibri" w:hAnsi="Calibri"/>
            <w:sz w:val="22"/>
            <w:szCs w:val="22"/>
            <w:rtl/>
            <w:lang w:eastAsia="he-IL"/>
          </w:rPr>
          <w:t xml:space="preserve"> (</w:t>
        </w:r>
        <w:r w:rsidRPr="00623035">
          <w:rPr>
            <w:rStyle w:val="Hyperlink"/>
            <w:rFonts w:ascii="Calibri" w:hAnsi="Calibri" w:hint="eastAsia"/>
            <w:sz w:val="22"/>
            <w:szCs w:val="22"/>
            <w:rtl/>
            <w:lang w:eastAsia="he-IL"/>
          </w:rPr>
          <w:t>באר</w:t>
        </w:r>
        <w:r w:rsidRPr="00623035">
          <w:rPr>
            <w:rStyle w:val="Hyperlink"/>
            <w:rFonts w:ascii="Calibri" w:hAnsi="Calibri"/>
            <w:sz w:val="22"/>
            <w:szCs w:val="22"/>
            <w:rtl/>
            <w:lang w:eastAsia="he-IL"/>
          </w:rPr>
          <w:t xml:space="preserve"> </w:t>
        </w:r>
        <w:r w:rsidRPr="00623035">
          <w:rPr>
            <w:rStyle w:val="Hyperlink"/>
            <w:rFonts w:ascii="Calibri" w:hAnsi="Calibri" w:hint="eastAsia"/>
            <w:sz w:val="22"/>
            <w:szCs w:val="22"/>
            <w:rtl/>
            <w:lang w:eastAsia="he-IL"/>
          </w:rPr>
          <w:t>שבע</w:t>
        </w:r>
        <w:r w:rsidRPr="00623035">
          <w:rPr>
            <w:rStyle w:val="Hyperlink"/>
            <w:rFonts w:ascii="Calibri" w:hAnsi="Calibri"/>
            <w:sz w:val="22"/>
            <w:szCs w:val="22"/>
            <w:rtl/>
            <w:lang w:eastAsia="he-IL"/>
          </w:rPr>
          <w:t>) 6920-11-13</w:t>
        </w:r>
      </w:hyperlink>
      <w:r w:rsidR="00216D31" w:rsidRPr="00216D31">
        <w:rPr>
          <w:rFonts w:ascii="Calibri" w:hAnsi="Calibri"/>
          <w:sz w:val="22"/>
          <w:szCs w:val="22"/>
          <w:rtl/>
          <w:lang w:eastAsia="he-IL"/>
        </w:rPr>
        <w:t xml:space="preserve"> </w:t>
      </w:r>
      <w:r w:rsidR="00216D31" w:rsidRPr="00216D31">
        <w:rPr>
          <w:rFonts w:ascii="Calibri" w:hAnsi="Calibri" w:hint="cs"/>
          <w:b/>
          <w:bCs/>
          <w:sz w:val="22"/>
          <w:szCs w:val="22"/>
          <w:rtl/>
          <w:lang w:eastAsia="he-IL"/>
        </w:rPr>
        <w:t>מדינת ישראל נ' חזיזה</w:t>
      </w:r>
      <w:r w:rsidR="00216D31" w:rsidRPr="00216D31">
        <w:rPr>
          <w:rFonts w:ascii="Calibri" w:hAnsi="Calibri" w:hint="cs"/>
          <w:sz w:val="22"/>
          <w:szCs w:val="22"/>
          <w:rtl/>
          <w:lang w:eastAsia="he-IL"/>
        </w:rPr>
        <w:t>. הנאשם הורשע בעבירה של החזקת סם לצריכה עצמית מסוג חשיש במשקל של 20.1931 גר'. נידון במסגרת הסדר למבחן והארכת 2 מאסרים מותנים, התחייבות וקנס.</w:t>
      </w:r>
    </w:p>
    <w:p w14:paraId="41F5A004" w14:textId="77777777" w:rsidR="00216D31" w:rsidRDefault="00216D31" w:rsidP="00216D31">
      <w:pPr>
        <w:spacing w:before="100" w:beforeAutospacing="1" w:after="100" w:afterAutospacing="1" w:line="300" w:lineRule="exact"/>
        <w:ind w:left="1080"/>
        <w:contextualSpacing/>
        <w:rPr>
          <w:b/>
          <w:lang w:eastAsia="he-IL"/>
        </w:rPr>
      </w:pPr>
    </w:p>
    <w:p w14:paraId="0708A1D5" w14:textId="77777777" w:rsidR="00216D31" w:rsidRDefault="00216D31" w:rsidP="00216D31">
      <w:pPr>
        <w:numPr>
          <w:ilvl w:val="0"/>
          <w:numId w:val="1"/>
        </w:numPr>
        <w:spacing w:before="100" w:beforeAutospacing="1" w:after="100" w:afterAutospacing="1" w:line="300" w:lineRule="exact"/>
        <w:contextualSpacing/>
        <w:jc w:val="both"/>
      </w:pPr>
      <w:r>
        <w:rPr>
          <w:rFonts w:hint="cs"/>
          <w:rtl/>
        </w:rPr>
        <w:t xml:space="preserve">לאור כל המפורט לעיל אני קובעת כי </w:t>
      </w:r>
      <w:r>
        <w:rPr>
          <w:rFonts w:hint="cs"/>
          <w:b/>
          <w:bCs/>
          <w:rtl/>
        </w:rPr>
        <w:t xml:space="preserve">מתחם העונש ההולם </w:t>
      </w:r>
      <w:r>
        <w:rPr>
          <w:rFonts w:hint="cs"/>
          <w:rtl/>
        </w:rPr>
        <w:t>נע ממאסר מותנה ועד למאסר קצר שיכול וירוצה בעבודות שירות.</w:t>
      </w:r>
    </w:p>
    <w:p w14:paraId="71351CD3" w14:textId="77777777" w:rsidR="00216D31" w:rsidRDefault="00216D31" w:rsidP="00216D31">
      <w:pPr>
        <w:spacing w:before="100" w:beforeAutospacing="1" w:after="100" w:afterAutospacing="1" w:line="300" w:lineRule="exact"/>
        <w:ind w:left="720"/>
        <w:contextualSpacing/>
      </w:pPr>
    </w:p>
    <w:p w14:paraId="1D9FD08D" w14:textId="77777777" w:rsidR="00216D31" w:rsidRDefault="00216D31" w:rsidP="00216D31">
      <w:pPr>
        <w:numPr>
          <w:ilvl w:val="0"/>
          <w:numId w:val="1"/>
        </w:numPr>
        <w:spacing w:before="100" w:beforeAutospacing="1" w:after="100" w:afterAutospacing="1" w:line="300" w:lineRule="exact"/>
        <w:contextualSpacing/>
        <w:jc w:val="both"/>
      </w:pPr>
      <w:r>
        <w:rPr>
          <w:rFonts w:hint="cs"/>
          <w:rtl/>
        </w:rPr>
        <w:t>לנאשם הרשעה קודמת יחידה בעבירות של גניבה, תקיפה והחזקת סם לצריכה עצמית.</w:t>
      </w:r>
    </w:p>
    <w:p w14:paraId="17107B7B" w14:textId="77777777" w:rsidR="00216D31" w:rsidRDefault="00216D31" w:rsidP="00216D31">
      <w:pPr>
        <w:spacing w:before="100" w:beforeAutospacing="1" w:after="100" w:afterAutospacing="1" w:line="300" w:lineRule="exact"/>
        <w:ind w:left="720"/>
        <w:contextualSpacing/>
      </w:pPr>
    </w:p>
    <w:p w14:paraId="6E5DD162" w14:textId="77777777" w:rsidR="00216D31" w:rsidRDefault="00216D31" w:rsidP="00216D31">
      <w:pPr>
        <w:numPr>
          <w:ilvl w:val="0"/>
          <w:numId w:val="1"/>
        </w:numPr>
        <w:spacing w:before="100" w:beforeAutospacing="1" w:after="100" w:afterAutospacing="1" w:line="300" w:lineRule="exact"/>
        <w:contextualSpacing/>
        <w:jc w:val="both"/>
      </w:pPr>
      <w:r>
        <w:rPr>
          <w:rFonts w:hint="cs"/>
          <w:rtl/>
        </w:rPr>
        <w:t>כנגד הנאשם תלוי ועומד מאסר מותנה בן  5 חודשים בר הפעלה בתיק זה.  מאסר מותנה שהוטל עליו בשנת 2014 בגין עבירות שבוצעו בשנת 2012.</w:t>
      </w:r>
    </w:p>
    <w:p w14:paraId="2036832E" w14:textId="77777777" w:rsidR="00216D31" w:rsidRDefault="00216D31" w:rsidP="00216D31">
      <w:pPr>
        <w:spacing w:before="100" w:beforeAutospacing="1" w:after="100" w:afterAutospacing="1" w:line="300" w:lineRule="exact"/>
        <w:ind w:left="720"/>
        <w:contextualSpacing/>
      </w:pPr>
    </w:p>
    <w:p w14:paraId="665348CF" w14:textId="77777777" w:rsidR="00216D31" w:rsidRDefault="00216D31" w:rsidP="00216D31">
      <w:pPr>
        <w:numPr>
          <w:ilvl w:val="0"/>
          <w:numId w:val="1"/>
        </w:numPr>
        <w:spacing w:before="100" w:beforeAutospacing="1" w:after="100" w:afterAutospacing="1" w:line="300" w:lineRule="exact"/>
        <w:contextualSpacing/>
        <w:jc w:val="both"/>
      </w:pPr>
      <w:r>
        <w:rPr>
          <w:rFonts w:hint="cs"/>
          <w:rtl/>
        </w:rPr>
        <w:t xml:space="preserve">כאמור, הנאשם ניסה לעבור הליך טיפולי, אף התאשפז לגמילה פיזית, אך חזר אל הסם.  להערכת שירות המבחן, בהעדר גמילה קיים סיכון להישנות עבירות,  בהעדר שיתוף פעולה בהליך הטיפולי נמנע שירות המבחן מהמלצה להאריך המאסר המותנה. </w:t>
      </w:r>
    </w:p>
    <w:p w14:paraId="241D29E2" w14:textId="77777777" w:rsidR="00216D31" w:rsidRDefault="00216D31" w:rsidP="00216D31">
      <w:pPr>
        <w:spacing w:before="100" w:beforeAutospacing="1" w:after="100" w:afterAutospacing="1" w:line="300" w:lineRule="exact"/>
        <w:ind w:left="720"/>
        <w:contextualSpacing/>
      </w:pPr>
    </w:p>
    <w:p w14:paraId="0DDC802C" w14:textId="77777777" w:rsidR="00216D31" w:rsidRDefault="00216D31" w:rsidP="00216D31">
      <w:pPr>
        <w:numPr>
          <w:ilvl w:val="0"/>
          <w:numId w:val="1"/>
        </w:numPr>
        <w:spacing w:before="100" w:beforeAutospacing="1" w:after="100" w:afterAutospacing="1" w:line="300" w:lineRule="exact"/>
        <w:contextualSpacing/>
        <w:jc w:val="both"/>
      </w:pPr>
      <w:r>
        <w:rPr>
          <w:rFonts w:hint="cs"/>
          <w:rtl/>
        </w:rPr>
        <w:t>קיימים פסקי דין רבים בהם בתי משפט האריכו מאסרים מותנים, אף בניגוד להמלצת שירות המבחן. ראו למשל:</w:t>
      </w:r>
    </w:p>
    <w:p w14:paraId="5F2DCCE2" w14:textId="77777777" w:rsidR="00216D31" w:rsidRDefault="00623035" w:rsidP="00216D31">
      <w:pPr>
        <w:pStyle w:val="aa"/>
        <w:numPr>
          <w:ilvl w:val="0"/>
          <w:numId w:val="3"/>
        </w:numPr>
        <w:spacing w:before="100" w:beforeAutospacing="1" w:after="100" w:afterAutospacing="1" w:line="240" w:lineRule="exact"/>
        <w:jc w:val="both"/>
        <w:rPr>
          <w:rFonts w:cs="David"/>
          <w:b/>
          <w:sz w:val="24"/>
          <w:szCs w:val="24"/>
        </w:rPr>
      </w:pPr>
      <w:hyperlink r:id="rId18" w:history="1">
        <w:r w:rsidRPr="00623035">
          <w:rPr>
            <w:rStyle w:val="Hyperlink"/>
            <w:rFonts w:cs="David" w:hint="cs"/>
            <w:b/>
            <w:sz w:val="24"/>
            <w:szCs w:val="24"/>
            <w:rtl/>
            <w:lang w:eastAsia="he-IL"/>
          </w:rPr>
          <w:t>תפ</w:t>
        </w:r>
        <w:r w:rsidRPr="00623035">
          <w:rPr>
            <w:rStyle w:val="Hyperlink"/>
            <w:rFonts w:cs="David"/>
            <w:b/>
            <w:sz w:val="24"/>
            <w:szCs w:val="24"/>
            <w:rtl/>
            <w:lang w:eastAsia="he-IL"/>
          </w:rPr>
          <w:t xml:space="preserve"> (</w:t>
        </w:r>
        <w:r w:rsidRPr="00623035">
          <w:rPr>
            <w:rStyle w:val="Hyperlink"/>
            <w:rFonts w:cs="David" w:hint="cs"/>
            <w:b/>
            <w:sz w:val="24"/>
            <w:szCs w:val="24"/>
            <w:rtl/>
            <w:lang w:eastAsia="he-IL"/>
          </w:rPr>
          <w:t>י</w:t>
        </w:r>
        <w:r w:rsidRPr="00623035">
          <w:rPr>
            <w:rStyle w:val="Hyperlink"/>
            <w:rFonts w:cs="David"/>
            <w:b/>
            <w:sz w:val="24"/>
            <w:szCs w:val="24"/>
            <w:rtl/>
            <w:lang w:eastAsia="he-IL"/>
          </w:rPr>
          <w:t>-</w:t>
        </w:r>
        <w:r w:rsidRPr="00623035">
          <w:rPr>
            <w:rStyle w:val="Hyperlink"/>
            <w:rFonts w:cs="David" w:hint="cs"/>
            <w:b/>
            <w:sz w:val="24"/>
            <w:szCs w:val="24"/>
            <w:rtl/>
            <w:lang w:eastAsia="he-IL"/>
          </w:rPr>
          <w:t>ם</w:t>
        </w:r>
        <w:r w:rsidRPr="00623035">
          <w:rPr>
            <w:rStyle w:val="Hyperlink"/>
            <w:rFonts w:cs="David"/>
            <w:b/>
            <w:sz w:val="24"/>
            <w:szCs w:val="24"/>
            <w:rtl/>
            <w:lang w:eastAsia="he-IL"/>
          </w:rPr>
          <w:t>) 33344-12-12</w:t>
        </w:r>
      </w:hyperlink>
      <w:r w:rsidR="00216D31">
        <w:rPr>
          <w:rFonts w:cs="David"/>
          <w:b/>
          <w:sz w:val="24"/>
          <w:szCs w:val="24"/>
          <w:rtl/>
          <w:lang w:eastAsia="he-IL"/>
        </w:rPr>
        <w:t xml:space="preserve"> </w:t>
      </w:r>
      <w:r w:rsidR="00216D31">
        <w:rPr>
          <w:rFonts w:cs="David"/>
          <w:bCs/>
          <w:sz w:val="24"/>
          <w:szCs w:val="24"/>
          <w:rtl/>
          <w:lang w:eastAsia="he-IL"/>
        </w:rPr>
        <w:t xml:space="preserve">מדינת ישראל נ' נאסים סלאיימה. </w:t>
      </w:r>
      <w:r w:rsidR="00216D31">
        <w:rPr>
          <w:rFonts w:cs="David"/>
          <w:b/>
          <w:sz w:val="24"/>
          <w:szCs w:val="24"/>
          <w:rtl/>
          <w:lang w:eastAsia="he-IL"/>
        </w:rPr>
        <w:t>הנאשם הורשע בהחזקת 0.18 גרם חשיש לצריכה עצמית. למרות המלצת שירות המבחן להפעיל המאסר המותנה בן חודשיים בעבודות שירות בשים לב שהנאשם אינו מכיר בקיומה של בעיה,  בית המשפט האריך התנאי לאור העובדה כי מאז ביצוע העבירה לא נפתחו תיקים נוספים, לאור העובדה שבדיקות שתן שמסר הנאשם יצאו תקינות ובשים לב שהנאשם נישא ונולד לו ילד</w:t>
      </w:r>
      <w:r w:rsidR="00216D31">
        <w:rPr>
          <w:rFonts w:cs="David"/>
          <w:b/>
          <w:sz w:val="24"/>
          <w:szCs w:val="24"/>
          <w:rtl/>
        </w:rPr>
        <w:t>.</w:t>
      </w:r>
    </w:p>
    <w:p w14:paraId="7B19DD14" w14:textId="77777777" w:rsidR="00216D31" w:rsidRDefault="00216D31" w:rsidP="00216D31">
      <w:pPr>
        <w:pStyle w:val="aa"/>
        <w:spacing w:before="100" w:beforeAutospacing="1" w:after="100" w:afterAutospacing="1" w:line="240" w:lineRule="exact"/>
        <w:ind w:left="1140"/>
        <w:jc w:val="both"/>
        <w:rPr>
          <w:rFonts w:cs="David"/>
          <w:b/>
          <w:sz w:val="24"/>
          <w:szCs w:val="24"/>
        </w:rPr>
      </w:pPr>
    </w:p>
    <w:p w14:paraId="2A434672" w14:textId="77777777" w:rsidR="00216D31" w:rsidRDefault="00623035" w:rsidP="00216D31">
      <w:pPr>
        <w:pStyle w:val="aa"/>
        <w:numPr>
          <w:ilvl w:val="0"/>
          <w:numId w:val="3"/>
        </w:numPr>
        <w:spacing w:before="100" w:beforeAutospacing="1" w:after="100" w:afterAutospacing="1" w:line="240" w:lineRule="exact"/>
        <w:jc w:val="both"/>
        <w:rPr>
          <w:rFonts w:cs="David"/>
          <w:b/>
          <w:sz w:val="24"/>
          <w:szCs w:val="24"/>
        </w:rPr>
      </w:pPr>
      <w:hyperlink r:id="rId19" w:history="1">
        <w:r w:rsidRPr="00623035">
          <w:rPr>
            <w:rStyle w:val="Hyperlink"/>
            <w:rFonts w:cs="David" w:hint="cs"/>
            <w:b/>
            <w:sz w:val="24"/>
            <w:szCs w:val="24"/>
            <w:rtl/>
          </w:rPr>
          <w:t>ת</w:t>
        </w:r>
        <w:r w:rsidRPr="00623035">
          <w:rPr>
            <w:rStyle w:val="Hyperlink"/>
            <w:rFonts w:cs="David"/>
            <w:b/>
            <w:sz w:val="24"/>
            <w:szCs w:val="24"/>
            <w:rtl/>
          </w:rPr>
          <w:t>"</w:t>
        </w:r>
        <w:r w:rsidRPr="00623035">
          <w:rPr>
            <w:rStyle w:val="Hyperlink"/>
            <w:rFonts w:cs="David" w:hint="cs"/>
            <w:b/>
            <w:sz w:val="24"/>
            <w:szCs w:val="24"/>
            <w:rtl/>
          </w:rPr>
          <w:t>פ</w:t>
        </w:r>
        <w:r w:rsidRPr="00623035">
          <w:rPr>
            <w:rStyle w:val="Hyperlink"/>
            <w:rFonts w:cs="David"/>
            <w:b/>
            <w:sz w:val="24"/>
            <w:szCs w:val="24"/>
            <w:rtl/>
          </w:rPr>
          <w:t xml:space="preserve"> (</w:t>
        </w:r>
        <w:r w:rsidRPr="00623035">
          <w:rPr>
            <w:rStyle w:val="Hyperlink"/>
            <w:rFonts w:cs="David" w:hint="cs"/>
            <w:b/>
            <w:sz w:val="24"/>
            <w:szCs w:val="24"/>
            <w:rtl/>
          </w:rPr>
          <w:t>רמלה</w:t>
        </w:r>
        <w:r w:rsidRPr="00623035">
          <w:rPr>
            <w:rStyle w:val="Hyperlink"/>
            <w:rFonts w:cs="David"/>
            <w:b/>
            <w:sz w:val="24"/>
            <w:szCs w:val="24"/>
            <w:rtl/>
          </w:rPr>
          <w:t>) 53481-06-12</w:t>
        </w:r>
      </w:hyperlink>
      <w:r w:rsidR="00216D31">
        <w:rPr>
          <w:rFonts w:cs="David"/>
          <w:b/>
          <w:sz w:val="24"/>
          <w:szCs w:val="24"/>
          <w:rtl/>
        </w:rPr>
        <w:t xml:space="preserve"> </w:t>
      </w:r>
      <w:r w:rsidR="00216D31">
        <w:rPr>
          <w:rFonts w:cs="David"/>
          <w:bCs/>
          <w:sz w:val="24"/>
          <w:szCs w:val="24"/>
          <w:rtl/>
        </w:rPr>
        <w:t>מדינת ישראל נ' מאיר ברייט</w:t>
      </w:r>
      <w:r w:rsidR="00216D31">
        <w:rPr>
          <w:rFonts w:cs="David"/>
          <w:b/>
          <w:sz w:val="24"/>
          <w:szCs w:val="24"/>
          <w:rtl/>
        </w:rPr>
        <w:t>. הנאשם הורשע בהחזקת 2.7 גרם חשיש. למרות שבבדיקות שנערכו לנאשם נמצאו שרידי סם, למרות שמאז ביצוע העבירה נפתחו לנאשם תיקים נוספים ולמרות ששירות המבחן לא המליץ על הארכת המאסרים המותנים ונמנע מהמלצה טיפולית בעניינו, בית המשפט האריך שני מאסרים מותנים בני 6 ו- 7 חודשים, זאת בשל העובדה שהחזיק סם "קל" בכמות קטנה, בשל העובדה שהעונש המקובל אינו מגיע לרף העונש אשר יושת אם יופעלו התנאים, בשל חלוף הזמן ממועד ביצוע העבירות, בשל נסיבותיו האישיות המורכבות של הנאשם, בשל ניסיונותיו לשקם את עצמו ובשל החשש שהפעלת התנאים תוביל להתדרדרות ותאיין סיכויי שיקום.</w:t>
      </w:r>
    </w:p>
    <w:p w14:paraId="71F258C1" w14:textId="77777777" w:rsidR="00216D31" w:rsidRDefault="00216D31" w:rsidP="00216D31">
      <w:pPr>
        <w:pStyle w:val="aa"/>
        <w:rPr>
          <w:rFonts w:cs="David"/>
          <w:b/>
          <w:sz w:val="24"/>
          <w:szCs w:val="24"/>
        </w:rPr>
      </w:pPr>
    </w:p>
    <w:p w14:paraId="7943E00B" w14:textId="77777777" w:rsidR="00216D31" w:rsidRDefault="00216D31" w:rsidP="00216D31">
      <w:pPr>
        <w:pStyle w:val="aa"/>
        <w:numPr>
          <w:ilvl w:val="0"/>
          <w:numId w:val="3"/>
        </w:numPr>
        <w:spacing w:before="100" w:beforeAutospacing="1" w:after="100" w:afterAutospacing="1" w:line="240" w:lineRule="exact"/>
        <w:jc w:val="both"/>
        <w:rPr>
          <w:rFonts w:cs="David"/>
          <w:sz w:val="24"/>
          <w:szCs w:val="24"/>
          <w:rtl/>
        </w:rPr>
      </w:pPr>
      <w:r>
        <w:rPr>
          <w:rFonts w:cs="David"/>
          <w:sz w:val="24"/>
          <w:szCs w:val="24"/>
          <w:rtl/>
        </w:rPr>
        <w:t xml:space="preserve">ת"פ (ת"א) 2830-09 </w:t>
      </w:r>
      <w:r>
        <w:rPr>
          <w:rFonts w:cs="David"/>
          <w:b/>
          <w:bCs/>
          <w:sz w:val="24"/>
          <w:szCs w:val="24"/>
          <w:rtl/>
        </w:rPr>
        <w:t>מדינת ישראל נ' שלמה הלוי</w:t>
      </w:r>
      <w:r>
        <w:rPr>
          <w:rFonts w:cs="David"/>
          <w:sz w:val="24"/>
          <w:szCs w:val="24"/>
          <w:rtl/>
        </w:rPr>
        <w:t>. נאשם הורשע ב- 3 אישומים של החזקת סמים לצריכה עצמית. בשל נסיבות אישיות וחלוף הזמן, ולמרות העדר המלצת שירות המבחן, ולמרות שהנאשם לא נגמל משימוש בסמים, בית המשפט האריך מאסר מותנה למשך 3 חודשים שהיה בר הפעלה.</w:t>
      </w:r>
    </w:p>
    <w:p w14:paraId="3BF6F09F" w14:textId="77777777" w:rsidR="00216D31" w:rsidRDefault="00216D31" w:rsidP="00216D31">
      <w:pPr>
        <w:pStyle w:val="aa"/>
        <w:rPr>
          <w:rFonts w:cs="David"/>
          <w:sz w:val="24"/>
          <w:szCs w:val="24"/>
        </w:rPr>
      </w:pPr>
    </w:p>
    <w:p w14:paraId="0B79C986" w14:textId="77777777" w:rsidR="00216D31" w:rsidRDefault="00216D31" w:rsidP="00216D31">
      <w:pPr>
        <w:pStyle w:val="aa"/>
        <w:numPr>
          <w:ilvl w:val="0"/>
          <w:numId w:val="3"/>
        </w:numPr>
        <w:spacing w:before="100" w:beforeAutospacing="1" w:after="100" w:afterAutospacing="1" w:line="240" w:lineRule="exact"/>
        <w:jc w:val="both"/>
        <w:rPr>
          <w:rFonts w:cs="David"/>
          <w:sz w:val="24"/>
          <w:szCs w:val="24"/>
          <w:rtl/>
        </w:rPr>
      </w:pPr>
      <w:r>
        <w:rPr>
          <w:rFonts w:cs="David"/>
          <w:sz w:val="24"/>
          <w:szCs w:val="24"/>
          <w:rtl/>
        </w:rPr>
        <w:t xml:space="preserve">ת"פ (חדרה) 1794-07 </w:t>
      </w:r>
      <w:r>
        <w:rPr>
          <w:rFonts w:cs="David"/>
          <w:b/>
          <w:bCs/>
          <w:sz w:val="24"/>
          <w:szCs w:val="24"/>
          <w:rtl/>
        </w:rPr>
        <w:t>מדינת ישראל נ' עאלנאסר גבארין</w:t>
      </w:r>
      <w:r>
        <w:rPr>
          <w:rFonts w:cs="David"/>
          <w:sz w:val="24"/>
          <w:szCs w:val="24"/>
          <w:rtl/>
        </w:rPr>
        <w:t>. הנאשם הורשע בהחזקת סם לצריכה עצמית. בית המשפט האריך מאסר מותנה בן 12 חודשים, לאור חלוף הזמן ולאור משך התנאי שבנסיבות התיק יהיה בלתי מידתי ובלתי צודק להפעילו.</w:t>
      </w:r>
    </w:p>
    <w:p w14:paraId="5A34D146" w14:textId="77777777" w:rsidR="00216D31" w:rsidRDefault="00216D31" w:rsidP="00216D31">
      <w:pPr>
        <w:pStyle w:val="aa"/>
        <w:rPr>
          <w:rFonts w:cs="David"/>
          <w:sz w:val="24"/>
          <w:szCs w:val="24"/>
        </w:rPr>
      </w:pPr>
    </w:p>
    <w:p w14:paraId="374D6217" w14:textId="77777777" w:rsidR="00216D31" w:rsidRDefault="00623035" w:rsidP="00216D31">
      <w:pPr>
        <w:pStyle w:val="aa"/>
        <w:numPr>
          <w:ilvl w:val="0"/>
          <w:numId w:val="3"/>
        </w:numPr>
        <w:spacing w:before="100" w:beforeAutospacing="1" w:after="100" w:afterAutospacing="1" w:line="240" w:lineRule="exact"/>
        <w:jc w:val="both"/>
        <w:rPr>
          <w:rFonts w:cs="David"/>
          <w:sz w:val="24"/>
          <w:szCs w:val="24"/>
          <w:rtl/>
        </w:rPr>
      </w:pPr>
      <w:hyperlink r:id="rId20" w:history="1">
        <w:r w:rsidRPr="00623035">
          <w:rPr>
            <w:rStyle w:val="Hyperlink"/>
            <w:rFonts w:cs="David" w:hint="cs"/>
            <w:sz w:val="24"/>
            <w:szCs w:val="24"/>
            <w:rtl/>
          </w:rPr>
          <w:t>ת</w:t>
        </w:r>
        <w:r w:rsidRPr="00623035">
          <w:rPr>
            <w:rStyle w:val="Hyperlink"/>
            <w:rFonts w:cs="David"/>
            <w:sz w:val="24"/>
            <w:szCs w:val="24"/>
            <w:rtl/>
          </w:rPr>
          <w:t>"</w:t>
        </w:r>
        <w:r w:rsidRPr="00623035">
          <w:rPr>
            <w:rStyle w:val="Hyperlink"/>
            <w:rFonts w:cs="David" w:hint="cs"/>
            <w:sz w:val="24"/>
            <w:szCs w:val="24"/>
            <w:rtl/>
          </w:rPr>
          <w:t>פ</w:t>
        </w:r>
        <w:r w:rsidRPr="00623035">
          <w:rPr>
            <w:rStyle w:val="Hyperlink"/>
            <w:rFonts w:cs="David"/>
            <w:sz w:val="24"/>
            <w:szCs w:val="24"/>
            <w:rtl/>
          </w:rPr>
          <w:t xml:space="preserve"> (</w:t>
        </w:r>
        <w:r w:rsidRPr="00623035">
          <w:rPr>
            <w:rStyle w:val="Hyperlink"/>
            <w:rFonts w:cs="David" w:hint="cs"/>
            <w:sz w:val="24"/>
            <w:szCs w:val="24"/>
            <w:rtl/>
          </w:rPr>
          <w:t>ראשל</w:t>
        </w:r>
        <w:r w:rsidRPr="00623035">
          <w:rPr>
            <w:rStyle w:val="Hyperlink"/>
            <w:rFonts w:cs="David"/>
            <w:sz w:val="24"/>
            <w:szCs w:val="24"/>
            <w:rtl/>
          </w:rPr>
          <w:t>"</w:t>
        </w:r>
        <w:r w:rsidRPr="00623035">
          <w:rPr>
            <w:rStyle w:val="Hyperlink"/>
            <w:rFonts w:cs="David" w:hint="cs"/>
            <w:sz w:val="24"/>
            <w:szCs w:val="24"/>
            <w:rtl/>
          </w:rPr>
          <w:t>צ</w:t>
        </w:r>
        <w:r w:rsidRPr="00623035">
          <w:rPr>
            <w:rStyle w:val="Hyperlink"/>
            <w:rFonts w:cs="David"/>
            <w:sz w:val="24"/>
            <w:szCs w:val="24"/>
            <w:rtl/>
          </w:rPr>
          <w:t>) 4890/07</w:t>
        </w:r>
      </w:hyperlink>
      <w:r w:rsidR="00216D31">
        <w:rPr>
          <w:rFonts w:cs="David"/>
          <w:sz w:val="24"/>
          <w:szCs w:val="24"/>
          <w:rtl/>
        </w:rPr>
        <w:t xml:space="preserve"> </w:t>
      </w:r>
      <w:r w:rsidR="00216D31">
        <w:rPr>
          <w:rFonts w:cs="David"/>
          <w:b/>
          <w:bCs/>
          <w:sz w:val="24"/>
          <w:szCs w:val="24"/>
          <w:rtl/>
        </w:rPr>
        <w:t>מדינת ישראל נ' אחוון מסעוד</w:t>
      </w:r>
      <w:r w:rsidR="00216D31">
        <w:rPr>
          <w:rFonts w:cs="David"/>
          <w:sz w:val="24"/>
          <w:szCs w:val="24"/>
          <w:rtl/>
        </w:rPr>
        <w:t>. הנאשם הורשע בהחזקת סם מסוכן מסוג אופיום במשקל 24.054 גר לצריכתו העצמית. בית המשפט האריך מאסר מותנה בן 9 חודשים, למרות שהנאשם סירב לעבור הליך טיפולי, ולמרות המסוכנות הנשקפת ממנו, זאת בשל העובדה שלא ריצה מאסר בעברו, ולאור טענתו (שלא נבדקה) כי נגמל באופן עצמאי ומזה מספר חודשים נקי מסם.</w:t>
      </w:r>
    </w:p>
    <w:p w14:paraId="2EB8E945" w14:textId="77777777" w:rsidR="00216D31" w:rsidRDefault="00216D31" w:rsidP="00216D31">
      <w:pPr>
        <w:pStyle w:val="aa"/>
        <w:rPr>
          <w:rFonts w:cs="David"/>
          <w:sz w:val="24"/>
          <w:szCs w:val="24"/>
        </w:rPr>
      </w:pPr>
    </w:p>
    <w:p w14:paraId="06D9B88A" w14:textId="77777777" w:rsidR="00216D31" w:rsidRDefault="00216D31" w:rsidP="00216D31">
      <w:pPr>
        <w:pStyle w:val="aa"/>
        <w:numPr>
          <w:ilvl w:val="0"/>
          <w:numId w:val="3"/>
        </w:numPr>
        <w:spacing w:before="100" w:beforeAutospacing="1" w:after="100" w:afterAutospacing="1" w:line="240" w:lineRule="exact"/>
        <w:jc w:val="both"/>
        <w:rPr>
          <w:rFonts w:cs="David"/>
          <w:sz w:val="24"/>
          <w:szCs w:val="24"/>
          <w:rtl/>
        </w:rPr>
      </w:pPr>
      <w:r>
        <w:rPr>
          <w:rFonts w:ascii="David" w:hAnsi="David" w:cs="David"/>
          <w:sz w:val="24"/>
          <w:szCs w:val="24"/>
          <w:rtl/>
        </w:rPr>
        <w:t xml:space="preserve">ת"פ (חדרה) 1977/07 </w:t>
      </w:r>
      <w:r>
        <w:rPr>
          <w:rFonts w:ascii="David" w:hAnsi="David" w:cs="David"/>
          <w:b/>
          <w:bCs/>
          <w:sz w:val="24"/>
          <w:szCs w:val="24"/>
          <w:rtl/>
        </w:rPr>
        <w:t>משטרת ישראל נ' עלי אגאבאריה</w:t>
      </w:r>
      <w:r>
        <w:rPr>
          <w:rFonts w:ascii="David" w:hAnsi="David" w:cs="David"/>
          <w:sz w:val="24"/>
          <w:szCs w:val="24"/>
          <w:rtl/>
        </w:rPr>
        <w:t xml:space="preserve"> (18.5.2009) הנאשם הורשע בעבירות  של החזקת סמים לצריכה עצמית ושלא לצריכה עצמית ובעבירה של יצוא, יבוא ואספקת סמים מסוכנים. בית המשפט האריך מאסר מותנה בן שנה, על אף ששירות המבחן לא מצא להמליץ על כך לאחר שהנאשם לא נרתם להליך טיפולי.  בית המשפט העדיף "לתת לנאשם הזדמנות שיתכן והמודעות לבריאותו של הנאשם תגבר על הדחף להמשיך בשימוש בסמים"</w:t>
      </w:r>
    </w:p>
    <w:p w14:paraId="698929A6" w14:textId="77777777" w:rsidR="00216D31" w:rsidRDefault="00216D31" w:rsidP="00216D31">
      <w:pPr>
        <w:numPr>
          <w:ilvl w:val="0"/>
          <w:numId w:val="1"/>
        </w:numPr>
        <w:tabs>
          <w:tab w:val="num" w:pos="0"/>
        </w:tabs>
        <w:spacing w:before="100" w:beforeAutospacing="1" w:after="100" w:afterAutospacing="1" w:line="300" w:lineRule="exact"/>
        <w:contextualSpacing/>
        <w:jc w:val="both"/>
        <w:rPr>
          <w:color w:val="000000"/>
        </w:rPr>
      </w:pPr>
      <w:r>
        <w:rPr>
          <w:rFonts w:hint="cs"/>
          <w:color w:val="000000"/>
          <w:rtl/>
        </w:rPr>
        <w:t xml:space="preserve">הגם שהנאשם לא השלים את ההליך הטיפולי ועל אף הסיכון להישנות עבירות, מצאתי הצדקה בזו הפעם, ולפנים משורת הדין, להורות על הארכת המאסר המותנה. </w:t>
      </w:r>
    </w:p>
    <w:p w14:paraId="4E0FA2E4" w14:textId="77777777" w:rsidR="00216D31" w:rsidRDefault="00216D31" w:rsidP="00216D31">
      <w:pPr>
        <w:spacing w:before="100" w:beforeAutospacing="1" w:after="100" w:afterAutospacing="1" w:line="300" w:lineRule="exact"/>
        <w:ind w:left="720"/>
        <w:contextualSpacing/>
        <w:rPr>
          <w:color w:val="000000"/>
        </w:rPr>
      </w:pPr>
    </w:p>
    <w:p w14:paraId="48E8D9A6" w14:textId="77777777" w:rsidR="00216D31" w:rsidRDefault="00216D31" w:rsidP="00216D31">
      <w:pPr>
        <w:spacing w:before="100" w:beforeAutospacing="1" w:after="100" w:afterAutospacing="1" w:line="300" w:lineRule="exact"/>
        <w:ind w:left="720"/>
        <w:contextualSpacing/>
        <w:rPr>
          <w:color w:val="000000"/>
          <w:rtl/>
        </w:rPr>
      </w:pPr>
      <w:r>
        <w:rPr>
          <w:rFonts w:hint="cs"/>
          <w:color w:val="000000"/>
          <w:rtl/>
        </w:rPr>
        <w:t>ולהלן נימוקי:</w:t>
      </w:r>
    </w:p>
    <w:p w14:paraId="27F28076" w14:textId="77777777" w:rsidR="00216D31" w:rsidRDefault="00216D31" w:rsidP="00216D31">
      <w:pPr>
        <w:pStyle w:val="aa"/>
        <w:numPr>
          <w:ilvl w:val="0"/>
          <w:numId w:val="4"/>
        </w:numPr>
        <w:spacing w:before="100" w:beforeAutospacing="1" w:after="100" w:afterAutospacing="1" w:line="300" w:lineRule="exact"/>
        <w:jc w:val="both"/>
        <w:rPr>
          <w:rFonts w:cs="David"/>
          <w:sz w:val="24"/>
          <w:szCs w:val="24"/>
        </w:rPr>
      </w:pPr>
      <w:r>
        <w:rPr>
          <w:rFonts w:cs="David"/>
          <w:sz w:val="24"/>
          <w:szCs w:val="24"/>
          <w:rtl/>
        </w:rPr>
        <w:t>המאסר המותנה הוטל על הנאשם בפסק דין קודם, מיום 30.11.14. פסק דין שכלל ענישה על עבירות שונות, בהן גם עבירות של תקיפה וגניבה ועל עבירה של החזקת סם לצריכה עצמית – כ- 1 גרם חשיש).  המאסר המותנה  הוטל על כל העבירות בהן הורשע.</w:t>
      </w:r>
    </w:p>
    <w:p w14:paraId="1D36E977" w14:textId="77777777" w:rsidR="00216D31" w:rsidRDefault="00216D31" w:rsidP="00216D31">
      <w:pPr>
        <w:pStyle w:val="aa"/>
        <w:spacing w:before="100" w:beforeAutospacing="1" w:after="100" w:afterAutospacing="1" w:line="300" w:lineRule="exact"/>
        <w:ind w:left="1080"/>
        <w:jc w:val="both"/>
        <w:rPr>
          <w:rFonts w:cs="David"/>
          <w:sz w:val="24"/>
          <w:szCs w:val="24"/>
        </w:rPr>
      </w:pPr>
    </w:p>
    <w:p w14:paraId="5EA72F5A" w14:textId="77777777" w:rsidR="00216D31" w:rsidRDefault="00216D31" w:rsidP="00216D31">
      <w:pPr>
        <w:pStyle w:val="aa"/>
        <w:spacing w:before="100" w:beforeAutospacing="1" w:after="100" w:afterAutospacing="1" w:line="300" w:lineRule="exact"/>
        <w:ind w:left="1080"/>
        <w:jc w:val="both"/>
        <w:rPr>
          <w:rFonts w:cs="David"/>
          <w:sz w:val="24"/>
          <w:szCs w:val="24"/>
        </w:rPr>
      </w:pPr>
      <w:r>
        <w:rPr>
          <w:rFonts w:cs="David"/>
          <w:color w:val="000000"/>
          <w:sz w:val="24"/>
          <w:szCs w:val="24"/>
          <w:rtl/>
        </w:rPr>
        <w:t>אני סבורה שהפעלת המאסר המותנה של 5</w:t>
      </w:r>
      <w:r>
        <w:rPr>
          <w:rFonts w:cs="David" w:hint="cs"/>
          <w:color w:val="000000"/>
          <w:sz w:val="24"/>
          <w:szCs w:val="24"/>
          <w:rtl/>
        </w:rPr>
        <w:t xml:space="preserve"> </w:t>
      </w:r>
      <w:r>
        <w:rPr>
          <w:rFonts w:cs="David"/>
          <w:color w:val="000000"/>
          <w:sz w:val="24"/>
          <w:szCs w:val="24"/>
          <w:rtl/>
        </w:rPr>
        <w:t>חודשים בגין עבירת הסמים  שביצע בשנת 2012 תביא לתוצאה עונשית בלתי מידתית.</w:t>
      </w:r>
      <w:r>
        <w:rPr>
          <w:rFonts w:cs="David"/>
          <w:sz w:val="24"/>
          <w:szCs w:val="24"/>
          <w:rtl/>
        </w:rPr>
        <w:t xml:space="preserve"> חלפו כשבע שנים ממועד ביצוע אותה העבירה בגינה הוטל התנאי. מדיניות האכיפה כנגד אותה העבירה השתנתה.</w:t>
      </w:r>
    </w:p>
    <w:p w14:paraId="4ED08794" w14:textId="77777777" w:rsidR="00216D31" w:rsidRDefault="00216D31" w:rsidP="00216D31">
      <w:pPr>
        <w:pStyle w:val="aa"/>
        <w:jc w:val="both"/>
        <w:rPr>
          <w:rFonts w:cs="David"/>
          <w:color w:val="000000"/>
          <w:sz w:val="24"/>
          <w:szCs w:val="24"/>
        </w:rPr>
      </w:pPr>
    </w:p>
    <w:p w14:paraId="30EE2A95" w14:textId="77777777" w:rsidR="00216D31" w:rsidRDefault="00216D31" w:rsidP="00216D31">
      <w:pPr>
        <w:pStyle w:val="aa"/>
        <w:spacing w:before="100" w:beforeAutospacing="1" w:after="100" w:afterAutospacing="1" w:line="300" w:lineRule="exact"/>
        <w:ind w:left="1080"/>
        <w:jc w:val="both"/>
        <w:rPr>
          <w:rFonts w:cs="David"/>
          <w:sz w:val="24"/>
          <w:szCs w:val="24"/>
          <w:rtl/>
        </w:rPr>
      </w:pPr>
      <w:r>
        <w:rPr>
          <w:rFonts w:cs="David"/>
          <w:color w:val="000000"/>
          <w:sz w:val="24"/>
          <w:szCs w:val="24"/>
          <w:rtl/>
        </w:rPr>
        <w:t>אני סבורה כי אף בנסיבות שבפני, הפעלת מאסר מותנה בן 5 חודשים בנסיבות של החזקת 0.26 גרם קוקאין, עבירה שנעברה לפני למעלה מ- 4 שנים, תהווה ענישה המצויה ברף העליון של מתחם העונש ההולם בנסיבות תיק זה</w:t>
      </w:r>
      <w:r>
        <w:rPr>
          <w:rFonts w:cs="David" w:hint="cs"/>
          <w:color w:val="000000"/>
          <w:sz w:val="24"/>
          <w:szCs w:val="24"/>
          <w:rtl/>
        </w:rPr>
        <w:t>, כשבנסיבותיו של הנאשם, בשים לב שעברו אינו מכביד, שלא נפתחו תיקים חדשים, אין הצדקה לענישה ברף העליון</w:t>
      </w:r>
      <w:r>
        <w:rPr>
          <w:rFonts w:cs="David"/>
          <w:color w:val="000000"/>
          <w:sz w:val="24"/>
          <w:szCs w:val="24"/>
          <w:rtl/>
        </w:rPr>
        <w:t xml:space="preserve">. לפיכך אני סבורה כי בנסיבות תיק זה יהיה בלתי מידתי להפעיל את המאסר המותנה. </w:t>
      </w:r>
    </w:p>
    <w:p w14:paraId="3BE46C99" w14:textId="77777777" w:rsidR="00216D31" w:rsidRDefault="00216D31" w:rsidP="00216D31">
      <w:pPr>
        <w:pStyle w:val="aa"/>
        <w:spacing w:before="100" w:beforeAutospacing="1" w:after="100" w:afterAutospacing="1" w:line="300" w:lineRule="exact"/>
        <w:ind w:left="1080"/>
        <w:jc w:val="both"/>
        <w:rPr>
          <w:rFonts w:cs="David"/>
          <w:sz w:val="24"/>
          <w:szCs w:val="24"/>
          <w:rtl/>
        </w:rPr>
      </w:pPr>
    </w:p>
    <w:p w14:paraId="4526F496" w14:textId="77777777" w:rsidR="00216D31" w:rsidRDefault="00216D31" w:rsidP="00216D31">
      <w:pPr>
        <w:pStyle w:val="aa"/>
        <w:numPr>
          <w:ilvl w:val="0"/>
          <w:numId w:val="4"/>
        </w:numPr>
        <w:spacing w:before="100" w:beforeAutospacing="1" w:after="100" w:afterAutospacing="1" w:line="300" w:lineRule="exact"/>
        <w:jc w:val="both"/>
        <w:rPr>
          <w:rFonts w:cs="David"/>
          <w:sz w:val="24"/>
          <w:szCs w:val="24"/>
        </w:rPr>
      </w:pPr>
      <w:r>
        <w:rPr>
          <w:rFonts w:cs="David"/>
          <w:sz w:val="24"/>
          <w:szCs w:val="24"/>
          <w:rtl/>
        </w:rPr>
        <w:t>הנאשם מעולם לא נדון לעונש מאסר.</w:t>
      </w:r>
    </w:p>
    <w:p w14:paraId="0281F184" w14:textId="77777777" w:rsidR="00216D31" w:rsidRDefault="00216D31" w:rsidP="00216D31">
      <w:pPr>
        <w:pStyle w:val="aa"/>
        <w:spacing w:before="100" w:beforeAutospacing="1" w:after="100" w:afterAutospacing="1" w:line="300" w:lineRule="exact"/>
        <w:ind w:left="1080"/>
        <w:jc w:val="both"/>
        <w:rPr>
          <w:rFonts w:cs="David"/>
          <w:sz w:val="24"/>
          <w:szCs w:val="24"/>
        </w:rPr>
      </w:pPr>
    </w:p>
    <w:p w14:paraId="4E1B1252" w14:textId="77777777" w:rsidR="00216D31" w:rsidRDefault="00216D31" w:rsidP="00216D31">
      <w:pPr>
        <w:pStyle w:val="aa"/>
        <w:numPr>
          <w:ilvl w:val="0"/>
          <w:numId w:val="4"/>
        </w:numPr>
        <w:spacing w:before="100" w:beforeAutospacing="1" w:after="100" w:afterAutospacing="1" w:line="300" w:lineRule="exact"/>
        <w:jc w:val="both"/>
        <w:rPr>
          <w:rFonts w:cs="David"/>
          <w:sz w:val="24"/>
          <w:szCs w:val="24"/>
        </w:rPr>
      </w:pPr>
      <w:r>
        <w:rPr>
          <w:rFonts w:cs="David"/>
          <w:sz w:val="24"/>
          <w:szCs w:val="24"/>
          <w:rtl/>
        </w:rPr>
        <w:t>מאז ביצוע העבירה ומזה למעלה מ- 4 שנים לא נפתחו לנאשם תיקים חדשים.</w:t>
      </w:r>
      <w:r>
        <w:rPr>
          <w:rFonts w:cs="David" w:hint="cs"/>
          <w:sz w:val="24"/>
          <w:szCs w:val="24"/>
          <w:rtl/>
        </w:rPr>
        <w:t xml:space="preserve"> עולה הרושם כי הנאשם מנסה לנהל אורח חיים נורמטיבי, הגם שניסה, לכאורה ללא הצלחה להיגמל מנגע הסמים, לדבריו כאמור נגמל מהסם אך אין לכך אינדיקציות נוספות בתיק.</w:t>
      </w:r>
    </w:p>
    <w:p w14:paraId="7F9AA490" w14:textId="77777777" w:rsidR="00216D31" w:rsidRDefault="00216D31" w:rsidP="00216D31">
      <w:pPr>
        <w:numPr>
          <w:ilvl w:val="0"/>
          <w:numId w:val="1"/>
        </w:numPr>
        <w:spacing w:before="100" w:beforeAutospacing="1" w:after="100" w:afterAutospacing="1" w:line="300" w:lineRule="exact"/>
        <w:contextualSpacing/>
        <w:jc w:val="both"/>
      </w:pPr>
      <w:r>
        <w:rPr>
          <w:rFonts w:hint="cs"/>
          <w:rtl/>
        </w:rPr>
        <w:t xml:space="preserve">מובהר לנאשם, כי האפשרות להארכת המאסר המותנה הינה חד פעמית וכי אם חלילה יחזור לסורו ויבצע עבירות של תקיפה, גניבה או עבירות על פקודת הסמים, המאסר המותנה יהפוך חב הפעלה. </w:t>
      </w:r>
    </w:p>
    <w:p w14:paraId="6AA811CF" w14:textId="77777777" w:rsidR="00216D31" w:rsidRDefault="00216D31" w:rsidP="00216D31">
      <w:pPr>
        <w:spacing w:before="100" w:beforeAutospacing="1" w:after="100" w:afterAutospacing="1" w:line="300" w:lineRule="exact"/>
        <w:ind w:left="720"/>
        <w:contextualSpacing/>
      </w:pPr>
    </w:p>
    <w:p w14:paraId="4CC028CF" w14:textId="77777777" w:rsidR="00216D31" w:rsidRDefault="00216D31" w:rsidP="00216D31">
      <w:pPr>
        <w:spacing w:before="100" w:beforeAutospacing="1" w:after="100" w:afterAutospacing="1" w:line="300" w:lineRule="exact"/>
        <w:ind w:left="720"/>
        <w:contextualSpacing/>
        <w:rPr>
          <w:rtl/>
        </w:rPr>
      </w:pPr>
      <w:r>
        <w:rPr>
          <w:rFonts w:hint="cs"/>
          <w:rtl/>
        </w:rPr>
        <w:t>גורלו של הנאשם נתון בידיו.</w:t>
      </w:r>
    </w:p>
    <w:p w14:paraId="02EA7BA6" w14:textId="77777777" w:rsidR="00216D31" w:rsidRDefault="00216D31" w:rsidP="00216D31">
      <w:pPr>
        <w:spacing w:before="100" w:beforeAutospacing="1" w:after="100" w:afterAutospacing="1" w:line="300" w:lineRule="exact"/>
        <w:ind w:left="720"/>
        <w:contextualSpacing/>
        <w:rPr>
          <w:rtl/>
        </w:rPr>
      </w:pPr>
    </w:p>
    <w:p w14:paraId="789638BD" w14:textId="77777777" w:rsidR="00216D31" w:rsidRDefault="00216D31" w:rsidP="00216D31">
      <w:pPr>
        <w:numPr>
          <w:ilvl w:val="0"/>
          <w:numId w:val="1"/>
        </w:numPr>
        <w:spacing w:before="100" w:beforeAutospacing="1" w:after="100" w:afterAutospacing="1" w:line="300" w:lineRule="exact"/>
        <w:contextualSpacing/>
        <w:jc w:val="both"/>
      </w:pPr>
      <w:r>
        <w:rPr>
          <w:rFonts w:hint="cs"/>
          <w:rtl/>
        </w:rPr>
        <w:t>אני תקווה שעל אף שהנאשם לא הצליח להירתם להליך טיפולי במסגרת שירות המבחן, ישכיל לנצל את ההזדמנות שניתנה לו, וימנע מלשוב לבצע עבירות.</w:t>
      </w:r>
    </w:p>
    <w:p w14:paraId="360B95A9" w14:textId="77777777" w:rsidR="00216D31" w:rsidRDefault="00216D31" w:rsidP="00216D31">
      <w:pPr>
        <w:spacing w:before="100" w:beforeAutospacing="1" w:after="100" w:afterAutospacing="1" w:line="300" w:lineRule="exact"/>
        <w:ind w:left="720"/>
        <w:contextualSpacing/>
      </w:pPr>
    </w:p>
    <w:p w14:paraId="75794DA2" w14:textId="77777777" w:rsidR="00216D31" w:rsidRDefault="00216D31" w:rsidP="00216D31">
      <w:pPr>
        <w:numPr>
          <w:ilvl w:val="0"/>
          <w:numId w:val="1"/>
        </w:numPr>
        <w:spacing w:before="100" w:beforeAutospacing="1" w:after="100" w:afterAutospacing="1" w:line="300" w:lineRule="exact"/>
        <w:contextualSpacing/>
        <w:jc w:val="both"/>
      </w:pPr>
      <w:r>
        <w:rPr>
          <w:rFonts w:hint="cs"/>
          <w:rtl/>
        </w:rPr>
        <w:t>לאור כל המפורט לעיל אני דנה את הנאשם לעונשים הבאים:</w:t>
      </w:r>
    </w:p>
    <w:p w14:paraId="49A42681" w14:textId="77777777" w:rsidR="00216D31" w:rsidRDefault="00216D31" w:rsidP="00216D31">
      <w:pPr>
        <w:pStyle w:val="aa"/>
        <w:numPr>
          <w:ilvl w:val="0"/>
          <w:numId w:val="5"/>
        </w:numPr>
        <w:spacing w:before="100" w:beforeAutospacing="1" w:after="100" w:afterAutospacing="1" w:line="300" w:lineRule="exact"/>
        <w:jc w:val="both"/>
        <w:rPr>
          <w:rFonts w:cs="David"/>
          <w:sz w:val="24"/>
          <w:szCs w:val="24"/>
        </w:rPr>
      </w:pPr>
      <w:r>
        <w:rPr>
          <w:rFonts w:cs="David"/>
          <w:sz w:val="24"/>
          <w:szCs w:val="24"/>
          <w:rtl/>
        </w:rPr>
        <w:t>אני מורה על חידוש המאסר המותנה בן 5 חודשים כפי שהוטל על הנאשם ב</w:t>
      </w:r>
      <w:hyperlink r:id="rId21" w:history="1">
        <w:r w:rsidR="00623035" w:rsidRPr="00623035">
          <w:rPr>
            <w:rStyle w:val="Hyperlink"/>
            <w:rFonts w:cs="David" w:hint="cs"/>
            <w:sz w:val="24"/>
            <w:szCs w:val="24"/>
            <w:rtl/>
          </w:rPr>
          <w:t>ת</w:t>
        </w:r>
        <w:r w:rsidR="00623035" w:rsidRPr="00623035">
          <w:rPr>
            <w:rStyle w:val="Hyperlink"/>
            <w:rFonts w:cs="David"/>
            <w:sz w:val="24"/>
            <w:szCs w:val="24"/>
            <w:rtl/>
          </w:rPr>
          <w:t>"</w:t>
        </w:r>
        <w:r w:rsidR="00623035" w:rsidRPr="00623035">
          <w:rPr>
            <w:rStyle w:val="Hyperlink"/>
            <w:rFonts w:cs="David" w:hint="cs"/>
            <w:sz w:val="24"/>
            <w:szCs w:val="24"/>
            <w:rtl/>
          </w:rPr>
          <w:t>פ</w:t>
        </w:r>
        <w:r w:rsidR="00623035" w:rsidRPr="00623035">
          <w:rPr>
            <w:rStyle w:val="Hyperlink"/>
            <w:rFonts w:cs="David"/>
            <w:sz w:val="24"/>
            <w:szCs w:val="24"/>
            <w:rtl/>
          </w:rPr>
          <w:t xml:space="preserve"> 13467-01-13</w:t>
        </w:r>
      </w:hyperlink>
      <w:r>
        <w:rPr>
          <w:rFonts w:cs="David"/>
          <w:sz w:val="24"/>
          <w:szCs w:val="24"/>
          <w:rtl/>
        </w:rPr>
        <w:t xml:space="preserve"> בבית משפט השלום באשקלון ביום 30.11.14 וזאת למשך שנתיים מהיום.</w:t>
      </w:r>
    </w:p>
    <w:p w14:paraId="3965F702" w14:textId="77777777" w:rsidR="00216D31" w:rsidRDefault="00216D31" w:rsidP="00216D31">
      <w:pPr>
        <w:pStyle w:val="aa"/>
        <w:spacing w:before="100" w:beforeAutospacing="1" w:after="100" w:afterAutospacing="1" w:line="300" w:lineRule="exact"/>
        <w:ind w:left="1590"/>
        <w:jc w:val="both"/>
        <w:rPr>
          <w:rFonts w:cs="David"/>
          <w:sz w:val="24"/>
          <w:szCs w:val="24"/>
        </w:rPr>
      </w:pPr>
    </w:p>
    <w:p w14:paraId="17C1E0E5" w14:textId="77777777" w:rsidR="00216D31" w:rsidRDefault="00216D31" w:rsidP="00216D31">
      <w:pPr>
        <w:pStyle w:val="aa"/>
        <w:numPr>
          <w:ilvl w:val="0"/>
          <w:numId w:val="5"/>
        </w:numPr>
        <w:spacing w:before="100" w:beforeAutospacing="1" w:after="100" w:afterAutospacing="1" w:line="300" w:lineRule="exact"/>
        <w:jc w:val="both"/>
        <w:rPr>
          <w:rFonts w:cs="David"/>
          <w:sz w:val="24"/>
          <w:szCs w:val="24"/>
        </w:rPr>
      </w:pPr>
      <w:r>
        <w:rPr>
          <w:rFonts w:cs="David"/>
          <w:sz w:val="24"/>
          <w:szCs w:val="24"/>
          <w:rtl/>
        </w:rPr>
        <w:t>אני פוסלת את הנאשם מל</w:t>
      </w:r>
      <w:r>
        <w:rPr>
          <w:rFonts w:cs="David"/>
          <w:sz w:val="24"/>
          <w:szCs w:val="24"/>
          <w:rtl/>
          <w:lang w:eastAsia="he-IL"/>
        </w:rPr>
        <w:t xml:space="preserve">קבל או מלהחזיק רישיון נהיגה לתקופה של </w:t>
      </w:r>
      <w:r>
        <w:rPr>
          <w:rFonts w:cs="David" w:hint="cs"/>
          <w:sz w:val="24"/>
          <w:szCs w:val="24"/>
          <w:rtl/>
          <w:lang w:eastAsia="he-IL"/>
        </w:rPr>
        <w:t>9</w:t>
      </w:r>
      <w:r>
        <w:rPr>
          <w:rFonts w:cs="David"/>
          <w:sz w:val="24"/>
          <w:szCs w:val="24"/>
          <w:rtl/>
          <w:lang w:eastAsia="he-IL"/>
        </w:rPr>
        <w:t xml:space="preserve"> חודשים. הפסילה תחל היום. בשל היות הנאשם בלתי מורשה לנהיגה המזכירות תנפיק אישור הפקדה מהיום ללא צורך בהפקדת רישיון.</w:t>
      </w:r>
      <w:r>
        <w:rPr>
          <w:rFonts w:cs="David" w:hint="cs"/>
          <w:sz w:val="24"/>
          <w:szCs w:val="24"/>
          <w:rtl/>
        </w:rPr>
        <w:t xml:space="preserve"> הפסילה תסווג באופן שבמהלך הפסילה יותר לנאשם ללמוד נהיגה, לעבור מבחן נהיגה עיוני ומבחן נהיגה מעשי. מוסבר לנאשם כי גם אם יעבור בהצלחה את כל המבחנים נאסרת עליו הנהיגה ונאסר עליו להוציא רישיון נהיגה עד לסיום הפסילה שהוטלה עליו בתיק זה.</w:t>
      </w:r>
    </w:p>
    <w:p w14:paraId="03DD6A84" w14:textId="77777777" w:rsidR="00216D31" w:rsidRPr="00216D31" w:rsidRDefault="00216D31" w:rsidP="00216D31">
      <w:pPr>
        <w:pStyle w:val="aa"/>
        <w:jc w:val="both"/>
        <w:rPr>
          <w:rFonts w:cs="David"/>
          <w:sz w:val="24"/>
          <w:szCs w:val="24"/>
        </w:rPr>
      </w:pPr>
    </w:p>
    <w:p w14:paraId="604BFBB4" w14:textId="77777777" w:rsidR="00216D31" w:rsidRDefault="00216D31" w:rsidP="00216D31">
      <w:pPr>
        <w:pStyle w:val="aa"/>
        <w:numPr>
          <w:ilvl w:val="0"/>
          <w:numId w:val="5"/>
        </w:numPr>
        <w:spacing w:before="100" w:beforeAutospacing="1" w:after="100" w:afterAutospacing="1" w:line="300" w:lineRule="exact"/>
        <w:jc w:val="both"/>
        <w:rPr>
          <w:rFonts w:cs="David"/>
          <w:sz w:val="24"/>
          <w:szCs w:val="24"/>
          <w:rtl/>
        </w:rPr>
      </w:pPr>
      <w:r>
        <w:rPr>
          <w:rFonts w:cs="David"/>
          <w:sz w:val="24"/>
          <w:szCs w:val="24"/>
          <w:rtl/>
        </w:rPr>
        <w:t>פסילה מלהחזיק ומלקבל רישיון נהיגה לתקופה של 6 חודשים וזאת על תנאי למשך 3 שנים שהנאשם לא יעבור עבירה בניגוד ל</w:t>
      </w:r>
      <w:hyperlink r:id="rId22" w:history="1">
        <w:r w:rsidR="00623035" w:rsidRPr="00623035">
          <w:rPr>
            <w:rStyle w:val="Hyperlink"/>
            <w:rFonts w:cs="David" w:hint="cs"/>
            <w:sz w:val="24"/>
            <w:szCs w:val="24"/>
            <w:rtl/>
          </w:rPr>
          <w:t>פקודת</w:t>
        </w:r>
        <w:r w:rsidR="00623035" w:rsidRPr="00623035">
          <w:rPr>
            <w:rStyle w:val="Hyperlink"/>
            <w:rFonts w:cs="David"/>
            <w:sz w:val="24"/>
            <w:szCs w:val="24"/>
            <w:rtl/>
          </w:rPr>
          <w:t xml:space="preserve"> </w:t>
        </w:r>
        <w:r w:rsidR="00623035" w:rsidRPr="00623035">
          <w:rPr>
            <w:rStyle w:val="Hyperlink"/>
            <w:rFonts w:cs="David" w:hint="cs"/>
            <w:sz w:val="24"/>
            <w:szCs w:val="24"/>
            <w:rtl/>
          </w:rPr>
          <w:t>הסמים</w:t>
        </w:r>
        <w:r w:rsidR="00623035" w:rsidRPr="00623035">
          <w:rPr>
            <w:rStyle w:val="Hyperlink"/>
            <w:rFonts w:cs="David"/>
            <w:sz w:val="24"/>
            <w:szCs w:val="24"/>
            <w:rtl/>
          </w:rPr>
          <w:t xml:space="preserve"> </w:t>
        </w:r>
        <w:r w:rsidR="00623035" w:rsidRPr="00623035">
          <w:rPr>
            <w:rStyle w:val="Hyperlink"/>
            <w:rFonts w:cs="David" w:hint="cs"/>
            <w:sz w:val="24"/>
            <w:szCs w:val="24"/>
            <w:rtl/>
          </w:rPr>
          <w:t>המסוכנים</w:t>
        </w:r>
      </w:hyperlink>
      <w:r>
        <w:rPr>
          <w:rFonts w:cs="David"/>
          <w:sz w:val="24"/>
          <w:szCs w:val="24"/>
          <w:rtl/>
        </w:rPr>
        <w:t>.</w:t>
      </w:r>
    </w:p>
    <w:p w14:paraId="5E04199B" w14:textId="77777777" w:rsidR="00216D31" w:rsidRDefault="00216D31" w:rsidP="00216D31">
      <w:pPr>
        <w:pStyle w:val="aa"/>
        <w:jc w:val="both"/>
        <w:rPr>
          <w:rFonts w:cs="David"/>
          <w:sz w:val="24"/>
          <w:szCs w:val="24"/>
          <w:lang w:eastAsia="he-IL"/>
        </w:rPr>
      </w:pPr>
    </w:p>
    <w:p w14:paraId="5E573AC1" w14:textId="77777777" w:rsidR="00216D31" w:rsidRDefault="00216D31" w:rsidP="00216D31">
      <w:pPr>
        <w:pStyle w:val="aa"/>
        <w:numPr>
          <w:ilvl w:val="0"/>
          <w:numId w:val="5"/>
        </w:numPr>
        <w:spacing w:before="100" w:beforeAutospacing="1" w:after="100" w:afterAutospacing="1" w:line="300" w:lineRule="exact"/>
        <w:jc w:val="both"/>
        <w:rPr>
          <w:rFonts w:cs="David"/>
          <w:sz w:val="24"/>
          <w:szCs w:val="24"/>
          <w:rtl/>
        </w:rPr>
      </w:pPr>
      <w:r>
        <w:rPr>
          <w:rFonts w:cs="David"/>
          <w:sz w:val="24"/>
          <w:szCs w:val="24"/>
          <w:rtl/>
          <w:lang w:eastAsia="he-IL"/>
        </w:rPr>
        <w:t>מורה על הפעלת ההתחייבות בסך 5000 ₪ עליה חתם הנאשם ב</w:t>
      </w:r>
      <w:hyperlink r:id="rId23" w:history="1">
        <w:r w:rsidR="00623035" w:rsidRPr="00623035">
          <w:rPr>
            <w:rStyle w:val="Hyperlink"/>
            <w:rFonts w:cs="David" w:hint="cs"/>
            <w:sz w:val="24"/>
            <w:szCs w:val="24"/>
            <w:rtl/>
            <w:lang w:eastAsia="he-IL"/>
          </w:rPr>
          <w:t>ת</w:t>
        </w:r>
        <w:r w:rsidR="00623035" w:rsidRPr="00623035">
          <w:rPr>
            <w:rStyle w:val="Hyperlink"/>
            <w:rFonts w:cs="David"/>
            <w:sz w:val="24"/>
            <w:szCs w:val="24"/>
            <w:rtl/>
            <w:lang w:eastAsia="he-IL"/>
          </w:rPr>
          <w:t>"</w:t>
        </w:r>
        <w:r w:rsidR="00623035" w:rsidRPr="00623035">
          <w:rPr>
            <w:rStyle w:val="Hyperlink"/>
            <w:rFonts w:cs="David" w:hint="cs"/>
            <w:sz w:val="24"/>
            <w:szCs w:val="24"/>
            <w:rtl/>
            <w:lang w:eastAsia="he-IL"/>
          </w:rPr>
          <w:t>פ</w:t>
        </w:r>
        <w:r w:rsidR="00623035" w:rsidRPr="00623035">
          <w:rPr>
            <w:rStyle w:val="Hyperlink"/>
            <w:rFonts w:cs="David"/>
            <w:sz w:val="24"/>
            <w:szCs w:val="24"/>
            <w:rtl/>
            <w:lang w:eastAsia="he-IL"/>
          </w:rPr>
          <w:t xml:space="preserve"> 13467-01-13</w:t>
        </w:r>
      </w:hyperlink>
      <w:r>
        <w:rPr>
          <w:rFonts w:cs="David"/>
          <w:sz w:val="24"/>
          <w:szCs w:val="24"/>
          <w:rtl/>
          <w:lang w:eastAsia="he-IL"/>
        </w:rPr>
        <w:t xml:space="preserve"> בבית משפט השלום באשקלון ביום 30.11.14. ההתחייבות תשלום ב – 20 תשלומים חודשיים רצופים ושווים, תשלום ראשון לא יאוחר מיום   15.3.19.</w:t>
      </w:r>
    </w:p>
    <w:p w14:paraId="5375EA16" w14:textId="77777777" w:rsidR="00216D31" w:rsidRPr="00216D31" w:rsidRDefault="00216D31" w:rsidP="00216D31">
      <w:pPr>
        <w:pStyle w:val="aa"/>
        <w:jc w:val="both"/>
        <w:rPr>
          <w:rFonts w:cs="David"/>
          <w:sz w:val="24"/>
          <w:szCs w:val="24"/>
        </w:rPr>
      </w:pPr>
    </w:p>
    <w:p w14:paraId="6DA21E03" w14:textId="77777777" w:rsidR="00216D31" w:rsidRDefault="00216D31" w:rsidP="00216D31">
      <w:pPr>
        <w:pStyle w:val="aa"/>
        <w:numPr>
          <w:ilvl w:val="0"/>
          <w:numId w:val="5"/>
        </w:numPr>
        <w:spacing w:before="100" w:beforeAutospacing="1" w:after="100" w:afterAutospacing="1" w:line="300" w:lineRule="exact"/>
        <w:jc w:val="both"/>
        <w:rPr>
          <w:rFonts w:cs="David"/>
          <w:sz w:val="24"/>
          <w:szCs w:val="24"/>
          <w:rtl/>
        </w:rPr>
      </w:pPr>
      <w:r>
        <w:rPr>
          <w:rFonts w:cs="David"/>
          <w:sz w:val="24"/>
          <w:szCs w:val="24"/>
          <w:rtl/>
        </w:rPr>
        <w:t xml:space="preserve">הנאשם יחתום על התחייבות כספית בסך 3000 ₪ להימנע מביצוע עבירה על </w:t>
      </w:r>
      <w:hyperlink r:id="rId24" w:history="1">
        <w:r w:rsidR="00623035" w:rsidRPr="00623035">
          <w:rPr>
            <w:rStyle w:val="Hyperlink"/>
            <w:rFonts w:cs="David" w:hint="cs"/>
            <w:sz w:val="24"/>
            <w:szCs w:val="24"/>
            <w:rtl/>
          </w:rPr>
          <w:t>פקודת</w:t>
        </w:r>
        <w:r w:rsidR="00623035" w:rsidRPr="00623035">
          <w:rPr>
            <w:rStyle w:val="Hyperlink"/>
            <w:rFonts w:cs="David"/>
            <w:sz w:val="24"/>
            <w:szCs w:val="24"/>
            <w:rtl/>
          </w:rPr>
          <w:t xml:space="preserve"> </w:t>
        </w:r>
        <w:r w:rsidR="00623035" w:rsidRPr="00623035">
          <w:rPr>
            <w:rStyle w:val="Hyperlink"/>
            <w:rFonts w:cs="David" w:hint="cs"/>
            <w:sz w:val="24"/>
            <w:szCs w:val="24"/>
            <w:rtl/>
          </w:rPr>
          <w:t>הסמים</w:t>
        </w:r>
        <w:r w:rsidR="00623035" w:rsidRPr="00623035">
          <w:rPr>
            <w:rStyle w:val="Hyperlink"/>
            <w:rFonts w:cs="David"/>
            <w:sz w:val="24"/>
            <w:szCs w:val="24"/>
            <w:rtl/>
          </w:rPr>
          <w:t xml:space="preserve"> </w:t>
        </w:r>
        <w:r w:rsidR="00623035" w:rsidRPr="00623035">
          <w:rPr>
            <w:rStyle w:val="Hyperlink"/>
            <w:rFonts w:cs="David" w:hint="cs"/>
            <w:sz w:val="24"/>
            <w:szCs w:val="24"/>
            <w:rtl/>
          </w:rPr>
          <w:t>המסוכנים</w:t>
        </w:r>
      </w:hyperlink>
      <w:r>
        <w:rPr>
          <w:rFonts w:cs="David"/>
          <w:sz w:val="24"/>
          <w:szCs w:val="24"/>
          <w:rtl/>
        </w:rPr>
        <w:t>. ההתחייבות תיחתם במזכירות בית משפט עוד היום. לא יחתום הנאשם כאמור, יאסר למשך 15 יום.</w:t>
      </w:r>
    </w:p>
    <w:p w14:paraId="7F6658FD" w14:textId="77777777" w:rsidR="00216D31" w:rsidRDefault="00216D31" w:rsidP="00216D31">
      <w:pPr>
        <w:ind w:left="1287"/>
        <w:rPr>
          <w:rFonts w:ascii="David" w:hAnsi="David"/>
          <w:rtl/>
        </w:rPr>
      </w:pPr>
    </w:p>
    <w:p w14:paraId="1470E483" w14:textId="77777777" w:rsidR="00216D31" w:rsidRDefault="00216D31" w:rsidP="00216D31">
      <w:pPr>
        <w:ind w:left="567"/>
        <w:rPr>
          <w:rtl/>
        </w:rPr>
      </w:pPr>
      <w:r>
        <w:rPr>
          <w:rFonts w:hint="cs"/>
          <w:rtl/>
        </w:rPr>
        <w:t>המוצגים  התיקים יושמדו, בכפוף לחלוף תקופת הערעור.</w:t>
      </w:r>
    </w:p>
    <w:p w14:paraId="49FB4025" w14:textId="77777777" w:rsidR="00216D31" w:rsidRDefault="00216D31" w:rsidP="00216D31">
      <w:pPr>
        <w:ind w:left="567"/>
        <w:rPr>
          <w:rtl/>
        </w:rPr>
      </w:pPr>
      <w:r>
        <w:rPr>
          <w:rFonts w:hint="cs"/>
          <w:rtl/>
        </w:rPr>
        <w:t>זכות ערעור תוך 45 יום לביהמ"ש המחוזי</w:t>
      </w:r>
    </w:p>
    <w:p w14:paraId="46D89B04" w14:textId="77777777" w:rsidR="00216D31" w:rsidRPr="00623035" w:rsidRDefault="00623035" w:rsidP="00216D31">
      <w:pPr>
        <w:rPr>
          <w:rFonts w:eastAsia="David"/>
          <w:b/>
          <w:bCs/>
          <w:color w:val="FFFFFF"/>
          <w:sz w:val="2"/>
          <w:szCs w:val="2"/>
          <w:u w:val="single"/>
        </w:rPr>
      </w:pPr>
      <w:r w:rsidRPr="00623035">
        <w:rPr>
          <w:rFonts w:eastAsia="David"/>
          <w:b/>
          <w:bCs/>
          <w:color w:val="FFFFFF"/>
          <w:sz w:val="2"/>
          <w:szCs w:val="2"/>
          <w:u w:val="single"/>
          <w:rtl/>
        </w:rPr>
        <w:t>5129371</w:t>
      </w:r>
    </w:p>
    <w:p w14:paraId="7EBFBE8B" w14:textId="77777777" w:rsidR="00216D31" w:rsidRPr="00623035" w:rsidRDefault="00623035" w:rsidP="00216D31">
      <w:pPr>
        <w:rPr>
          <w:b/>
          <w:bCs/>
          <w:color w:val="FFFFFF"/>
          <w:sz w:val="2"/>
          <w:szCs w:val="2"/>
          <w:u w:val="single"/>
          <w:rtl/>
        </w:rPr>
      </w:pPr>
      <w:r w:rsidRPr="00623035">
        <w:rPr>
          <w:b/>
          <w:bCs/>
          <w:color w:val="FFFFFF"/>
          <w:sz w:val="2"/>
          <w:szCs w:val="2"/>
          <w:u w:val="single"/>
          <w:rtl/>
        </w:rPr>
        <w:t>54678313</w:t>
      </w:r>
    </w:p>
    <w:p w14:paraId="1CFDCF63" w14:textId="77777777" w:rsidR="00216D31" w:rsidRDefault="00623035" w:rsidP="00216D31">
      <w:pPr>
        <w:jc w:val="center"/>
      </w:pPr>
      <w:r>
        <w:rPr>
          <w:rFonts w:ascii="Arial" w:hAnsi="Arial"/>
          <w:rtl/>
        </w:rPr>
        <w:t xml:space="preserve">ניתן היום,   כ אדר א תשע"ט 25.2.19  הצדדים. </w:t>
      </w:r>
      <w:r w:rsidR="00216D31">
        <w:rPr>
          <w:rFonts w:hint="cs"/>
          <w:rtl/>
        </w:rPr>
        <w:t xml:space="preserve">   </w:t>
      </w:r>
      <w:r w:rsidR="00216D31">
        <w:rPr>
          <w:rFonts w:hint="cs"/>
          <w:rtl/>
        </w:rPr>
        <w:tab/>
      </w:r>
      <w:r w:rsidR="00216D31">
        <w:rPr>
          <w:rFonts w:hint="cs"/>
          <w:rtl/>
        </w:rPr>
        <w:tab/>
      </w:r>
      <w:r w:rsidR="00216D31">
        <w:rPr>
          <w:rFonts w:hint="cs"/>
          <w:rtl/>
        </w:rPr>
        <w:tab/>
      </w:r>
      <w:r w:rsidR="00216D31">
        <w:rPr>
          <w:rFonts w:hint="cs"/>
          <w:rtl/>
        </w:rPr>
        <w:tab/>
      </w:r>
      <w:r w:rsidR="00216D31">
        <w:rPr>
          <w:rFonts w:hint="cs"/>
          <w:rtl/>
        </w:rPr>
        <w:tab/>
      </w:r>
      <w:r w:rsidR="00216D31">
        <w:rPr>
          <w:rtl/>
        </w:rPr>
        <w:t xml:space="preserve">     </w:t>
      </w:r>
    </w:p>
    <w:p w14:paraId="5009CA3A" w14:textId="77777777" w:rsidR="00216D31" w:rsidRDefault="00216D31" w:rsidP="00216D31">
      <w:pPr>
        <w:jc w:val="center"/>
        <w:rPr>
          <w:rFonts w:ascii="Arial" w:hAnsi="Arial" w:cs="FrankRuehl"/>
          <w:sz w:val="28"/>
          <w:szCs w:val="28"/>
          <w:rtl/>
        </w:rPr>
      </w:pPr>
    </w:p>
    <w:p w14:paraId="229FF4EE" w14:textId="77777777" w:rsidR="00216D31" w:rsidRDefault="00216D31" w:rsidP="00216D31">
      <w:pPr>
        <w:rPr>
          <w:rFonts w:cs="FrankRuehl"/>
          <w:sz w:val="28"/>
          <w:szCs w:val="28"/>
          <w:rtl/>
        </w:rPr>
      </w:pPr>
    </w:p>
    <w:p w14:paraId="6D840A7A" w14:textId="77777777" w:rsidR="00216D31" w:rsidRPr="00902F00" w:rsidRDefault="00902F00" w:rsidP="00216D31">
      <w:pPr>
        <w:pStyle w:val="a3"/>
        <w:jc w:val="center"/>
        <w:rPr>
          <w:color w:val="FFFFFF"/>
          <w:sz w:val="2"/>
          <w:szCs w:val="2"/>
          <w:rtl/>
        </w:rPr>
      </w:pPr>
      <w:r w:rsidRPr="00902F00">
        <w:rPr>
          <w:color w:val="FFFFFF"/>
          <w:sz w:val="2"/>
          <w:szCs w:val="2"/>
          <w:rtl/>
        </w:rPr>
        <w:t>5129371</w:t>
      </w:r>
    </w:p>
    <w:p w14:paraId="7D92D71D" w14:textId="77777777" w:rsidR="00BF11B7" w:rsidRPr="00902F00" w:rsidRDefault="00902F00" w:rsidP="00623035">
      <w:pPr>
        <w:keepNext/>
        <w:rPr>
          <w:rFonts w:ascii="David" w:hAnsi="David"/>
          <w:color w:val="FFFFFF"/>
          <w:sz w:val="2"/>
          <w:szCs w:val="2"/>
          <w:rtl/>
        </w:rPr>
      </w:pPr>
      <w:r w:rsidRPr="00902F00">
        <w:rPr>
          <w:rFonts w:ascii="David" w:hAnsi="David"/>
          <w:color w:val="FFFFFF"/>
          <w:sz w:val="2"/>
          <w:szCs w:val="2"/>
          <w:rtl/>
        </w:rPr>
        <w:t>54678313</w:t>
      </w:r>
    </w:p>
    <w:p w14:paraId="055369DA" w14:textId="77777777" w:rsidR="00623035" w:rsidRPr="00623035" w:rsidRDefault="00623035" w:rsidP="00623035">
      <w:pPr>
        <w:keepNext/>
        <w:rPr>
          <w:rFonts w:ascii="David" w:hAnsi="David"/>
          <w:color w:val="000000"/>
          <w:sz w:val="22"/>
          <w:szCs w:val="22"/>
          <w:rtl/>
        </w:rPr>
      </w:pPr>
      <w:r w:rsidRPr="00623035">
        <w:rPr>
          <w:rFonts w:ascii="David" w:hAnsi="David"/>
          <w:color w:val="000000"/>
          <w:sz w:val="22"/>
          <w:szCs w:val="22"/>
          <w:rtl/>
        </w:rPr>
        <w:t>נועה חקלאי 54678313</w:t>
      </w:r>
    </w:p>
    <w:p w14:paraId="6C107C7A" w14:textId="77777777" w:rsidR="00623035" w:rsidRDefault="00623035" w:rsidP="00623035">
      <w:r w:rsidRPr="00623035">
        <w:rPr>
          <w:color w:val="000000"/>
          <w:rtl/>
        </w:rPr>
        <w:t>נוסח מסמך זה כפוף לשינויי ניסוח ועריכה</w:t>
      </w:r>
    </w:p>
    <w:p w14:paraId="4F843B92" w14:textId="77777777" w:rsidR="00623035" w:rsidRDefault="00623035" w:rsidP="00623035">
      <w:pPr>
        <w:rPr>
          <w:rtl/>
        </w:rPr>
      </w:pPr>
    </w:p>
    <w:p w14:paraId="1EEE3592" w14:textId="77777777" w:rsidR="00623035" w:rsidRDefault="00623035" w:rsidP="00623035">
      <w:pPr>
        <w:jc w:val="center"/>
        <w:rPr>
          <w:color w:val="0000FF"/>
          <w:u w:val="single"/>
        </w:rPr>
      </w:pPr>
      <w:hyperlink r:id="rId25" w:history="1">
        <w:r>
          <w:rPr>
            <w:color w:val="0000FF"/>
            <w:u w:val="single"/>
            <w:rtl/>
          </w:rPr>
          <w:t>בעניין עריכה ושינויים במסמכי פסיקה, חקיקה ועוד באתר נבו – הקש כאן</w:t>
        </w:r>
      </w:hyperlink>
    </w:p>
    <w:p w14:paraId="3389DA3D" w14:textId="77777777" w:rsidR="00902F00" w:rsidRPr="00902F00" w:rsidRDefault="00902F00" w:rsidP="00902F00">
      <w:pPr>
        <w:keepNext/>
        <w:rPr>
          <w:rFonts w:ascii="David" w:hAnsi="David"/>
          <w:color w:val="000000"/>
          <w:sz w:val="22"/>
          <w:szCs w:val="22"/>
          <w:rtl/>
        </w:rPr>
      </w:pPr>
    </w:p>
    <w:p w14:paraId="4A86127A" w14:textId="77777777" w:rsidR="00623035" w:rsidRPr="00623035" w:rsidRDefault="00623035" w:rsidP="00902F00">
      <w:pPr>
        <w:rPr>
          <w:color w:val="0000FF"/>
          <w:u w:val="single"/>
        </w:rPr>
      </w:pPr>
    </w:p>
    <w:sectPr w:rsidR="00623035" w:rsidRPr="00623035" w:rsidSect="00902F00">
      <w:headerReference w:type="even" r:id="rId26"/>
      <w:headerReference w:type="default" r:id="rId27"/>
      <w:footerReference w:type="even" r:id="rId28"/>
      <w:footerReference w:type="default" r:id="rId29"/>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7073AF" w14:textId="77777777" w:rsidR="00AA4062" w:rsidRDefault="00AA4062" w:rsidP="00491D81">
      <w:r>
        <w:separator/>
      </w:r>
    </w:p>
  </w:endnote>
  <w:endnote w:type="continuationSeparator" w:id="0">
    <w:p w14:paraId="2A797668" w14:textId="77777777" w:rsidR="00AA4062" w:rsidRDefault="00AA4062" w:rsidP="00491D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avid">
    <w:panose1 w:val="020E0502060401010101"/>
    <w:charset w:val="00"/>
    <w:family w:val="swiss"/>
    <w:pitch w:val="variable"/>
    <w:sig w:usb0="00000803" w:usb1="00000000" w:usb2="00000000" w:usb3="00000000" w:csb0="00000021"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9F7BCE" w14:textId="77777777" w:rsidR="00902F00" w:rsidRDefault="00902F00" w:rsidP="00902F00">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405D5F49" w14:textId="77777777" w:rsidR="00FA2757" w:rsidRPr="00902F00" w:rsidRDefault="00902F00" w:rsidP="00902F00">
    <w:pPr>
      <w:pStyle w:val="a5"/>
      <w:pBdr>
        <w:top w:val="single" w:sz="4" w:space="1" w:color="auto"/>
        <w:between w:val="single" w:sz="4" w:space="0" w:color="auto"/>
      </w:pBdr>
      <w:spacing w:after="60"/>
      <w:jc w:val="center"/>
      <w:rPr>
        <w:rFonts w:ascii="FrankRuehl" w:hAnsi="FrankRuehl" w:cs="FrankRuehl"/>
        <w:color w:val="000000"/>
      </w:rPr>
    </w:pPr>
    <w:r w:rsidRPr="00902F00">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0FA58F3" w14:textId="77777777" w:rsidR="00902F00" w:rsidRDefault="00902F00" w:rsidP="00902F00">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B101C4">
      <w:rPr>
        <w:rFonts w:ascii="FrankRuehl" w:hAnsi="FrankRuehl" w:cs="FrankRuehl"/>
        <w:noProof/>
        <w:rtl/>
      </w:rPr>
      <w:t>1</w:t>
    </w:r>
    <w:r>
      <w:rPr>
        <w:rFonts w:ascii="FrankRuehl" w:hAnsi="FrankRuehl" w:cs="FrankRuehl"/>
        <w:rtl/>
      </w:rPr>
      <w:fldChar w:fldCharType="end"/>
    </w:r>
  </w:p>
  <w:p w14:paraId="2F335345" w14:textId="77777777" w:rsidR="00FA2757" w:rsidRPr="00902F00" w:rsidRDefault="00902F00" w:rsidP="00902F00">
    <w:pPr>
      <w:pStyle w:val="a5"/>
      <w:pBdr>
        <w:top w:val="single" w:sz="4" w:space="1" w:color="auto"/>
        <w:between w:val="single" w:sz="4" w:space="0" w:color="auto"/>
      </w:pBdr>
      <w:spacing w:after="60"/>
      <w:jc w:val="center"/>
      <w:rPr>
        <w:rFonts w:ascii="FrankRuehl" w:hAnsi="FrankRuehl" w:cs="FrankRuehl"/>
        <w:color w:val="000000"/>
      </w:rPr>
    </w:pPr>
    <w:r w:rsidRPr="00902F00">
      <w:rPr>
        <w:rFonts w:ascii="FrankRuehl" w:hAnsi="FrankRuehl" w:cs="FrankRuehl"/>
        <w:color w:val="000000"/>
      </w:rPr>
      <w:pict w14:anchorId="38FBA6D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4143F5" w14:textId="77777777" w:rsidR="00AA4062" w:rsidRDefault="00AA4062" w:rsidP="00491D81">
      <w:r>
        <w:separator/>
      </w:r>
    </w:p>
  </w:footnote>
  <w:footnote w:type="continuationSeparator" w:id="0">
    <w:p w14:paraId="41A60751" w14:textId="77777777" w:rsidR="00AA4062" w:rsidRDefault="00AA4062" w:rsidP="00491D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1EA496" w14:textId="77777777" w:rsidR="00623035" w:rsidRPr="00902F00" w:rsidRDefault="00902F00" w:rsidP="00902F0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(ק"ג) 54499-11-15</w:t>
    </w:r>
    <w:r>
      <w:rPr>
        <w:rFonts w:ascii="David" w:hAnsi="David"/>
        <w:color w:val="000000"/>
        <w:sz w:val="22"/>
        <w:szCs w:val="22"/>
        <w:rtl/>
      </w:rPr>
      <w:tab/>
      <w:t xml:space="preserve"> מדינת ישראל נ' עובדיה חדאד</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AF8BE5" w14:textId="77777777" w:rsidR="00623035" w:rsidRPr="00902F00" w:rsidRDefault="00902F00" w:rsidP="00902F00">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(ק"ג) 54499-11-15</w:t>
    </w:r>
    <w:r>
      <w:rPr>
        <w:rFonts w:ascii="David" w:hAnsi="David"/>
        <w:color w:val="000000"/>
        <w:sz w:val="22"/>
        <w:szCs w:val="22"/>
        <w:rtl/>
      </w:rPr>
      <w:tab/>
      <w:t xml:space="preserve"> מדינת ישראל נ' עובדיה חדאד</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C0AAE"/>
    <w:multiLevelType w:val="hybridMultilevel"/>
    <w:tmpl w:val="A2D2C9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 w15:restartNumberingAfterBreak="0">
    <w:nsid w:val="2A1524DD"/>
    <w:multiLevelType w:val="hybridMultilevel"/>
    <w:tmpl w:val="F4BC851C"/>
    <w:lvl w:ilvl="0" w:tplc="04090001">
      <w:start w:val="1"/>
      <w:numFmt w:val="bullet"/>
      <w:lvlText w:val=""/>
      <w:lvlJc w:val="left"/>
      <w:pPr>
        <w:ind w:left="1140" w:hanging="360"/>
      </w:pPr>
      <w:rPr>
        <w:rFonts w:ascii="Symbol" w:hAnsi="Symbol" w:hint="default"/>
      </w:rPr>
    </w:lvl>
    <w:lvl w:ilvl="1" w:tplc="04090003">
      <w:start w:val="1"/>
      <w:numFmt w:val="bullet"/>
      <w:lvlText w:val="o"/>
      <w:lvlJc w:val="left"/>
      <w:pPr>
        <w:ind w:left="1860" w:hanging="360"/>
      </w:pPr>
      <w:rPr>
        <w:rFonts w:ascii="Courier New" w:hAnsi="Courier New" w:cs="Courier New" w:hint="default"/>
      </w:rPr>
    </w:lvl>
    <w:lvl w:ilvl="2" w:tplc="04090005">
      <w:start w:val="1"/>
      <w:numFmt w:val="bullet"/>
      <w:lvlText w:val=""/>
      <w:lvlJc w:val="left"/>
      <w:pPr>
        <w:ind w:left="2580" w:hanging="360"/>
      </w:pPr>
      <w:rPr>
        <w:rFonts w:ascii="Wingdings" w:hAnsi="Wingdings" w:hint="default"/>
      </w:rPr>
    </w:lvl>
    <w:lvl w:ilvl="3" w:tplc="04090001">
      <w:start w:val="1"/>
      <w:numFmt w:val="bullet"/>
      <w:lvlText w:val=""/>
      <w:lvlJc w:val="left"/>
      <w:pPr>
        <w:ind w:left="3300" w:hanging="360"/>
      </w:pPr>
      <w:rPr>
        <w:rFonts w:ascii="Symbol" w:hAnsi="Symbol" w:hint="default"/>
      </w:rPr>
    </w:lvl>
    <w:lvl w:ilvl="4" w:tplc="04090003">
      <w:start w:val="1"/>
      <w:numFmt w:val="bullet"/>
      <w:lvlText w:val="o"/>
      <w:lvlJc w:val="left"/>
      <w:pPr>
        <w:ind w:left="4020" w:hanging="360"/>
      </w:pPr>
      <w:rPr>
        <w:rFonts w:ascii="Courier New" w:hAnsi="Courier New" w:cs="Courier New" w:hint="default"/>
      </w:rPr>
    </w:lvl>
    <w:lvl w:ilvl="5" w:tplc="04090005">
      <w:start w:val="1"/>
      <w:numFmt w:val="bullet"/>
      <w:lvlText w:val=""/>
      <w:lvlJc w:val="left"/>
      <w:pPr>
        <w:ind w:left="4740" w:hanging="360"/>
      </w:pPr>
      <w:rPr>
        <w:rFonts w:ascii="Wingdings" w:hAnsi="Wingdings" w:hint="default"/>
      </w:rPr>
    </w:lvl>
    <w:lvl w:ilvl="6" w:tplc="04090001">
      <w:start w:val="1"/>
      <w:numFmt w:val="bullet"/>
      <w:lvlText w:val=""/>
      <w:lvlJc w:val="left"/>
      <w:pPr>
        <w:ind w:left="5460" w:hanging="360"/>
      </w:pPr>
      <w:rPr>
        <w:rFonts w:ascii="Symbol" w:hAnsi="Symbol" w:hint="default"/>
      </w:rPr>
    </w:lvl>
    <w:lvl w:ilvl="7" w:tplc="04090003">
      <w:start w:val="1"/>
      <w:numFmt w:val="bullet"/>
      <w:lvlText w:val="o"/>
      <w:lvlJc w:val="left"/>
      <w:pPr>
        <w:ind w:left="6180" w:hanging="360"/>
      </w:pPr>
      <w:rPr>
        <w:rFonts w:ascii="Courier New" w:hAnsi="Courier New" w:cs="Courier New" w:hint="default"/>
      </w:rPr>
    </w:lvl>
    <w:lvl w:ilvl="8" w:tplc="04090005">
      <w:start w:val="1"/>
      <w:numFmt w:val="bullet"/>
      <w:lvlText w:val=""/>
      <w:lvlJc w:val="left"/>
      <w:pPr>
        <w:ind w:left="6900" w:hanging="360"/>
      </w:pPr>
      <w:rPr>
        <w:rFonts w:ascii="Wingdings" w:hAnsi="Wingdings" w:hint="default"/>
      </w:rPr>
    </w:lvl>
  </w:abstractNum>
  <w:abstractNum w:abstractNumId="2" w15:restartNumberingAfterBreak="0">
    <w:nsid w:val="3A7E232F"/>
    <w:multiLevelType w:val="hybridMultilevel"/>
    <w:tmpl w:val="F866208C"/>
    <w:lvl w:ilvl="0" w:tplc="7FF0BCB4">
      <w:start w:val="1"/>
      <w:numFmt w:val="hebrew1"/>
      <w:lvlText w:val="%1."/>
      <w:lvlJc w:val="left"/>
      <w:pPr>
        <w:ind w:left="1590" w:hanging="870"/>
      </w:pPr>
      <w:rPr>
        <w:rFonts w:ascii="Times New Roman" w:hAnsi="Times New Roman" w:cs="Times New Roman"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15:restartNumberingAfterBreak="0">
    <w:nsid w:val="3E4E0527"/>
    <w:multiLevelType w:val="hybridMultilevel"/>
    <w:tmpl w:val="7E48049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 w15:restartNumberingAfterBreak="0">
    <w:nsid w:val="3FE337EB"/>
    <w:multiLevelType w:val="hybridMultilevel"/>
    <w:tmpl w:val="BF92E34C"/>
    <w:lvl w:ilvl="0" w:tplc="AED4904E">
      <w:start w:val="1"/>
      <w:numFmt w:val="decimal"/>
      <w:lvlText w:val="%1."/>
      <w:lvlJc w:val="left"/>
      <w:pPr>
        <w:ind w:left="720" w:hanging="720"/>
      </w:pPr>
      <w:rPr>
        <w:rFonts w:cs="David"/>
        <w:b w:val="0"/>
        <w:bCs w:val="0"/>
        <w:sz w:val="24"/>
        <w:szCs w:val="24"/>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16cid:durableId="178214477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2099867124">
    <w:abstractNumId w:val="0"/>
  </w:num>
  <w:num w:numId="3" w16cid:durableId="2075621350">
    <w:abstractNumId w:val="1"/>
  </w:num>
  <w:num w:numId="4" w16cid:durableId="314262973">
    <w:abstractNumId w:val="3"/>
  </w:num>
  <w:num w:numId="5" w16cid:durableId="4264678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hdrShapeDefaults>
    <o:shapedefaults v:ext="edit" spidmax="3074"/>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216D31"/>
    <w:rsid w:val="00216D31"/>
    <w:rsid w:val="00381020"/>
    <w:rsid w:val="00491D81"/>
    <w:rsid w:val="00623035"/>
    <w:rsid w:val="007C1625"/>
    <w:rsid w:val="00902F00"/>
    <w:rsid w:val="00AA4062"/>
    <w:rsid w:val="00B101C4"/>
    <w:rsid w:val="00BF11B7"/>
    <w:rsid w:val="00DA6F31"/>
    <w:rsid w:val="00FA275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14:docId w14:val="0DC366DF"/>
  <w15:chartTrackingRefBased/>
  <w15:docId w15:val="{B4E8BD65-9CC9-4461-8C0B-39B93A1E64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216D31"/>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216D31"/>
    <w:pPr>
      <w:tabs>
        <w:tab w:val="center" w:pos="4153"/>
        <w:tab w:val="right" w:pos="8306"/>
      </w:tabs>
    </w:pPr>
  </w:style>
  <w:style w:type="character" w:customStyle="1" w:styleId="a4">
    <w:name w:val="כותרת עליונה תו"/>
    <w:link w:val="a3"/>
    <w:rsid w:val="00216D31"/>
    <w:rPr>
      <w:rFonts w:ascii="Times New Roman" w:eastAsia="Times New Roman" w:hAnsi="Times New Roman" w:cs="David"/>
      <w:sz w:val="24"/>
      <w:szCs w:val="24"/>
    </w:rPr>
  </w:style>
  <w:style w:type="paragraph" w:styleId="a5">
    <w:name w:val="footer"/>
    <w:basedOn w:val="a"/>
    <w:link w:val="a6"/>
    <w:rsid w:val="00216D31"/>
    <w:pPr>
      <w:tabs>
        <w:tab w:val="center" w:pos="4153"/>
        <w:tab w:val="right" w:pos="8306"/>
      </w:tabs>
    </w:pPr>
  </w:style>
  <w:style w:type="character" w:customStyle="1" w:styleId="a6">
    <w:name w:val="כותרת תחתונה תו"/>
    <w:link w:val="a5"/>
    <w:rsid w:val="00216D31"/>
    <w:rPr>
      <w:rFonts w:ascii="Times New Roman" w:eastAsia="Times New Roman" w:hAnsi="Times New Roman" w:cs="David"/>
      <w:sz w:val="24"/>
      <w:szCs w:val="24"/>
    </w:rPr>
  </w:style>
  <w:style w:type="table" w:styleId="a7">
    <w:name w:val="Table Grid"/>
    <w:basedOn w:val="a1"/>
    <w:rsid w:val="00216D31"/>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216D31"/>
  </w:style>
  <w:style w:type="character" w:customStyle="1" w:styleId="a9">
    <w:name w:val="פיסקת רשימה תו"/>
    <w:link w:val="aa"/>
    <w:locked/>
    <w:rsid w:val="00216D31"/>
  </w:style>
  <w:style w:type="paragraph" w:styleId="aa">
    <w:name w:val="List Paragraph"/>
    <w:basedOn w:val="a"/>
    <w:link w:val="a9"/>
    <w:qFormat/>
    <w:rsid w:val="00216D31"/>
    <w:pPr>
      <w:spacing w:after="200" w:line="276" w:lineRule="auto"/>
      <w:ind w:left="720"/>
      <w:contextualSpacing/>
    </w:pPr>
    <w:rPr>
      <w:rFonts w:ascii="Calibri" w:eastAsia="Calibri" w:hAnsi="Calibri" w:cs="Arial"/>
      <w:sz w:val="22"/>
      <w:szCs w:val="22"/>
    </w:rPr>
  </w:style>
  <w:style w:type="character" w:styleId="Hyperlink">
    <w:name w:val="Hyperlink"/>
    <w:rsid w:val="00216D3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a." TargetMode="External"/><Relationship Id="rId13" Type="http://schemas.openxmlformats.org/officeDocument/2006/relationships/hyperlink" Target="http://www.nevo.co.il/case/6051623" TargetMode="External"/><Relationship Id="rId18" Type="http://schemas.openxmlformats.org/officeDocument/2006/relationships/hyperlink" Target="http://www.nevo.co.il/case/4108675"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www.nevo.co.il/case/4155719" TargetMode="External"/><Relationship Id="rId7" Type="http://schemas.openxmlformats.org/officeDocument/2006/relationships/hyperlink" Target="http://www.nevo.co.il/law/4216" TargetMode="External"/><Relationship Id="rId12" Type="http://schemas.openxmlformats.org/officeDocument/2006/relationships/hyperlink" Target="http://www.nevo.co.il/case/5681787" TargetMode="External"/><Relationship Id="rId17" Type="http://schemas.openxmlformats.org/officeDocument/2006/relationships/hyperlink" Target="http://www.nevo.co.il/case/8485650" TargetMode="External"/><Relationship Id="rId25" Type="http://schemas.openxmlformats.org/officeDocument/2006/relationships/hyperlink" Target="http://www.nevo.co.il/advertisements/nevo-100.doc" TargetMode="External"/><Relationship Id="rId2" Type="http://schemas.openxmlformats.org/officeDocument/2006/relationships/styles" Target="styles.xml"/><Relationship Id="rId16" Type="http://schemas.openxmlformats.org/officeDocument/2006/relationships/hyperlink" Target="http://www.nevo.co.il/case/10528217" TargetMode="External"/><Relationship Id="rId20" Type="http://schemas.openxmlformats.org/officeDocument/2006/relationships/hyperlink" Target="http://www.nevo.co.il/case/1611196" TargetMode="External"/><Relationship Id="rId29"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4216" TargetMode="External"/><Relationship Id="rId24" Type="http://schemas.openxmlformats.org/officeDocument/2006/relationships/hyperlink" Target="http://www.nevo.co.il/law/4216" TargetMode="External"/><Relationship Id="rId5" Type="http://schemas.openxmlformats.org/officeDocument/2006/relationships/footnotes" Target="footnotes.xml"/><Relationship Id="rId15" Type="http://schemas.openxmlformats.org/officeDocument/2006/relationships/hyperlink" Target="https://www.nevo.co.il/psika_html/shalom/SH-16-04-16926-902.htm" TargetMode="External"/><Relationship Id="rId23" Type="http://schemas.openxmlformats.org/officeDocument/2006/relationships/hyperlink" Target="http://www.nevo.co.il/case/4155719" TargetMode="External"/><Relationship Id="rId28" Type="http://schemas.openxmlformats.org/officeDocument/2006/relationships/footer" Target="footer1.xml"/><Relationship Id="rId10" Type="http://schemas.openxmlformats.org/officeDocument/2006/relationships/hyperlink" Target="http://www.nevo.co.il/law/4216/7.a.;7.c" TargetMode="External"/><Relationship Id="rId19" Type="http://schemas.openxmlformats.org/officeDocument/2006/relationships/hyperlink" Target="http://www.nevo.co.il/case/3748129"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nevo.co.il/law/4216/7.c" TargetMode="External"/><Relationship Id="rId14" Type="http://schemas.openxmlformats.org/officeDocument/2006/relationships/hyperlink" Target="http://www.nevo.co.il/case/4914678" TargetMode="External"/><Relationship Id="rId22" Type="http://schemas.openxmlformats.org/officeDocument/2006/relationships/hyperlink" Target="http://www.nevo.co.il/law/4216" TargetMode="External"/><Relationship Id="rId27" Type="http://schemas.openxmlformats.org/officeDocument/2006/relationships/header" Target="header2.xm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1963</Words>
  <Characters>9816</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11756</CharactersWithSpaces>
  <SharedDoc>false</SharedDoc>
  <HLinks>
    <vt:vector size="114" baseType="variant">
      <vt:variant>
        <vt:i4>393283</vt:i4>
      </vt:variant>
      <vt:variant>
        <vt:i4>54</vt:i4>
      </vt:variant>
      <vt:variant>
        <vt:i4>0</vt:i4>
      </vt:variant>
      <vt:variant>
        <vt:i4>5</vt:i4>
      </vt:variant>
      <vt:variant>
        <vt:lpwstr>http://www.nevo.co.il/advertisements/nevo-100.doc</vt:lpwstr>
      </vt:variant>
      <vt:variant>
        <vt:lpwstr/>
      </vt:variant>
      <vt:variant>
        <vt:i4>8257637</vt:i4>
      </vt:variant>
      <vt:variant>
        <vt:i4>51</vt:i4>
      </vt:variant>
      <vt:variant>
        <vt:i4>0</vt:i4>
      </vt:variant>
      <vt:variant>
        <vt:i4>5</vt:i4>
      </vt:variant>
      <vt:variant>
        <vt:lpwstr>http://www.nevo.co.il/law/4216</vt:lpwstr>
      </vt:variant>
      <vt:variant>
        <vt:lpwstr/>
      </vt:variant>
      <vt:variant>
        <vt:i4>4128881</vt:i4>
      </vt:variant>
      <vt:variant>
        <vt:i4>48</vt:i4>
      </vt:variant>
      <vt:variant>
        <vt:i4>0</vt:i4>
      </vt:variant>
      <vt:variant>
        <vt:i4>5</vt:i4>
      </vt:variant>
      <vt:variant>
        <vt:lpwstr>http://www.nevo.co.il/case/4155719</vt:lpwstr>
      </vt:variant>
      <vt:variant>
        <vt:lpwstr/>
      </vt:variant>
      <vt:variant>
        <vt:i4>8257637</vt:i4>
      </vt:variant>
      <vt:variant>
        <vt:i4>45</vt:i4>
      </vt:variant>
      <vt:variant>
        <vt:i4>0</vt:i4>
      </vt:variant>
      <vt:variant>
        <vt:i4>5</vt:i4>
      </vt:variant>
      <vt:variant>
        <vt:lpwstr>http://www.nevo.co.il/law/4216</vt:lpwstr>
      </vt:variant>
      <vt:variant>
        <vt:lpwstr/>
      </vt:variant>
      <vt:variant>
        <vt:i4>4128881</vt:i4>
      </vt:variant>
      <vt:variant>
        <vt:i4>42</vt:i4>
      </vt:variant>
      <vt:variant>
        <vt:i4>0</vt:i4>
      </vt:variant>
      <vt:variant>
        <vt:i4>5</vt:i4>
      </vt:variant>
      <vt:variant>
        <vt:lpwstr>http://www.nevo.co.il/case/4155719</vt:lpwstr>
      </vt:variant>
      <vt:variant>
        <vt:lpwstr/>
      </vt:variant>
      <vt:variant>
        <vt:i4>3604602</vt:i4>
      </vt:variant>
      <vt:variant>
        <vt:i4>39</vt:i4>
      </vt:variant>
      <vt:variant>
        <vt:i4>0</vt:i4>
      </vt:variant>
      <vt:variant>
        <vt:i4>5</vt:i4>
      </vt:variant>
      <vt:variant>
        <vt:lpwstr>http://www.nevo.co.il/case/1611196</vt:lpwstr>
      </vt:variant>
      <vt:variant>
        <vt:lpwstr/>
      </vt:variant>
      <vt:variant>
        <vt:i4>4128889</vt:i4>
      </vt:variant>
      <vt:variant>
        <vt:i4>36</vt:i4>
      </vt:variant>
      <vt:variant>
        <vt:i4>0</vt:i4>
      </vt:variant>
      <vt:variant>
        <vt:i4>5</vt:i4>
      </vt:variant>
      <vt:variant>
        <vt:lpwstr>http://www.nevo.co.il/case/3748129</vt:lpwstr>
      </vt:variant>
      <vt:variant>
        <vt:lpwstr/>
      </vt:variant>
      <vt:variant>
        <vt:i4>3604602</vt:i4>
      </vt:variant>
      <vt:variant>
        <vt:i4>33</vt:i4>
      </vt:variant>
      <vt:variant>
        <vt:i4>0</vt:i4>
      </vt:variant>
      <vt:variant>
        <vt:i4>5</vt:i4>
      </vt:variant>
      <vt:variant>
        <vt:lpwstr>http://www.nevo.co.il/case/4108675</vt:lpwstr>
      </vt:variant>
      <vt:variant>
        <vt:lpwstr/>
      </vt:variant>
      <vt:variant>
        <vt:i4>3539056</vt:i4>
      </vt:variant>
      <vt:variant>
        <vt:i4>30</vt:i4>
      </vt:variant>
      <vt:variant>
        <vt:i4>0</vt:i4>
      </vt:variant>
      <vt:variant>
        <vt:i4>5</vt:i4>
      </vt:variant>
      <vt:variant>
        <vt:lpwstr>http://www.nevo.co.il/case/8485650</vt:lpwstr>
      </vt:variant>
      <vt:variant>
        <vt:lpwstr/>
      </vt:variant>
      <vt:variant>
        <vt:i4>3997812</vt:i4>
      </vt:variant>
      <vt:variant>
        <vt:i4>27</vt:i4>
      </vt:variant>
      <vt:variant>
        <vt:i4>0</vt:i4>
      </vt:variant>
      <vt:variant>
        <vt:i4>5</vt:i4>
      </vt:variant>
      <vt:variant>
        <vt:lpwstr>http://www.nevo.co.il/case/10528217</vt:lpwstr>
      </vt:variant>
      <vt:variant>
        <vt:lpwstr/>
      </vt:variant>
      <vt:variant>
        <vt:i4>7209039</vt:i4>
      </vt:variant>
      <vt:variant>
        <vt:i4>24</vt:i4>
      </vt:variant>
      <vt:variant>
        <vt:i4>0</vt:i4>
      </vt:variant>
      <vt:variant>
        <vt:i4>5</vt:i4>
      </vt:variant>
      <vt:variant>
        <vt:lpwstr>https://www.nevo.co.il/psika_html/shalom/SH-16-04-16926-902.htm</vt:lpwstr>
      </vt:variant>
      <vt:variant>
        <vt:lpwstr/>
      </vt:variant>
      <vt:variant>
        <vt:i4>3866750</vt:i4>
      </vt:variant>
      <vt:variant>
        <vt:i4>21</vt:i4>
      </vt:variant>
      <vt:variant>
        <vt:i4>0</vt:i4>
      </vt:variant>
      <vt:variant>
        <vt:i4>5</vt:i4>
      </vt:variant>
      <vt:variant>
        <vt:lpwstr>http://www.nevo.co.il/case/4914678</vt:lpwstr>
      </vt:variant>
      <vt:variant>
        <vt:lpwstr/>
      </vt:variant>
      <vt:variant>
        <vt:i4>3539063</vt:i4>
      </vt:variant>
      <vt:variant>
        <vt:i4>18</vt:i4>
      </vt:variant>
      <vt:variant>
        <vt:i4>0</vt:i4>
      </vt:variant>
      <vt:variant>
        <vt:i4>5</vt:i4>
      </vt:variant>
      <vt:variant>
        <vt:lpwstr>http://www.nevo.co.il/case/6051623</vt:lpwstr>
      </vt:variant>
      <vt:variant>
        <vt:lpwstr/>
      </vt:variant>
      <vt:variant>
        <vt:i4>3997819</vt:i4>
      </vt:variant>
      <vt:variant>
        <vt:i4>15</vt:i4>
      </vt:variant>
      <vt:variant>
        <vt:i4>0</vt:i4>
      </vt:variant>
      <vt:variant>
        <vt:i4>5</vt:i4>
      </vt:variant>
      <vt:variant>
        <vt:lpwstr>http://www.nevo.co.il/case/5681787</vt:lpwstr>
      </vt:variant>
      <vt:variant>
        <vt:lpwstr/>
      </vt:variant>
      <vt:variant>
        <vt:i4>8257637</vt:i4>
      </vt:variant>
      <vt:variant>
        <vt:i4>12</vt:i4>
      </vt:variant>
      <vt:variant>
        <vt:i4>0</vt:i4>
      </vt:variant>
      <vt:variant>
        <vt:i4>5</vt:i4>
      </vt:variant>
      <vt:variant>
        <vt:lpwstr>http://www.nevo.co.il/law/4216</vt:lpwstr>
      </vt:variant>
      <vt:variant>
        <vt:lpwstr/>
      </vt:variant>
      <vt:variant>
        <vt:i4>3997821</vt:i4>
      </vt:variant>
      <vt:variant>
        <vt:i4>9</vt:i4>
      </vt:variant>
      <vt:variant>
        <vt:i4>0</vt:i4>
      </vt:variant>
      <vt:variant>
        <vt:i4>5</vt:i4>
      </vt:variant>
      <vt:variant>
        <vt:lpwstr>http://www.nevo.co.il/law/4216/7.a.;7.c</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2025-04-22T22:55:00Z</dcterms:created>
  <dcterms:modified xsi:type="dcterms:W3CDTF">2025-04-22T22:55:00Z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54499</vt:lpwstr>
  </property>
  <property fmtid="{D5CDD505-2E9C-101B-9397-08002B2CF9AE}" pid="6" name="NEWPARTB">
    <vt:lpwstr>11</vt:lpwstr>
  </property>
  <property fmtid="{D5CDD505-2E9C-101B-9397-08002B2CF9AE}" pid="7" name="NEWPARTC">
    <vt:lpwstr>15</vt:lpwstr>
  </property>
  <property fmtid="{D5CDD505-2E9C-101B-9397-08002B2CF9AE}" pid="8" name="APPELLANT">
    <vt:lpwstr>מדינת ישראל</vt:lpwstr>
  </property>
  <property fmtid="{D5CDD505-2E9C-101B-9397-08002B2CF9AE}" pid="9" name="APPELLEE">
    <vt:lpwstr>עובדיה חדאד</vt:lpwstr>
  </property>
  <property fmtid="{D5CDD505-2E9C-101B-9397-08002B2CF9AE}" pid="10" name="LAWYER">
    <vt:lpwstr>לירן פרג';ליאור רונן</vt:lpwstr>
  </property>
  <property fmtid="{D5CDD505-2E9C-101B-9397-08002B2CF9AE}" pid="11" name="JUDGE">
    <vt:lpwstr>נועה חקלאי</vt:lpwstr>
  </property>
  <property fmtid="{D5CDD505-2E9C-101B-9397-08002B2CF9AE}" pid="12" name="CITY">
    <vt:lpwstr>ק"ג</vt:lpwstr>
  </property>
  <property fmtid="{D5CDD505-2E9C-101B-9397-08002B2CF9AE}" pid="13" name="DATE">
    <vt:lpwstr>20190225</vt:lpwstr>
  </property>
  <property fmtid="{D5CDD505-2E9C-101B-9397-08002B2CF9AE}" pid="14" name="TYPE_N_DATE">
    <vt:lpwstr>38020190225</vt:lpwstr>
  </property>
  <property fmtid="{D5CDD505-2E9C-101B-9397-08002B2CF9AE}" pid="15" name="CASESLISTTMP1">
    <vt:lpwstr>5681787;6051623;4914678;10528217;8485650;4108675;3748129;1611196;4155719:2</vt:lpwstr>
  </property>
  <property fmtid="{D5CDD505-2E9C-101B-9397-08002B2CF9AE}" pid="16" name="CASENOTES1">
    <vt:lpwstr>ProcID=209&amp;PartA=1977&amp;PartC=07</vt:lpwstr>
  </property>
  <property fmtid="{D5CDD505-2E9C-101B-9397-08002B2CF9AE}" pid="17" name="CASENOTES2">
    <vt:lpwstr>ProcID=209&amp;PartA=2830&amp;PartC=09</vt:lpwstr>
  </property>
  <property fmtid="{D5CDD505-2E9C-101B-9397-08002B2CF9AE}" pid="18" name="CASENOTES3">
    <vt:lpwstr>ProcID=209&amp;PartA=1794&amp;PartC=07</vt:lpwstr>
  </property>
  <property fmtid="{D5CDD505-2E9C-101B-9397-08002B2CF9AE}" pid="19" name="WORDNUMPAGES">
    <vt:lpwstr>6</vt:lpwstr>
  </property>
  <property fmtid="{D5CDD505-2E9C-101B-9397-08002B2CF9AE}" pid="20" name="TYPE_ABS_DATE">
    <vt:lpwstr>380020190225</vt:lpwstr>
  </property>
  <property fmtid="{D5CDD505-2E9C-101B-9397-08002B2CF9AE}" pid="21" name="APPELLANT1">
    <vt:lpwstr/>
  </property>
  <property fmtid="{D5CDD505-2E9C-101B-9397-08002B2CF9AE}" pid="22" name="APPELLANT2">
    <vt:lpwstr/>
  </property>
  <property fmtid="{D5CDD505-2E9C-101B-9397-08002B2CF9AE}" pid="23" name="APPELLEE1">
    <vt:lpwstr/>
  </property>
  <property fmtid="{D5CDD505-2E9C-101B-9397-08002B2CF9AE}" pid="24" name="APPELLEE2">
    <vt:lpwstr/>
  </property>
  <property fmtid="{D5CDD505-2E9C-101B-9397-08002B2CF9AE}" pid="25" name="PROCESS">
    <vt:lpwstr/>
  </property>
  <property fmtid="{D5CDD505-2E9C-101B-9397-08002B2CF9AE}" pid="26" name="PROCNUM">
    <vt:lpwstr/>
  </property>
  <property fmtid="{D5CDD505-2E9C-101B-9397-08002B2CF9AE}" pid="27" name="PROCYEAR">
    <vt:lpwstr/>
  </property>
  <property fmtid="{D5CDD505-2E9C-101B-9397-08002B2CF9AE}" pid="28" name="VOLUME">
    <vt:lpwstr/>
  </property>
  <property fmtid="{D5CDD505-2E9C-101B-9397-08002B2CF9AE}" pid="29" name="PART">
    <vt:lpwstr/>
  </property>
  <property fmtid="{D5CDD505-2E9C-101B-9397-08002B2CF9AE}" pid="30" name="PAGE">
    <vt:lpwstr/>
  </property>
  <property fmtid="{D5CDD505-2E9C-101B-9397-08002B2CF9AE}" pid="31" name="PADIMAIL">
    <vt:lpwstr/>
  </property>
  <property fmtid="{D5CDD505-2E9C-101B-9397-08002B2CF9AE}" pid="32" name="DELEMATA">
    <vt:lpwstr/>
  </property>
  <property fmtid="{D5CDD505-2E9C-101B-9397-08002B2CF9AE}" pid="33" name="LINKK1">
    <vt:lpwstr/>
  </property>
  <property fmtid="{D5CDD505-2E9C-101B-9397-08002B2CF9AE}" pid="34" name="LINKK2">
    <vt:lpwstr/>
  </property>
  <property fmtid="{D5CDD505-2E9C-101B-9397-08002B2CF9AE}" pid="35" name="LINKK3">
    <vt:lpwstr/>
  </property>
  <property fmtid="{D5CDD505-2E9C-101B-9397-08002B2CF9AE}" pid="36" name="LINKK4">
    <vt:lpwstr/>
  </property>
  <property fmtid="{D5CDD505-2E9C-101B-9397-08002B2CF9AE}" pid="37" name="LINKK5">
    <vt:lpwstr/>
  </property>
  <property fmtid="{D5CDD505-2E9C-101B-9397-08002B2CF9AE}" pid="38" name="ISABSTRACT">
    <vt:lpwstr>Y</vt:lpwstr>
  </property>
  <property fmtid="{D5CDD505-2E9C-101B-9397-08002B2CF9AE}" pid="39" name="LAWLISTTMP1">
    <vt:lpwstr>4216/007.a;007.c</vt:lpwstr>
  </property>
</Properties>
</file>