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A7521E" w:rsidRPr="004F21C1" w14:paraId="1B916B23" w14:textId="77777777" w:rsidTr="004F21C1">
        <w:trPr>
          <w:trHeight w:hRule="exact" w:val="418"/>
          <w:jc w:val="center"/>
        </w:trPr>
        <w:tc>
          <w:tcPr>
            <w:tcW w:w="8721" w:type="dxa"/>
            <w:gridSpan w:val="2"/>
          </w:tcPr>
          <w:p w14:paraId="4704BB47" w14:textId="77777777" w:rsidR="00A7521E" w:rsidRPr="004F21C1" w:rsidRDefault="00A7521E" w:rsidP="004F21C1">
            <w:pPr>
              <w:pStyle w:val="a3"/>
              <w:jc w:val="center"/>
              <w:rPr>
                <w:rFonts w:ascii="Tahoma" w:hAnsi="Tahoma" w:cs="Tahoma"/>
                <w:noProof w:val="0"/>
                <w:color w:val="000080"/>
                <w:rtl/>
              </w:rPr>
            </w:pPr>
            <w:bookmarkStart w:id="0" w:name="LastJudge"/>
            <w:r w:rsidRPr="004F21C1">
              <w:rPr>
                <w:rFonts w:ascii="Tahoma" w:hAnsi="Tahoma" w:cs="Tahoma"/>
                <w:b/>
                <w:bCs/>
                <w:noProof w:val="0"/>
                <w:color w:val="000080"/>
                <w:rtl/>
              </w:rPr>
              <w:t>בית משפט השלום בקריית גת</w:t>
            </w:r>
          </w:p>
        </w:tc>
      </w:tr>
      <w:tr w:rsidR="00A7521E" w:rsidRPr="004F21C1" w14:paraId="5C72A6B5" w14:textId="77777777" w:rsidTr="004F21C1">
        <w:trPr>
          <w:trHeight w:val="337"/>
          <w:jc w:val="center"/>
        </w:trPr>
        <w:tc>
          <w:tcPr>
            <w:tcW w:w="5047" w:type="dxa"/>
          </w:tcPr>
          <w:p w14:paraId="34C7D71C" w14:textId="77777777" w:rsidR="00A7521E" w:rsidRPr="004F21C1" w:rsidRDefault="00A7521E" w:rsidP="004F21C1">
            <w:pPr>
              <w:rPr>
                <w:b/>
                <w:bCs/>
                <w:noProof w:val="0"/>
                <w:sz w:val="26"/>
                <w:szCs w:val="26"/>
                <w:rtl/>
              </w:rPr>
            </w:pPr>
          </w:p>
        </w:tc>
        <w:tc>
          <w:tcPr>
            <w:tcW w:w="3674" w:type="dxa"/>
          </w:tcPr>
          <w:p w14:paraId="71942C41" w14:textId="77777777" w:rsidR="00A7521E" w:rsidRPr="004F21C1" w:rsidRDefault="00A7521E" w:rsidP="004F21C1">
            <w:pPr>
              <w:pStyle w:val="a3"/>
              <w:jc w:val="right"/>
              <w:rPr>
                <w:b/>
                <w:bCs/>
                <w:noProof w:val="0"/>
                <w:sz w:val="26"/>
                <w:szCs w:val="26"/>
                <w:rtl/>
              </w:rPr>
            </w:pPr>
            <w:r w:rsidRPr="004F21C1">
              <w:rPr>
                <w:b/>
                <w:bCs/>
                <w:noProof w:val="0"/>
                <w:sz w:val="26"/>
                <w:szCs w:val="26"/>
                <w:rtl/>
              </w:rPr>
              <w:t>12 יוני 2017</w:t>
            </w:r>
          </w:p>
        </w:tc>
      </w:tr>
      <w:tr w:rsidR="00A7521E" w:rsidRPr="004F21C1" w14:paraId="6FD540F9" w14:textId="77777777" w:rsidTr="004F21C1">
        <w:trPr>
          <w:trHeight w:val="337"/>
          <w:jc w:val="center"/>
        </w:trPr>
        <w:tc>
          <w:tcPr>
            <w:tcW w:w="8721" w:type="dxa"/>
            <w:gridSpan w:val="2"/>
          </w:tcPr>
          <w:p w14:paraId="35725994" w14:textId="77777777" w:rsidR="00A7521E" w:rsidRPr="004F21C1" w:rsidRDefault="00A7521E" w:rsidP="004F21C1">
            <w:pPr>
              <w:rPr>
                <w:b/>
                <w:bCs/>
                <w:noProof w:val="0"/>
                <w:sz w:val="26"/>
                <w:szCs w:val="26"/>
                <w:rtl/>
              </w:rPr>
            </w:pPr>
            <w:r w:rsidRPr="004F21C1">
              <w:rPr>
                <w:b/>
                <w:bCs/>
                <w:noProof w:val="0"/>
                <w:sz w:val="26"/>
                <w:szCs w:val="26"/>
                <w:rtl/>
              </w:rPr>
              <w:t>ת"פ 65260-11-15 מדינת ישראל נ' ליבנה</w:t>
            </w:r>
          </w:p>
          <w:p w14:paraId="7EE344D9" w14:textId="77777777" w:rsidR="00A7521E" w:rsidRPr="004F21C1" w:rsidRDefault="00A7521E" w:rsidP="004F21C1">
            <w:pPr>
              <w:rPr>
                <w:rtl/>
              </w:rPr>
            </w:pPr>
          </w:p>
        </w:tc>
      </w:tr>
    </w:tbl>
    <w:p w14:paraId="632A924E" w14:textId="77777777" w:rsidR="00A7521E" w:rsidRPr="004F21C1" w:rsidRDefault="00A7521E" w:rsidP="00A7521E"/>
    <w:tbl>
      <w:tblPr>
        <w:bidiVisual/>
        <w:tblW w:w="0" w:type="auto"/>
        <w:jc w:val="center"/>
        <w:tblLook w:val="0000" w:firstRow="0" w:lastRow="0" w:firstColumn="0" w:lastColumn="0" w:noHBand="0" w:noVBand="0"/>
      </w:tblPr>
      <w:tblGrid>
        <w:gridCol w:w="873"/>
        <w:gridCol w:w="7848"/>
      </w:tblGrid>
      <w:tr w:rsidR="00A7521E" w:rsidRPr="004F21C1" w14:paraId="0D0739FF" w14:textId="77777777" w:rsidTr="004F21C1">
        <w:trPr>
          <w:trHeight w:val="337"/>
          <w:jc w:val="center"/>
        </w:trPr>
        <w:tc>
          <w:tcPr>
            <w:tcW w:w="873" w:type="dxa"/>
          </w:tcPr>
          <w:p w14:paraId="733BB24B" w14:textId="77777777" w:rsidR="00A7521E" w:rsidRPr="004F21C1" w:rsidRDefault="00A7521E" w:rsidP="004F21C1">
            <w:pPr>
              <w:tabs>
                <w:tab w:val="left" w:pos="1710"/>
              </w:tabs>
              <w:rPr>
                <w:b/>
                <w:bCs/>
                <w:sz w:val="28"/>
                <w:szCs w:val="28"/>
                <w:rtl/>
              </w:rPr>
            </w:pPr>
            <w:r w:rsidRPr="004F21C1">
              <w:rPr>
                <w:rFonts w:hint="cs"/>
                <w:b/>
                <w:bCs/>
                <w:sz w:val="28"/>
                <w:szCs w:val="28"/>
                <w:rtl/>
              </w:rPr>
              <w:t>בפני</w:t>
            </w:r>
          </w:p>
        </w:tc>
        <w:tc>
          <w:tcPr>
            <w:tcW w:w="7848" w:type="dxa"/>
          </w:tcPr>
          <w:p w14:paraId="5433E008" w14:textId="77777777" w:rsidR="00A7521E" w:rsidRPr="004F21C1" w:rsidRDefault="00A7521E" w:rsidP="004F21C1">
            <w:pPr>
              <w:rPr>
                <w:rFonts w:ascii="Arial" w:hAnsi="Arial"/>
                <w:b/>
                <w:bCs/>
                <w:sz w:val="28"/>
                <w:szCs w:val="28"/>
                <w:rtl/>
              </w:rPr>
            </w:pPr>
            <w:r w:rsidRPr="004F21C1">
              <w:rPr>
                <w:rFonts w:ascii="Arial" w:hAnsi="Arial" w:hint="cs"/>
                <w:b/>
                <w:bCs/>
                <w:sz w:val="28"/>
                <w:szCs w:val="28"/>
                <w:rtl/>
              </w:rPr>
              <w:t>כב' ה</w:t>
            </w:r>
            <w:r w:rsidRPr="004F21C1">
              <w:rPr>
                <w:rFonts w:ascii="Arial" w:hAnsi="Arial"/>
                <w:b/>
                <w:bCs/>
                <w:sz w:val="28"/>
                <w:szCs w:val="28"/>
                <w:rtl/>
              </w:rPr>
              <w:t>סגנית נשיאה</w:t>
            </w:r>
            <w:r w:rsidRPr="004F21C1">
              <w:rPr>
                <w:rFonts w:ascii="Arial" w:hAnsi="Arial" w:hint="cs"/>
                <w:b/>
                <w:bCs/>
                <w:sz w:val="28"/>
                <w:szCs w:val="28"/>
                <w:rtl/>
              </w:rPr>
              <w:t xml:space="preserve">  </w:t>
            </w:r>
            <w:r w:rsidRPr="004F21C1">
              <w:rPr>
                <w:rFonts w:ascii="Arial" w:hAnsi="Arial"/>
                <w:b/>
                <w:bCs/>
                <w:sz w:val="28"/>
                <w:szCs w:val="28"/>
                <w:rtl/>
              </w:rPr>
              <w:t>ד''ר נגה שמואלי-מאייר</w:t>
            </w:r>
          </w:p>
          <w:p w14:paraId="65266540" w14:textId="77777777" w:rsidR="00A7521E" w:rsidRPr="004F21C1" w:rsidRDefault="00A7521E" w:rsidP="004F21C1">
            <w:pPr>
              <w:tabs>
                <w:tab w:val="left" w:pos="1710"/>
              </w:tabs>
              <w:rPr>
                <w:rtl/>
              </w:rPr>
            </w:pPr>
          </w:p>
        </w:tc>
      </w:tr>
    </w:tbl>
    <w:p w14:paraId="694894C5" w14:textId="77777777" w:rsidR="00A7521E" w:rsidRPr="004F21C1" w:rsidRDefault="00A7521E" w:rsidP="00A7521E">
      <w:pPr>
        <w:pStyle w:val="a3"/>
        <w:rPr>
          <w:noProof w:val="0"/>
          <w:rtl/>
        </w:rPr>
      </w:pPr>
      <w:r w:rsidRPr="004F21C1">
        <w:rPr>
          <w:noProof w:val="0"/>
          <w:rtl/>
        </w:rPr>
        <w:t xml:space="preserve"> </w:t>
      </w:r>
    </w:p>
    <w:tbl>
      <w:tblPr>
        <w:bidiVisual/>
        <w:tblW w:w="8820" w:type="dxa"/>
        <w:jc w:val="center"/>
        <w:tblLook w:val="01E0" w:firstRow="1" w:lastRow="1" w:firstColumn="1" w:lastColumn="1" w:noHBand="0" w:noVBand="0"/>
      </w:tblPr>
      <w:tblGrid>
        <w:gridCol w:w="5603"/>
        <w:gridCol w:w="3217"/>
      </w:tblGrid>
      <w:tr w:rsidR="00A7521E" w:rsidRPr="004F21C1" w14:paraId="260C3D82" w14:textId="77777777" w:rsidTr="00A7521E">
        <w:trPr>
          <w:jc w:val="center"/>
        </w:trPr>
        <w:tc>
          <w:tcPr>
            <w:tcW w:w="5603" w:type="dxa"/>
            <w:shd w:val="clear" w:color="auto" w:fill="auto"/>
          </w:tcPr>
          <w:p w14:paraId="20803F0E" w14:textId="77777777" w:rsidR="00A7521E" w:rsidRPr="004F21C1" w:rsidRDefault="00A7521E" w:rsidP="00A7521E">
            <w:pPr>
              <w:spacing w:after="160"/>
              <w:rPr>
                <w:b/>
                <w:bCs/>
                <w:noProof w:val="0"/>
                <w:sz w:val="28"/>
                <w:szCs w:val="28"/>
                <w:rtl/>
              </w:rPr>
            </w:pPr>
            <w:bookmarkStart w:id="1" w:name="FirstAppellant"/>
            <w:bookmarkStart w:id="2" w:name="FirstLawyer"/>
            <w:r w:rsidRPr="004F21C1">
              <w:rPr>
                <w:rFonts w:ascii="Arial" w:hAnsi="Arial" w:hint="cs"/>
                <w:b/>
                <w:bCs/>
                <w:noProof w:val="0"/>
                <w:sz w:val="28"/>
                <w:szCs w:val="28"/>
                <w:rtl/>
              </w:rPr>
              <w:t>מדינת ישראל</w:t>
            </w:r>
          </w:p>
          <w:p w14:paraId="72FFCEBB" w14:textId="77777777" w:rsidR="00A7521E" w:rsidRPr="004F21C1" w:rsidRDefault="00A7521E" w:rsidP="00A7521E">
            <w:pPr>
              <w:spacing w:after="160"/>
              <w:rPr>
                <w:b/>
                <w:bCs/>
                <w:sz w:val="28"/>
                <w:szCs w:val="28"/>
                <w:rtl/>
              </w:rPr>
            </w:pPr>
            <w:r w:rsidRPr="004F21C1">
              <w:rPr>
                <w:rFonts w:hint="cs"/>
                <w:b/>
                <w:bCs/>
                <w:sz w:val="28"/>
                <w:szCs w:val="28"/>
                <w:rtl/>
              </w:rPr>
              <w:t>ע"י ב"כ עו"ד עמית חומרי</w:t>
            </w:r>
          </w:p>
        </w:tc>
        <w:tc>
          <w:tcPr>
            <w:tcW w:w="3217" w:type="dxa"/>
            <w:shd w:val="clear" w:color="auto" w:fill="auto"/>
          </w:tcPr>
          <w:p w14:paraId="5AAAC32F" w14:textId="77777777" w:rsidR="00A7521E" w:rsidRPr="004F21C1" w:rsidRDefault="00A7521E" w:rsidP="00A7521E">
            <w:pPr>
              <w:bidi w:val="0"/>
              <w:spacing w:after="160"/>
              <w:jc w:val="right"/>
              <w:rPr>
                <w:rFonts w:ascii="Arial" w:hAnsi="Arial"/>
                <w:b/>
                <w:bCs/>
                <w:noProof w:val="0"/>
                <w:sz w:val="28"/>
                <w:szCs w:val="28"/>
                <w:rtl/>
              </w:rPr>
            </w:pPr>
            <w:r w:rsidRPr="004F21C1">
              <w:rPr>
                <w:rFonts w:ascii="Arial" w:hAnsi="Arial" w:hint="cs"/>
                <w:b/>
                <w:bCs/>
                <w:noProof w:val="0"/>
                <w:sz w:val="28"/>
                <w:szCs w:val="28"/>
                <w:rtl/>
              </w:rPr>
              <w:t>ה</w:t>
            </w:r>
            <w:r w:rsidRPr="004F21C1">
              <w:rPr>
                <w:rFonts w:ascii="Arial" w:hAnsi="Arial"/>
                <w:b/>
                <w:bCs/>
                <w:noProof w:val="0"/>
                <w:sz w:val="28"/>
                <w:szCs w:val="28"/>
                <w:rtl/>
              </w:rPr>
              <w:t>מאשימה</w:t>
            </w:r>
          </w:p>
          <w:p w14:paraId="640EC79A" w14:textId="77777777" w:rsidR="00A7521E" w:rsidRPr="004F21C1" w:rsidRDefault="00A7521E" w:rsidP="00A7521E">
            <w:pPr>
              <w:spacing w:after="160"/>
              <w:rPr>
                <w:b/>
                <w:bCs/>
                <w:noProof w:val="0"/>
                <w:sz w:val="26"/>
                <w:szCs w:val="26"/>
                <w:rtl/>
              </w:rPr>
            </w:pPr>
          </w:p>
        </w:tc>
      </w:tr>
      <w:bookmarkEnd w:id="1"/>
      <w:bookmarkEnd w:id="2"/>
      <w:tr w:rsidR="00A7521E" w:rsidRPr="004F21C1" w14:paraId="2A3A1C4D" w14:textId="77777777" w:rsidTr="00A7521E">
        <w:trPr>
          <w:jc w:val="center"/>
        </w:trPr>
        <w:tc>
          <w:tcPr>
            <w:tcW w:w="8820" w:type="dxa"/>
            <w:gridSpan w:val="2"/>
            <w:shd w:val="clear" w:color="auto" w:fill="auto"/>
          </w:tcPr>
          <w:p w14:paraId="3EA0608B" w14:textId="77777777" w:rsidR="00A7521E" w:rsidRPr="004F21C1" w:rsidRDefault="00A7521E" w:rsidP="00A7521E">
            <w:pPr>
              <w:spacing w:after="160"/>
              <w:jc w:val="center"/>
              <w:rPr>
                <w:rFonts w:ascii="Arial" w:hAnsi="Arial"/>
                <w:b/>
                <w:bCs/>
                <w:noProof w:val="0"/>
                <w:sz w:val="28"/>
                <w:szCs w:val="28"/>
                <w:rtl/>
              </w:rPr>
            </w:pPr>
            <w:r w:rsidRPr="004F21C1">
              <w:rPr>
                <w:rFonts w:ascii="Arial" w:hAnsi="Arial"/>
                <w:b/>
                <w:bCs/>
                <w:noProof w:val="0"/>
                <w:sz w:val="28"/>
                <w:szCs w:val="28"/>
                <w:rtl/>
              </w:rPr>
              <w:t>נגד</w:t>
            </w:r>
          </w:p>
          <w:p w14:paraId="29A496CE" w14:textId="77777777" w:rsidR="00A7521E" w:rsidRPr="004F21C1" w:rsidRDefault="00A7521E" w:rsidP="00A7521E">
            <w:pPr>
              <w:spacing w:after="160"/>
              <w:rPr>
                <w:rFonts w:ascii="Arial" w:hAnsi="Arial"/>
                <w:b/>
                <w:bCs/>
                <w:noProof w:val="0"/>
                <w:sz w:val="26"/>
                <w:szCs w:val="26"/>
              </w:rPr>
            </w:pPr>
          </w:p>
        </w:tc>
      </w:tr>
      <w:tr w:rsidR="00A7521E" w:rsidRPr="004F21C1" w14:paraId="4CD26B0D" w14:textId="77777777" w:rsidTr="00A7521E">
        <w:trPr>
          <w:jc w:val="center"/>
        </w:trPr>
        <w:tc>
          <w:tcPr>
            <w:tcW w:w="5603" w:type="dxa"/>
            <w:shd w:val="clear" w:color="auto" w:fill="auto"/>
          </w:tcPr>
          <w:p w14:paraId="125C8A0C" w14:textId="77777777" w:rsidR="00A7521E" w:rsidRPr="004F21C1" w:rsidRDefault="00A7521E" w:rsidP="00A7521E">
            <w:pPr>
              <w:spacing w:after="160"/>
            </w:pPr>
            <w:r w:rsidRPr="004F21C1">
              <w:rPr>
                <w:rFonts w:ascii="Arial" w:hAnsi="Arial" w:hint="cs"/>
                <w:b/>
                <w:bCs/>
                <w:noProof w:val="0"/>
                <w:sz w:val="28"/>
                <w:szCs w:val="28"/>
                <w:rtl/>
              </w:rPr>
              <w:t>עמית ליבנה</w:t>
            </w:r>
          </w:p>
          <w:p w14:paraId="03289A32" w14:textId="77777777" w:rsidR="00A7521E" w:rsidRPr="004F21C1" w:rsidRDefault="00A7521E" w:rsidP="00A7521E">
            <w:pPr>
              <w:spacing w:after="160"/>
              <w:rPr>
                <w:b/>
                <w:bCs/>
                <w:noProof w:val="0"/>
                <w:sz w:val="28"/>
                <w:szCs w:val="28"/>
                <w:rtl/>
              </w:rPr>
            </w:pPr>
            <w:r w:rsidRPr="004F21C1">
              <w:rPr>
                <w:rFonts w:hint="cs"/>
                <w:b/>
                <w:bCs/>
                <w:sz w:val="28"/>
                <w:szCs w:val="28"/>
                <w:rtl/>
              </w:rPr>
              <w:t>ע"י ב"כ עו"ד</w:t>
            </w:r>
            <w:r w:rsidRPr="004F21C1">
              <w:rPr>
                <w:rFonts w:hint="cs"/>
                <w:b/>
                <w:bCs/>
                <w:noProof w:val="0"/>
                <w:sz w:val="28"/>
                <w:szCs w:val="28"/>
                <w:rtl/>
              </w:rPr>
              <w:t xml:space="preserve"> חמוטל פז ממשרד עו"ד נבון</w:t>
            </w:r>
          </w:p>
        </w:tc>
        <w:tc>
          <w:tcPr>
            <w:tcW w:w="3217" w:type="dxa"/>
            <w:shd w:val="clear" w:color="auto" w:fill="auto"/>
          </w:tcPr>
          <w:p w14:paraId="47B02D9B" w14:textId="77777777" w:rsidR="00A7521E" w:rsidRPr="004F21C1" w:rsidRDefault="00A7521E" w:rsidP="00A7521E">
            <w:pPr>
              <w:spacing w:after="160"/>
              <w:rPr>
                <w:b/>
                <w:bCs/>
                <w:noProof w:val="0"/>
                <w:sz w:val="28"/>
                <w:szCs w:val="28"/>
                <w:rtl/>
              </w:rPr>
            </w:pPr>
            <w:r w:rsidRPr="004F21C1">
              <w:rPr>
                <w:rFonts w:ascii="Arial" w:hAnsi="Arial" w:hint="cs"/>
                <w:b/>
                <w:bCs/>
                <w:noProof w:val="0"/>
                <w:sz w:val="28"/>
                <w:szCs w:val="28"/>
                <w:rtl/>
              </w:rPr>
              <w:t>ה</w:t>
            </w:r>
            <w:r w:rsidRPr="004F21C1">
              <w:rPr>
                <w:rFonts w:ascii="Arial" w:hAnsi="Arial"/>
                <w:b/>
                <w:bCs/>
                <w:noProof w:val="0"/>
                <w:sz w:val="28"/>
                <w:szCs w:val="28"/>
                <w:rtl/>
              </w:rPr>
              <w:t>נאשם</w:t>
            </w:r>
          </w:p>
        </w:tc>
      </w:tr>
    </w:tbl>
    <w:p w14:paraId="3F61B71A" w14:textId="77777777" w:rsidR="00317E12" w:rsidRPr="00317E12" w:rsidRDefault="00317E12" w:rsidP="00317E12">
      <w:pPr>
        <w:bidi w:val="0"/>
        <w:spacing w:after="120" w:line="240" w:lineRule="exact"/>
        <w:ind w:left="283" w:hanging="283"/>
        <w:jc w:val="both"/>
        <w:rPr>
          <w:rFonts w:cs="FrankRuehl"/>
          <w:noProof w:val="0"/>
        </w:rPr>
      </w:pPr>
      <w:bookmarkStart w:id="3" w:name="LawTable"/>
      <w:bookmarkEnd w:id="0"/>
      <w:bookmarkEnd w:id="3"/>
    </w:p>
    <w:p w14:paraId="22BA3112" w14:textId="77777777" w:rsidR="00317E12" w:rsidRPr="00317E12" w:rsidRDefault="00317E12" w:rsidP="00317E12">
      <w:pPr>
        <w:spacing w:after="120" w:line="240" w:lineRule="exact"/>
        <w:ind w:left="283" w:hanging="283"/>
        <w:rPr>
          <w:rFonts w:ascii="FrankRuehl" w:hAnsi="FrankRuehl" w:cs="FrankRuehl" w:hint="cs"/>
          <w:noProof w:val="0"/>
          <w:rtl/>
        </w:rPr>
      </w:pPr>
      <w:r w:rsidRPr="00317E12">
        <w:rPr>
          <w:rFonts w:ascii="FrankRuehl" w:hAnsi="FrankRuehl" w:cs="FrankRuehl"/>
          <w:noProof w:val="0"/>
          <w:rtl/>
        </w:rPr>
        <w:t>חקיקה שאוזכרה</w:t>
      </w:r>
      <w:r w:rsidRPr="00317E12">
        <w:rPr>
          <w:rFonts w:ascii="FrankRuehl" w:hAnsi="FrankRuehl" w:cs="FrankRuehl"/>
          <w:noProof w:val="0"/>
        </w:rPr>
        <w:t xml:space="preserve">: </w:t>
      </w:r>
    </w:p>
    <w:p w14:paraId="5BF94419" w14:textId="77777777" w:rsidR="00317E12" w:rsidRPr="00317E12" w:rsidRDefault="00317E12" w:rsidP="00317E12">
      <w:pPr>
        <w:spacing w:after="120" w:line="240" w:lineRule="exact"/>
        <w:ind w:left="283" w:hanging="283"/>
        <w:rPr>
          <w:rFonts w:ascii="FrankRuehl" w:hAnsi="FrankRuehl" w:cs="FrankRuehl"/>
          <w:noProof w:val="0"/>
        </w:rPr>
      </w:pPr>
      <w:hyperlink r:id="rId7" w:history="1">
        <w:r w:rsidRPr="00317E12">
          <w:rPr>
            <w:rFonts w:ascii="FrankRuehl" w:hAnsi="FrankRuehl" w:cs="FrankRuehl"/>
            <w:noProof w:val="0"/>
            <w:color w:val="0000FF"/>
            <w:u w:val="single"/>
            <w:rtl/>
          </w:rPr>
          <w:t>פקודת הסמים המסוכנים [נוסח חדש], תשל"ג-1973</w:t>
        </w:r>
      </w:hyperlink>
      <w:r w:rsidRPr="00317E12">
        <w:rPr>
          <w:rFonts w:ascii="FrankRuehl" w:hAnsi="FrankRuehl" w:cs="FrankRuehl"/>
          <w:noProof w:val="0"/>
        </w:rPr>
        <w:t xml:space="preserve">: </w:t>
      </w:r>
      <w:r w:rsidRPr="00317E12">
        <w:rPr>
          <w:rFonts w:ascii="FrankRuehl" w:hAnsi="FrankRuehl" w:cs="FrankRuehl"/>
          <w:noProof w:val="0"/>
          <w:rtl/>
        </w:rPr>
        <w:t>סע</w:t>
      </w:r>
      <w:r w:rsidRPr="00317E12">
        <w:rPr>
          <w:rFonts w:ascii="FrankRuehl" w:hAnsi="FrankRuehl" w:cs="FrankRuehl"/>
          <w:noProof w:val="0"/>
        </w:rPr>
        <w:t xml:space="preserve">'  </w:t>
      </w:r>
      <w:hyperlink r:id="rId8" w:history="1">
        <w:r w:rsidRPr="00317E12">
          <w:rPr>
            <w:rFonts w:ascii="FrankRuehl" w:hAnsi="FrankRuehl" w:cs="FrankRuehl"/>
            <w:noProof w:val="0"/>
            <w:color w:val="0000FF"/>
            <w:u w:val="single"/>
          </w:rPr>
          <w:t>6</w:t>
        </w:r>
      </w:hyperlink>
    </w:p>
    <w:p w14:paraId="04B654A5" w14:textId="77777777" w:rsidR="00317E12" w:rsidRPr="00317E12" w:rsidRDefault="00317E12" w:rsidP="00317E12">
      <w:pPr>
        <w:spacing w:after="120" w:line="240" w:lineRule="exact"/>
        <w:ind w:left="283" w:hanging="283"/>
        <w:rPr>
          <w:rFonts w:ascii="FrankRuehl" w:hAnsi="FrankRuehl" w:cs="FrankRuehl"/>
          <w:noProof w:val="0"/>
        </w:rPr>
      </w:pPr>
      <w:hyperlink r:id="rId9" w:history="1">
        <w:r w:rsidRPr="00317E12">
          <w:rPr>
            <w:rFonts w:ascii="FrankRuehl" w:hAnsi="FrankRuehl" w:cs="FrankRuehl"/>
            <w:noProof w:val="0"/>
            <w:color w:val="0000FF"/>
            <w:u w:val="single"/>
            <w:rtl/>
          </w:rPr>
          <w:t>חוק העונשין, תשל"ז-1977</w:t>
        </w:r>
      </w:hyperlink>
      <w:r w:rsidRPr="00317E12">
        <w:rPr>
          <w:rFonts w:ascii="FrankRuehl" w:hAnsi="FrankRuehl" w:cs="FrankRuehl"/>
          <w:noProof w:val="0"/>
        </w:rPr>
        <w:t xml:space="preserve">: </w:t>
      </w:r>
      <w:r w:rsidRPr="00317E12">
        <w:rPr>
          <w:rFonts w:ascii="FrankRuehl" w:hAnsi="FrankRuehl" w:cs="FrankRuehl"/>
          <w:noProof w:val="0"/>
          <w:rtl/>
        </w:rPr>
        <w:t>סע</w:t>
      </w:r>
      <w:r w:rsidRPr="00317E12">
        <w:rPr>
          <w:rFonts w:ascii="FrankRuehl" w:hAnsi="FrankRuehl" w:cs="FrankRuehl"/>
          <w:noProof w:val="0"/>
        </w:rPr>
        <w:t xml:space="preserve">'  </w:t>
      </w:r>
      <w:hyperlink r:id="rId10" w:history="1">
        <w:r w:rsidRPr="00317E12">
          <w:rPr>
            <w:rFonts w:ascii="FrankRuehl" w:hAnsi="FrankRuehl" w:cs="FrankRuehl"/>
            <w:noProof w:val="0"/>
            <w:color w:val="0000FF"/>
            <w:u w:val="single"/>
          </w:rPr>
          <w:t>40</w:t>
        </w:r>
        <w:r w:rsidRPr="00317E12">
          <w:rPr>
            <w:rFonts w:ascii="FrankRuehl" w:hAnsi="FrankRuehl" w:cs="FrankRuehl"/>
            <w:noProof w:val="0"/>
            <w:color w:val="0000FF"/>
            <w:u w:val="single"/>
            <w:rtl/>
          </w:rPr>
          <w:t>ג(ב</w:t>
        </w:r>
        <w:r w:rsidRPr="00317E12">
          <w:rPr>
            <w:rFonts w:ascii="FrankRuehl" w:hAnsi="FrankRuehl" w:cs="FrankRuehl"/>
            <w:noProof w:val="0"/>
            <w:color w:val="0000FF"/>
            <w:u w:val="single"/>
          </w:rPr>
          <w:t>)</w:t>
        </w:r>
      </w:hyperlink>
      <w:r w:rsidRPr="00317E12">
        <w:rPr>
          <w:rFonts w:ascii="FrankRuehl" w:hAnsi="FrankRuehl" w:cs="FrankRuehl"/>
          <w:noProof w:val="0"/>
        </w:rPr>
        <w:t xml:space="preserve">, </w:t>
      </w:r>
      <w:hyperlink r:id="rId11" w:history="1">
        <w:r w:rsidRPr="00317E12">
          <w:rPr>
            <w:rFonts w:ascii="FrankRuehl" w:hAnsi="FrankRuehl" w:cs="FrankRuehl"/>
            <w:noProof w:val="0"/>
            <w:color w:val="0000FF"/>
            <w:u w:val="single"/>
          </w:rPr>
          <w:t>40</w:t>
        </w:r>
        <w:r w:rsidRPr="00317E12">
          <w:rPr>
            <w:rFonts w:ascii="FrankRuehl" w:hAnsi="FrankRuehl" w:cs="FrankRuehl"/>
            <w:noProof w:val="0"/>
            <w:color w:val="0000FF"/>
            <w:u w:val="single"/>
            <w:rtl/>
          </w:rPr>
          <w:t>ד(א</w:t>
        </w:r>
        <w:r w:rsidRPr="00317E12">
          <w:rPr>
            <w:rFonts w:ascii="FrankRuehl" w:hAnsi="FrankRuehl" w:cs="FrankRuehl"/>
            <w:noProof w:val="0"/>
            <w:color w:val="0000FF"/>
            <w:u w:val="single"/>
          </w:rPr>
          <w:t>)</w:t>
        </w:r>
      </w:hyperlink>
      <w:r w:rsidRPr="00317E12">
        <w:rPr>
          <w:rFonts w:ascii="FrankRuehl" w:hAnsi="FrankRuehl" w:cs="FrankRuehl"/>
          <w:noProof w:val="0"/>
        </w:rPr>
        <w:t xml:space="preserve">, </w:t>
      </w:r>
      <w:hyperlink r:id="rId12" w:history="1">
        <w:r w:rsidRPr="00317E12">
          <w:rPr>
            <w:rFonts w:ascii="FrankRuehl" w:hAnsi="FrankRuehl" w:cs="FrankRuehl"/>
            <w:noProof w:val="0"/>
            <w:color w:val="0000FF"/>
            <w:u w:val="single"/>
          </w:rPr>
          <w:t>40</w:t>
        </w:r>
        <w:r w:rsidRPr="00317E12">
          <w:rPr>
            <w:rFonts w:ascii="FrankRuehl" w:hAnsi="FrankRuehl" w:cs="FrankRuehl"/>
            <w:noProof w:val="0"/>
            <w:color w:val="0000FF"/>
            <w:u w:val="single"/>
            <w:rtl/>
          </w:rPr>
          <w:t>יא</w:t>
        </w:r>
      </w:hyperlink>
      <w:r w:rsidRPr="00317E12">
        <w:rPr>
          <w:rFonts w:ascii="FrankRuehl" w:hAnsi="FrankRuehl" w:cs="FrankRuehl"/>
          <w:noProof w:val="0"/>
        </w:rPr>
        <w:t xml:space="preserve">, </w:t>
      </w:r>
      <w:hyperlink r:id="rId13" w:history="1">
        <w:r w:rsidRPr="00317E12">
          <w:rPr>
            <w:rFonts w:ascii="FrankRuehl" w:hAnsi="FrankRuehl" w:cs="FrankRuehl"/>
            <w:noProof w:val="0"/>
            <w:color w:val="0000FF"/>
            <w:u w:val="single"/>
          </w:rPr>
          <w:t>40</w:t>
        </w:r>
        <w:r w:rsidRPr="00317E12">
          <w:rPr>
            <w:rFonts w:ascii="FrankRuehl" w:hAnsi="FrankRuehl" w:cs="FrankRuehl"/>
            <w:noProof w:val="0"/>
            <w:color w:val="0000FF"/>
            <w:u w:val="single"/>
            <w:rtl/>
          </w:rPr>
          <w:t>יא(3</w:t>
        </w:r>
        <w:r w:rsidRPr="00317E12">
          <w:rPr>
            <w:rFonts w:ascii="FrankRuehl" w:hAnsi="FrankRuehl" w:cs="FrankRuehl"/>
            <w:noProof w:val="0"/>
            <w:color w:val="0000FF"/>
            <w:u w:val="single"/>
          </w:rPr>
          <w:t>)</w:t>
        </w:r>
      </w:hyperlink>
    </w:p>
    <w:p w14:paraId="61D9DE15" w14:textId="77777777" w:rsidR="00317E12" w:rsidRPr="00317E12" w:rsidRDefault="00317E12" w:rsidP="00317E12">
      <w:pPr>
        <w:spacing w:after="120" w:line="240" w:lineRule="exact"/>
        <w:ind w:left="283" w:hanging="283"/>
        <w:rPr>
          <w:rFonts w:ascii="FrankRuehl" w:hAnsi="FrankRuehl" w:cs="FrankRuehl"/>
          <w:noProof w:val="0"/>
        </w:rPr>
      </w:pPr>
    </w:p>
    <w:p w14:paraId="7E29C8E8" w14:textId="77777777" w:rsidR="00317E12" w:rsidRPr="00317E12" w:rsidRDefault="00317E12" w:rsidP="00317E12">
      <w:pPr>
        <w:spacing w:after="160"/>
        <w:rPr>
          <w:rFonts w:ascii="Arial" w:hAnsi="Arial"/>
          <w:noProof w:val="0"/>
          <w:sz w:val="32"/>
          <w:szCs w:val="32"/>
        </w:rPr>
      </w:pPr>
      <w:bookmarkStart w:id="4" w:name="LawTable_End"/>
      <w:bookmarkEnd w:id="4"/>
    </w:p>
    <w:p w14:paraId="240D6119" w14:textId="77777777" w:rsidR="00317E12" w:rsidRPr="004F21C1" w:rsidRDefault="00317E12" w:rsidP="00317E12">
      <w:pPr>
        <w:bidi w:val="0"/>
        <w:spacing w:after="160"/>
        <w:jc w:val="center"/>
        <w:rPr>
          <w:rFonts w:ascii="Arial" w:hAnsi="Arial"/>
          <w:b/>
          <w:bCs/>
          <w:noProof w:val="0"/>
          <w:sz w:val="32"/>
          <w:szCs w:val="32"/>
          <w:rtl/>
        </w:rPr>
      </w:pPr>
      <w:bookmarkStart w:id="5" w:name="PsakDin"/>
      <w:r w:rsidRPr="004F21C1">
        <w:rPr>
          <w:rFonts w:ascii="Arial" w:hAnsi="Arial"/>
          <w:b/>
          <w:bCs/>
          <w:noProof w:val="0"/>
          <w:sz w:val="32"/>
          <w:szCs w:val="32"/>
          <w:rtl/>
        </w:rPr>
        <w:t>גזר דין</w:t>
      </w:r>
    </w:p>
    <w:bookmarkEnd w:id="5"/>
    <w:p w14:paraId="3052B674" w14:textId="77777777" w:rsidR="00A7521E" w:rsidRPr="007E5616" w:rsidRDefault="00A7521E" w:rsidP="00A7521E">
      <w:pPr>
        <w:pStyle w:val="1"/>
        <w:numPr>
          <w:ilvl w:val="0"/>
          <w:numId w:val="1"/>
        </w:numPr>
        <w:spacing w:after="160" w:line="288" w:lineRule="auto"/>
        <w:jc w:val="both"/>
        <w:rPr>
          <w:rFonts w:cs="David"/>
          <w:color w:val="auto"/>
          <w:rtl/>
        </w:rPr>
      </w:pPr>
      <w:r w:rsidRPr="007E5616">
        <w:rPr>
          <w:rFonts w:cs="David" w:hint="cs"/>
          <w:color w:val="auto"/>
          <w:rtl/>
        </w:rPr>
        <w:t>רקע עובדתי</w:t>
      </w:r>
    </w:p>
    <w:p w14:paraId="702E46B8" w14:textId="77777777" w:rsidR="00A7521E" w:rsidRDefault="00A7521E" w:rsidP="00A7521E">
      <w:pPr>
        <w:pStyle w:val="ListParagraph"/>
        <w:numPr>
          <w:ilvl w:val="0"/>
          <w:numId w:val="2"/>
        </w:numPr>
        <w:ind w:left="-58"/>
        <w:contextualSpacing w:val="0"/>
        <w:rPr>
          <w:rtl/>
        </w:rPr>
      </w:pPr>
      <w:bookmarkStart w:id="6" w:name="ABSTRACT_START"/>
      <w:bookmarkEnd w:id="6"/>
      <w:r>
        <w:rPr>
          <w:rFonts w:hint="cs"/>
          <w:rtl/>
        </w:rPr>
        <w:t xml:space="preserve">הנאשם הורשע על יסוד הודאתו בעבירה של </w:t>
      </w:r>
      <w:r>
        <w:rPr>
          <w:rFonts w:hint="cs"/>
          <w:b/>
          <w:bCs/>
          <w:rtl/>
        </w:rPr>
        <w:t>גידול סמים</w:t>
      </w:r>
      <w:r>
        <w:rPr>
          <w:rFonts w:hint="cs"/>
          <w:rtl/>
        </w:rPr>
        <w:t xml:space="preserve">, לפי </w:t>
      </w:r>
      <w:hyperlink r:id="rId14" w:history="1">
        <w:r w:rsidR="00317E12" w:rsidRPr="00317E12">
          <w:rPr>
            <w:rFonts w:hint="cs"/>
            <w:color w:val="0000FF"/>
            <w:u w:val="single"/>
            <w:rtl/>
          </w:rPr>
          <w:t>סעיף</w:t>
        </w:r>
        <w:r w:rsidR="00317E12" w:rsidRPr="00317E12">
          <w:rPr>
            <w:color w:val="0000FF"/>
            <w:u w:val="single"/>
            <w:rtl/>
          </w:rPr>
          <w:t xml:space="preserve"> 6</w:t>
        </w:r>
      </w:hyperlink>
      <w:r>
        <w:rPr>
          <w:rFonts w:hint="cs"/>
          <w:rtl/>
        </w:rPr>
        <w:t xml:space="preserve"> ל</w:t>
      </w:r>
      <w:hyperlink r:id="rId15" w:history="1">
        <w:r w:rsidR="004F21C1" w:rsidRPr="004F21C1">
          <w:rPr>
            <w:rFonts w:hint="cs"/>
            <w:color w:val="0000FF"/>
            <w:u w:val="single"/>
            <w:rtl/>
          </w:rPr>
          <w:t>פקודת</w:t>
        </w:r>
        <w:r w:rsidR="004F21C1" w:rsidRPr="004F21C1">
          <w:rPr>
            <w:color w:val="0000FF"/>
            <w:u w:val="single"/>
            <w:rtl/>
          </w:rPr>
          <w:t xml:space="preserve"> </w:t>
        </w:r>
        <w:r w:rsidR="004F21C1" w:rsidRPr="004F21C1">
          <w:rPr>
            <w:rFonts w:hint="cs"/>
            <w:color w:val="0000FF"/>
            <w:u w:val="single"/>
            <w:rtl/>
          </w:rPr>
          <w:t>הסמים</w:t>
        </w:r>
        <w:r w:rsidR="004F21C1" w:rsidRPr="004F21C1">
          <w:rPr>
            <w:color w:val="0000FF"/>
            <w:u w:val="single"/>
            <w:rtl/>
          </w:rPr>
          <w:t xml:space="preserve"> </w:t>
        </w:r>
        <w:r w:rsidR="004F21C1" w:rsidRPr="004F21C1">
          <w:rPr>
            <w:rFonts w:hint="cs"/>
            <w:color w:val="0000FF"/>
            <w:u w:val="single"/>
            <w:rtl/>
          </w:rPr>
          <w:t>המסוכנים</w:t>
        </w:r>
      </w:hyperlink>
      <w:r>
        <w:rPr>
          <w:rFonts w:hint="cs"/>
          <w:rtl/>
        </w:rPr>
        <w:t xml:space="preserve"> [נוסח חדש], התשל"ג-1973 (להלן: </w:t>
      </w:r>
      <w:r>
        <w:rPr>
          <w:rFonts w:hint="cs"/>
          <w:b/>
          <w:bCs/>
          <w:rtl/>
        </w:rPr>
        <w:t>"הפקודה"</w:t>
      </w:r>
      <w:r>
        <w:rPr>
          <w:rFonts w:hint="cs"/>
          <w:rtl/>
        </w:rPr>
        <w:t xml:space="preserve">). </w:t>
      </w:r>
    </w:p>
    <w:p w14:paraId="3A5C0518" w14:textId="77777777" w:rsidR="00A7521E" w:rsidRDefault="00A7521E" w:rsidP="00A7521E">
      <w:pPr>
        <w:pStyle w:val="ListParagraph"/>
        <w:ind w:left="-58" w:firstLine="0"/>
        <w:contextualSpacing w:val="0"/>
      </w:pPr>
      <w:bookmarkStart w:id="7" w:name="ABSTRACT_END"/>
      <w:bookmarkEnd w:id="7"/>
      <w:r>
        <w:rPr>
          <w:rFonts w:hint="cs"/>
          <w:rtl/>
        </w:rPr>
        <w:t>כפי שנטען בכתב האישום המתוקן, ביום 26.11.2015 גידל הנאשם בדירתו סם מסוג קנבוס, במשקלים ובמקומות הבאים: 385.1 גרם בממ"ד; 145.5 גרם במרפסת; 88 גרם בשירותים; 44.1 גרם במחסן; ו- 1,827.8 גרם (33 שתילים) על הגג.</w:t>
      </w:r>
    </w:p>
    <w:p w14:paraId="773C341F" w14:textId="77777777" w:rsidR="00A7521E" w:rsidRDefault="00A7521E" w:rsidP="00A7521E">
      <w:pPr>
        <w:pStyle w:val="ListParagraph"/>
        <w:ind w:left="-58" w:firstLine="0"/>
        <w:contextualSpacing w:val="0"/>
        <w:rPr>
          <w:rtl/>
        </w:rPr>
      </w:pPr>
      <w:r>
        <w:rPr>
          <w:rFonts w:hint="cs"/>
          <w:rtl/>
        </w:rPr>
        <w:t xml:space="preserve">יוצא אפוא, כי בסך הכול גידל הנאשם 2.49 ק"ג של סם מסוכן מסוג קנבוס. </w:t>
      </w:r>
    </w:p>
    <w:p w14:paraId="5BA87143" w14:textId="77777777" w:rsidR="00A7521E" w:rsidRDefault="00A7521E" w:rsidP="00A7521E">
      <w:pPr>
        <w:pStyle w:val="ListParagraph"/>
        <w:numPr>
          <w:ilvl w:val="0"/>
          <w:numId w:val="2"/>
        </w:numPr>
        <w:ind w:left="-58"/>
        <w:contextualSpacing w:val="0"/>
        <w:rPr>
          <w:rtl/>
        </w:rPr>
      </w:pPr>
      <w:r>
        <w:rPr>
          <w:rFonts w:hint="cs"/>
          <w:rtl/>
        </w:rPr>
        <w:t xml:space="preserve">הצדדים לא הגיעו להסכמות עונשיות, אך הוסכם כי עובר לשמיעת הטיעונים לעונש יופנה הנאשם לשירות המבחן, תוך שהמאשימה הצהירה כי עמדתה העונשית בתיק זה הינה למאסר בפועל.  </w:t>
      </w:r>
    </w:p>
    <w:p w14:paraId="680DF5AC" w14:textId="77777777" w:rsidR="00A7521E" w:rsidRDefault="00A7521E" w:rsidP="00A7521E">
      <w:pPr>
        <w:pStyle w:val="ListParagraph"/>
        <w:numPr>
          <w:ilvl w:val="0"/>
          <w:numId w:val="2"/>
        </w:numPr>
        <w:ind w:left="-58"/>
        <w:contextualSpacing w:val="0"/>
      </w:pPr>
      <w:r>
        <w:rPr>
          <w:rFonts w:hint="cs"/>
          <w:rtl/>
        </w:rPr>
        <w:t>בעניינו של הנאשם התקבלו שני</w:t>
      </w:r>
      <w:r>
        <w:rPr>
          <w:rFonts w:hint="cs"/>
          <w:b/>
          <w:bCs/>
          <w:rtl/>
        </w:rPr>
        <w:t xml:space="preserve"> תסקירים מאת שירות המבחן</w:t>
      </w:r>
      <w:r>
        <w:rPr>
          <w:rFonts w:hint="cs"/>
          <w:rtl/>
        </w:rPr>
        <w:t>, הנושאים אופי חיובי, ובסופם המלצה להשית עליו עונשים בדמות צו של"צ, צו מבחן ומאסר מותנה.</w:t>
      </w:r>
    </w:p>
    <w:p w14:paraId="7A96BB9F" w14:textId="77777777" w:rsidR="00A7521E" w:rsidRDefault="00A7521E" w:rsidP="00A7521E">
      <w:pPr>
        <w:pStyle w:val="ListParagraph"/>
        <w:ind w:left="-58" w:firstLine="0"/>
        <w:contextualSpacing w:val="0"/>
      </w:pPr>
      <w:r>
        <w:rPr>
          <w:rFonts w:hint="cs"/>
          <w:rtl/>
        </w:rPr>
        <w:t xml:space="preserve">מטעמים של צנעת הפרט לא אעלה עלי גזר דין זה את כל המפורט בתסקירים, לבד מלציין כי הנאשם מודה בביצוע העבירה, ומסביר כי ביצעהּ על רקע התמכרותו רבת השנים לסמים ועל מנת לחסוך </w:t>
      </w:r>
      <w:r>
        <w:rPr>
          <w:rFonts w:hint="cs"/>
          <w:rtl/>
        </w:rPr>
        <w:lastRenderedPageBreak/>
        <w:t xml:space="preserve">בהוצאות המרובות הכרוכות בקנייתם. במסגרת הליך המעצר שולב הנאשם, עוד בחודש ינואר 2016, בהליך טיפולי. וכך, הנאשם שולב בטיפול ביחידה לטיפול בהתמכרויות, ובמסגרת זו הגיע בתחילה לשיחות פרטניות אחת לשבוע ומסר בדיקות שתן לאיתור שרידי סם. בהמשך, הנאשם השתלב בטיפול יומי הכולל שיחות פרטניות ומפגשים קבוצתיים, ובדיקות שתן באופן שוטף. גורמי הטיפול ביחידה התרשמו כי הנאשם בעל מוטיבציה גבוהה לבצע שינוי באורח חייו ההתמכרותי ולהבין את דפוסי התנהגותו. עוד נמסר, כי הנאשם מקפיד להגיע לכל השיחות בקביעות ובזמן, חרף המרחק שבין מקום מגוריו לבין היחידה לטיפול בהתמכרויות, משתף בקשייו היום יומיים ובעולמו הפנימי, מבקש הדרכה והכוונה, ומשתדל להפיק תובנות מהטיפול. בנוסף לנאשם עצמו, וכחלק מהטיפול המערכתי ביחידה, גם רעייתו של הנאשם החלה השתתפותה בטיפול במסגרת קבוצת נשים, טיפול שאליו היא מגיעה בקביעות ומפיקה ממנו תועלת. </w:t>
      </w:r>
    </w:p>
    <w:p w14:paraId="03A8B16F" w14:textId="77777777" w:rsidR="00A7521E" w:rsidRDefault="00A7521E" w:rsidP="00A7521E">
      <w:pPr>
        <w:pStyle w:val="ListParagraph"/>
        <w:ind w:left="-58" w:firstLine="0"/>
        <w:contextualSpacing w:val="0"/>
        <w:rPr>
          <w:rtl/>
        </w:rPr>
      </w:pPr>
      <w:r>
        <w:rPr>
          <w:rFonts w:hint="cs"/>
          <w:rtl/>
        </w:rPr>
        <w:t>בנוסף, שירות המבחן התרשם כי בתקופת ניקיונו של הנאשם מסמים, הלה הצליח להגיע להישגים משמעותיים בחייו, והכוונה לכך שהשתלב בשני מקומות עבודה, שלהערכת גורמי הטיפול מעניקים לו תחושת ערך, משמעות, מסוגלות ויכולת. עוד להתרשמות שירות המבחן, הנאשם נתרם מהטיפול, והוא מהווה עבורו הליך משמעותי. כאן יצוין, כי הנאשם צפוי לסיים את ההליך הטיפולי בחודש מאי 2017, כשנה וארבעה חודשים לאחר שהחל את השתתפותו בו.</w:t>
      </w:r>
    </w:p>
    <w:p w14:paraId="79ABADBC" w14:textId="77777777" w:rsidR="00A7521E" w:rsidRDefault="00A7521E" w:rsidP="00A7521E">
      <w:pPr>
        <w:pStyle w:val="ListParagraph"/>
        <w:ind w:left="-58" w:firstLine="0"/>
        <w:contextualSpacing w:val="0"/>
        <w:rPr>
          <w:rtl/>
        </w:rPr>
      </w:pPr>
      <w:r>
        <w:rPr>
          <w:rFonts w:hint="cs"/>
          <w:rtl/>
        </w:rPr>
        <w:t>לבסוף, לאחר ששקל את מכלול הנתונים הרלוונטיים, ובכלל זה את העובדה כי הנאשם נתרם מההליך הטיפולי שאותו עבר, העריך שירות המבחן כי הסיכון להישנות התנהגות עבריינית מצדו של הנאשם הצטמצם. לאור כל אלה, ולאחר שהעריך כי הטלת ענישה הכוללת רכיב של מאסר בפועל, ולו לריצוי בעבודות שירות, עלולה לפגוע בהליך השיקום של הנאשם, בדימויו העצמי, ברצף חייו התקין וביכולתו התעסוקתית, בא שירות המבחן בהמלצתו העונשית, כפי שזו פורטה קודם לכן.</w:t>
      </w:r>
    </w:p>
    <w:p w14:paraId="4A351143" w14:textId="77777777" w:rsidR="00A7521E" w:rsidRDefault="00A7521E" w:rsidP="00A7521E">
      <w:pPr>
        <w:pStyle w:val="ListParagraph"/>
        <w:numPr>
          <w:ilvl w:val="0"/>
          <w:numId w:val="2"/>
        </w:numPr>
        <w:ind w:left="-58"/>
        <w:contextualSpacing w:val="0"/>
        <w:rPr>
          <w:rtl/>
        </w:rPr>
      </w:pPr>
      <w:r>
        <w:rPr>
          <w:rFonts w:hint="cs"/>
          <w:b/>
          <w:bCs/>
          <w:rtl/>
        </w:rPr>
        <w:t>מחוות דעת הממונה על עבודות השירות</w:t>
      </w:r>
      <w:r>
        <w:rPr>
          <w:rFonts w:hint="cs"/>
          <w:rtl/>
        </w:rPr>
        <w:t>, אשר התקבלה ביום 23.04.2017, עולה כי הנאשם מתאים לביצוע עבודות שירות (במגבלות).</w:t>
      </w:r>
    </w:p>
    <w:p w14:paraId="70E41CDD" w14:textId="77777777" w:rsidR="00A7521E" w:rsidRPr="007E5616" w:rsidRDefault="00A7521E" w:rsidP="00A7521E">
      <w:pPr>
        <w:pStyle w:val="1"/>
        <w:numPr>
          <w:ilvl w:val="0"/>
          <w:numId w:val="1"/>
        </w:numPr>
        <w:spacing w:after="160" w:line="288" w:lineRule="auto"/>
        <w:jc w:val="both"/>
        <w:rPr>
          <w:rFonts w:cs="David"/>
          <w:color w:val="auto"/>
        </w:rPr>
      </w:pPr>
      <w:r w:rsidRPr="007E5616">
        <w:rPr>
          <w:rFonts w:cs="David" w:hint="cs"/>
          <w:color w:val="auto"/>
          <w:rtl/>
        </w:rPr>
        <w:t>טיעוני הצדדים (עיקר הדברים)</w:t>
      </w:r>
    </w:p>
    <w:p w14:paraId="7A344F34" w14:textId="77777777" w:rsidR="00A7521E" w:rsidRDefault="00A7521E" w:rsidP="00A7521E">
      <w:pPr>
        <w:pStyle w:val="ListParagraph"/>
        <w:numPr>
          <w:ilvl w:val="0"/>
          <w:numId w:val="2"/>
        </w:numPr>
        <w:ind w:left="-58"/>
        <w:contextualSpacing w:val="0"/>
      </w:pPr>
      <w:r>
        <w:rPr>
          <w:rFonts w:hint="cs"/>
          <w:rtl/>
        </w:rPr>
        <w:t xml:space="preserve">בשל התמשכות ההמתנה לחוות דעתו של הממונה על עבודות השירות, ובשל רצונו של בית המשפט לעקוב אחר התקדמותו של ההליך הטיפולי שאותו עובר הנאשם, יצא כי בסופו של יום הטיעונים לעונש בתיק זה נשמעו בשני מועדים שונים. </w:t>
      </w:r>
    </w:p>
    <w:p w14:paraId="43CF8716" w14:textId="77777777" w:rsidR="00A7521E" w:rsidRDefault="00A7521E" w:rsidP="00A7521E">
      <w:pPr>
        <w:pStyle w:val="ListParagraph"/>
        <w:numPr>
          <w:ilvl w:val="0"/>
          <w:numId w:val="2"/>
        </w:numPr>
        <w:ind w:left="-58"/>
        <w:contextualSpacing w:val="0"/>
      </w:pPr>
      <w:r>
        <w:rPr>
          <w:rFonts w:hint="cs"/>
          <w:rtl/>
        </w:rPr>
        <w:t xml:space="preserve">באת כוח המאשימה עמדה על חומרת מעשיו של הנאשם ועל הקלות שבה מבוצעות עבירות גידול הסמים, אשר הפכו זה מכבר ל"מכת מדינה" של ממש. נטען כי מתחם העונש ההולם במקרה הנדון צריך לנוע בין 6 ל- 24 חודשי מאסר, וכי המלצתו העונשית של שירות המבחן איננה הולמת את חומרת העבירה. לבסוף, ולאחר שציינה כי הנאשם אמנם הודה וחסך זמן שיפוטי, הפנתה באת כוח המאשימה לכמות השתילים שהנאשם גידל ולהרשעותיו הישנות בעבירות סמים (גיליון הרישום הפלילי של הנאשם הוגש וסומן ת/1), ועתרה להשית עליו עונש מאסר ברף הבינוני של המתחם, לצד ענישה נלווית. את עמדתה העונשית, ביקשה באת כוח המאשימה לתמוך בפסיקה אשר אליה הופנה בית המשפט. </w:t>
      </w:r>
    </w:p>
    <w:p w14:paraId="0B7E20F3" w14:textId="77777777" w:rsidR="00A7521E" w:rsidRDefault="00A7521E" w:rsidP="00A7521E">
      <w:pPr>
        <w:pStyle w:val="ListParagraph"/>
        <w:numPr>
          <w:ilvl w:val="0"/>
          <w:numId w:val="2"/>
        </w:numPr>
        <w:ind w:left="-58"/>
        <w:contextualSpacing w:val="0"/>
      </w:pPr>
      <w:r>
        <w:rPr>
          <w:rFonts w:hint="cs"/>
          <w:rtl/>
        </w:rPr>
        <w:lastRenderedPageBreak/>
        <w:t>בא כוח הנאשם לא חלק על מתחם העונש ההולם לו עתרה המאשימה, אך ביקש לאבחן בין עניינו של הנאשם לבין הנאשמים שנדונו בפסיקה אשר הוגשה מטעמה, תוך שעמד על העובדה כי הנאשם לא השתמש בציוד נלווה לצורך גידול הסמים ועל כך שלא הייתה לנאשם כל כוונה להפיצם. בנוסף, הסנגור עמד בצורה נרחבת על ההליך הטיפולי הארוך והאינטנסיבי שעבר הנאשם, תוך שהפנה גם להתמכרותו לסמים מגיל צעיר, למצבו הרפואי, להירתמות משפחתו לשיקומו, לשינוי באורחות חייו ולעובדה כי השתת עונש מאסר בפועל, ולו לריצוי בעבודות שירות, עלולה לפגוע בהליך השיקומי. לאור כל אלה, ביקש בא כוח הנאשם לאמץ את המלצות שירות המבחן במלואן. לחילופין, וככל שבית המשפט לא ייעתר להמלצה העונשית האמורה, עתרה ההגנה להשית על הנאשם עונש מאסר לריצוי בעבודות שירות, שלא לתקופה המקסימלית.</w:t>
      </w:r>
    </w:p>
    <w:p w14:paraId="00C2C879" w14:textId="77777777" w:rsidR="00A7521E" w:rsidRDefault="00A7521E" w:rsidP="00A7521E">
      <w:pPr>
        <w:pStyle w:val="ListParagraph"/>
        <w:numPr>
          <w:ilvl w:val="0"/>
          <w:numId w:val="2"/>
        </w:numPr>
        <w:ind w:left="-58"/>
        <w:contextualSpacing w:val="0"/>
      </w:pPr>
      <w:r>
        <w:rPr>
          <w:rFonts w:hint="cs"/>
          <w:rtl/>
        </w:rPr>
        <w:t>הנאשם פרס בהרחבה את השתלשלות חייו כמכור לסמים, ועמד ארוכות על הליך הגמילה והשיקום שאותו הוא עובר בימים אלה, ועל התועלת הרבה שהוא מפיק מהליך זה. הנאשם אף חזר על דברי בא כוחו, והפנה לעובדה כי גידל את הסמים ללא ציוד מיוחד, אלא באמצעות השמש בלבד, על גג ביתו.</w:t>
      </w:r>
    </w:p>
    <w:p w14:paraId="4B91744B" w14:textId="77777777" w:rsidR="00A7521E" w:rsidRDefault="00A7521E" w:rsidP="00A7521E">
      <w:pPr>
        <w:pStyle w:val="ListParagraph"/>
        <w:numPr>
          <w:ilvl w:val="0"/>
          <w:numId w:val="2"/>
        </w:numPr>
        <w:ind w:left="-58"/>
        <w:contextualSpacing w:val="0"/>
      </w:pPr>
      <w:r>
        <w:rPr>
          <w:rFonts w:hint="cs"/>
          <w:rtl/>
        </w:rPr>
        <w:t>במסגרת הראיות לעונש העידה מטעם ההגנה רעייתו של הנאשם. לדבריה, מאז שחרורו של הנאשם ממעצר הם עסוקים בשיקום המשפחה, כאשר הנאשם מפנים את הדברים שהוא לומד במרכז הגמילה, מתפקד בצורה טובה יותר, קשוב יותר לילדים ומשקיע הרבה בתחום האבהות.</w:t>
      </w:r>
    </w:p>
    <w:p w14:paraId="26272CC7" w14:textId="77777777" w:rsidR="00A7521E" w:rsidRDefault="00A7521E" w:rsidP="00A7521E">
      <w:pPr>
        <w:pStyle w:val="ListParagraph"/>
        <w:ind w:left="-58" w:firstLine="0"/>
        <w:contextualSpacing w:val="0"/>
      </w:pPr>
      <w:r>
        <w:rPr>
          <w:rFonts w:hint="cs"/>
          <w:rtl/>
        </w:rPr>
        <w:t xml:space="preserve">בתשובה לשאלותיה של באת כוח המאשימה, הלה השיבה כי ידעה שהנאשם מעשן סמים אך סברה כי הוא מגדל גת ולא קנבוס, וזאת משום "שלא נכנסה יותר מדי למה הוא מגדל", כי זה היה על הגג, במקום שאינו נגיש לה (אשר לסמים בתוך הבית, לטענתה הנאשם החביא אותם מפניה). </w:t>
      </w:r>
    </w:p>
    <w:p w14:paraId="47ED90D4" w14:textId="77777777" w:rsidR="00A7521E" w:rsidRPr="007E5616" w:rsidRDefault="00A7521E" w:rsidP="00A7521E">
      <w:pPr>
        <w:pStyle w:val="1"/>
        <w:spacing w:after="160"/>
        <w:jc w:val="center"/>
        <w:rPr>
          <w:rFonts w:cs="David"/>
          <w:color w:val="auto"/>
        </w:rPr>
      </w:pPr>
      <w:r w:rsidRPr="007E5616">
        <w:rPr>
          <w:rFonts w:cs="David" w:hint="cs"/>
          <w:color w:val="auto"/>
          <w:rtl/>
        </w:rPr>
        <w:t>דיון והכרעה</w:t>
      </w:r>
    </w:p>
    <w:p w14:paraId="7FD9FA3D" w14:textId="77777777" w:rsidR="00A7521E" w:rsidRPr="007E5616" w:rsidRDefault="00A7521E" w:rsidP="00A7521E">
      <w:pPr>
        <w:pStyle w:val="1"/>
        <w:numPr>
          <w:ilvl w:val="0"/>
          <w:numId w:val="1"/>
        </w:numPr>
        <w:spacing w:after="160" w:line="288" w:lineRule="auto"/>
        <w:jc w:val="both"/>
        <w:rPr>
          <w:rFonts w:cs="David"/>
          <w:color w:val="auto"/>
        </w:rPr>
      </w:pPr>
      <w:r w:rsidRPr="007E5616">
        <w:rPr>
          <w:rFonts w:cs="David" w:hint="cs"/>
          <w:color w:val="auto"/>
          <w:rtl/>
        </w:rPr>
        <w:t>הערכים המוגנים שנפגעו, מידת הפגיעה בהם, ונסיבות ביצוע העבירות</w:t>
      </w:r>
    </w:p>
    <w:p w14:paraId="68620592" w14:textId="77777777" w:rsidR="00A7521E" w:rsidRDefault="00A7521E" w:rsidP="00A7521E">
      <w:pPr>
        <w:pStyle w:val="ListParagraph"/>
        <w:numPr>
          <w:ilvl w:val="0"/>
          <w:numId w:val="2"/>
        </w:numPr>
        <w:ind w:left="-58"/>
        <w:contextualSpacing w:val="0"/>
      </w:pPr>
      <w:r>
        <w:rPr>
          <w:rFonts w:hint="cs"/>
          <w:rtl/>
        </w:rPr>
        <w:t>כאמור זה מכבר, הצדדים אינם חלוקים בנוגע למתחם העונש ההולם שראוי לקבוע במקרה הנדון. הגם שכך, מצאתי לעמוד בקצרה על הערכים המוגנים שנפגעו כתוצאה ממעשה העבירה, על הנסיבות שנלוו לה, ועל מדיניות הענישה הנוהגת. שכן, יש באלה כדי ללמד, ולו באופן כללי, אודות מידת החומרה הטמונה במעשיו של הנאשם.</w:t>
      </w:r>
    </w:p>
    <w:p w14:paraId="137CA55B" w14:textId="77777777" w:rsidR="00A7521E" w:rsidRDefault="00A7521E" w:rsidP="00A7521E">
      <w:pPr>
        <w:pStyle w:val="ListParagraph"/>
        <w:numPr>
          <w:ilvl w:val="0"/>
          <w:numId w:val="2"/>
        </w:numPr>
        <w:ind w:left="-58"/>
        <w:contextualSpacing w:val="0"/>
      </w:pPr>
      <w:r>
        <w:rPr>
          <w:rFonts w:hint="cs"/>
          <w:rtl/>
        </w:rPr>
        <w:t xml:space="preserve">בכל הנוגע </w:t>
      </w:r>
      <w:r>
        <w:rPr>
          <w:rFonts w:hint="cs"/>
          <w:b/>
          <w:bCs/>
          <w:rtl/>
        </w:rPr>
        <w:t>לערכים החברתיים המוגנים</w:t>
      </w:r>
      <w:r>
        <w:rPr>
          <w:rFonts w:hint="cs"/>
          <w:rtl/>
        </w:rPr>
        <w:t xml:space="preserve"> אשר נפגעו כתוצאה ממעשיו של הנאשם, נדמה כי אין צורך להכביר מילים בנוגע לחומרה הרבה הכרוכה בעבירות הסמים. </w:t>
      </w:r>
      <w:hyperlink r:id="rId16" w:history="1">
        <w:r w:rsidR="004F21C1" w:rsidRPr="004F21C1">
          <w:rPr>
            <w:rFonts w:hint="cs"/>
            <w:color w:val="0000FF"/>
            <w:u w:val="single"/>
            <w:rtl/>
          </w:rPr>
          <w:t>פקודת</w:t>
        </w:r>
        <w:r w:rsidR="004F21C1" w:rsidRPr="004F21C1">
          <w:rPr>
            <w:color w:val="0000FF"/>
            <w:u w:val="single"/>
            <w:rtl/>
          </w:rPr>
          <w:t xml:space="preserve"> </w:t>
        </w:r>
        <w:r w:rsidR="004F21C1" w:rsidRPr="004F21C1">
          <w:rPr>
            <w:rFonts w:hint="cs"/>
            <w:color w:val="0000FF"/>
            <w:u w:val="single"/>
            <w:rtl/>
          </w:rPr>
          <w:t>הסמים</w:t>
        </w:r>
        <w:r w:rsidR="004F21C1" w:rsidRPr="004F21C1">
          <w:rPr>
            <w:color w:val="0000FF"/>
            <w:u w:val="single"/>
            <w:rtl/>
          </w:rPr>
          <w:t xml:space="preserve"> </w:t>
        </w:r>
        <w:r w:rsidR="004F21C1" w:rsidRPr="004F21C1">
          <w:rPr>
            <w:rFonts w:hint="cs"/>
            <w:color w:val="0000FF"/>
            <w:u w:val="single"/>
            <w:rtl/>
          </w:rPr>
          <w:t>המסוכנים</w:t>
        </w:r>
      </w:hyperlink>
      <w:r>
        <w:rPr>
          <w:rFonts w:hint="cs"/>
          <w:rtl/>
        </w:rPr>
        <w:t xml:space="preserve"> נחקקה על מנת להגן על ערכים חברתיים מרכזיים ובראשם החובה להגן על שלומו של הציבור, על בריאותו, על בטחונו האישי ועל רכושו. עבירות הסמים פוגעות פגיעה קשה לא רק במשתמשים בסם, אלא גם בבני משפחתם, חבריהם ומכריהם וכן בציבור בכללותו, אשר הופך לא פעם קורבן לעבירות רכוש ואלימות המבוצעות לצורך מימון ההתמכרות. </w:t>
      </w:r>
    </w:p>
    <w:p w14:paraId="2FE05C71" w14:textId="77777777" w:rsidR="00A7521E" w:rsidRDefault="00A7521E" w:rsidP="00A7521E">
      <w:pPr>
        <w:pStyle w:val="ListParagraph"/>
        <w:ind w:left="-58" w:firstLine="0"/>
        <w:contextualSpacing w:val="0"/>
      </w:pPr>
      <w:r>
        <w:rPr>
          <w:rFonts w:hint="cs"/>
          <w:rtl/>
        </w:rPr>
        <w:t xml:space="preserve">אשר לעבירות של גידול סמים, הרי שאלו הפכו ל"מכת מדינה" של ממש, ויש ליתן את הדעת בעניין זה, בין היתר, לקלות שבה מבוצעות עבירות אלו ולקושי הרב בו נתקלות רשויות אכיפת החוק באיתור העבריינים (ראו בעניין זה דבריו של בית המשפט המחוזי בתל אביב יפו </w:t>
      </w:r>
      <w:r>
        <w:rPr>
          <w:rFonts w:hint="cs"/>
          <w:u w:val="single"/>
          <w:rtl/>
        </w:rPr>
        <w:t>ב</w:t>
      </w:r>
      <w:hyperlink r:id="rId17" w:history="1">
        <w:r w:rsidR="004F21C1" w:rsidRPr="004F21C1">
          <w:rPr>
            <w:rFonts w:hint="cs"/>
            <w:color w:val="0000FF"/>
            <w:u w:val="single"/>
            <w:rtl/>
          </w:rPr>
          <w:t>עפ</w:t>
        </w:r>
        <w:r w:rsidR="004F21C1" w:rsidRPr="004F21C1">
          <w:rPr>
            <w:color w:val="0000FF"/>
            <w:u w:val="single"/>
            <w:rtl/>
          </w:rPr>
          <w:t>"</w:t>
        </w:r>
        <w:r w:rsidR="004F21C1" w:rsidRPr="004F21C1">
          <w:rPr>
            <w:rFonts w:hint="cs"/>
            <w:color w:val="0000FF"/>
            <w:u w:val="single"/>
            <w:rtl/>
          </w:rPr>
          <w:t>ג</w:t>
        </w:r>
        <w:r w:rsidR="004F21C1" w:rsidRPr="004F21C1">
          <w:rPr>
            <w:color w:val="0000FF"/>
            <w:u w:val="single"/>
            <w:rtl/>
          </w:rPr>
          <w:t xml:space="preserve"> (</w:t>
        </w:r>
        <w:r w:rsidR="004F21C1" w:rsidRPr="004F21C1">
          <w:rPr>
            <w:rFonts w:hint="cs"/>
            <w:color w:val="0000FF"/>
            <w:u w:val="single"/>
            <w:rtl/>
          </w:rPr>
          <w:t>מחוזי</w:t>
        </w:r>
        <w:r w:rsidR="004F21C1" w:rsidRPr="004F21C1">
          <w:rPr>
            <w:color w:val="0000FF"/>
            <w:u w:val="single"/>
            <w:rtl/>
          </w:rPr>
          <w:t xml:space="preserve"> </w:t>
        </w:r>
        <w:r w:rsidR="004F21C1" w:rsidRPr="004F21C1">
          <w:rPr>
            <w:rFonts w:hint="cs"/>
            <w:color w:val="0000FF"/>
            <w:u w:val="single"/>
            <w:rtl/>
          </w:rPr>
          <w:t>תל</w:t>
        </w:r>
        <w:r w:rsidR="004F21C1" w:rsidRPr="004F21C1">
          <w:rPr>
            <w:color w:val="0000FF"/>
            <w:u w:val="single"/>
            <w:rtl/>
          </w:rPr>
          <w:t xml:space="preserve"> </w:t>
        </w:r>
        <w:r w:rsidR="004F21C1" w:rsidRPr="004F21C1">
          <w:rPr>
            <w:rFonts w:hint="cs"/>
            <w:color w:val="0000FF"/>
            <w:u w:val="single"/>
            <w:rtl/>
          </w:rPr>
          <w:t>אביב</w:t>
        </w:r>
        <w:r w:rsidR="004F21C1" w:rsidRPr="004F21C1">
          <w:rPr>
            <w:color w:val="0000FF"/>
            <w:u w:val="single"/>
            <w:rtl/>
          </w:rPr>
          <w:t xml:space="preserve"> </w:t>
        </w:r>
        <w:r w:rsidR="004F21C1" w:rsidRPr="004F21C1">
          <w:rPr>
            <w:rFonts w:hint="cs"/>
            <w:color w:val="0000FF"/>
            <w:u w:val="single"/>
            <w:rtl/>
          </w:rPr>
          <w:t>יפו</w:t>
        </w:r>
        <w:r w:rsidR="004F21C1" w:rsidRPr="004F21C1">
          <w:rPr>
            <w:color w:val="0000FF"/>
            <w:u w:val="single"/>
            <w:rtl/>
          </w:rPr>
          <w:t>) 42358-10-14</w:t>
        </w:r>
      </w:hyperlink>
      <w:r>
        <w:rPr>
          <w:rFonts w:hint="cs"/>
          <w:rtl/>
        </w:rPr>
        <w:t xml:space="preserve"> </w:t>
      </w:r>
      <w:r>
        <w:rPr>
          <w:rFonts w:hint="cs"/>
          <w:b/>
          <w:bCs/>
          <w:rtl/>
        </w:rPr>
        <w:t>אבי גיא נ' מדינת ישראל</w:t>
      </w:r>
      <w:r>
        <w:rPr>
          <w:rFonts w:hint="cs"/>
          <w:rtl/>
        </w:rPr>
        <w:t xml:space="preserve">, (18.02.2015) (להלן: </w:t>
      </w:r>
      <w:r>
        <w:rPr>
          <w:rFonts w:hint="cs"/>
          <w:b/>
          <w:bCs/>
          <w:rtl/>
        </w:rPr>
        <w:t>"עניין גיא"</w:t>
      </w:r>
      <w:r>
        <w:rPr>
          <w:rFonts w:hint="cs"/>
          <w:rtl/>
        </w:rPr>
        <w:t>)):</w:t>
      </w:r>
    </w:p>
    <w:p w14:paraId="4D47205C" w14:textId="77777777" w:rsidR="00A7521E" w:rsidRDefault="00A7521E" w:rsidP="00A7521E">
      <w:pPr>
        <w:pStyle w:val="ListParagraph"/>
        <w:ind w:left="-58" w:firstLine="0"/>
        <w:contextualSpacing w:val="0"/>
        <w:rPr>
          <w:rtl/>
        </w:rPr>
      </w:pPr>
      <w:r>
        <w:rPr>
          <w:rFonts w:hint="cs"/>
          <w:rtl/>
        </w:rPr>
        <w:t>"</w:t>
      </w:r>
      <w:r>
        <w:rPr>
          <w:rFonts w:hint="cs"/>
          <w:b/>
          <w:bCs/>
          <w:rtl/>
        </w:rPr>
        <w:t>דומה שמעבדות הסם הפכו למכת מדינה. נראה שהקלות שבגידול הסם, הביטחון היחסי באי חשיפת העבירה כאשר מדובר בפעילות בתוך תחומי הבית והפוטנציאל הגלום בה, משמשים קרקע נוחה להפיכתה לנפוצה. נפיצות העבירה מחייבת אמירה ברורה ונורמטיבית של בתי משפט העוסקים בתחום זה</w:t>
      </w:r>
      <w:r>
        <w:rPr>
          <w:rFonts w:hint="cs"/>
          <w:rtl/>
        </w:rPr>
        <w:t>"</w:t>
      </w:r>
      <w:r>
        <w:rPr>
          <w:rFonts w:hint="cs"/>
          <w:b/>
          <w:bCs/>
          <w:rtl/>
        </w:rPr>
        <w:t>.</w:t>
      </w:r>
    </w:p>
    <w:p w14:paraId="3CB143F0" w14:textId="77777777" w:rsidR="00A7521E" w:rsidRDefault="00A7521E" w:rsidP="00A7521E">
      <w:pPr>
        <w:pStyle w:val="ListParagraph"/>
        <w:ind w:left="-58" w:firstLine="0"/>
        <w:contextualSpacing w:val="0"/>
        <w:rPr>
          <w:rtl/>
        </w:rPr>
      </w:pPr>
      <w:r>
        <w:rPr>
          <w:rFonts w:hint="cs"/>
          <w:rtl/>
        </w:rPr>
        <w:t>עוד על חומרתן היתרה של העבירות בהן הורשע הנאשם, יכולים להעיד גם העונשים אשר נקבעו בצדן, ובפרט העונש הקבוע לצדה של עבירת הגידול, שהינו 20 שנות מאסר. עונשים חמורים כגון דא, בוודאי מעידים אודות החומרה הרבה שהמחוקק רואה בעבירות אלו.</w:t>
      </w:r>
    </w:p>
    <w:p w14:paraId="778811D8" w14:textId="77777777" w:rsidR="00A7521E" w:rsidRDefault="00A7521E" w:rsidP="00A7521E">
      <w:pPr>
        <w:pStyle w:val="ListParagraph"/>
        <w:numPr>
          <w:ilvl w:val="0"/>
          <w:numId w:val="2"/>
        </w:numPr>
        <w:ind w:left="-58"/>
        <w:contextualSpacing w:val="0"/>
      </w:pPr>
      <w:r>
        <w:rPr>
          <w:rFonts w:hint="cs"/>
          <w:rtl/>
        </w:rPr>
        <w:t xml:space="preserve">בשים לב לכמות השתילים והסם שהנאשם גידל, ולאור יתר הנסיבות הקשורות בביצוע העבירה, כפי שיפורט בהמשך, נדמה כי </w:t>
      </w:r>
      <w:r>
        <w:rPr>
          <w:rFonts w:hint="cs"/>
          <w:b/>
          <w:bCs/>
          <w:rtl/>
        </w:rPr>
        <w:t>מידת הפגיעה בערכים המוגנים</w:t>
      </w:r>
      <w:r>
        <w:rPr>
          <w:rFonts w:hint="cs"/>
          <w:rtl/>
        </w:rPr>
        <w:t xml:space="preserve"> במקרה הנדון מצויה ברף שאיננו נמוך כלל ועיקר. </w:t>
      </w:r>
    </w:p>
    <w:p w14:paraId="3A218C7F" w14:textId="77777777" w:rsidR="00A7521E" w:rsidRDefault="00A7521E" w:rsidP="00A7521E">
      <w:pPr>
        <w:pStyle w:val="ListParagraph"/>
        <w:numPr>
          <w:ilvl w:val="0"/>
          <w:numId w:val="2"/>
        </w:numPr>
        <w:ind w:left="-58"/>
        <w:contextualSpacing w:val="0"/>
      </w:pPr>
      <w:r>
        <w:rPr>
          <w:rFonts w:hint="cs"/>
          <w:rtl/>
        </w:rPr>
        <w:t xml:space="preserve">בבחינת </w:t>
      </w:r>
      <w:r>
        <w:rPr>
          <w:rFonts w:hint="cs"/>
          <w:b/>
          <w:bCs/>
          <w:rtl/>
        </w:rPr>
        <w:t>הנסיבות הקשורות בביצוע העבירות</w:t>
      </w:r>
      <w:r>
        <w:rPr>
          <w:rFonts w:hint="cs"/>
          <w:rtl/>
        </w:rPr>
        <w:t xml:space="preserve">, שקלתי בראש ובראשונה את כמות השתילים ומשקל הסם שהנאשם גידל, כאשר עסקינן בלא פחות מ- 33 שתילים של סם הקנבוס, במשקל כולל של 2.49 ק"ג. אמנם עבירת גידול הסמים הקבועה </w:t>
      </w:r>
      <w:hyperlink r:id="rId18" w:history="1">
        <w:r w:rsidR="00317E12" w:rsidRPr="00317E12">
          <w:rPr>
            <w:rFonts w:hint="cs"/>
            <w:color w:val="0000FF"/>
            <w:u w:val="single"/>
            <w:rtl/>
          </w:rPr>
          <w:t>בסעיף</w:t>
        </w:r>
        <w:r w:rsidR="00317E12" w:rsidRPr="00317E12">
          <w:rPr>
            <w:color w:val="0000FF"/>
            <w:u w:val="single"/>
            <w:rtl/>
          </w:rPr>
          <w:t xml:space="preserve"> 6</w:t>
        </w:r>
      </w:hyperlink>
      <w:r>
        <w:rPr>
          <w:rFonts w:hint="cs"/>
          <w:rtl/>
        </w:rPr>
        <w:t xml:space="preserve"> לפקודה אינה מבחינה בין מצבים בהם גידול הסמים נעשה לצריכה עצמית לבין מצבים בהם הגידול נעשה שלא לצריכה עצמית, אך ברי כי אין דין גידול סמים בכמויות גדולות, הנספרות בקילוגרמים כדין גידול סמים בכמות של גרמים או עשרות גרמים בודדים, ובוודאי שנתון זה, בהיותו נסיבה הקשורה בביצוע העבירה, רלוונטי לצורך קביעת מתחם העונש ההולם. לצד האמור, אציין כי לא אוכל לקבל את טענת באת כוח המאשימה, לפיה "מי שמגדל סמים בכמות כזו חזקה עליו שהוא עושה זאת להפצה, או שלא לצריכתו העצמית" (עמוד 7, שורות 5-4). אכן, משקלם של הסמים יכול פעמים רבות לרמז אודות הכוונה העומדת מאחורי גידולם, אולם בכתב האישום אין כל אינדיקציה לכך שהנאשם ביצע את עבירת הגידול כדי להפיץ או לסחור בסמים שגידל, ובהיעדר אמירה מפורשת בעניין זה, יש לפרש את מכלול הנסיבות בדרך המקלה עם הנאשם, ולראות בסמים שגידל ככאלו שנועדו לצריכתו העצמית בלבד (ר' והשוו דברים שנאמרו </w:t>
      </w:r>
      <w:r>
        <w:rPr>
          <w:rFonts w:hint="cs"/>
          <w:b/>
          <w:bCs/>
          <w:rtl/>
        </w:rPr>
        <w:t>בפרשת אבי גיא</w:t>
      </w:r>
      <w:r>
        <w:rPr>
          <w:rFonts w:hint="cs"/>
          <w:rtl/>
        </w:rPr>
        <w:t xml:space="preserve"> שהוזכרה לעיל; ו</w:t>
      </w:r>
      <w:r>
        <w:rPr>
          <w:rFonts w:hint="cs"/>
          <w:u w:val="single"/>
          <w:rtl/>
        </w:rPr>
        <w:t>ב</w:t>
      </w:r>
      <w:hyperlink r:id="rId19" w:history="1">
        <w:r w:rsidR="004F21C1" w:rsidRPr="004F21C1">
          <w:rPr>
            <w:rFonts w:hint="cs"/>
            <w:color w:val="0000FF"/>
            <w:u w:val="single"/>
            <w:rtl/>
          </w:rPr>
          <w:t>עפ</w:t>
        </w:r>
        <w:r w:rsidR="004F21C1" w:rsidRPr="004F21C1">
          <w:rPr>
            <w:color w:val="0000FF"/>
            <w:u w:val="single"/>
            <w:rtl/>
          </w:rPr>
          <w:t>"</w:t>
        </w:r>
        <w:r w:rsidR="004F21C1" w:rsidRPr="004F21C1">
          <w:rPr>
            <w:rFonts w:hint="cs"/>
            <w:color w:val="0000FF"/>
            <w:u w:val="single"/>
            <w:rtl/>
          </w:rPr>
          <w:t>ג</w:t>
        </w:r>
        <w:r w:rsidR="004F21C1" w:rsidRPr="004F21C1">
          <w:rPr>
            <w:color w:val="0000FF"/>
            <w:u w:val="single"/>
            <w:rtl/>
          </w:rPr>
          <w:t xml:space="preserve"> (</w:t>
        </w:r>
        <w:r w:rsidR="004F21C1" w:rsidRPr="004F21C1">
          <w:rPr>
            <w:rFonts w:hint="cs"/>
            <w:color w:val="0000FF"/>
            <w:u w:val="single"/>
            <w:rtl/>
          </w:rPr>
          <w:t>מחוזי</w:t>
        </w:r>
        <w:r w:rsidR="004F21C1" w:rsidRPr="004F21C1">
          <w:rPr>
            <w:color w:val="0000FF"/>
            <w:u w:val="single"/>
            <w:rtl/>
          </w:rPr>
          <w:t xml:space="preserve"> </w:t>
        </w:r>
        <w:r w:rsidR="004F21C1" w:rsidRPr="004F21C1">
          <w:rPr>
            <w:rFonts w:hint="cs"/>
            <w:color w:val="0000FF"/>
            <w:u w:val="single"/>
            <w:rtl/>
          </w:rPr>
          <w:t>חיפה</w:t>
        </w:r>
        <w:r w:rsidR="004F21C1" w:rsidRPr="004F21C1">
          <w:rPr>
            <w:color w:val="0000FF"/>
            <w:u w:val="single"/>
            <w:rtl/>
          </w:rPr>
          <w:t>) 28110-10-15</w:t>
        </w:r>
      </w:hyperlink>
      <w:r>
        <w:rPr>
          <w:rFonts w:hint="cs"/>
          <w:rtl/>
        </w:rPr>
        <w:t xml:space="preserve"> </w:t>
      </w:r>
      <w:r>
        <w:rPr>
          <w:rFonts w:hint="cs"/>
          <w:b/>
          <w:bCs/>
          <w:rtl/>
        </w:rPr>
        <w:t>מדינת ישראל נ' עידן דוד</w:t>
      </w:r>
      <w:r>
        <w:rPr>
          <w:rFonts w:hint="cs"/>
          <w:rtl/>
        </w:rPr>
        <w:t>, (17.12.2015), אליו הפנה בא כוח הנאשם).</w:t>
      </w:r>
    </w:p>
    <w:p w14:paraId="3417B5E2" w14:textId="77777777" w:rsidR="00A7521E" w:rsidRDefault="00A7521E" w:rsidP="00A7521E">
      <w:pPr>
        <w:pStyle w:val="ListParagraph"/>
        <w:ind w:left="-58" w:firstLine="0"/>
        <w:contextualSpacing w:val="0"/>
      </w:pPr>
      <w:r>
        <w:rPr>
          <w:rFonts w:hint="cs"/>
          <w:rtl/>
        </w:rPr>
        <w:t>מנגד ולקולא, נתתי דעתי לסוג הסם שהנאשם גידל, כאשר עסקינן בסם הקנבוס שנמנה עם "הסמים הקלים", ואינו מצוי במדרג חומרה גבוה מבין הסמים השונים (והדברים נאמרים מבלי להקל ראש בנזקים שגם סם "קל" זה עלול להסב לנאשם ולסביבתו).</w:t>
      </w:r>
    </w:p>
    <w:p w14:paraId="0CA97F76" w14:textId="77777777" w:rsidR="00A7521E" w:rsidRDefault="00A7521E" w:rsidP="00A7521E">
      <w:pPr>
        <w:pStyle w:val="ListParagraph"/>
        <w:ind w:left="-58" w:firstLine="0"/>
        <w:contextualSpacing w:val="0"/>
      </w:pPr>
      <w:r>
        <w:rPr>
          <w:rFonts w:hint="cs"/>
          <w:rtl/>
        </w:rPr>
        <w:t xml:space="preserve">עוד ולקולא, שקלתי את העובדה כי הנאשם לא החזיק בכלים או בחומרים מיוחדים המשמשים בדרך כלל את מעבדות הסמים המאולתרות, כגון חומרי דישון, נורות, מאווררים, צינורות נירוסטה, מדחומים דיגיטליים וכיוצא באלה, ויש בכך כדי ללמד כי התכנון המוקדם במקרה הנדון לא היה רב. אכן, אין זה מן הנמנע שהנאשם ניצל את מומחיותו והסמכתו במדעי החקלאות </w:t>
      </w:r>
      <w:r>
        <w:rPr>
          <w:rFonts w:hint="cs"/>
          <w:b/>
          <w:bCs/>
          <w:rtl/>
        </w:rPr>
        <w:t>(ראו נ/2)</w:t>
      </w:r>
      <w:r>
        <w:rPr>
          <w:rFonts w:hint="cs"/>
          <w:rtl/>
        </w:rPr>
        <w:t xml:space="preserve"> לצורך ביצוע העבירה. אך בהיעדר הוכחה לכך, לא אעניק לנסיבה זו משקל רב. כך גם, לא נעלמה מעיני העובדה כי הנאשם ייחד את גג דירתו לצורך גידול הסמים, וכי גידל את הסמים במקומות שונים בביתו: בממ"ד, במרפסת, בשירותים ובמחסן. למעשה, הנאשם הפך את דירתו, שבה גר אותה עת יחד עם אשתו ובתו, למעין "מאורת סמים" או חוות גידול סם אחת גדולה, תוך שהוא חושף את בני משפחתו לסמים ולמעשיו העברייניים. התנהלות כגון זו, יכולה ללמד כי גידול הסמים הפך למרכז חייו של הנאשם ולאינטרס המרכזי שלו, בעוד שהאינטרס האישי של בני המשפחה נסוג מפניו.  </w:t>
      </w:r>
    </w:p>
    <w:p w14:paraId="5D8B9BF8" w14:textId="77777777" w:rsidR="00A7521E" w:rsidRDefault="00A7521E" w:rsidP="00A7521E">
      <w:pPr>
        <w:pStyle w:val="ListParagraph"/>
        <w:ind w:left="-58" w:firstLine="0"/>
        <w:contextualSpacing w:val="0"/>
        <w:rPr>
          <w:rtl/>
        </w:rPr>
      </w:pPr>
      <w:r>
        <w:rPr>
          <w:rFonts w:hint="cs"/>
          <w:rtl/>
        </w:rPr>
        <w:t>אשר לסיבות שהביאו את הנאשם לבצע את העבירה, הלה טען כי ביצע אותה כדי לחסוך בעלויות של קניית הסמים (שלשימוש בהם הוא מכור מזה הרבה שנים). כפי שכבר עמדתי על כך זה עתה, בהיעדר אינדיקציה אחרת, יש לפרש את מכלול הנסיבות בדרך המקלה עם הנאשם, ולראות בסמים שגידל ככאלו שנועדו לצריכתו העצמית בלבד. כך יש לנהוג גם במקרה הנדון, ואמנם אין בכך כדי להצדיק את ביצוע העבירה, אך ברי כי אין דינו של אדם אשר מגדל סמים כדי למכור אותם לכל דורש כדין אדם אשר מגדל סמים בביתו אך כדי להימנע ממגע עם סוחרי סמים ועל מנת לחסוך בסכום אותו הוא נדרש לבזבז כדי לספק את התמכרותו.</w:t>
      </w:r>
    </w:p>
    <w:p w14:paraId="4FEB6B95" w14:textId="77777777" w:rsidR="00A7521E" w:rsidRDefault="00A7521E" w:rsidP="00A7521E">
      <w:pPr>
        <w:spacing w:after="160" w:line="360" w:lineRule="auto"/>
        <w:jc w:val="both"/>
        <w:rPr>
          <w:rtl/>
        </w:rPr>
      </w:pPr>
      <w:r>
        <w:rPr>
          <w:rFonts w:hint="cs"/>
          <w:rtl/>
        </w:rPr>
        <w:t>לבסוף, נתתי דעתי לכך שכתוצאה ממעשיו של הנאשם לא נגרם נזק מוחשי כלשהו. אם כי, אין לייחס משקל רב לנסיבה זו, שכן אלו הן דרכן של עבירות הסמים, כאשר פעמים רבות לא ניתן להצביע על נזק מוחשי ומידי שנגרם כתוצאה מהן, מה שאינו מפחית כהוא זה מהנזק הרב וארוך הטווח שהן מביאות עמן. כפי שצוין זה מכבר, הסמים פוגעים פגיעה קשה לא רק במשתמשים בסם, כי אם גם בבני משפחתם, חבריהם ומכריהם וכן בציבור בכללותו. לא פעם נדרשים המכורים לסמים לבצע עבירות רכוש ואלימות כדי לממן לעצמם את מנת הסם הבאה, ובעצם כך מביאים לפגיעה, פעם אחר פעם, בקניינו ובביטחונו של הזולת. גם ניתן בנקל לשער ולדמות את מסכת הסבל והייסורים שעוברים בני משפחתם וחבריהם הקרובים של המכורים לסמים, אשר נאלצים לראות את יקיריהם הולכים מדחי לדחי ומדרדרים את חייהם אל פי תהום. זהו אפוא, אותו נזק פוטנציאלי הטמון בעבירות הסמים השונות.</w:t>
      </w:r>
    </w:p>
    <w:p w14:paraId="158B21F3" w14:textId="77777777" w:rsidR="00A7521E" w:rsidRDefault="00A7521E" w:rsidP="00A7521E">
      <w:pPr>
        <w:pStyle w:val="ListParagraph"/>
        <w:numPr>
          <w:ilvl w:val="0"/>
          <w:numId w:val="2"/>
        </w:numPr>
        <w:ind w:left="-58"/>
        <w:contextualSpacing w:val="0"/>
      </w:pPr>
      <w:r>
        <w:rPr>
          <w:rFonts w:hint="cs"/>
          <w:rtl/>
        </w:rPr>
        <w:t>לאור כל האמור, ובשים לב בין היתר לכמות השתילים והסם שהנאשם גידל, ולנוכח מדיניות הענישה הנוהגת במקרים שבהם הורשעו הנאשמים בגידול של סם מסוג קנבוס במשקל הנמדד בקילוגרמים בודדים, נדמה כי הסכמת הצדדים לפיה</w:t>
      </w:r>
      <w:r>
        <w:rPr>
          <w:rFonts w:hint="cs"/>
          <w:b/>
          <w:bCs/>
          <w:rtl/>
        </w:rPr>
        <w:t xml:space="preserve"> מתחם העונש ההולם במקרה הנדון ינוע בין 6 ל- 24 חודשי מאסר</w:t>
      </w:r>
      <w:r>
        <w:rPr>
          <w:rFonts w:hint="cs"/>
          <w:rtl/>
        </w:rPr>
        <w:t>, הינה מידתית ויש לכבדה.</w:t>
      </w:r>
    </w:p>
    <w:p w14:paraId="15A2338F" w14:textId="77777777" w:rsidR="00A7521E" w:rsidRDefault="00A7521E" w:rsidP="00A7521E">
      <w:pPr>
        <w:pStyle w:val="ListParagraph"/>
        <w:ind w:left="-58" w:firstLine="0"/>
        <w:contextualSpacing w:val="0"/>
      </w:pPr>
      <w:r>
        <w:rPr>
          <w:rFonts w:hint="cs"/>
          <w:rtl/>
        </w:rPr>
        <w:t xml:space="preserve">לעניין מדיניות הענישה, ראו פסקי הדין אליהם הפנתה המאשימה: </w:t>
      </w:r>
      <w:hyperlink r:id="rId20" w:history="1">
        <w:r w:rsidR="004F21C1" w:rsidRPr="004F21C1">
          <w:rPr>
            <w:rFonts w:hint="cs"/>
            <w:color w:val="0000FF"/>
            <w:u w:val="single"/>
            <w:rtl/>
          </w:rPr>
          <w:t>רע</w:t>
        </w:r>
        <w:r w:rsidR="004F21C1" w:rsidRPr="004F21C1">
          <w:rPr>
            <w:color w:val="0000FF"/>
            <w:u w:val="single"/>
            <w:rtl/>
          </w:rPr>
          <w:t>"</w:t>
        </w:r>
        <w:r w:rsidR="004F21C1" w:rsidRPr="004F21C1">
          <w:rPr>
            <w:rFonts w:hint="cs"/>
            <w:color w:val="0000FF"/>
            <w:u w:val="single"/>
            <w:rtl/>
          </w:rPr>
          <w:t>פ</w:t>
        </w:r>
        <w:r w:rsidR="004F21C1" w:rsidRPr="004F21C1">
          <w:rPr>
            <w:color w:val="0000FF"/>
            <w:u w:val="single"/>
            <w:rtl/>
          </w:rPr>
          <w:t xml:space="preserve"> 314/16</w:t>
        </w:r>
      </w:hyperlink>
      <w:r>
        <w:rPr>
          <w:rFonts w:hint="cs"/>
          <w:rtl/>
        </w:rPr>
        <w:t xml:space="preserve"> </w:t>
      </w:r>
      <w:r>
        <w:rPr>
          <w:rFonts w:hint="cs"/>
          <w:b/>
          <w:bCs/>
          <w:rtl/>
        </w:rPr>
        <w:t>גיא בן צבי נגד מדינת ישראל</w:t>
      </w:r>
      <w:r>
        <w:rPr>
          <w:rFonts w:hint="cs"/>
          <w:rtl/>
        </w:rPr>
        <w:t xml:space="preserve">, (22.02.2016); </w:t>
      </w:r>
      <w:hyperlink r:id="rId21" w:history="1">
        <w:r w:rsidR="004F21C1" w:rsidRPr="004F21C1">
          <w:rPr>
            <w:rFonts w:hint="cs"/>
            <w:color w:val="0000FF"/>
            <w:u w:val="single"/>
            <w:rtl/>
          </w:rPr>
          <w:t>עפ</w:t>
        </w:r>
        <w:r w:rsidR="004F21C1" w:rsidRPr="004F21C1">
          <w:rPr>
            <w:color w:val="0000FF"/>
            <w:u w:val="single"/>
            <w:rtl/>
          </w:rPr>
          <w:t>"</w:t>
        </w:r>
        <w:r w:rsidR="004F21C1" w:rsidRPr="004F21C1">
          <w:rPr>
            <w:rFonts w:hint="cs"/>
            <w:color w:val="0000FF"/>
            <w:u w:val="single"/>
            <w:rtl/>
          </w:rPr>
          <w:t>ג</w:t>
        </w:r>
        <w:r w:rsidR="004F21C1" w:rsidRPr="004F21C1">
          <w:rPr>
            <w:color w:val="0000FF"/>
            <w:u w:val="single"/>
            <w:rtl/>
          </w:rPr>
          <w:t xml:space="preserve"> (</w:t>
        </w:r>
        <w:r w:rsidR="004F21C1" w:rsidRPr="004F21C1">
          <w:rPr>
            <w:rFonts w:hint="cs"/>
            <w:color w:val="0000FF"/>
            <w:u w:val="single"/>
            <w:rtl/>
          </w:rPr>
          <w:t>מחוזי</w:t>
        </w:r>
        <w:r w:rsidR="004F21C1" w:rsidRPr="004F21C1">
          <w:rPr>
            <w:color w:val="0000FF"/>
            <w:u w:val="single"/>
            <w:rtl/>
          </w:rPr>
          <w:t xml:space="preserve"> </w:t>
        </w:r>
        <w:r w:rsidR="004F21C1" w:rsidRPr="004F21C1">
          <w:rPr>
            <w:rFonts w:hint="cs"/>
            <w:color w:val="0000FF"/>
            <w:u w:val="single"/>
            <w:rtl/>
          </w:rPr>
          <w:t>באר</w:t>
        </w:r>
        <w:r w:rsidR="004F21C1" w:rsidRPr="004F21C1">
          <w:rPr>
            <w:color w:val="0000FF"/>
            <w:u w:val="single"/>
            <w:rtl/>
          </w:rPr>
          <w:t xml:space="preserve"> </w:t>
        </w:r>
        <w:r w:rsidR="004F21C1" w:rsidRPr="004F21C1">
          <w:rPr>
            <w:rFonts w:hint="cs"/>
            <w:color w:val="0000FF"/>
            <w:u w:val="single"/>
            <w:rtl/>
          </w:rPr>
          <w:t>שבע</w:t>
        </w:r>
        <w:r w:rsidR="004F21C1" w:rsidRPr="004F21C1">
          <w:rPr>
            <w:color w:val="0000FF"/>
            <w:u w:val="single"/>
            <w:rtl/>
          </w:rPr>
          <w:t>) 13901-11-15</w:t>
        </w:r>
      </w:hyperlink>
      <w:r>
        <w:rPr>
          <w:rFonts w:hint="cs"/>
          <w:rtl/>
        </w:rPr>
        <w:t xml:space="preserve"> </w:t>
      </w:r>
      <w:r>
        <w:rPr>
          <w:rFonts w:hint="cs"/>
          <w:b/>
          <w:bCs/>
          <w:rtl/>
        </w:rPr>
        <w:t>עזרא נ' מדינת ישראל</w:t>
      </w:r>
      <w:r>
        <w:rPr>
          <w:rFonts w:hint="cs"/>
          <w:rtl/>
        </w:rPr>
        <w:t xml:space="preserve">, (09.12.2015); </w:t>
      </w:r>
      <w:hyperlink r:id="rId22" w:history="1">
        <w:r w:rsidR="004F21C1" w:rsidRPr="004F21C1">
          <w:rPr>
            <w:rFonts w:hint="cs"/>
            <w:color w:val="0000FF"/>
            <w:u w:val="single"/>
            <w:rtl/>
          </w:rPr>
          <w:t>רע</w:t>
        </w:r>
        <w:r w:rsidR="004F21C1" w:rsidRPr="004F21C1">
          <w:rPr>
            <w:color w:val="0000FF"/>
            <w:u w:val="single"/>
            <w:rtl/>
          </w:rPr>
          <w:t>"</w:t>
        </w:r>
        <w:r w:rsidR="004F21C1" w:rsidRPr="004F21C1">
          <w:rPr>
            <w:rFonts w:hint="cs"/>
            <w:color w:val="0000FF"/>
            <w:u w:val="single"/>
            <w:rtl/>
          </w:rPr>
          <w:t>פ</w:t>
        </w:r>
        <w:r w:rsidR="004F21C1" w:rsidRPr="004F21C1">
          <w:rPr>
            <w:color w:val="0000FF"/>
            <w:u w:val="single"/>
            <w:rtl/>
          </w:rPr>
          <w:t xml:space="preserve"> 7005/14</w:t>
        </w:r>
      </w:hyperlink>
      <w:r>
        <w:rPr>
          <w:rFonts w:hint="cs"/>
          <w:rtl/>
        </w:rPr>
        <w:t xml:space="preserve"> ‏</w:t>
      </w:r>
      <w:r>
        <w:rPr>
          <w:rFonts w:hint="cs"/>
          <w:b/>
          <w:bCs/>
          <w:rtl/>
        </w:rPr>
        <w:t>עידן דגן נגד מדינת ישראל</w:t>
      </w:r>
      <w:r>
        <w:rPr>
          <w:rFonts w:hint="cs"/>
          <w:rtl/>
        </w:rPr>
        <w:t xml:space="preserve">, (30.11.2014). כן ראו, </w:t>
      </w:r>
      <w:hyperlink r:id="rId23" w:history="1">
        <w:r w:rsidR="004F21C1" w:rsidRPr="004F21C1">
          <w:rPr>
            <w:rFonts w:hint="cs"/>
            <w:color w:val="0000FF"/>
            <w:u w:val="single"/>
            <w:rtl/>
          </w:rPr>
          <w:t>עפ</w:t>
        </w:r>
        <w:r w:rsidR="004F21C1" w:rsidRPr="004F21C1">
          <w:rPr>
            <w:color w:val="0000FF"/>
            <w:u w:val="single"/>
            <w:rtl/>
          </w:rPr>
          <w:t>"</w:t>
        </w:r>
        <w:r w:rsidR="004F21C1" w:rsidRPr="004F21C1">
          <w:rPr>
            <w:rFonts w:hint="cs"/>
            <w:color w:val="0000FF"/>
            <w:u w:val="single"/>
            <w:rtl/>
          </w:rPr>
          <w:t>ג</w:t>
        </w:r>
        <w:r w:rsidR="004F21C1" w:rsidRPr="004F21C1">
          <w:rPr>
            <w:color w:val="0000FF"/>
            <w:u w:val="single"/>
            <w:rtl/>
          </w:rPr>
          <w:t xml:space="preserve"> (</w:t>
        </w:r>
        <w:r w:rsidR="004F21C1" w:rsidRPr="004F21C1">
          <w:rPr>
            <w:rFonts w:hint="cs"/>
            <w:color w:val="0000FF"/>
            <w:u w:val="single"/>
            <w:rtl/>
          </w:rPr>
          <w:t>מחוזי</w:t>
        </w:r>
        <w:r w:rsidR="004F21C1" w:rsidRPr="004F21C1">
          <w:rPr>
            <w:color w:val="0000FF"/>
            <w:u w:val="single"/>
            <w:rtl/>
          </w:rPr>
          <w:t xml:space="preserve"> </w:t>
        </w:r>
        <w:r w:rsidR="004F21C1" w:rsidRPr="004F21C1">
          <w:rPr>
            <w:rFonts w:hint="cs"/>
            <w:color w:val="0000FF"/>
            <w:u w:val="single"/>
            <w:rtl/>
          </w:rPr>
          <w:t>מרכז</w:t>
        </w:r>
        <w:r w:rsidR="004F21C1" w:rsidRPr="004F21C1">
          <w:rPr>
            <w:color w:val="0000FF"/>
            <w:u w:val="single"/>
            <w:rtl/>
          </w:rPr>
          <w:t>) 8650-04-15</w:t>
        </w:r>
      </w:hyperlink>
      <w:r>
        <w:rPr>
          <w:rFonts w:hint="cs"/>
          <w:rtl/>
        </w:rPr>
        <w:t xml:space="preserve"> </w:t>
      </w:r>
      <w:r>
        <w:rPr>
          <w:rFonts w:hint="cs"/>
          <w:b/>
          <w:bCs/>
          <w:rtl/>
        </w:rPr>
        <w:t>שמעון שורץ נגד מדינת ישראל</w:t>
      </w:r>
      <w:r>
        <w:rPr>
          <w:rFonts w:hint="cs"/>
          <w:rtl/>
        </w:rPr>
        <w:t xml:space="preserve">, (22.12.2015); </w:t>
      </w:r>
      <w:hyperlink r:id="rId24" w:history="1">
        <w:r w:rsidR="004F21C1" w:rsidRPr="004F21C1">
          <w:rPr>
            <w:rFonts w:hint="cs"/>
            <w:color w:val="0000FF"/>
            <w:u w:val="single"/>
            <w:rtl/>
          </w:rPr>
          <w:t>עפ</w:t>
        </w:r>
        <w:r w:rsidR="004F21C1" w:rsidRPr="004F21C1">
          <w:rPr>
            <w:color w:val="0000FF"/>
            <w:u w:val="single"/>
            <w:rtl/>
          </w:rPr>
          <w:t>"</w:t>
        </w:r>
        <w:r w:rsidR="004F21C1" w:rsidRPr="004F21C1">
          <w:rPr>
            <w:rFonts w:hint="cs"/>
            <w:color w:val="0000FF"/>
            <w:u w:val="single"/>
            <w:rtl/>
          </w:rPr>
          <w:t>ג</w:t>
        </w:r>
        <w:r w:rsidR="004F21C1" w:rsidRPr="004F21C1">
          <w:rPr>
            <w:color w:val="0000FF"/>
            <w:u w:val="single"/>
            <w:rtl/>
          </w:rPr>
          <w:t xml:space="preserve"> (</w:t>
        </w:r>
        <w:r w:rsidR="004F21C1" w:rsidRPr="004F21C1">
          <w:rPr>
            <w:rFonts w:hint="cs"/>
            <w:color w:val="0000FF"/>
            <w:u w:val="single"/>
            <w:rtl/>
          </w:rPr>
          <w:t>מחוזי</w:t>
        </w:r>
        <w:r w:rsidR="004F21C1" w:rsidRPr="004F21C1">
          <w:rPr>
            <w:color w:val="0000FF"/>
            <w:u w:val="single"/>
            <w:rtl/>
          </w:rPr>
          <w:t xml:space="preserve"> </w:t>
        </w:r>
        <w:r w:rsidR="004F21C1" w:rsidRPr="004F21C1">
          <w:rPr>
            <w:rFonts w:hint="cs"/>
            <w:color w:val="0000FF"/>
            <w:u w:val="single"/>
            <w:rtl/>
          </w:rPr>
          <w:t>חיפה</w:t>
        </w:r>
        <w:r w:rsidR="004F21C1" w:rsidRPr="004F21C1">
          <w:rPr>
            <w:color w:val="0000FF"/>
            <w:u w:val="single"/>
            <w:rtl/>
          </w:rPr>
          <w:t>) 28110-10-15</w:t>
        </w:r>
      </w:hyperlink>
      <w:r>
        <w:rPr>
          <w:rFonts w:hint="cs"/>
          <w:rtl/>
        </w:rPr>
        <w:t xml:space="preserve"> </w:t>
      </w:r>
      <w:r>
        <w:rPr>
          <w:rFonts w:hint="cs"/>
          <w:b/>
          <w:bCs/>
          <w:rtl/>
        </w:rPr>
        <w:t>מדינת ישראל נגד עידן דוד</w:t>
      </w:r>
      <w:r>
        <w:rPr>
          <w:rFonts w:hint="cs"/>
          <w:rtl/>
        </w:rPr>
        <w:t xml:space="preserve">, (17.12.2015), שאוזכר לעיל; </w:t>
      </w:r>
      <w:r>
        <w:rPr>
          <w:rFonts w:hint="cs"/>
          <w:u w:val="single"/>
          <w:rtl/>
        </w:rPr>
        <w:t>ו</w:t>
      </w:r>
      <w:hyperlink r:id="rId25" w:history="1">
        <w:r w:rsidR="004F21C1" w:rsidRPr="004F21C1">
          <w:rPr>
            <w:rFonts w:hint="cs"/>
            <w:color w:val="0000FF"/>
            <w:u w:val="single"/>
            <w:rtl/>
          </w:rPr>
          <w:t>ת</w:t>
        </w:r>
        <w:r w:rsidR="004F21C1" w:rsidRPr="004F21C1">
          <w:rPr>
            <w:color w:val="0000FF"/>
            <w:u w:val="single"/>
            <w:rtl/>
          </w:rPr>
          <w:t>"</w:t>
        </w:r>
        <w:r w:rsidR="004F21C1" w:rsidRPr="004F21C1">
          <w:rPr>
            <w:rFonts w:hint="cs"/>
            <w:color w:val="0000FF"/>
            <w:u w:val="single"/>
            <w:rtl/>
          </w:rPr>
          <w:t>פ</w:t>
        </w:r>
        <w:r w:rsidR="004F21C1" w:rsidRPr="004F21C1">
          <w:rPr>
            <w:color w:val="0000FF"/>
            <w:u w:val="single"/>
            <w:rtl/>
          </w:rPr>
          <w:t xml:space="preserve"> (</w:t>
        </w:r>
        <w:r w:rsidR="004F21C1" w:rsidRPr="004F21C1">
          <w:rPr>
            <w:rFonts w:hint="cs"/>
            <w:color w:val="0000FF"/>
            <w:u w:val="single"/>
            <w:rtl/>
          </w:rPr>
          <w:t>שלום</w:t>
        </w:r>
        <w:r w:rsidR="004F21C1" w:rsidRPr="004F21C1">
          <w:rPr>
            <w:color w:val="0000FF"/>
            <w:u w:val="single"/>
            <w:rtl/>
          </w:rPr>
          <w:t xml:space="preserve"> </w:t>
        </w:r>
        <w:r w:rsidR="004F21C1" w:rsidRPr="004F21C1">
          <w:rPr>
            <w:rFonts w:hint="cs"/>
            <w:color w:val="0000FF"/>
            <w:u w:val="single"/>
            <w:rtl/>
          </w:rPr>
          <w:t>ראשון</w:t>
        </w:r>
        <w:r w:rsidR="004F21C1" w:rsidRPr="004F21C1">
          <w:rPr>
            <w:color w:val="0000FF"/>
            <w:u w:val="single"/>
            <w:rtl/>
          </w:rPr>
          <w:t xml:space="preserve"> </w:t>
        </w:r>
        <w:r w:rsidR="004F21C1" w:rsidRPr="004F21C1">
          <w:rPr>
            <w:rFonts w:hint="cs"/>
            <w:color w:val="0000FF"/>
            <w:u w:val="single"/>
            <w:rtl/>
          </w:rPr>
          <w:t>לציון</w:t>
        </w:r>
        <w:r w:rsidR="004F21C1" w:rsidRPr="004F21C1">
          <w:rPr>
            <w:color w:val="0000FF"/>
            <w:u w:val="single"/>
            <w:rtl/>
          </w:rPr>
          <w:t>) 33932-08-15</w:t>
        </w:r>
      </w:hyperlink>
      <w:r>
        <w:rPr>
          <w:rFonts w:hint="cs"/>
          <w:rtl/>
        </w:rPr>
        <w:t xml:space="preserve"> </w:t>
      </w:r>
      <w:r>
        <w:rPr>
          <w:rFonts w:hint="cs"/>
          <w:b/>
          <w:bCs/>
          <w:rtl/>
        </w:rPr>
        <w:t>מדינת ישראל נ' אלירן איפרגן</w:t>
      </w:r>
      <w:r>
        <w:rPr>
          <w:rFonts w:hint="cs"/>
          <w:rtl/>
        </w:rPr>
        <w:t>, (26.04.2017).</w:t>
      </w:r>
    </w:p>
    <w:p w14:paraId="0AA0A4FB" w14:textId="77777777" w:rsidR="00A7521E" w:rsidRPr="00A50C50" w:rsidRDefault="00A7521E" w:rsidP="00A7521E">
      <w:pPr>
        <w:pStyle w:val="1"/>
        <w:numPr>
          <w:ilvl w:val="0"/>
          <w:numId w:val="1"/>
        </w:numPr>
        <w:spacing w:after="160" w:line="288" w:lineRule="auto"/>
        <w:jc w:val="both"/>
        <w:rPr>
          <w:rFonts w:cs="David"/>
          <w:color w:val="auto"/>
          <w:rtl/>
        </w:rPr>
      </w:pPr>
      <w:r w:rsidRPr="00A50C50">
        <w:rPr>
          <w:rFonts w:cs="David" w:hint="cs"/>
          <w:color w:val="auto"/>
          <w:rtl/>
        </w:rPr>
        <w:t>גזירת העונש המתאים לנאשם</w:t>
      </w:r>
    </w:p>
    <w:p w14:paraId="4FE5F538" w14:textId="77777777" w:rsidR="00A7521E" w:rsidRDefault="00A7521E" w:rsidP="00A7521E">
      <w:pPr>
        <w:pStyle w:val="ListParagraph"/>
        <w:numPr>
          <w:ilvl w:val="0"/>
          <w:numId w:val="2"/>
        </w:numPr>
        <w:ind w:left="-58"/>
        <w:contextualSpacing w:val="0"/>
        <w:rPr>
          <w:rtl/>
        </w:rPr>
      </w:pPr>
      <w:r>
        <w:rPr>
          <w:rFonts w:hint="cs"/>
          <w:rtl/>
        </w:rPr>
        <w:t xml:space="preserve">אשר לגזירת עונשו של הנאשם בגדרי מתחם העונש ההולם, כאמור </w:t>
      </w:r>
      <w:hyperlink r:id="rId26" w:history="1">
        <w:r w:rsidR="00317E12" w:rsidRPr="00317E12">
          <w:rPr>
            <w:rFonts w:hint="cs"/>
            <w:color w:val="0000FF"/>
            <w:u w:val="single"/>
            <w:rtl/>
          </w:rPr>
          <w:t>בסעיף</w:t>
        </w:r>
        <w:r w:rsidR="00317E12" w:rsidRPr="00317E12">
          <w:rPr>
            <w:color w:val="0000FF"/>
            <w:u w:val="single"/>
            <w:rtl/>
          </w:rPr>
          <w:t xml:space="preserve"> 40</w:t>
        </w:r>
        <w:r w:rsidR="00317E12" w:rsidRPr="00317E12">
          <w:rPr>
            <w:rFonts w:hint="cs"/>
            <w:color w:val="0000FF"/>
            <w:u w:val="single"/>
            <w:rtl/>
          </w:rPr>
          <w:t>ג</w:t>
        </w:r>
        <w:r w:rsidR="00317E12" w:rsidRPr="00317E12">
          <w:rPr>
            <w:color w:val="0000FF"/>
            <w:u w:val="single"/>
            <w:rtl/>
          </w:rPr>
          <w:t>(</w:t>
        </w:r>
        <w:r w:rsidR="00317E12" w:rsidRPr="00317E12">
          <w:rPr>
            <w:rFonts w:hint="cs"/>
            <w:color w:val="0000FF"/>
            <w:u w:val="single"/>
            <w:rtl/>
          </w:rPr>
          <w:t>ב</w:t>
        </w:r>
        <w:r w:rsidR="00317E12" w:rsidRPr="00317E12">
          <w:rPr>
            <w:color w:val="0000FF"/>
            <w:u w:val="single"/>
            <w:rtl/>
          </w:rPr>
          <w:t>)</w:t>
        </w:r>
      </w:hyperlink>
      <w:r>
        <w:rPr>
          <w:rFonts w:hint="cs"/>
          <w:rtl/>
        </w:rPr>
        <w:t xml:space="preserve"> ל</w:t>
      </w:r>
      <w:hyperlink r:id="rId27" w:history="1">
        <w:r w:rsidR="004F21C1" w:rsidRPr="004F21C1">
          <w:rPr>
            <w:rFonts w:hint="cs"/>
            <w:color w:val="0000FF"/>
            <w:u w:val="single"/>
            <w:rtl/>
          </w:rPr>
          <w:t>חוק</w:t>
        </w:r>
        <w:r w:rsidR="004F21C1" w:rsidRPr="004F21C1">
          <w:rPr>
            <w:color w:val="0000FF"/>
            <w:u w:val="single"/>
            <w:rtl/>
          </w:rPr>
          <w:t xml:space="preserve"> </w:t>
        </w:r>
        <w:r w:rsidR="004F21C1" w:rsidRPr="004F21C1">
          <w:rPr>
            <w:rFonts w:hint="cs"/>
            <w:color w:val="0000FF"/>
            <w:u w:val="single"/>
            <w:rtl/>
          </w:rPr>
          <w:t>העונשין</w:t>
        </w:r>
      </w:hyperlink>
      <w:r>
        <w:rPr>
          <w:rFonts w:hint="cs"/>
          <w:rtl/>
        </w:rPr>
        <w:t xml:space="preserve">, על בית המשפט לשקול בעניין זה את הנסיבות שאינן קשורות בביצוע העבירה, כפי שאלו מפורטות </w:t>
      </w:r>
      <w:hyperlink r:id="rId28" w:history="1">
        <w:r w:rsidR="00317E12" w:rsidRPr="00317E12">
          <w:rPr>
            <w:rFonts w:hint="cs"/>
            <w:color w:val="0000FF"/>
            <w:u w:val="single"/>
            <w:rtl/>
          </w:rPr>
          <w:t>בסעיף</w:t>
        </w:r>
        <w:r w:rsidR="00317E12" w:rsidRPr="00317E12">
          <w:rPr>
            <w:color w:val="0000FF"/>
            <w:u w:val="single"/>
            <w:rtl/>
          </w:rPr>
          <w:t xml:space="preserve"> 40</w:t>
        </w:r>
        <w:r w:rsidR="00317E12" w:rsidRPr="00317E12">
          <w:rPr>
            <w:rFonts w:hint="cs"/>
            <w:color w:val="0000FF"/>
            <w:u w:val="single"/>
            <w:rtl/>
          </w:rPr>
          <w:t>יא</w:t>
        </w:r>
      </w:hyperlink>
      <w:r>
        <w:rPr>
          <w:rFonts w:hint="cs"/>
          <w:rtl/>
        </w:rPr>
        <w:t xml:space="preserve"> לחוק העונשין.</w:t>
      </w:r>
    </w:p>
    <w:p w14:paraId="43FD3C7C" w14:textId="77777777" w:rsidR="00A7521E" w:rsidRDefault="00A7521E" w:rsidP="00A7521E">
      <w:pPr>
        <w:pStyle w:val="ListParagraph"/>
        <w:ind w:left="-58" w:firstLine="0"/>
        <w:contextualSpacing w:val="0"/>
      </w:pPr>
      <w:r>
        <w:rPr>
          <w:rFonts w:eastAsia="Times New Roman" w:hint="cs"/>
          <w:rtl/>
        </w:rPr>
        <w:t xml:space="preserve">במסגרת זו, נתתי דעתי לעובדה כי הנאשם הודה במיוחס לו, נטל אחריות מלאה על מעשיו והביא לחיסכון בזמן שיפוטי. כך גם סבורתני, כי כברת הדרך שהוא עבר בפן הטיפולי, ושאודותיה ארחיב בהמשך, מלמדת במידה רבה אודות החרטה שהוא חש בנוגע לביצוע העבירה בפרט, ובנוגע לאורח החיים שאותו הוא ניהל בעבר בכלל. </w:t>
      </w:r>
      <w:r>
        <w:rPr>
          <w:rFonts w:hint="cs"/>
          <w:rtl/>
        </w:rPr>
        <w:t xml:space="preserve">כן נתתי דעתי למצבו הבריאותי של הנאשם, כפי שניתן ללמוד אודותיו מהמסמכים הרפואיים אשר הוגשו בעניינו </w:t>
      </w:r>
      <w:r>
        <w:rPr>
          <w:rFonts w:hint="cs"/>
          <w:b/>
          <w:bCs/>
          <w:rtl/>
        </w:rPr>
        <w:t>(סומן נ/1)</w:t>
      </w:r>
      <w:r>
        <w:rPr>
          <w:rFonts w:hint="cs"/>
          <w:rtl/>
        </w:rPr>
        <w:t>, כאשר אין זה מן הנמנע כי מצב בריאותי זה, עם כל השלכותיו הגופניות, תרם במידה כזו או אחרת לשימור התמכרותו של הנאשם לסם הקנבוס.</w:t>
      </w:r>
    </w:p>
    <w:p w14:paraId="65064466" w14:textId="77777777" w:rsidR="00A7521E" w:rsidRDefault="00A7521E" w:rsidP="00A7521E">
      <w:pPr>
        <w:pStyle w:val="ListParagraph"/>
        <w:ind w:left="-58" w:firstLine="0"/>
        <w:contextualSpacing w:val="0"/>
        <w:rPr>
          <w:rtl/>
        </w:rPr>
      </w:pPr>
      <w:r>
        <w:rPr>
          <w:rFonts w:hint="cs"/>
          <w:rtl/>
        </w:rPr>
        <w:t xml:space="preserve">כן יש להעניק משקל לפרק הזמן שחלף מעת ביצוע העבירה. כאן יצוין, כי לא בספירה הטכנית של חלוף הזמן טמון העיקר, כי אם בעובדה שבמשך פרק זמן זה הנאשם פעל רבות לשם שינוי אורחות חייו ושיקומו, תוך שהשתלב בהליך טיפולי ארוך ואינטנסיבי. למעשה, נדמה כי כיום ניצב בפני בית המשפט "אדם חדש", שונה בתכלית מזה שביצע את העבירה שבמוקד כתב האישום המתוקן (ראו והשוו דבריה של כב' השופטת ד' ברק ארז בפסקה 15 </w:t>
      </w:r>
      <w:r>
        <w:rPr>
          <w:rFonts w:hint="cs"/>
          <w:u w:val="single"/>
          <w:rtl/>
        </w:rPr>
        <w:t>ב</w:t>
      </w:r>
      <w:hyperlink r:id="rId29" w:history="1">
        <w:r w:rsidR="004F21C1" w:rsidRPr="004F21C1">
          <w:rPr>
            <w:rFonts w:hint="cs"/>
            <w:color w:val="0000FF"/>
            <w:u w:val="single"/>
            <w:rtl/>
          </w:rPr>
          <w:t>ע</w:t>
        </w:r>
        <w:r w:rsidR="004F21C1" w:rsidRPr="004F21C1">
          <w:rPr>
            <w:color w:val="0000FF"/>
            <w:u w:val="single"/>
            <w:rtl/>
          </w:rPr>
          <w:t>"</w:t>
        </w:r>
        <w:r w:rsidR="004F21C1" w:rsidRPr="004F21C1">
          <w:rPr>
            <w:rFonts w:hint="cs"/>
            <w:color w:val="0000FF"/>
            <w:u w:val="single"/>
            <w:rtl/>
          </w:rPr>
          <w:t>פ</w:t>
        </w:r>
        <w:r w:rsidR="004F21C1" w:rsidRPr="004F21C1">
          <w:rPr>
            <w:color w:val="0000FF"/>
            <w:u w:val="single"/>
            <w:rtl/>
          </w:rPr>
          <w:t xml:space="preserve"> 111/14</w:t>
        </w:r>
      </w:hyperlink>
      <w:r>
        <w:rPr>
          <w:rFonts w:hint="cs"/>
          <w:rtl/>
        </w:rPr>
        <w:t xml:space="preserve"> </w:t>
      </w:r>
      <w:r>
        <w:rPr>
          <w:rFonts w:hint="cs"/>
          <w:b/>
          <w:bCs/>
          <w:rtl/>
        </w:rPr>
        <w:t>פלוני נ' מדינת ישראל</w:t>
      </w:r>
      <w:r>
        <w:rPr>
          <w:rFonts w:hint="cs"/>
          <w:rtl/>
        </w:rPr>
        <w:t>, (01.04.2014)).</w:t>
      </w:r>
    </w:p>
    <w:p w14:paraId="3C7AF7B6" w14:textId="77777777" w:rsidR="00A7521E" w:rsidRDefault="00A7521E" w:rsidP="00A7521E">
      <w:pPr>
        <w:pStyle w:val="ListParagraph"/>
        <w:ind w:left="-58" w:firstLine="0"/>
        <w:contextualSpacing w:val="0"/>
        <w:rPr>
          <w:rtl/>
        </w:rPr>
      </w:pPr>
      <w:r>
        <w:rPr>
          <w:rFonts w:hint="cs"/>
          <w:rtl/>
        </w:rPr>
        <w:t xml:space="preserve">בנוסף, יש לשקול את העובדה שהנאשם שהה פרק זמן שאיננו מבוטל, כחודש ימים, במעצר מאחורי סורג ובריח, ובמשך פרק זמן ארוך נוסף היה נתון תחת תנאים מגבילים. ברי כי הליך המעצר אינו עונש או "מקדמה על חשבון העונש", אך סבורתני כי היה בהליך זה כדי להעביר לו את המסר הנדרש, וייתכן שאף ניתן לשקול שיקול זה במסגרת </w:t>
      </w:r>
      <w:hyperlink r:id="rId30" w:history="1">
        <w:r w:rsidR="00317E12" w:rsidRPr="00317E12">
          <w:rPr>
            <w:rFonts w:hint="cs"/>
            <w:color w:val="0000FF"/>
            <w:u w:val="single"/>
            <w:rtl/>
          </w:rPr>
          <w:t>סעיף</w:t>
        </w:r>
        <w:r w:rsidR="00317E12" w:rsidRPr="00317E12">
          <w:rPr>
            <w:color w:val="0000FF"/>
            <w:u w:val="single"/>
            <w:rtl/>
          </w:rPr>
          <w:t xml:space="preserve"> 40</w:t>
        </w:r>
        <w:r w:rsidR="00317E12" w:rsidRPr="00317E12">
          <w:rPr>
            <w:rFonts w:hint="cs"/>
            <w:color w:val="0000FF"/>
            <w:u w:val="single"/>
            <w:rtl/>
          </w:rPr>
          <w:t>יא</w:t>
        </w:r>
        <w:r w:rsidR="00317E12" w:rsidRPr="00317E12">
          <w:rPr>
            <w:color w:val="0000FF"/>
            <w:u w:val="single"/>
            <w:rtl/>
          </w:rPr>
          <w:t>(3)</w:t>
        </w:r>
      </w:hyperlink>
      <w:r>
        <w:rPr>
          <w:rFonts w:hint="cs"/>
          <w:rtl/>
        </w:rPr>
        <w:t xml:space="preserve"> ל</w:t>
      </w:r>
      <w:hyperlink r:id="rId31" w:history="1">
        <w:r w:rsidR="004F21C1" w:rsidRPr="004F21C1">
          <w:rPr>
            <w:rFonts w:hint="cs"/>
            <w:color w:val="0000FF"/>
            <w:u w:val="single"/>
            <w:rtl/>
          </w:rPr>
          <w:t>חוק</w:t>
        </w:r>
        <w:r w:rsidR="004F21C1" w:rsidRPr="004F21C1">
          <w:rPr>
            <w:color w:val="0000FF"/>
            <w:u w:val="single"/>
            <w:rtl/>
          </w:rPr>
          <w:t xml:space="preserve"> </w:t>
        </w:r>
        <w:r w:rsidR="004F21C1" w:rsidRPr="004F21C1">
          <w:rPr>
            <w:rFonts w:hint="cs"/>
            <w:color w:val="0000FF"/>
            <w:u w:val="single"/>
            <w:rtl/>
          </w:rPr>
          <w:t>העונשין</w:t>
        </w:r>
      </w:hyperlink>
      <w:r>
        <w:rPr>
          <w:rFonts w:hint="cs"/>
          <w:rtl/>
        </w:rPr>
        <w:t xml:space="preserve">. כמו כן, </w:t>
      </w:r>
      <w:r>
        <w:rPr>
          <w:rFonts w:eastAsia="Times New Roman" w:hint="cs"/>
          <w:rtl/>
        </w:rPr>
        <w:t xml:space="preserve">גם יתר מאפייניו האישיים החיוביים של הנאשם, כפי שהם משתקפים בין היתר מתסקיר שירות המבחן ומהמכתב אשר הוגש מטעם מעסיקו </w:t>
      </w:r>
      <w:r>
        <w:rPr>
          <w:rFonts w:eastAsia="Times New Roman" w:hint="cs"/>
          <w:b/>
          <w:bCs/>
          <w:rtl/>
        </w:rPr>
        <w:t>(סומן נ/3)</w:t>
      </w:r>
      <w:r>
        <w:rPr>
          <w:rFonts w:eastAsia="Times New Roman" w:hint="cs"/>
          <w:rtl/>
        </w:rPr>
        <w:t xml:space="preserve"> נלקחו בחשבון</w:t>
      </w:r>
      <w:r>
        <w:rPr>
          <w:rFonts w:hint="cs"/>
          <w:rtl/>
        </w:rPr>
        <w:t>.</w:t>
      </w:r>
    </w:p>
    <w:p w14:paraId="547DE838" w14:textId="77777777" w:rsidR="00A7521E" w:rsidRDefault="00A7521E" w:rsidP="00A7521E">
      <w:pPr>
        <w:pStyle w:val="ListParagraph"/>
        <w:ind w:left="-58" w:firstLine="0"/>
        <w:contextualSpacing w:val="0"/>
        <w:rPr>
          <w:rtl/>
        </w:rPr>
      </w:pPr>
      <w:r>
        <w:rPr>
          <w:rFonts w:hint="cs"/>
          <w:rtl/>
        </w:rPr>
        <w:t>עוד במסגרת זו, נתתי דעתי לפגיעה שעלולה להיגרם לנאשם אם יושת עליו עונש הכולל רכיב של מאסר בפועל, ולו לריצוי בעבודות שירות. ובייחוד הדברים אמורים בשים לב לאמור בתסקיר שירות המבחן, ולנוכח הערכתו של השירות לפיה השתת ענישה כגון מאסר מאחורי סורג ובריח או לריצוי בעבודות שירות, עלולה לפגוע, בין היתר, בהליך השיקום של הנאשם.</w:t>
      </w:r>
    </w:p>
    <w:p w14:paraId="7D4283C8" w14:textId="77777777" w:rsidR="00A7521E" w:rsidRDefault="00A7521E" w:rsidP="00A7521E">
      <w:pPr>
        <w:pStyle w:val="ListParagraph"/>
        <w:ind w:left="-58" w:firstLine="0"/>
        <w:contextualSpacing w:val="0"/>
        <w:rPr>
          <w:rtl/>
        </w:rPr>
      </w:pPr>
      <w:r>
        <w:rPr>
          <w:rFonts w:eastAsia="Times New Roman" w:hint="cs"/>
          <w:rtl/>
        </w:rPr>
        <w:t>לבסוף, ובכול הנוגע להרשעותיו הקודמות (</w:t>
      </w:r>
      <w:r>
        <w:rPr>
          <w:rFonts w:hint="cs"/>
          <w:rtl/>
        </w:rPr>
        <w:t>בין היתר בעבירות סמים) של הנאשם, אציין כי לא מצאתי להעניק לכך משקל נכבד. ברי כי הרשעות קודמות אלו אינן מוסיפות לנאשם כבוד רב, אך המדובר בהרשעות ישנות מאוד, שאף התיישנו זה מכבר (אך לא נמחקו), כאשר האחרונה שבהן ניתנה לפני למעלה מעשור, בשנת 2005.</w:t>
      </w:r>
    </w:p>
    <w:p w14:paraId="7BC68EE2" w14:textId="77777777" w:rsidR="00A7521E" w:rsidRDefault="00A7521E" w:rsidP="00A7521E">
      <w:pPr>
        <w:pStyle w:val="ListParagraph"/>
        <w:numPr>
          <w:ilvl w:val="0"/>
          <w:numId w:val="2"/>
        </w:numPr>
        <w:ind w:left="-58"/>
        <w:contextualSpacing w:val="0"/>
        <w:rPr>
          <w:rtl/>
        </w:rPr>
      </w:pPr>
      <w:r>
        <w:rPr>
          <w:rFonts w:hint="cs"/>
          <w:rtl/>
        </w:rPr>
        <w:t xml:space="preserve">כל אלה, על פניו, היו צריכים להביא את בית המשפט למסקנה כי יש לגזור את עונשו של הנאשם ברף התחתון של מתחם העונש ההולם. אולם, בשים לב לאמור </w:t>
      </w:r>
      <w:hyperlink r:id="rId32" w:history="1">
        <w:r w:rsidR="00317E12" w:rsidRPr="00317E12">
          <w:rPr>
            <w:rFonts w:hint="cs"/>
            <w:color w:val="0000FF"/>
            <w:u w:val="single"/>
            <w:rtl/>
          </w:rPr>
          <w:t>בסעיף</w:t>
        </w:r>
        <w:r w:rsidR="00317E12" w:rsidRPr="00317E12">
          <w:rPr>
            <w:color w:val="0000FF"/>
            <w:u w:val="single"/>
            <w:rtl/>
          </w:rPr>
          <w:t xml:space="preserve"> 40</w:t>
        </w:r>
        <w:r w:rsidR="00317E12" w:rsidRPr="00317E12">
          <w:rPr>
            <w:rFonts w:hint="cs"/>
            <w:color w:val="0000FF"/>
            <w:u w:val="single"/>
            <w:rtl/>
          </w:rPr>
          <w:t>ד</w:t>
        </w:r>
        <w:r w:rsidR="00317E12" w:rsidRPr="00317E12">
          <w:rPr>
            <w:color w:val="0000FF"/>
            <w:u w:val="single"/>
            <w:rtl/>
          </w:rPr>
          <w:t>(</w:t>
        </w:r>
        <w:r w:rsidR="00317E12" w:rsidRPr="00317E12">
          <w:rPr>
            <w:rFonts w:hint="cs"/>
            <w:color w:val="0000FF"/>
            <w:u w:val="single"/>
            <w:rtl/>
          </w:rPr>
          <w:t>א</w:t>
        </w:r>
        <w:r w:rsidR="00317E12" w:rsidRPr="00317E12">
          <w:rPr>
            <w:color w:val="0000FF"/>
            <w:u w:val="single"/>
            <w:rtl/>
          </w:rPr>
          <w:t>)</w:t>
        </w:r>
      </w:hyperlink>
      <w:r>
        <w:rPr>
          <w:rFonts w:hint="cs"/>
          <w:rtl/>
        </w:rPr>
        <w:t xml:space="preserve"> ל</w:t>
      </w:r>
      <w:hyperlink r:id="rId33" w:history="1">
        <w:r w:rsidR="004F21C1" w:rsidRPr="004F21C1">
          <w:rPr>
            <w:rFonts w:hint="cs"/>
            <w:color w:val="0000FF"/>
            <w:u w:val="single"/>
            <w:rtl/>
          </w:rPr>
          <w:t>חוק</w:t>
        </w:r>
        <w:r w:rsidR="004F21C1" w:rsidRPr="004F21C1">
          <w:rPr>
            <w:color w:val="0000FF"/>
            <w:u w:val="single"/>
            <w:rtl/>
          </w:rPr>
          <w:t xml:space="preserve"> </w:t>
        </w:r>
        <w:r w:rsidR="004F21C1" w:rsidRPr="004F21C1">
          <w:rPr>
            <w:rFonts w:hint="cs"/>
            <w:color w:val="0000FF"/>
            <w:u w:val="single"/>
            <w:rtl/>
          </w:rPr>
          <w:t>העונשין</w:t>
        </w:r>
      </w:hyperlink>
      <w:r>
        <w:rPr>
          <w:rFonts w:hint="cs"/>
          <w:rtl/>
        </w:rPr>
        <w:t xml:space="preserve">, שוכנעתי כי יש מקום במקרה הנדון לסטות לקולא מהמתחם האמור, כהמלצת שירות המבחן, וזאת לנוכח ההליך השיקומי הארוך והאינטנסיבי שאותו עבר הנאשם ואשר יש בו כדי להעיד על כך שהוא השתקם או לכל הפחות כי ישנו סיכוי של ממש שישתקם. למעשה, נדמה כי </w:t>
      </w:r>
      <w:hyperlink r:id="rId34" w:history="1">
        <w:r w:rsidR="00317E12" w:rsidRPr="00317E12">
          <w:rPr>
            <w:rFonts w:hint="cs"/>
            <w:color w:val="0000FF"/>
            <w:u w:val="single"/>
            <w:rtl/>
          </w:rPr>
          <w:t>סעיף</w:t>
        </w:r>
        <w:r w:rsidR="00317E12" w:rsidRPr="00317E12">
          <w:rPr>
            <w:color w:val="0000FF"/>
            <w:u w:val="single"/>
            <w:rtl/>
          </w:rPr>
          <w:t xml:space="preserve"> 40</w:t>
        </w:r>
        <w:r w:rsidR="00317E12" w:rsidRPr="00317E12">
          <w:rPr>
            <w:rFonts w:hint="cs"/>
            <w:color w:val="0000FF"/>
            <w:u w:val="single"/>
            <w:rtl/>
          </w:rPr>
          <w:t>ד</w:t>
        </w:r>
        <w:r w:rsidR="00317E12" w:rsidRPr="00317E12">
          <w:rPr>
            <w:color w:val="0000FF"/>
            <w:u w:val="single"/>
            <w:rtl/>
          </w:rPr>
          <w:t>(</w:t>
        </w:r>
        <w:r w:rsidR="00317E12" w:rsidRPr="00317E12">
          <w:rPr>
            <w:rFonts w:hint="cs"/>
            <w:color w:val="0000FF"/>
            <w:u w:val="single"/>
            <w:rtl/>
          </w:rPr>
          <w:t>א</w:t>
        </w:r>
        <w:r w:rsidR="00317E12" w:rsidRPr="00317E12">
          <w:rPr>
            <w:color w:val="0000FF"/>
            <w:u w:val="single"/>
            <w:rtl/>
          </w:rPr>
          <w:t>)</w:t>
        </w:r>
      </w:hyperlink>
      <w:r>
        <w:rPr>
          <w:rFonts w:hint="cs"/>
          <w:rtl/>
        </w:rPr>
        <w:t xml:space="preserve"> ל</w:t>
      </w:r>
      <w:hyperlink r:id="rId35" w:history="1">
        <w:r w:rsidR="004F21C1" w:rsidRPr="004F21C1">
          <w:rPr>
            <w:rFonts w:hint="cs"/>
            <w:color w:val="0000FF"/>
            <w:u w:val="single"/>
            <w:rtl/>
          </w:rPr>
          <w:t>חוק</w:t>
        </w:r>
        <w:r w:rsidR="004F21C1" w:rsidRPr="004F21C1">
          <w:rPr>
            <w:color w:val="0000FF"/>
            <w:u w:val="single"/>
            <w:rtl/>
          </w:rPr>
          <w:t xml:space="preserve"> </w:t>
        </w:r>
        <w:r w:rsidR="004F21C1" w:rsidRPr="004F21C1">
          <w:rPr>
            <w:rFonts w:hint="cs"/>
            <w:color w:val="0000FF"/>
            <w:u w:val="single"/>
            <w:rtl/>
          </w:rPr>
          <w:t>העונשין</w:t>
        </w:r>
      </w:hyperlink>
      <w:r>
        <w:rPr>
          <w:rFonts w:hint="cs"/>
          <w:rtl/>
        </w:rPr>
        <w:t xml:space="preserve"> נועד כל כולו למקרים כגון זה שבפניי, בהם אדם שבמשך שנים רבות היה מכור באופן קשה לסמים וביצע על רקע זה עבירות רבות, הצליח להשתקם ולהיגמל מהשימוש בסם, והעמיד את חייו על מסלול נורמטיבי של אזרח שומר חוק ויצרני. ובמה דברים אמורים?</w:t>
      </w:r>
    </w:p>
    <w:p w14:paraId="0B645E6E" w14:textId="77777777" w:rsidR="00A7521E" w:rsidRDefault="00A7521E" w:rsidP="00A7521E">
      <w:pPr>
        <w:pStyle w:val="ListParagraph"/>
        <w:ind w:left="-58" w:firstLine="0"/>
        <w:contextualSpacing w:val="0"/>
      </w:pPr>
      <w:r>
        <w:rPr>
          <w:rFonts w:hint="cs"/>
          <w:rtl/>
        </w:rPr>
        <w:t>מתסקיר שירות המבחן עולה כי במסגרת הליך המעצר הועמד הנאשם בצו פיקוח מעצר והופנה עוד בחודש ינואר 2016 ליחידה לטיפול בהתמכרויות. במסגרת זו, תחילה השתתף הנאשם בשיחות פרטניות עם עו"ס היחידה ובהמשך הופנה למרכז לטיפול במכורים. שם, בשלב הראשון הנאשם השתתף בשיחות פרטניות ובמפגשים קבוצתיים, וביצע באופן שוטף בדיקות שתן לגילוי שרידי סם. בהמשך, עבר הנאשם לשלב השני בתכנית, ומאז חודש ספטמבר 2016 הוא משתתף בטיפול על בסיס יומי, תוך שהוא מקפיד להגיע בזמן לכל המפגשים, יום ביומו, מביע מוטיבציה גבוהה לבצע שינוי באורח חייו ההתמכרותי ולהבין את דפוסי התנהגותו, משתף בקשייו ובעולמו הפנימי, מבקש הדרכה והכוונה, וכמובן שומר כל העת על ניקיונו מסמים. במהלך הטיפול ובמקביל אליו, הנאשם אף החל לעבוד בשתי עבודות שונות.</w:t>
      </w:r>
    </w:p>
    <w:p w14:paraId="24874BD9" w14:textId="77777777" w:rsidR="00A7521E" w:rsidRDefault="00A7521E" w:rsidP="00A7521E">
      <w:pPr>
        <w:pStyle w:val="ListParagraph"/>
        <w:ind w:left="-58" w:firstLine="0"/>
        <w:contextualSpacing w:val="0"/>
        <w:rPr>
          <w:rtl/>
        </w:rPr>
      </w:pPr>
      <w:r>
        <w:rPr>
          <w:rFonts w:hint="cs"/>
          <w:rtl/>
        </w:rPr>
        <w:t xml:space="preserve">יוצא אפוא, כי עסקינן בנאשם שעבר מהפך מוחלט בחייו: מנער ומתבגר המכור לסמים, שמבצע במשך השנים עבירות שונות, ובהן גם עבירות סמים- לאדם שאינו משתמש עוד בסמים, שומר חוק ומשולב בשוק התעסוקה. למעשה, הנאשם שם במרכז חייו את המטרה להיגמל משימוש בסמים, ובמשך תקופה ארוכה, כשנה וארבעה חודשים, פעל והקדיש את כל כולו לשׁם הגשמתה, תוך הקרבת קורבן עצמי לא מבוטל. </w:t>
      </w:r>
      <w:r>
        <w:rPr>
          <w:rFonts w:eastAsia="Times New Roman" w:hint="cs"/>
          <w:rtl/>
        </w:rPr>
        <w:t>אכן ייתכן כי עוד מצפה לנאשם דרך ארוכה עד לגמילתו הסופית משימוש בסמים ושיקומו באופן מלא. אולם, כבר בשלב הזה בהחלט ניתן לומר כי אין עסקינן ב"ניצני שיקום" או בשיקום ראשוני בלבד, אלא שהנאשם עבר זה מכבר כברת דרך ארוכה ביותר, ולא בכדי גם שירות המבחן העריך כי ההליך השיקומי שבו הוא השתתף מצמצם את הסיכון להישנות התנהגות עוברת חוק מצדו.</w:t>
      </w:r>
    </w:p>
    <w:p w14:paraId="75758BE9" w14:textId="77777777" w:rsidR="00A7521E" w:rsidRDefault="00A7521E" w:rsidP="00A7521E">
      <w:pPr>
        <w:pStyle w:val="ListParagraph"/>
        <w:ind w:left="-58" w:firstLine="0"/>
        <w:contextualSpacing w:val="0"/>
        <w:rPr>
          <w:rtl/>
        </w:rPr>
      </w:pPr>
      <w:r>
        <w:rPr>
          <w:rFonts w:hint="cs"/>
          <w:rtl/>
        </w:rPr>
        <w:t xml:space="preserve">זאת ועוד, בשיקומו של הנאשם אף קיים רובד נוסף, שעניינו בהירתמותה של רעייתו להליך השיקום. וכך, כפי שעולה מתסקיר שירות המבחן ומהמכתב שהתקבל מטעם היחידה לטיפול בהתמכרויות </w:t>
      </w:r>
      <w:r>
        <w:rPr>
          <w:rFonts w:hint="cs"/>
          <w:b/>
          <w:bCs/>
          <w:rtl/>
        </w:rPr>
        <w:t>(סומן נ/4)</w:t>
      </w:r>
      <w:r>
        <w:rPr>
          <w:rFonts w:hint="cs"/>
          <w:rtl/>
        </w:rPr>
        <w:t xml:space="preserve">, גם רעייתו של הנאשם נוטלת חלק פעיל בהליך שיקומו של הנאשם, ובמסגרת זו השתלבה בקבוצת נשות מכורים, הפועלת במסגרת היחידה. מאז השתלבותה בהליך האמור, הקפידה רעייתו של הנאשם להגיע לכל המפגשים, גילתה אחריות ומוטיבציה ורכשה מודעות לבעיית ההתמכרות של הנאשם והשלכותיה. גם בהירתמות זו של רעייתו, יש כדי להעצים את פוטנציאל השיקום של הנאשם (ראו בעניין זה </w:t>
      </w:r>
      <w:hyperlink r:id="rId36" w:history="1">
        <w:r w:rsidR="004F21C1" w:rsidRPr="004F21C1">
          <w:rPr>
            <w:rFonts w:hint="cs"/>
            <w:color w:val="0000FF"/>
            <w:u w:val="single"/>
            <w:rtl/>
          </w:rPr>
          <w:t>רע</w:t>
        </w:r>
        <w:r w:rsidR="004F21C1" w:rsidRPr="004F21C1">
          <w:rPr>
            <w:color w:val="0000FF"/>
            <w:u w:val="single"/>
            <w:rtl/>
          </w:rPr>
          <w:t>"</w:t>
        </w:r>
        <w:r w:rsidR="004F21C1" w:rsidRPr="004F21C1">
          <w:rPr>
            <w:rFonts w:hint="cs"/>
            <w:color w:val="0000FF"/>
            <w:u w:val="single"/>
            <w:rtl/>
          </w:rPr>
          <w:t>פ</w:t>
        </w:r>
        <w:r w:rsidR="004F21C1" w:rsidRPr="004F21C1">
          <w:rPr>
            <w:color w:val="0000FF"/>
            <w:u w:val="single"/>
            <w:rtl/>
          </w:rPr>
          <w:t xml:space="preserve"> 7683/13</w:t>
        </w:r>
      </w:hyperlink>
      <w:r>
        <w:rPr>
          <w:rFonts w:hint="cs"/>
          <w:rtl/>
        </w:rPr>
        <w:t xml:space="preserve"> </w:t>
      </w:r>
      <w:r>
        <w:rPr>
          <w:rFonts w:hint="cs"/>
          <w:b/>
          <w:bCs/>
          <w:rtl/>
        </w:rPr>
        <w:t>דויד פרלמן נ' מדינת ישראל</w:t>
      </w:r>
      <w:r>
        <w:rPr>
          <w:rFonts w:hint="cs"/>
          <w:rtl/>
        </w:rPr>
        <w:t>, (23.02.2014)).</w:t>
      </w:r>
    </w:p>
    <w:p w14:paraId="39855FCF" w14:textId="77777777" w:rsidR="00A7521E" w:rsidRDefault="00A7521E" w:rsidP="00A7521E">
      <w:pPr>
        <w:pStyle w:val="ListParagraph"/>
        <w:numPr>
          <w:ilvl w:val="0"/>
          <w:numId w:val="2"/>
        </w:numPr>
        <w:ind w:left="-58"/>
        <w:contextualSpacing w:val="0"/>
        <w:rPr>
          <w:rFonts w:eastAsia="Times New Roman"/>
          <w:rtl/>
        </w:rPr>
      </w:pPr>
      <w:r>
        <w:rPr>
          <w:rFonts w:eastAsia="Times New Roman" w:hint="cs"/>
          <w:rtl/>
        </w:rPr>
        <w:t xml:space="preserve">עוד אציין, כי לא התעלמתי מהפסיקה אשר הוגשה לעיוני מטעמם של הצדדים. אולם, </w:t>
      </w:r>
      <w:r>
        <w:rPr>
          <w:rFonts w:hint="cs"/>
          <w:rtl/>
        </w:rPr>
        <w:t xml:space="preserve">וזאת חשוב להדגיש, כי הענישה היא לעולם אינדיווידואלית וכל מקרה צריך להיבחן לגופו. אכן ניתן למצוא פסקי דין שבהם בתי המשפט </w:t>
      </w:r>
      <w:r>
        <w:rPr>
          <w:rFonts w:eastAsia="Times New Roman" w:hint="cs"/>
          <w:rtl/>
        </w:rPr>
        <w:t xml:space="preserve">השיתו על הנאשמים שהורשעו בעבירה של גידול סם (בין אם לצד עבירות נלוות ובין אם לאו) עונשי מאסר בפועל לתקופות ארוכות. אולם מנגד, ניתן גם למצוא מקרים שבהם בחרו בתי המשפט השונים, ובכללם גם מותב זה (ראו למשל </w:t>
      </w:r>
      <w:hyperlink r:id="rId37" w:history="1">
        <w:r w:rsidR="004F21C1" w:rsidRPr="004F21C1">
          <w:rPr>
            <w:rFonts w:eastAsia="Times New Roman" w:hint="eastAsia"/>
            <w:color w:val="0000FF"/>
            <w:u w:val="single"/>
            <w:rtl/>
          </w:rPr>
          <w:t>ת</w:t>
        </w:r>
        <w:r w:rsidR="004F21C1" w:rsidRPr="004F21C1">
          <w:rPr>
            <w:rFonts w:eastAsia="Times New Roman"/>
            <w:color w:val="0000FF"/>
            <w:u w:val="single"/>
            <w:rtl/>
          </w:rPr>
          <w:t>"</w:t>
        </w:r>
        <w:r w:rsidR="004F21C1" w:rsidRPr="004F21C1">
          <w:rPr>
            <w:rFonts w:eastAsia="Times New Roman" w:hint="eastAsia"/>
            <w:color w:val="0000FF"/>
            <w:u w:val="single"/>
            <w:rtl/>
          </w:rPr>
          <w:t>פ</w:t>
        </w:r>
        <w:r w:rsidR="004F21C1" w:rsidRPr="004F21C1">
          <w:rPr>
            <w:rFonts w:eastAsia="Times New Roman"/>
            <w:color w:val="0000FF"/>
            <w:u w:val="single"/>
            <w:rtl/>
          </w:rPr>
          <w:t xml:space="preserve"> (</w:t>
        </w:r>
        <w:r w:rsidR="004F21C1" w:rsidRPr="004F21C1">
          <w:rPr>
            <w:rFonts w:eastAsia="Times New Roman" w:hint="eastAsia"/>
            <w:color w:val="0000FF"/>
            <w:u w:val="single"/>
            <w:rtl/>
          </w:rPr>
          <w:t>שלום</w:t>
        </w:r>
        <w:r w:rsidR="004F21C1" w:rsidRPr="004F21C1">
          <w:rPr>
            <w:rFonts w:eastAsia="Times New Roman"/>
            <w:color w:val="0000FF"/>
            <w:u w:val="single"/>
            <w:rtl/>
          </w:rPr>
          <w:t xml:space="preserve"> </w:t>
        </w:r>
        <w:r w:rsidR="004F21C1" w:rsidRPr="004F21C1">
          <w:rPr>
            <w:rFonts w:eastAsia="Times New Roman" w:hint="eastAsia"/>
            <w:color w:val="0000FF"/>
            <w:u w:val="single"/>
            <w:rtl/>
          </w:rPr>
          <w:t>קריית</w:t>
        </w:r>
        <w:r w:rsidR="004F21C1" w:rsidRPr="004F21C1">
          <w:rPr>
            <w:rFonts w:eastAsia="Times New Roman"/>
            <w:color w:val="0000FF"/>
            <w:u w:val="single"/>
            <w:rtl/>
          </w:rPr>
          <w:t xml:space="preserve"> </w:t>
        </w:r>
        <w:r w:rsidR="004F21C1" w:rsidRPr="004F21C1">
          <w:rPr>
            <w:rFonts w:eastAsia="Times New Roman" w:hint="eastAsia"/>
            <w:color w:val="0000FF"/>
            <w:u w:val="single"/>
            <w:rtl/>
          </w:rPr>
          <w:t>גת</w:t>
        </w:r>
        <w:r w:rsidR="004F21C1" w:rsidRPr="004F21C1">
          <w:rPr>
            <w:rFonts w:eastAsia="Times New Roman"/>
            <w:color w:val="0000FF"/>
            <w:u w:val="single"/>
            <w:rtl/>
          </w:rPr>
          <w:t>) 53716-03-15</w:t>
        </w:r>
      </w:hyperlink>
      <w:r>
        <w:rPr>
          <w:rFonts w:eastAsia="Times New Roman" w:hint="cs"/>
          <w:rtl/>
        </w:rPr>
        <w:t xml:space="preserve"> </w:t>
      </w:r>
      <w:r>
        <w:rPr>
          <w:rFonts w:eastAsia="Times New Roman" w:hint="cs"/>
          <w:b/>
          <w:bCs/>
          <w:rtl/>
        </w:rPr>
        <w:t>מדינת ישראל נ' ירון זגורי</w:t>
      </w:r>
      <w:r>
        <w:rPr>
          <w:rFonts w:eastAsia="Times New Roman" w:hint="cs"/>
          <w:rtl/>
        </w:rPr>
        <w:t>, (05.04.2016)), לבכר את שיקול השיקום ונמנעו מלהשית על הנאשמים רכיב של מאסר בפועל, ולו לריצוי בעבודות שירות, ולעיתים אף נמנעו מהרשעתם (וזאת גם במקרים בהם דובר בגידול סמים במשקלים גבוהים מהמשקל שגידל הנאשם שבפניי).</w:t>
      </w:r>
    </w:p>
    <w:p w14:paraId="4CB94CE8" w14:textId="77777777" w:rsidR="00A7521E" w:rsidRDefault="00A7521E" w:rsidP="00A7521E">
      <w:pPr>
        <w:pStyle w:val="ListParagraph"/>
        <w:ind w:left="-58" w:firstLine="0"/>
        <w:contextualSpacing w:val="0"/>
        <w:rPr>
          <w:rFonts w:eastAsia="Times New Roman"/>
        </w:rPr>
      </w:pPr>
      <w:r>
        <w:rPr>
          <w:rFonts w:eastAsia="Times New Roman" w:hint="cs"/>
          <w:rtl/>
        </w:rPr>
        <w:t xml:space="preserve">כך למשל, </w:t>
      </w:r>
      <w:r>
        <w:rPr>
          <w:rFonts w:hint="cs"/>
          <w:u w:val="single"/>
          <w:rtl/>
        </w:rPr>
        <w:t>ב</w:t>
      </w:r>
      <w:hyperlink r:id="rId38" w:history="1">
        <w:r w:rsidR="004F21C1" w:rsidRPr="004F21C1">
          <w:rPr>
            <w:rFonts w:hint="cs"/>
            <w:color w:val="0000FF"/>
            <w:u w:val="single"/>
            <w:rtl/>
          </w:rPr>
          <w:t>עפ</w:t>
        </w:r>
        <w:r w:rsidR="004F21C1" w:rsidRPr="004F21C1">
          <w:rPr>
            <w:color w:val="0000FF"/>
            <w:u w:val="single"/>
            <w:rtl/>
          </w:rPr>
          <w:t>"</w:t>
        </w:r>
        <w:r w:rsidR="004F21C1" w:rsidRPr="004F21C1">
          <w:rPr>
            <w:rFonts w:hint="cs"/>
            <w:color w:val="0000FF"/>
            <w:u w:val="single"/>
            <w:rtl/>
          </w:rPr>
          <w:t>ג</w:t>
        </w:r>
        <w:r w:rsidR="004F21C1" w:rsidRPr="004F21C1">
          <w:rPr>
            <w:color w:val="0000FF"/>
            <w:u w:val="single"/>
            <w:rtl/>
          </w:rPr>
          <w:t xml:space="preserve"> (</w:t>
        </w:r>
        <w:r w:rsidR="004F21C1" w:rsidRPr="004F21C1">
          <w:rPr>
            <w:rFonts w:hint="cs"/>
            <w:color w:val="0000FF"/>
            <w:u w:val="single"/>
            <w:rtl/>
          </w:rPr>
          <w:t>מחוזי</w:t>
        </w:r>
        <w:r w:rsidR="004F21C1" w:rsidRPr="004F21C1">
          <w:rPr>
            <w:color w:val="0000FF"/>
            <w:u w:val="single"/>
            <w:rtl/>
          </w:rPr>
          <w:t xml:space="preserve"> </w:t>
        </w:r>
        <w:r w:rsidR="004F21C1" w:rsidRPr="004F21C1">
          <w:rPr>
            <w:rFonts w:hint="cs"/>
            <w:color w:val="0000FF"/>
            <w:u w:val="single"/>
            <w:rtl/>
          </w:rPr>
          <w:t>חיפה</w:t>
        </w:r>
        <w:r w:rsidR="004F21C1" w:rsidRPr="004F21C1">
          <w:rPr>
            <w:color w:val="0000FF"/>
            <w:u w:val="single"/>
            <w:rtl/>
          </w:rPr>
          <w:t>) 28110-10-15</w:t>
        </w:r>
      </w:hyperlink>
      <w:r>
        <w:rPr>
          <w:rFonts w:hint="cs"/>
          <w:rtl/>
        </w:rPr>
        <w:t xml:space="preserve"> </w:t>
      </w:r>
      <w:r>
        <w:rPr>
          <w:rFonts w:hint="cs"/>
          <w:b/>
          <w:bCs/>
          <w:rtl/>
        </w:rPr>
        <w:t>מדינת ישראל נגד עידן דוד</w:t>
      </w:r>
      <w:r>
        <w:rPr>
          <w:rFonts w:hint="cs"/>
          <w:rtl/>
        </w:rPr>
        <w:t xml:space="preserve">, (17.12.2015), דובר בנאשם אשר הורשע על יסוד הודאתו בעבירה של גידול סמים, בכך שבדירה שבחזקתו נמצא הוא ונאשם נוסף, מגדלים בצוותא סם מסוכן מסוג קנאביס </w:t>
      </w:r>
      <w:r>
        <w:rPr>
          <w:rFonts w:hint="cs"/>
          <w:b/>
          <w:bCs/>
          <w:rtl/>
        </w:rPr>
        <w:t>במשקל נטו של 3,600 גרם</w:t>
      </w:r>
      <w:r>
        <w:rPr>
          <w:rFonts w:hint="cs"/>
          <w:rtl/>
        </w:rPr>
        <w:t xml:space="preserve">. השניים גידלו את הסם ב-21 שתילים, בתוך עציצים וכדים, בתוך מעבדת סמים. בית משפט השלום קבע כי מתחם העונש ההולם במקרה הנדון נע בין 6 חודשי מאסר שיכול שירוצו בעבודות שירות לבין 12 חודשי מאסר בפועל. אולם, לאור נסיבותיו של הנאשם ולאחר שהשתכנע כי הנאשם גידל את הסם לשימושו העצמי, </w:t>
      </w:r>
      <w:r>
        <w:rPr>
          <w:rFonts w:hint="cs"/>
          <w:b/>
          <w:bCs/>
          <w:rtl/>
        </w:rPr>
        <w:t>נמנע מהרשעתו</w:t>
      </w:r>
      <w:r>
        <w:rPr>
          <w:rFonts w:hint="cs"/>
          <w:rtl/>
        </w:rPr>
        <w:t xml:space="preserve"> והשית עליו צו של"צ וענישה נלווית. בית המשפט המחוזי דחה את ערעורה של המדינה בעניין ההרשעה, תוך שציין כי הגיע לתוצאה האמורה, מבלי להקל</w:t>
      </w:r>
      <w:r>
        <w:rPr>
          <w:rFonts w:hint="cs"/>
        </w:rPr>
        <w:t xml:space="preserve"> </w:t>
      </w:r>
      <w:r>
        <w:rPr>
          <w:rFonts w:hint="cs"/>
          <w:rtl/>
        </w:rPr>
        <w:t>ראש</w:t>
      </w:r>
      <w:r>
        <w:rPr>
          <w:rFonts w:hint="cs"/>
        </w:rPr>
        <w:t xml:space="preserve"> </w:t>
      </w:r>
      <w:r>
        <w:rPr>
          <w:rFonts w:hint="cs"/>
          <w:rtl/>
        </w:rPr>
        <w:t>בחומרת</w:t>
      </w:r>
      <w:r>
        <w:rPr>
          <w:rFonts w:hint="cs"/>
        </w:rPr>
        <w:t xml:space="preserve"> </w:t>
      </w:r>
      <w:r>
        <w:rPr>
          <w:rFonts w:hint="cs"/>
          <w:rtl/>
        </w:rPr>
        <w:t>העבירה, לאור</w:t>
      </w:r>
      <w:r>
        <w:rPr>
          <w:rFonts w:hint="cs"/>
        </w:rPr>
        <w:t xml:space="preserve"> </w:t>
      </w:r>
      <w:r>
        <w:rPr>
          <w:rFonts w:hint="cs"/>
          <w:rtl/>
        </w:rPr>
        <w:t>האמור</w:t>
      </w:r>
      <w:r>
        <w:rPr>
          <w:rFonts w:hint="cs"/>
        </w:rPr>
        <w:t xml:space="preserve"> </w:t>
      </w:r>
      <w:r>
        <w:rPr>
          <w:rFonts w:hint="cs"/>
          <w:rtl/>
        </w:rPr>
        <w:t>בתסקיר</w:t>
      </w:r>
      <w:r>
        <w:rPr>
          <w:rFonts w:hint="cs"/>
        </w:rPr>
        <w:t xml:space="preserve"> </w:t>
      </w:r>
      <w:r>
        <w:rPr>
          <w:rFonts w:hint="cs"/>
          <w:rtl/>
        </w:rPr>
        <w:t>שירות</w:t>
      </w:r>
      <w:r>
        <w:rPr>
          <w:rFonts w:hint="cs"/>
        </w:rPr>
        <w:t xml:space="preserve"> </w:t>
      </w:r>
      <w:r>
        <w:rPr>
          <w:rFonts w:hint="cs"/>
          <w:rtl/>
        </w:rPr>
        <w:t>המבחן,</w:t>
      </w:r>
      <w:r>
        <w:rPr>
          <w:rFonts w:hint="cs"/>
        </w:rPr>
        <w:t xml:space="preserve"> </w:t>
      </w:r>
      <w:r>
        <w:rPr>
          <w:rFonts w:hint="cs"/>
          <w:rtl/>
        </w:rPr>
        <w:t>שיקומו</w:t>
      </w:r>
      <w:r>
        <w:rPr>
          <w:rFonts w:hint="cs"/>
        </w:rPr>
        <w:t xml:space="preserve"> </w:t>
      </w:r>
      <w:r>
        <w:rPr>
          <w:rFonts w:hint="cs"/>
          <w:rtl/>
        </w:rPr>
        <w:t>ואפשרות</w:t>
      </w:r>
      <w:r>
        <w:rPr>
          <w:rFonts w:hint="cs"/>
        </w:rPr>
        <w:t xml:space="preserve"> </w:t>
      </w:r>
      <w:r>
        <w:rPr>
          <w:rFonts w:hint="cs"/>
          <w:rtl/>
        </w:rPr>
        <w:t>הפגיעה</w:t>
      </w:r>
      <w:r>
        <w:rPr>
          <w:rFonts w:hint="cs"/>
        </w:rPr>
        <w:t xml:space="preserve"> </w:t>
      </w:r>
      <w:r>
        <w:rPr>
          <w:rFonts w:hint="cs"/>
          <w:rtl/>
        </w:rPr>
        <w:t>הממשית</w:t>
      </w:r>
      <w:r>
        <w:rPr>
          <w:rFonts w:hint="cs"/>
        </w:rPr>
        <w:t xml:space="preserve"> </w:t>
      </w:r>
      <w:r>
        <w:rPr>
          <w:rFonts w:hint="cs"/>
          <w:rtl/>
        </w:rPr>
        <w:t>בסיכוייו</w:t>
      </w:r>
      <w:r>
        <w:rPr>
          <w:rFonts w:hint="cs"/>
        </w:rPr>
        <w:t xml:space="preserve"> </w:t>
      </w:r>
      <w:r>
        <w:rPr>
          <w:rFonts w:hint="cs"/>
          <w:rtl/>
        </w:rPr>
        <w:t>לחזור</w:t>
      </w:r>
      <w:r>
        <w:rPr>
          <w:rFonts w:hint="cs"/>
        </w:rPr>
        <w:t xml:space="preserve"> </w:t>
      </w:r>
      <w:r>
        <w:rPr>
          <w:rFonts w:hint="cs"/>
          <w:rtl/>
        </w:rPr>
        <w:t>לעבוד</w:t>
      </w:r>
      <w:r>
        <w:rPr>
          <w:rFonts w:hint="cs"/>
        </w:rPr>
        <w:t xml:space="preserve"> </w:t>
      </w:r>
      <w:r>
        <w:rPr>
          <w:rFonts w:hint="cs"/>
          <w:rtl/>
        </w:rPr>
        <w:t>בנמל</w:t>
      </w:r>
      <w:r>
        <w:rPr>
          <w:rFonts w:hint="cs"/>
        </w:rPr>
        <w:t xml:space="preserve"> </w:t>
      </w:r>
      <w:r>
        <w:rPr>
          <w:rFonts w:hint="cs"/>
          <w:rtl/>
        </w:rPr>
        <w:t>חיפה</w:t>
      </w:r>
      <w:r>
        <w:rPr>
          <w:rFonts w:hint="cs"/>
        </w:rPr>
        <w:t xml:space="preserve"> </w:t>
      </w:r>
      <w:r>
        <w:rPr>
          <w:rFonts w:hint="cs"/>
          <w:rtl/>
        </w:rPr>
        <w:t>ככל</w:t>
      </w:r>
      <w:r>
        <w:rPr>
          <w:rFonts w:hint="cs"/>
        </w:rPr>
        <w:t xml:space="preserve"> </w:t>
      </w:r>
      <w:r>
        <w:rPr>
          <w:rFonts w:hint="cs"/>
          <w:rtl/>
        </w:rPr>
        <w:t>שיורשע</w:t>
      </w:r>
      <w:r>
        <w:rPr>
          <w:rFonts w:eastAsia="Times New Roman" w:hint="cs"/>
          <w:rtl/>
        </w:rPr>
        <w:t>.</w:t>
      </w:r>
    </w:p>
    <w:p w14:paraId="7BC84FC5" w14:textId="77777777" w:rsidR="00A7521E" w:rsidRDefault="00A7521E" w:rsidP="00A7521E">
      <w:pPr>
        <w:pStyle w:val="ListParagraph"/>
        <w:ind w:left="-58" w:firstLine="0"/>
        <w:contextualSpacing w:val="0"/>
        <w:rPr>
          <w:rFonts w:eastAsia="Times New Roman"/>
          <w:rtl/>
        </w:rPr>
      </w:pPr>
      <w:r>
        <w:rPr>
          <w:rFonts w:hint="cs"/>
          <w:u w:val="single"/>
          <w:rtl/>
        </w:rPr>
        <w:t>ב</w:t>
      </w:r>
      <w:hyperlink r:id="rId39" w:history="1">
        <w:r w:rsidR="004F21C1" w:rsidRPr="004F21C1">
          <w:rPr>
            <w:rFonts w:hint="cs"/>
            <w:color w:val="0000FF"/>
            <w:u w:val="single"/>
            <w:rtl/>
          </w:rPr>
          <w:t>עפ</w:t>
        </w:r>
        <w:r w:rsidR="004F21C1" w:rsidRPr="004F21C1">
          <w:rPr>
            <w:color w:val="0000FF"/>
            <w:u w:val="single"/>
            <w:rtl/>
          </w:rPr>
          <w:t>"</w:t>
        </w:r>
        <w:r w:rsidR="004F21C1" w:rsidRPr="004F21C1">
          <w:rPr>
            <w:rFonts w:hint="cs"/>
            <w:color w:val="0000FF"/>
            <w:u w:val="single"/>
            <w:rtl/>
          </w:rPr>
          <w:t>ג</w:t>
        </w:r>
        <w:r w:rsidR="004F21C1" w:rsidRPr="004F21C1">
          <w:rPr>
            <w:color w:val="0000FF"/>
            <w:u w:val="single"/>
            <w:rtl/>
          </w:rPr>
          <w:t xml:space="preserve"> (</w:t>
        </w:r>
        <w:r w:rsidR="004F21C1" w:rsidRPr="004F21C1">
          <w:rPr>
            <w:rFonts w:hint="cs"/>
            <w:color w:val="0000FF"/>
            <w:u w:val="single"/>
            <w:rtl/>
          </w:rPr>
          <w:t>מחוזי</w:t>
        </w:r>
        <w:r w:rsidR="004F21C1" w:rsidRPr="004F21C1">
          <w:rPr>
            <w:color w:val="0000FF"/>
            <w:u w:val="single"/>
            <w:rtl/>
          </w:rPr>
          <w:t xml:space="preserve"> </w:t>
        </w:r>
        <w:r w:rsidR="004F21C1" w:rsidRPr="004F21C1">
          <w:rPr>
            <w:rFonts w:hint="cs"/>
            <w:color w:val="0000FF"/>
            <w:u w:val="single"/>
            <w:rtl/>
          </w:rPr>
          <w:t>תל</w:t>
        </w:r>
        <w:r w:rsidR="004F21C1" w:rsidRPr="004F21C1">
          <w:rPr>
            <w:color w:val="0000FF"/>
            <w:u w:val="single"/>
            <w:rtl/>
          </w:rPr>
          <w:t xml:space="preserve"> </w:t>
        </w:r>
        <w:r w:rsidR="004F21C1" w:rsidRPr="004F21C1">
          <w:rPr>
            <w:rFonts w:hint="cs"/>
            <w:color w:val="0000FF"/>
            <w:u w:val="single"/>
            <w:rtl/>
          </w:rPr>
          <w:t>אביב</w:t>
        </w:r>
        <w:r w:rsidR="004F21C1" w:rsidRPr="004F21C1">
          <w:rPr>
            <w:color w:val="0000FF"/>
            <w:u w:val="single"/>
            <w:rtl/>
          </w:rPr>
          <w:t xml:space="preserve"> </w:t>
        </w:r>
        <w:r w:rsidR="004F21C1" w:rsidRPr="004F21C1">
          <w:rPr>
            <w:rFonts w:hint="cs"/>
            <w:color w:val="0000FF"/>
            <w:u w:val="single"/>
            <w:rtl/>
          </w:rPr>
          <w:t>יפו</w:t>
        </w:r>
        <w:r w:rsidR="004F21C1" w:rsidRPr="004F21C1">
          <w:rPr>
            <w:color w:val="0000FF"/>
            <w:u w:val="single"/>
            <w:rtl/>
          </w:rPr>
          <w:t>) 4706-10-15</w:t>
        </w:r>
      </w:hyperlink>
      <w:r>
        <w:rPr>
          <w:rFonts w:hint="cs"/>
          <w:rtl/>
        </w:rPr>
        <w:t xml:space="preserve"> </w:t>
      </w:r>
      <w:r>
        <w:rPr>
          <w:rFonts w:hint="cs"/>
          <w:b/>
          <w:bCs/>
          <w:rtl/>
        </w:rPr>
        <w:t>מדינת ישראל נגד עמרי מסרי</w:t>
      </w:r>
      <w:r>
        <w:rPr>
          <w:rFonts w:hint="cs"/>
          <w:rtl/>
        </w:rPr>
        <w:t xml:space="preserve">, (23.11.2015), דובר בנאשם אשר הורשע על יסוד הודאתו בעבירה של גידול סמים והחזקת סמים לצריכה עצמית, בכך שהקים ביחד עם אחר מעבדה לגידול סמים, אשר הייתה מצוידת בציוד רב, וגידל בה שתילי קנביס </w:t>
      </w:r>
      <w:r>
        <w:rPr>
          <w:rFonts w:hint="cs"/>
          <w:b/>
          <w:bCs/>
          <w:rtl/>
        </w:rPr>
        <w:t>במשקל כולל של כ- 687 גרם</w:t>
      </w:r>
      <w:r>
        <w:rPr>
          <w:rFonts w:hint="cs"/>
          <w:rtl/>
        </w:rPr>
        <w:t>. בנוסף, החזיק הנאשם בדירה בה הוקמה המעבדה, ביחד עם האחר, קנביס במשקל 101.56 גרם וחשיש במשקל 72 גרם. בית משפט השלום קבע כי מתחם העונש ההולם במקרה הנדון נע בין 6 ל- 12 חודשי מאסר בפועל, לצד מאסר מותנה וקנס. אשר לעונשו של הנאשם, בית משפט השלום מצא לנכון להורות על ביטול הרשעתו והסתפק בהשתת עונש של צו של"צ וצו מבחן. בית המשפט המחוזי מצא לנכון לקבל את ערעורה של המאשימה, והורה על הרשעתו של הנאשם, אך לא החמיר בעונש שהוטל עליו בבית משפט השלום</w:t>
      </w:r>
      <w:r>
        <w:rPr>
          <w:rFonts w:eastAsia="Times New Roman" w:hint="cs"/>
          <w:rtl/>
        </w:rPr>
        <w:t>.</w:t>
      </w:r>
    </w:p>
    <w:p w14:paraId="4EA9438F" w14:textId="77777777" w:rsidR="00A7521E" w:rsidRDefault="00A7521E" w:rsidP="00A7521E">
      <w:pPr>
        <w:pStyle w:val="ListParagraph"/>
        <w:ind w:left="-58" w:firstLine="0"/>
        <w:contextualSpacing w:val="0"/>
        <w:rPr>
          <w:rFonts w:eastAsia="Times New Roman"/>
          <w:rtl/>
        </w:rPr>
      </w:pPr>
      <w:r>
        <w:rPr>
          <w:rFonts w:hint="cs"/>
          <w:rtl/>
        </w:rPr>
        <w:t>כן ראו</w:t>
      </w:r>
      <w:r>
        <w:rPr>
          <w:rFonts w:eastAsia="Times New Roman" w:hint="cs"/>
          <w:rtl/>
        </w:rPr>
        <w:t xml:space="preserve">: </w:t>
      </w:r>
      <w:hyperlink r:id="rId40" w:history="1">
        <w:r w:rsidR="004F21C1" w:rsidRPr="004F21C1">
          <w:rPr>
            <w:rFonts w:hint="cs"/>
            <w:color w:val="0000FF"/>
            <w:u w:val="single"/>
            <w:rtl/>
          </w:rPr>
          <w:t>ת</w:t>
        </w:r>
        <w:r w:rsidR="004F21C1" w:rsidRPr="004F21C1">
          <w:rPr>
            <w:color w:val="0000FF"/>
            <w:u w:val="single"/>
            <w:rtl/>
          </w:rPr>
          <w:t>"</w:t>
        </w:r>
        <w:r w:rsidR="004F21C1" w:rsidRPr="004F21C1">
          <w:rPr>
            <w:rFonts w:hint="cs"/>
            <w:color w:val="0000FF"/>
            <w:u w:val="single"/>
            <w:rtl/>
          </w:rPr>
          <w:t>פ</w:t>
        </w:r>
        <w:r w:rsidR="004F21C1" w:rsidRPr="004F21C1">
          <w:rPr>
            <w:color w:val="0000FF"/>
            <w:u w:val="single"/>
            <w:rtl/>
          </w:rPr>
          <w:t xml:space="preserve"> (</w:t>
        </w:r>
        <w:r w:rsidR="004F21C1" w:rsidRPr="004F21C1">
          <w:rPr>
            <w:rFonts w:hint="cs"/>
            <w:color w:val="0000FF"/>
            <w:u w:val="single"/>
            <w:rtl/>
          </w:rPr>
          <w:t>שלום</w:t>
        </w:r>
        <w:r w:rsidR="004F21C1" w:rsidRPr="004F21C1">
          <w:rPr>
            <w:color w:val="0000FF"/>
            <w:u w:val="single"/>
            <w:rtl/>
          </w:rPr>
          <w:t xml:space="preserve"> </w:t>
        </w:r>
        <w:r w:rsidR="004F21C1" w:rsidRPr="004F21C1">
          <w:rPr>
            <w:rFonts w:hint="cs"/>
            <w:color w:val="0000FF"/>
            <w:u w:val="single"/>
            <w:rtl/>
          </w:rPr>
          <w:t>ירושלים</w:t>
        </w:r>
        <w:r w:rsidR="004F21C1" w:rsidRPr="004F21C1">
          <w:rPr>
            <w:color w:val="0000FF"/>
            <w:u w:val="single"/>
            <w:rtl/>
          </w:rPr>
          <w:t>) 8483-03-16</w:t>
        </w:r>
      </w:hyperlink>
      <w:r>
        <w:rPr>
          <w:rFonts w:hint="cs"/>
          <w:rtl/>
        </w:rPr>
        <w:t xml:space="preserve"> </w:t>
      </w:r>
      <w:r>
        <w:rPr>
          <w:rFonts w:hint="cs"/>
          <w:b/>
          <w:bCs/>
          <w:rtl/>
        </w:rPr>
        <w:t>מדינת ישראל נ' יניב אפרתי</w:t>
      </w:r>
      <w:r>
        <w:rPr>
          <w:rFonts w:hint="cs"/>
          <w:rtl/>
        </w:rPr>
        <w:t>, (01.12.2016)</w:t>
      </w:r>
      <w:r>
        <w:rPr>
          <w:rFonts w:eastAsia="Times New Roman" w:hint="cs"/>
          <w:rtl/>
        </w:rPr>
        <w:t xml:space="preserve">; </w:t>
      </w:r>
      <w:hyperlink r:id="rId41" w:history="1">
        <w:r w:rsidR="004F21C1" w:rsidRPr="004F21C1">
          <w:rPr>
            <w:rFonts w:hint="cs"/>
            <w:color w:val="0000FF"/>
            <w:u w:val="single"/>
            <w:rtl/>
          </w:rPr>
          <w:t>ת</w:t>
        </w:r>
        <w:r w:rsidR="004F21C1" w:rsidRPr="004F21C1">
          <w:rPr>
            <w:color w:val="0000FF"/>
            <w:u w:val="single"/>
            <w:rtl/>
          </w:rPr>
          <w:t>"</w:t>
        </w:r>
        <w:r w:rsidR="004F21C1" w:rsidRPr="004F21C1">
          <w:rPr>
            <w:rFonts w:hint="cs"/>
            <w:color w:val="0000FF"/>
            <w:u w:val="single"/>
            <w:rtl/>
          </w:rPr>
          <w:t>פ</w:t>
        </w:r>
        <w:r w:rsidR="004F21C1" w:rsidRPr="004F21C1">
          <w:rPr>
            <w:color w:val="0000FF"/>
            <w:u w:val="single"/>
            <w:rtl/>
          </w:rPr>
          <w:t xml:space="preserve"> (</w:t>
        </w:r>
        <w:r w:rsidR="004F21C1" w:rsidRPr="004F21C1">
          <w:rPr>
            <w:rFonts w:hint="cs"/>
            <w:color w:val="0000FF"/>
            <w:u w:val="single"/>
            <w:rtl/>
          </w:rPr>
          <w:t>שלום</w:t>
        </w:r>
        <w:r w:rsidR="004F21C1" w:rsidRPr="004F21C1">
          <w:rPr>
            <w:color w:val="0000FF"/>
            <w:u w:val="single"/>
            <w:rtl/>
          </w:rPr>
          <w:t xml:space="preserve"> </w:t>
        </w:r>
        <w:r w:rsidR="004F21C1" w:rsidRPr="004F21C1">
          <w:rPr>
            <w:rFonts w:hint="cs"/>
            <w:color w:val="0000FF"/>
            <w:u w:val="single"/>
            <w:rtl/>
          </w:rPr>
          <w:t>ירושלים</w:t>
        </w:r>
        <w:r w:rsidR="004F21C1" w:rsidRPr="004F21C1">
          <w:rPr>
            <w:color w:val="0000FF"/>
            <w:u w:val="single"/>
            <w:rtl/>
          </w:rPr>
          <w:t>) 34925-03-14</w:t>
        </w:r>
      </w:hyperlink>
      <w:r>
        <w:rPr>
          <w:rFonts w:hint="cs"/>
          <w:u w:val="single"/>
          <w:rtl/>
        </w:rPr>
        <w:t>‏</w:t>
      </w:r>
      <w:r>
        <w:rPr>
          <w:rFonts w:hint="cs"/>
          <w:rtl/>
        </w:rPr>
        <w:t xml:space="preserve"> </w:t>
      </w:r>
      <w:r>
        <w:rPr>
          <w:rFonts w:hint="cs"/>
          <w:b/>
          <w:bCs/>
          <w:rtl/>
        </w:rPr>
        <w:t>מדינת ישראל  נ' זאב טרמבובלר</w:t>
      </w:r>
      <w:r>
        <w:rPr>
          <w:rFonts w:hint="cs"/>
          <w:rtl/>
        </w:rPr>
        <w:t>, (14.04.2016)</w:t>
      </w:r>
      <w:r>
        <w:rPr>
          <w:rFonts w:eastAsia="Times New Roman" w:hint="cs"/>
          <w:rtl/>
        </w:rPr>
        <w:t xml:space="preserve">; </w:t>
      </w:r>
      <w:hyperlink r:id="rId42" w:history="1">
        <w:r w:rsidR="004F21C1" w:rsidRPr="004F21C1">
          <w:rPr>
            <w:rFonts w:hint="cs"/>
            <w:color w:val="0000FF"/>
            <w:u w:val="single"/>
            <w:rtl/>
          </w:rPr>
          <w:t>ת</w:t>
        </w:r>
        <w:r w:rsidR="004F21C1" w:rsidRPr="004F21C1">
          <w:rPr>
            <w:color w:val="0000FF"/>
            <w:u w:val="single"/>
            <w:rtl/>
          </w:rPr>
          <w:t>"</w:t>
        </w:r>
        <w:r w:rsidR="004F21C1" w:rsidRPr="004F21C1">
          <w:rPr>
            <w:rFonts w:hint="cs"/>
            <w:color w:val="0000FF"/>
            <w:u w:val="single"/>
            <w:rtl/>
          </w:rPr>
          <w:t>פ</w:t>
        </w:r>
        <w:r w:rsidR="004F21C1" w:rsidRPr="004F21C1">
          <w:rPr>
            <w:color w:val="0000FF"/>
            <w:u w:val="single"/>
            <w:rtl/>
          </w:rPr>
          <w:t xml:space="preserve"> (</w:t>
        </w:r>
        <w:r w:rsidR="004F21C1" w:rsidRPr="004F21C1">
          <w:rPr>
            <w:rFonts w:hint="cs"/>
            <w:color w:val="0000FF"/>
            <w:u w:val="single"/>
            <w:rtl/>
          </w:rPr>
          <w:t>שלום</w:t>
        </w:r>
        <w:r w:rsidR="004F21C1" w:rsidRPr="004F21C1">
          <w:rPr>
            <w:color w:val="0000FF"/>
            <w:u w:val="single"/>
            <w:rtl/>
          </w:rPr>
          <w:t xml:space="preserve"> </w:t>
        </w:r>
        <w:r w:rsidR="004F21C1" w:rsidRPr="004F21C1">
          <w:rPr>
            <w:rFonts w:hint="cs"/>
            <w:color w:val="0000FF"/>
            <w:u w:val="single"/>
            <w:rtl/>
          </w:rPr>
          <w:t>תל</w:t>
        </w:r>
        <w:r w:rsidR="004F21C1" w:rsidRPr="004F21C1">
          <w:rPr>
            <w:color w:val="0000FF"/>
            <w:u w:val="single"/>
            <w:rtl/>
          </w:rPr>
          <w:t xml:space="preserve"> </w:t>
        </w:r>
        <w:r w:rsidR="004F21C1" w:rsidRPr="004F21C1">
          <w:rPr>
            <w:rFonts w:hint="cs"/>
            <w:color w:val="0000FF"/>
            <w:u w:val="single"/>
            <w:rtl/>
          </w:rPr>
          <w:t>אביב</w:t>
        </w:r>
        <w:r w:rsidR="004F21C1" w:rsidRPr="004F21C1">
          <w:rPr>
            <w:color w:val="0000FF"/>
            <w:u w:val="single"/>
            <w:rtl/>
          </w:rPr>
          <w:t xml:space="preserve"> </w:t>
        </w:r>
        <w:r w:rsidR="004F21C1" w:rsidRPr="004F21C1">
          <w:rPr>
            <w:rFonts w:hint="cs"/>
            <w:color w:val="0000FF"/>
            <w:u w:val="single"/>
            <w:rtl/>
          </w:rPr>
          <w:t>יפו</w:t>
        </w:r>
        <w:r w:rsidR="004F21C1" w:rsidRPr="004F21C1">
          <w:rPr>
            <w:color w:val="0000FF"/>
            <w:u w:val="single"/>
            <w:rtl/>
          </w:rPr>
          <w:t>) 23797-03-14</w:t>
        </w:r>
      </w:hyperlink>
      <w:r>
        <w:rPr>
          <w:rFonts w:hint="cs"/>
          <w:rtl/>
        </w:rPr>
        <w:t xml:space="preserve"> </w:t>
      </w:r>
      <w:r>
        <w:rPr>
          <w:rFonts w:hint="cs"/>
          <w:b/>
          <w:bCs/>
          <w:rtl/>
        </w:rPr>
        <w:t>מדינת ישראל נגד רן אביב</w:t>
      </w:r>
      <w:r>
        <w:rPr>
          <w:rFonts w:hint="cs"/>
          <w:rtl/>
        </w:rPr>
        <w:t>, (01.12.2015);</w:t>
      </w:r>
      <w:r>
        <w:rPr>
          <w:rFonts w:eastAsia="Times New Roman" w:hint="cs"/>
          <w:rtl/>
        </w:rPr>
        <w:t xml:space="preserve"> </w:t>
      </w:r>
      <w:hyperlink r:id="rId43" w:history="1">
        <w:r w:rsidR="004F21C1" w:rsidRPr="004F21C1">
          <w:rPr>
            <w:rFonts w:hint="cs"/>
            <w:color w:val="0000FF"/>
            <w:u w:val="single"/>
            <w:rtl/>
          </w:rPr>
          <w:t>ת</w:t>
        </w:r>
        <w:r w:rsidR="004F21C1" w:rsidRPr="004F21C1">
          <w:rPr>
            <w:color w:val="0000FF"/>
            <w:u w:val="single"/>
            <w:rtl/>
          </w:rPr>
          <w:t>"</w:t>
        </w:r>
        <w:r w:rsidR="004F21C1" w:rsidRPr="004F21C1">
          <w:rPr>
            <w:rFonts w:hint="cs"/>
            <w:color w:val="0000FF"/>
            <w:u w:val="single"/>
            <w:rtl/>
          </w:rPr>
          <w:t>פ</w:t>
        </w:r>
        <w:r w:rsidR="004F21C1" w:rsidRPr="004F21C1">
          <w:rPr>
            <w:color w:val="0000FF"/>
            <w:u w:val="single"/>
            <w:rtl/>
          </w:rPr>
          <w:t xml:space="preserve"> (</w:t>
        </w:r>
        <w:r w:rsidR="004F21C1" w:rsidRPr="004F21C1">
          <w:rPr>
            <w:rFonts w:hint="cs"/>
            <w:color w:val="0000FF"/>
            <w:u w:val="single"/>
            <w:rtl/>
          </w:rPr>
          <w:t>שלום</w:t>
        </w:r>
        <w:r w:rsidR="004F21C1" w:rsidRPr="004F21C1">
          <w:rPr>
            <w:color w:val="0000FF"/>
            <w:u w:val="single"/>
            <w:rtl/>
          </w:rPr>
          <w:t xml:space="preserve"> </w:t>
        </w:r>
        <w:r w:rsidR="004F21C1" w:rsidRPr="004F21C1">
          <w:rPr>
            <w:rFonts w:hint="cs"/>
            <w:color w:val="0000FF"/>
            <w:u w:val="single"/>
            <w:rtl/>
          </w:rPr>
          <w:t>ירושלים</w:t>
        </w:r>
        <w:r w:rsidR="004F21C1" w:rsidRPr="004F21C1">
          <w:rPr>
            <w:color w:val="0000FF"/>
            <w:u w:val="single"/>
            <w:rtl/>
          </w:rPr>
          <w:t>) 17917-05-14</w:t>
        </w:r>
      </w:hyperlink>
      <w:r>
        <w:rPr>
          <w:rFonts w:hint="cs"/>
          <w:rtl/>
        </w:rPr>
        <w:t xml:space="preserve"> </w:t>
      </w:r>
      <w:r>
        <w:rPr>
          <w:rFonts w:hint="cs"/>
          <w:b/>
          <w:bCs/>
          <w:rtl/>
        </w:rPr>
        <w:t>מדינת ישראל נגד דן מדינה</w:t>
      </w:r>
      <w:r>
        <w:rPr>
          <w:rFonts w:hint="cs"/>
          <w:rtl/>
        </w:rPr>
        <w:t>, (02.12.2015).</w:t>
      </w:r>
    </w:p>
    <w:p w14:paraId="4E919CB1" w14:textId="77777777" w:rsidR="00A7521E" w:rsidRDefault="00A7521E" w:rsidP="00A7521E">
      <w:pPr>
        <w:pStyle w:val="ListParagraph"/>
        <w:numPr>
          <w:ilvl w:val="0"/>
          <w:numId w:val="2"/>
        </w:numPr>
        <w:ind w:left="-58"/>
        <w:contextualSpacing w:val="0"/>
        <w:rPr>
          <w:rFonts w:eastAsia="Times New Roman"/>
        </w:rPr>
      </w:pPr>
      <w:r>
        <w:rPr>
          <w:rFonts w:eastAsia="Times New Roman" w:hint="cs"/>
          <w:rtl/>
        </w:rPr>
        <w:t xml:space="preserve">לאור אלה, ובשים לב להליך השיקום הארוך והאינטנסיבי שעבר הנאשם, תוך שהוא נגמל משימוש בסמים, מה שמלמד במידה רבה על איונו של </w:t>
      </w:r>
      <w:r>
        <w:rPr>
          <w:rFonts w:hint="cs"/>
          <w:rtl/>
        </w:rPr>
        <w:t>המוקד הבעייתי שעמד ברקע לביצוע העבירה כך שהסיכון להישנותה הצטמצם עד דק, סבורתני שניתן לומר כבר עתה שהוא השתקם או למצער קיים סיכוי של ממש שהוא ישתקם בצורה מלאה בעתיד. משכך, כאמור, מצאתי לסטות לקולא ממתחם העונש ההולם אשר קבעתי</w:t>
      </w:r>
      <w:r>
        <w:rPr>
          <w:rFonts w:eastAsia="Times New Roman" w:hint="cs"/>
          <w:rtl/>
        </w:rPr>
        <w:t>, ולהימנע מהשתת רכיב של מאסר.</w:t>
      </w:r>
    </w:p>
    <w:p w14:paraId="433500AD" w14:textId="77777777" w:rsidR="00A7521E" w:rsidRDefault="00A7521E" w:rsidP="00A7521E">
      <w:pPr>
        <w:pStyle w:val="ListParagraph"/>
        <w:ind w:left="-58" w:firstLine="0"/>
        <w:contextualSpacing w:val="0"/>
        <w:rPr>
          <w:rFonts w:eastAsia="Times New Roman"/>
        </w:rPr>
      </w:pPr>
      <w:r>
        <w:rPr>
          <w:rFonts w:hint="cs"/>
          <w:rtl/>
        </w:rPr>
        <w:t>אכן, מלאכת גזירת הדין איננה קלה כלל ועיקר, ובית המשפט אינו מקל ראש בחומרת מעשיו של הנאשם, ומביע מהם סלידה רבתי</w:t>
      </w:r>
      <w:r>
        <w:rPr>
          <w:rFonts w:eastAsia="Times New Roman" w:hint="cs"/>
          <w:rtl/>
        </w:rPr>
        <w:t>. לא אכחד ואומר, כי בית המשפט התחבט רבות בתיק זה, אך לאחר שערך שקלא וטריא בנושא, ומשנתתי דעתי גם להמלצת שירות המבחן ולהערכתו לפיה השתת רכיב מאסר, ולו לריצוי בעבודות שירות, תפגע בהליך השיקום של הנאשם, מצאתי לבכר את הליך השיקום ולהסתפק בענישה מתונה יותר. כאן אף אזכיר, כי</w:t>
      </w:r>
      <w:r>
        <w:rPr>
          <w:rFonts w:hint="cs"/>
          <w:rtl/>
        </w:rPr>
        <w:t xml:space="preserve"> בשלב זה, כאשר יש סיכוי לא מבוטל כי הנאשם ייגמל באופן סופי מהשימוש בסמים, הרי שאינטרס השיקום איננו האינטרס שלו בלבד, כי אם של החברה כולה. שכן, ככל שהנאשם ישתקם, היא תקבל בחזרה לשורותיה אזרח נורמטיבי, פרודוקטיבי, שומר חוק ונקי מסמים. דומני כי השתה של עונש הכולל רכיב של מאסר בפועל, שכאמור עלול לקטוע את ההליך השיקומי מעורר הרושם שאותו עובר הנאשם, עלולה לפגוע הן באינטרס הפרטי של הנאשם והן באינטרס של החברה כולה.</w:t>
      </w:r>
    </w:p>
    <w:p w14:paraId="6367C689" w14:textId="77777777" w:rsidR="00A7521E" w:rsidRPr="00A7521E" w:rsidRDefault="00A7521E" w:rsidP="00A7521E">
      <w:pPr>
        <w:spacing w:after="160" w:line="360" w:lineRule="auto"/>
        <w:ind w:left="-58"/>
        <w:jc w:val="both"/>
        <w:rPr>
          <w:rFonts w:eastAsia="Calibri"/>
          <w:rtl/>
        </w:rPr>
      </w:pPr>
      <w:r>
        <w:rPr>
          <w:rFonts w:hint="cs"/>
          <w:rtl/>
        </w:rPr>
        <w:t>לצד האמור, על מנת שחומרת מעשיו של הנאשם תמצא את ביטויה בענישה שתושת עליו, מצאתי לחרוג לחומרה מהמלצת שירות המבחן (שכידוע כשמה כן היא – המלצה בלבד) בכל הנוגע להיקף שעות השל"צ. ביטוי נוסף לחומרת מעשיו יימצא גם בגובה הקנס שאשית עליו. לצד אלה, ובשים לב לניקיונו של הנאשם מסמים, אסתפק בפסילה מותנית בלבד של רישיון הנהיגה שלו.</w:t>
      </w:r>
    </w:p>
    <w:p w14:paraId="1F385FDF" w14:textId="77777777" w:rsidR="00A7521E" w:rsidRDefault="00A7521E" w:rsidP="00A7521E">
      <w:pPr>
        <w:pStyle w:val="ListParagraph"/>
        <w:numPr>
          <w:ilvl w:val="0"/>
          <w:numId w:val="2"/>
        </w:numPr>
        <w:ind w:left="-58"/>
        <w:contextualSpacing w:val="0"/>
        <w:rPr>
          <w:b/>
          <w:bCs/>
          <w:rtl/>
        </w:rPr>
      </w:pPr>
      <w:r>
        <w:rPr>
          <w:rFonts w:hint="cs"/>
          <w:b/>
          <w:bCs/>
          <w:rtl/>
        </w:rPr>
        <w:t>לאור כל המקובץ לעיל, הריני גוזרת עליו את העונשים הבאים:</w:t>
      </w:r>
    </w:p>
    <w:p w14:paraId="50C2A948" w14:textId="77777777" w:rsidR="00A7521E" w:rsidRDefault="00A7521E" w:rsidP="00A7521E">
      <w:pPr>
        <w:pStyle w:val="ListParagraph"/>
        <w:numPr>
          <w:ilvl w:val="0"/>
          <w:numId w:val="3"/>
        </w:numPr>
        <w:contextualSpacing w:val="0"/>
        <w:rPr>
          <w:b/>
          <w:bCs/>
        </w:rPr>
      </w:pPr>
      <w:r>
        <w:rPr>
          <w:rFonts w:hint="cs"/>
          <w:b/>
          <w:bCs/>
          <w:rtl/>
        </w:rPr>
        <w:t>צו של"צ בהיקף של 400 שעות</w:t>
      </w:r>
      <w:r>
        <w:rPr>
          <w:rFonts w:hint="cs"/>
          <w:rtl/>
        </w:rPr>
        <w:t>.</w:t>
      </w:r>
    </w:p>
    <w:p w14:paraId="56E4FCA2" w14:textId="77777777" w:rsidR="00A7521E" w:rsidRDefault="00A7521E" w:rsidP="00A7521E">
      <w:pPr>
        <w:pStyle w:val="ListParagraph"/>
        <w:ind w:right="142" w:firstLine="0"/>
        <w:contextualSpacing w:val="0"/>
      </w:pPr>
      <w:r>
        <w:rPr>
          <w:rFonts w:hint="cs"/>
          <w:rtl/>
        </w:rPr>
        <w:t>שירות המבחן יגיש תוך 30 תכנית של"צ בעניינו של הנאשם. לאחר קבלת התכנית, אאשרה ללא צורך בקיום דיון נוסף.</w:t>
      </w:r>
    </w:p>
    <w:p w14:paraId="29BCA5A6" w14:textId="77777777" w:rsidR="00A7521E" w:rsidRDefault="00A7521E" w:rsidP="00A7521E">
      <w:pPr>
        <w:pStyle w:val="ListParagraph"/>
        <w:ind w:firstLine="0"/>
        <w:contextualSpacing w:val="0"/>
        <w:rPr>
          <w:b/>
          <w:bCs/>
        </w:rPr>
      </w:pPr>
      <w:r>
        <w:rPr>
          <w:rFonts w:hint="cs"/>
          <w:b/>
          <w:bCs/>
          <w:u w:val="single"/>
          <w:rtl/>
        </w:rPr>
        <w:t>העתק ההחלטה בדחיפות לשירות המבחן.</w:t>
      </w:r>
    </w:p>
    <w:p w14:paraId="452BA021" w14:textId="77777777" w:rsidR="00A7521E" w:rsidRDefault="00A7521E" w:rsidP="00A7521E">
      <w:pPr>
        <w:pStyle w:val="ListParagraph"/>
        <w:numPr>
          <w:ilvl w:val="0"/>
          <w:numId w:val="3"/>
        </w:numPr>
        <w:contextualSpacing w:val="0"/>
        <w:rPr>
          <w:b/>
          <w:bCs/>
          <w:rtl/>
        </w:rPr>
      </w:pPr>
      <w:r>
        <w:rPr>
          <w:rFonts w:hint="cs"/>
          <w:b/>
          <w:bCs/>
          <w:rtl/>
        </w:rPr>
        <w:t>צו מבחן של שירות המבחן למשך שנה מהיום.</w:t>
      </w:r>
    </w:p>
    <w:p w14:paraId="35AAEF20" w14:textId="77777777" w:rsidR="00A7521E" w:rsidRDefault="00A7521E" w:rsidP="00A7521E">
      <w:pPr>
        <w:pStyle w:val="ListParagraph"/>
        <w:ind w:firstLine="0"/>
        <w:contextualSpacing w:val="0"/>
      </w:pPr>
      <w:r>
        <w:rPr>
          <w:rFonts w:hint="cs"/>
          <w:rtl/>
        </w:rPr>
        <w:t>הובהרה לנאשם חשיבות שיתוף הפעולה עם שירות המבחן והוסברו לו ההשלכות שעלולות להיות לאי שיתוף פעולה זה, ובפרט אם לא יבצע את עבודות השל"צ או לא יעמוד בתנאיו של צו המבחן.</w:t>
      </w:r>
    </w:p>
    <w:p w14:paraId="79A46FFE" w14:textId="77777777" w:rsidR="00A7521E" w:rsidRDefault="00A7521E" w:rsidP="00A7521E">
      <w:pPr>
        <w:pStyle w:val="ListParagraph"/>
        <w:numPr>
          <w:ilvl w:val="0"/>
          <w:numId w:val="3"/>
        </w:numPr>
        <w:contextualSpacing w:val="0"/>
        <w:rPr>
          <w:b/>
          <w:bCs/>
        </w:rPr>
      </w:pPr>
      <w:r>
        <w:rPr>
          <w:rFonts w:hint="cs"/>
          <w:b/>
          <w:bCs/>
          <w:rtl/>
        </w:rPr>
        <w:t>מאסר מותנה למשך 8 חודשים, אשר יופעל אם תוך תקופה של 3 שנים מהיום יעבור הנאשם עבירה בניגוד לפקודת הסמים, מסוג פשע.</w:t>
      </w:r>
    </w:p>
    <w:p w14:paraId="34696D84" w14:textId="77777777" w:rsidR="00A7521E" w:rsidRDefault="00A7521E" w:rsidP="00A7521E">
      <w:pPr>
        <w:pStyle w:val="ListParagraph"/>
        <w:numPr>
          <w:ilvl w:val="0"/>
          <w:numId w:val="3"/>
        </w:numPr>
        <w:contextualSpacing w:val="0"/>
        <w:rPr>
          <w:b/>
          <w:bCs/>
        </w:rPr>
      </w:pPr>
      <w:r>
        <w:rPr>
          <w:rFonts w:hint="cs"/>
          <w:b/>
          <w:bCs/>
          <w:rtl/>
        </w:rPr>
        <w:t>מאסר מותנה למשך 4 חודשים, אשר יופעל אם תוך תקופה של 3 שנים מהיום יעבור הנאשם עבירה בניגוד לפקודת הסמים, מסוג עוון.</w:t>
      </w:r>
    </w:p>
    <w:p w14:paraId="4B9B3FBD" w14:textId="77777777" w:rsidR="00A7521E" w:rsidRDefault="00A7521E" w:rsidP="00A7521E">
      <w:pPr>
        <w:pStyle w:val="ListParagraph"/>
        <w:numPr>
          <w:ilvl w:val="0"/>
          <w:numId w:val="3"/>
        </w:numPr>
        <w:contextualSpacing w:val="0"/>
        <w:rPr>
          <w:b/>
          <w:bCs/>
        </w:rPr>
      </w:pPr>
      <w:r>
        <w:rPr>
          <w:rFonts w:hint="cs"/>
          <w:b/>
          <w:bCs/>
          <w:rtl/>
        </w:rPr>
        <w:t>אני פוסלת את הנאשם מלקבל או מלהחזיק רישיון נהיגה למשך 6 חודשים, וזאת על תנאי שלא יעבור כל עבירה בניגוד ל</w:t>
      </w:r>
      <w:hyperlink r:id="rId44" w:history="1">
        <w:r w:rsidR="004F21C1" w:rsidRPr="004F21C1">
          <w:rPr>
            <w:rFonts w:hint="cs"/>
            <w:b/>
            <w:bCs/>
            <w:color w:val="0000FF"/>
            <w:u w:val="single"/>
            <w:rtl/>
          </w:rPr>
          <w:t>פקודת</w:t>
        </w:r>
        <w:r w:rsidR="004F21C1" w:rsidRPr="004F21C1">
          <w:rPr>
            <w:b/>
            <w:bCs/>
            <w:color w:val="0000FF"/>
            <w:u w:val="single"/>
            <w:rtl/>
          </w:rPr>
          <w:t xml:space="preserve"> </w:t>
        </w:r>
        <w:r w:rsidR="004F21C1" w:rsidRPr="004F21C1">
          <w:rPr>
            <w:rFonts w:hint="cs"/>
            <w:b/>
            <w:bCs/>
            <w:color w:val="0000FF"/>
            <w:u w:val="single"/>
            <w:rtl/>
          </w:rPr>
          <w:t>הסמים</w:t>
        </w:r>
        <w:r w:rsidR="004F21C1" w:rsidRPr="004F21C1">
          <w:rPr>
            <w:b/>
            <w:bCs/>
            <w:color w:val="0000FF"/>
            <w:u w:val="single"/>
            <w:rtl/>
          </w:rPr>
          <w:t xml:space="preserve"> </w:t>
        </w:r>
        <w:r w:rsidR="004F21C1" w:rsidRPr="004F21C1">
          <w:rPr>
            <w:rFonts w:hint="cs"/>
            <w:b/>
            <w:bCs/>
            <w:color w:val="0000FF"/>
            <w:u w:val="single"/>
            <w:rtl/>
          </w:rPr>
          <w:t>המסוכנים</w:t>
        </w:r>
      </w:hyperlink>
      <w:r>
        <w:rPr>
          <w:rFonts w:hint="cs"/>
          <w:b/>
          <w:bCs/>
          <w:rtl/>
        </w:rPr>
        <w:t xml:space="preserve"> במשך שנתיים מהיום.</w:t>
      </w:r>
    </w:p>
    <w:p w14:paraId="1DE906E3" w14:textId="77777777" w:rsidR="00A7521E" w:rsidRDefault="00A7521E" w:rsidP="00A7521E">
      <w:pPr>
        <w:pStyle w:val="ListParagraph"/>
        <w:numPr>
          <w:ilvl w:val="0"/>
          <w:numId w:val="3"/>
        </w:numPr>
        <w:contextualSpacing w:val="0"/>
        <w:rPr>
          <w:b/>
          <w:bCs/>
        </w:rPr>
      </w:pPr>
      <w:r>
        <w:rPr>
          <w:rFonts w:hint="cs"/>
          <w:b/>
          <w:bCs/>
          <w:rtl/>
        </w:rPr>
        <w:t>קנס כספי בסך 4,000 ₪ או 40 ימי מאסר תמורתו.</w:t>
      </w:r>
    </w:p>
    <w:p w14:paraId="0FB9E20C" w14:textId="77777777" w:rsidR="00A7521E" w:rsidRDefault="00A7521E" w:rsidP="00A7521E">
      <w:pPr>
        <w:pStyle w:val="ListParagraph"/>
        <w:ind w:firstLine="0"/>
        <w:contextualSpacing w:val="0"/>
        <w:rPr>
          <w:rtl/>
        </w:rPr>
      </w:pPr>
      <w:r>
        <w:rPr>
          <w:rFonts w:hint="cs"/>
          <w:rtl/>
        </w:rPr>
        <w:t>הקנס יקוזז מסכום ההפקדה שהופקדה בקופת בית המשפט בתיק המעצר מושא תיק זה. היתרה תושב למפקיד.</w:t>
      </w:r>
    </w:p>
    <w:p w14:paraId="6921A6F2" w14:textId="77777777" w:rsidR="00A7521E" w:rsidRDefault="00A7521E" w:rsidP="00A7521E">
      <w:pPr>
        <w:pStyle w:val="ListParagraph"/>
        <w:ind w:firstLine="0"/>
        <w:contextualSpacing w:val="0"/>
      </w:pPr>
      <w:r>
        <w:rPr>
          <w:rFonts w:hint="cs"/>
          <w:rtl/>
        </w:rPr>
        <w:t>ככל שלא ניתן לקזז את סכום הקנס מההפקדה או ככל שלא קיימת הפקדה, הקנס ישולם ב- 4 שיעורים שווים ורצופים, כשהראשון שבהם תוך 60 יום מהיום.</w:t>
      </w:r>
    </w:p>
    <w:p w14:paraId="4B0E81C8" w14:textId="77777777" w:rsidR="00A7521E" w:rsidRDefault="00A7521E" w:rsidP="00A7521E">
      <w:pPr>
        <w:spacing w:after="160"/>
        <w:rPr>
          <w:rtl/>
        </w:rPr>
      </w:pPr>
      <w:r>
        <w:rPr>
          <w:rFonts w:hint="cs"/>
          <w:rtl/>
        </w:rPr>
        <w:t>הריני מורה על השמדת המוצגים בתיק – סמים, דיסקים וגוף תאורה, בכפוף לחלוף תקופת הערעור.</w:t>
      </w:r>
    </w:p>
    <w:p w14:paraId="0695B6C4" w14:textId="77777777" w:rsidR="00A7521E" w:rsidRDefault="00A7521E" w:rsidP="00A7521E">
      <w:pPr>
        <w:spacing w:after="160"/>
        <w:rPr>
          <w:rtl/>
        </w:rPr>
      </w:pPr>
      <w:r>
        <w:rPr>
          <w:rFonts w:hint="cs"/>
          <w:rtl/>
        </w:rPr>
        <w:t>זכות ערעור כחוק.</w:t>
      </w:r>
    </w:p>
    <w:p w14:paraId="38914044" w14:textId="77777777" w:rsidR="00A7521E" w:rsidRDefault="00A7521E" w:rsidP="00A7521E">
      <w:pPr>
        <w:spacing w:after="160"/>
        <w:rPr>
          <w:rtl/>
        </w:rPr>
      </w:pPr>
    </w:p>
    <w:p w14:paraId="375B39FC" w14:textId="77777777" w:rsidR="00A7521E" w:rsidRPr="00053154" w:rsidRDefault="00A7521E" w:rsidP="00A7521E">
      <w:pPr>
        <w:spacing w:after="160" w:line="360" w:lineRule="auto"/>
        <w:jc w:val="both"/>
        <w:rPr>
          <w:rFonts w:ascii="Arial" w:hAnsi="Arial"/>
          <w:b/>
          <w:bCs/>
          <w:noProof w:val="0"/>
          <w:rtl/>
        </w:rPr>
      </w:pPr>
      <w:r w:rsidRPr="00053154">
        <w:rPr>
          <w:rFonts w:ascii="Arial" w:hAnsi="Arial"/>
          <w:b/>
          <w:bCs/>
          <w:noProof w:val="0"/>
          <w:rtl/>
        </w:rPr>
        <w:t>נית</w:t>
      </w:r>
      <w:r w:rsidRPr="00053154">
        <w:rPr>
          <w:rFonts w:ascii="Arial" w:hAnsi="Arial" w:hint="cs"/>
          <w:b/>
          <w:bCs/>
          <w:noProof w:val="0"/>
          <w:rtl/>
        </w:rPr>
        <w:t>נה</w:t>
      </w:r>
      <w:r w:rsidRPr="00053154">
        <w:rPr>
          <w:rFonts w:ascii="Arial" w:hAnsi="Arial"/>
          <w:b/>
          <w:bCs/>
          <w:noProof w:val="0"/>
          <w:rtl/>
        </w:rPr>
        <w:t xml:space="preserve"> היום, </w:t>
      </w:r>
      <w:r>
        <w:rPr>
          <w:rFonts w:ascii="Arial" w:hAnsi="Arial"/>
          <w:b/>
          <w:bCs/>
          <w:noProof w:val="0"/>
          <w:rtl/>
        </w:rPr>
        <w:t>י"ח סיוון תשע"ז</w:t>
      </w:r>
      <w:r w:rsidRPr="00053154">
        <w:rPr>
          <w:rFonts w:ascii="Arial" w:hAnsi="Arial"/>
          <w:b/>
          <w:bCs/>
          <w:noProof w:val="0"/>
          <w:rtl/>
        </w:rPr>
        <w:t xml:space="preserve">, </w:t>
      </w:r>
      <w:r>
        <w:rPr>
          <w:rFonts w:ascii="Arial" w:hAnsi="Arial"/>
          <w:b/>
          <w:bCs/>
          <w:noProof w:val="0"/>
          <w:rtl/>
        </w:rPr>
        <w:t>12 יוני 2017</w:t>
      </w:r>
      <w:r w:rsidRPr="00053154">
        <w:rPr>
          <w:rFonts w:ascii="Arial" w:hAnsi="Arial"/>
          <w:b/>
          <w:bCs/>
          <w:noProof w:val="0"/>
          <w:rtl/>
        </w:rPr>
        <w:t>, ב</w:t>
      </w:r>
      <w:r>
        <w:rPr>
          <w:rFonts w:ascii="Arial" w:hAnsi="Arial" w:hint="cs"/>
          <w:b/>
          <w:bCs/>
          <w:noProof w:val="0"/>
          <w:rtl/>
        </w:rPr>
        <w:t xml:space="preserve">מעמד </w:t>
      </w:r>
      <w:r w:rsidRPr="00053154">
        <w:rPr>
          <w:rFonts w:ascii="Arial" w:hAnsi="Arial"/>
          <w:b/>
          <w:bCs/>
          <w:noProof w:val="0"/>
          <w:rtl/>
        </w:rPr>
        <w:t>הצדדים.</w:t>
      </w:r>
    </w:p>
    <w:p w14:paraId="41CC44C0" w14:textId="77777777" w:rsidR="00A7521E" w:rsidRDefault="00A7521E" w:rsidP="00A7521E">
      <w:pPr>
        <w:spacing w:after="160" w:line="360" w:lineRule="auto"/>
        <w:jc w:val="both"/>
        <w:rPr>
          <w:rFonts w:ascii="Arial" w:hAnsi="Arial"/>
          <w:noProof w:val="0"/>
          <w:rtl/>
        </w:rPr>
      </w:pPr>
    </w:p>
    <w:p w14:paraId="5476492C" w14:textId="77777777" w:rsidR="00A7521E" w:rsidRDefault="00A7521E" w:rsidP="00A7521E">
      <w:pPr>
        <w:spacing w:after="160" w:line="360" w:lineRule="auto"/>
        <w:ind w:left="3600" w:firstLine="720"/>
        <w:jc w:val="both"/>
      </w:pPr>
      <w:r>
        <w:rPr>
          <w:rtl/>
        </w:rPr>
        <w:t xml:space="preserve">     </w:t>
      </w:r>
    </w:p>
    <w:p w14:paraId="58E20B81" w14:textId="77777777" w:rsidR="00A7521E" w:rsidRDefault="00A7521E" w:rsidP="00A7521E">
      <w:pPr>
        <w:spacing w:after="160" w:line="360" w:lineRule="auto"/>
        <w:ind w:left="3600" w:firstLine="720"/>
        <w:jc w:val="both"/>
        <w:rPr>
          <w:rFonts w:ascii="Arial" w:hAnsi="Arial"/>
          <w:noProof w:val="0"/>
          <w:rtl/>
        </w:rPr>
      </w:pPr>
    </w:p>
    <w:p w14:paraId="72E02AA1" w14:textId="77777777" w:rsidR="00A7521E" w:rsidRDefault="00A7521E" w:rsidP="00A7521E">
      <w:pPr>
        <w:spacing w:after="160" w:line="360" w:lineRule="auto"/>
        <w:jc w:val="both"/>
        <w:rPr>
          <w:rFonts w:ascii="Arial" w:hAnsi="Arial"/>
          <w:noProof w:val="0"/>
          <w:rtl/>
        </w:rPr>
      </w:pPr>
      <w:r w:rsidRPr="003F1E16">
        <w:rPr>
          <w:rFonts w:ascii="Arial" w:hAnsi="Arial" w:hint="cs"/>
          <w:b/>
          <w:bCs/>
          <w:noProof w:val="0"/>
          <w:rtl/>
        </w:rPr>
        <w:t>ב"כ המאשימה</w:t>
      </w:r>
      <w:r>
        <w:rPr>
          <w:rFonts w:ascii="Arial" w:hAnsi="Arial" w:hint="cs"/>
          <w:noProof w:val="0"/>
          <w:rtl/>
        </w:rPr>
        <w:t>:</w:t>
      </w:r>
    </w:p>
    <w:p w14:paraId="1CD0495E" w14:textId="77777777" w:rsidR="00A7521E" w:rsidRDefault="00A7521E" w:rsidP="00A7521E">
      <w:pPr>
        <w:spacing w:after="160" w:line="360" w:lineRule="auto"/>
        <w:jc w:val="both"/>
        <w:rPr>
          <w:rFonts w:ascii="Arial" w:hAnsi="Arial"/>
          <w:noProof w:val="0"/>
          <w:rtl/>
        </w:rPr>
      </w:pPr>
      <w:r>
        <w:rPr>
          <w:rFonts w:ascii="Arial" w:hAnsi="Arial" w:hint="cs"/>
          <w:noProof w:val="0"/>
          <w:rtl/>
        </w:rPr>
        <w:t>נבקש עיכוב ביצוע על עונש עבודות השל"צ למשך 45 יום על מנת שנשקול את עמדתנו.</w:t>
      </w:r>
    </w:p>
    <w:p w14:paraId="7D9B5DC2" w14:textId="77777777" w:rsidR="00A7521E" w:rsidRDefault="00A7521E" w:rsidP="00A7521E">
      <w:pPr>
        <w:spacing w:after="160" w:line="360" w:lineRule="auto"/>
        <w:jc w:val="both"/>
        <w:rPr>
          <w:rFonts w:ascii="Arial" w:hAnsi="Arial"/>
          <w:noProof w:val="0"/>
          <w:rtl/>
        </w:rPr>
      </w:pPr>
      <w:r w:rsidRPr="003F1E16">
        <w:rPr>
          <w:rFonts w:ascii="Arial" w:hAnsi="Arial" w:hint="cs"/>
          <w:b/>
          <w:bCs/>
          <w:noProof w:val="0"/>
          <w:rtl/>
        </w:rPr>
        <w:t>ב"כ הנאשם</w:t>
      </w:r>
      <w:r>
        <w:rPr>
          <w:rFonts w:ascii="Arial" w:hAnsi="Arial" w:hint="cs"/>
          <w:noProof w:val="0"/>
          <w:rtl/>
        </w:rPr>
        <w:t>:</w:t>
      </w:r>
    </w:p>
    <w:p w14:paraId="4C68C7AC" w14:textId="77777777" w:rsidR="00A7521E" w:rsidRDefault="00A7521E" w:rsidP="00A7521E">
      <w:pPr>
        <w:spacing w:after="160" w:line="360" w:lineRule="auto"/>
        <w:jc w:val="both"/>
        <w:rPr>
          <w:rFonts w:ascii="Arial" w:hAnsi="Arial"/>
          <w:noProof w:val="0"/>
          <w:rtl/>
        </w:rPr>
      </w:pPr>
      <w:r>
        <w:rPr>
          <w:rFonts w:ascii="Arial" w:hAnsi="Arial" w:hint="cs"/>
          <w:noProof w:val="0"/>
          <w:rtl/>
        </w:rPr>
        <w:t>אנחנו מתנגדים לעיכוב הביצוע. אנו לא רואים כיצד בתיק זה נוכח תסקירי שירות המבחן וכן הדברים שציין בית המשפט בגזר הדין יש מקום להגיש ערעור בתיק הזה, אולם הלכת בית המשפט העליון ידועה בעניין זה ולכן נותיר העניין לשיקול דעת בית המשפט.</w:t>
      </w:r>
    </w:p>
    <w:p w14:paraId="6AC0F669" w14:textId="77777777" w:rsidR="00A7521E" w:rsidRDefault="00A7521E" w:rsidP="00A7521E">
      <w:pPr>
        <w:spacing w:after="160" w:line="360" w:lineRule="auto"/>
        <w:jc w:val="both"/>
        <w:rPr>
          <w:rFonts w:ascii="Arial" w:hAnsi="Arial"/>
          <w:noProof w:val="0"/>
          <w:rtl/>
        </w:rPr>
      </w:pPr>
      <w:r w:rsidRPr="00F92F89">
        <w:rPr>
          <w:rFonts w:ascii="Arial" w:hAnsi="Arial" w:hint="cs"/>
          <w:b/>
          <w:bCs/>
          <w:noProof w:val="0"/>
          <w:rtl/>
        </w:rPr>
        <w:t>הנאשם</w:t>
      </w:r>
      <w:r>
        <w:rPr>
          <w:rFonts w:ascii="Arial" w:hAnsi="Arial" w:hint="cs"/>
          <w:noProof w:val="0"/>
          <w:rtl/>
        </w:rPr>
        <w:t>:</w:t>
      </w:r>
    </w:p>
    <w:p w14:paraId="07BA0DB0" w14:textId="77777777" w:rsidR="00A7521E" w:rsidRDefault="00A7521E" w:rsidP="00A7521E">
      <w:pPr>
        <w:spacing w:after="160" w:line="360" w:lineRule="auto"/>
        <w:jc w:val="both"/>
        <w:rPr>
          <w:rFonts w:ascii="Arial" w:hAnsi="Arial"/>
          <w:noProof w:val="0"/>
          <w:rtl/>
        </w:rPr>
      </w:pPr>
      <w:r>
        <w:rPr>
          <w:rFonts w:ascii="Arial" w:hAnsi="Arial" w:hint="cs"/>
          <w:noProof w:val="0"/>
          <w:rtl/>
        </w:rPr>
        <w:t>אני כמובן לוקח אחריות על הפשע שביצעתי ואני יודע שכל העיכובים לא תלויים בבית המשפט. אני לא אבכה על מצבי הכלכלי, משכנתא, שני ילדים, אשתי המפרנסת העיקרית כרגע, אבל יש לי עבודה לצאת ולעבוד במקצוע שלי ולהרוויח כפול ממה שאני מרוויח היום, ואם יינתן העיכוב כעת אני לא יכול להתחייב. מדובר בהמתנה של חודש וחצי שמעכב אותי בחזרה לשגרה.</w:t>
      </w:r>
    </w:p>
    <w:p w14:paraId="07ABCFDD" w14:textId="77777777" w:rsidR="00A7521E" w:rsidRDefault="00A7521E" w:rsidP="00A7521E">
      <w:pPr>
        <w:spacing w:after="160" w:line="360" w:lineRule="auto"/>
        <w:jc w:val="both"/>
        <w:rPr>
          <w:rFonts w:ascii="Arial" w:hAnsi="Arial"/>
          <w:noProof w:val="0"/>
          <w:rtl/>
        </w:rPr>
      </w:pPr>
      <w:r w:rsidRPr="00364355">
        <w:rPr>
          <w:rFonts w:ascii="Arial" w:hAnsi="Arial" w:hint="cs"/>
          <w:b/>
          <w:bCs/>
          <w:noProof w:val="0"/>
          <w:rtl/>
        </w:rPr>
        <w:t>ב"כ הנאשם</w:t>
      </w:r>
      <w:r>
        <w:rPr>
          <w:rFonts w:ascii="Arial" w:hAnsi="Arial" w:hint="cs"/>
          <w:noProof w:val="0"/>
          <w:rtl/>
        </w:rPr>
        <w:t>:</w:t>
      </w:r>
    </w:p>
    <w:p w14:paraId="65520A3B" w14:textId="77777777" w:rsidR="00A7521E" w:rsidRDefault="00A7521E" w:rsidP="00A7521E">
      <w:pPr>
        <w:spacing w:after="160" w:line="360" w:lineRule="auto"/>
        <w:jc w:val="both"/>
        <w:rPr>
          <w:rFonts w:ascii="Arial" w:hAnsi="Arial"/>
          <w:noProof w:val="0"/>
          <w:rtl/>
        </w:rPr>
      </w:pPr>
      <w:r>
        <w:rPr>
          <w:rFonts w:ascii="Arial" w:hAnsi="Arial" w:hint="cs"/>
          <w:noProof w:val="0"/>
          <w:rtl/>
        </w:rPr>
        <w:t>אבקש כי המאשימה תעדכן אותנו בהקדם האם בכוונתה להגיש ערעור בתיק זה.</w:t>
      </w:r>
    </w:p>
    <w:p w14:paraId="175F5513" w14:textId="77777777" w:rsidR="00A7521E" w:rsidRDefault="00A7521E" w:rsidP="00A7521E">
      <w:pPr>
        <w:spacing w:after="160" w:line="360" w:lineRule="auto"/>
        <w:jc w:val="both"/>
        <w:rPr>
          <w:rFonts w:ascii="Arial" w:hAnsi="Arial"/>
          <w:noProof w:val="0"/>
          <w:rtl/>
        </w:rPr>
      </w:pPr>
      <w:r w:rsidRPr="00364355">
        <w:rPr>
          <w:rFonts w:ascii="Arial" w:hAnsi="Arial" w:hint="cs"/>
          <w:b/>
          <w:bCs/>
          <w:noProof w:val="0"/>
          <w:rtl/>
        </w:rPr>
        <w:t>ב"כ המאשימה</w:t>
      </w:r>
      <w:r>
        <w:rPr>
          <w:rFonts w:ascii="Arial" w:hAnsi="Arial" w:hint="cs"/>
          <w:noProof w:val="0"/>
          <w:rtl/>
        </w:rPr>
        <w:t>:</w:t>
      </w:r>
    </w:p>
    <w:p w14:paraId="3F4F7300" w14:textId="77777777" w:rsidR="00A7521E" w:rsidRDefault="00A7521E" w:rsidP="00A7521E">
      <w:pPr>
        <w:spacing w:after="160" w:line="360" w:lineRule="auto"/>
        <w:jc w:val="both"/>
        <w:rPr>
          <w:rFonts w:ascii="Arial" w:hAnsi="Arial"/>
          <w:noProof w:val="0"/>
          <w:rtl/>
        </w:rPr>
      </w:pPr>
      <w:r>
        <w:rPr>
          <w:rFonts w:ascii="Arial" w:hAnsi="Arial" w:hint="cs"/>
          <w:noProof w:val="0"/>
          <w:rtl/>
        </w:rPr>
        <w:t>אני אעדכן את בית המשפט ואת באת כח הנאשם מוקדם ככל הניתן.</w:t>
      </w:r>
    </w:p>
    <w:p w14:paraId="65FB8A35" w14:textId="77777777" w:rsidR="00A7521E" w:rsidRPr="00F92F89" w:rsidRDefault="004F21C1" w:rsidP="00A7521E">
      <w:pPr>
        <w:pStyle w:val="1"/>
        <w:jc w:val="center"/>
        <w:rPr>
          <w:rFonts w:cs="David"/>
          <w:color w:val="auto"/>
          <w:rtl/>
        </w:rPr>
      </w:pPr>
      <w:r w:rsidRPr="004F21C1">
        <w:rPr>
          <w:rFonts w:cs="David"/>
          <w:color w:val="FFFFFF"/>
          <w:sz w:val="2"/>
          <w:szCs w:val="2"/>
          <w:rtl/>
        </w:rPr>
        <w:t>5129371</w:t>
      </w:r>
      <w:r w:rsidR="00A7521E" w:rsidRPr="00F92F89">
        <w:rPr>
          <w:rFonts w:cs="David" w:hint="eastAsia"/>
          <w:color w:val="auto"/>
          <w:rtl/>
        </w:rPr>
        <w:t>החלטה</w:t>
      </w:r>
    </w:p>
    <w:p w14:paraId="7DF210D5" w14:textId="77777777" w:rsidR="00A7521E" w:rsidRPr="004F21C1" w:rsidRDefault="004F21C1" w:rsidP="00A7521E">
      <w:pPr>
        <w:suppressLineNumbers/>
        <w:spacing w:line="360" w:lineRule="auto"/>
        <w:jc w:val="both"/>
        <w:rPr>
          <w:b/>
          <w:bCs/>
          <w:color w:val="FFFFFF"/>
          <w:sz w:val="2"/>
          <w:szCs w:val="2"/>
          <w:rtl/>
        </w:rPr>
      </w:pPr>
      <w:r w:rsidRPr="004F21C1">
        <w:rPr>
          <w:b/>
          <w:bCs/>
          <w:color w:val="FFFFFF"/>
          <w:sz w:val="2"/>
          <w:szCs w:val="2"/>
          <w:rtl/>
        </w:rPr>
        <w:t>54678313</w:t>
      </w:r>
    </w:p>
    <w:p w14:paraId="4A7CA5B4" w14:textId="77777777" w:rsidR="00A7521E" w:rsidRDefault="00A7521E" w:rsidP="00A7521E">
      <w:pPr>
        <w:suppressLineNumbers/>
        <w:spacing w:line="360" w:lineRule="auto"/>
        <w:jc w:val="both"/>
        <w:rPr>
          <w:b/>
          <w:bCs/>
          <w:rtl/>
        </w:rPr>
      </w:pPr>
      <w:r>
        <w:rPr>
          <w:rFonts w:hint="cs"/>
          <w:b/>
          <w:bCs/>
          <w:rtl/>
        </w:rPr>
        <w:t xml:space="preserve">על </w:t>
      </w:r>
      <w:r>
        <w:rPr>
          <w:b/>
          <w:bCs/>
          <w:rtl/>
        </w:rPr>
        <w:t xml:space="preserve">מנת לאפשר </w:t>
      </w:r>
      <w:r>
        <w:rPr>
          <w:rFonts w:hint="cs"/>
          <w:b/>
          <w:bCs/>
          <w:rtl/>
        </w:rPr>
        <w:t xml:space="preserve">למאשימה </w:t>
      </w:r>
      <w:r>
        <w:rPr>
          <w:b/>
          <w:bCs/>
          <w:rtl/>
        </w:rPr>
        <w:t xml:space="preserve"> </w:t>
      </w:r>
      <w:r>
        <w:rPr>
          <w:rFonts w:hint="cs"/>
          <w:b/>
          <w:bCs/>
          <w:rtl/>
        </w:rPr>
        <w:t>לשקול הגשת ערעור</w:t>
      </w:r>
      <w:r>
        <w:rPr>
          <w:b/>
          <w:bCs/>
          <w:rtl/>
        </w:rPr>
        <w:t xml:space="preserve"> על </w:t>
      </w:r>
      <w:r>
        <w:rPr>
          <w:rFonts w:hint="cs"/>
          <w:b/>
          <w:bCs/>
          <w:rtl/>
        </w:rPr>
        <w:t>רכיב השל"צ שהושת על הנאשם</w:t>
      </w:r>
      <w:r>
        <w:rPr>
          <w:b/>
          <w:bCs/>
          <w:rtl/>
        </w:rPr>
        <w:t xml:space="preserve"> ועל מנת שלא ל</w:t>
      </w:r>
      <w:r>
        <w:rPr>
          <w:rFonts w:hint="cs"/>
          <w:b/>
          <w:bCs/>
          <w:rtl/>
        </w:rPr>
        <w:t xml:space="preserve">העמיד את ערכאת הערעור בפני עובדה מוגמרת, הנני </w:t>
      </w:r>
      <w:r>
        <w:rPr>
          <w:rFonts w:hint="eastAsia"/>
          <w:b/>
          <w:bCs/>
          <w:rtl/>
        </w:rPr>
        <w:t>מורה</w:t>
      </w:r>
      <w:r>
        <w:rPr>
          <w:b/>
          <w:bCs/>
          <w:rtl/>
        </w:rPr>
        <w:t xml:space="preserve"> על עיכוב ביצוע </w:t>
      </w:r>
      <w:r>
        <w:rPr>
          <w:rFonts w:hint="cs"/>
          <w:b/>
          <w:bCs/>
          <w:rtl/>
        </w:rPr>
        <w:t>רכיב עונש השל"צ וזאת למשך 45 יום מהיום.</w:t>
      </w:r>
    </w:p>
    <w:p w14:paraId="2AEDBAA4" w14:textId="77777777" w:rsidR="00A7521E" w:rsidRDefault="00A7521E" w:rsidP="00A7521E">
      <w:pPr>
        <w:suppressLineNumbers/>
        <w:spacing w:line="360" w:lineRule="auto"/>
        <w:jc w:val="both"/>
        <w:rPr>
          <w:b/>
          <w:bCs/>
          <w:rtl/>
        </w:rPr>
      </w:pPr>
    </w:p>
    <w:p w14:paraId="7D1DEDA8" w14:textId="77777777" w:rsidR="00A7521E" w:rsidRDefault="004F21C1" w:rsidP="00A7521E">
      <w:pPr>
        <w:suppressLineNumbers/>
        <w:spacing w:line="360" w:lineRule="auto"/>
        <w:jc w:val="both"/>
        <w:rPr>
          <w:rtl/>
        </w:rPr>
      </w:pPr>
      <w:r>
        <w:rPr>
          <w:b/>
          <w:bCs/>
          <w:rtl/>
        </w:rPr>
        <w:t xml:space="preserve">ניתנה היום, י"ח סיוון תשע"ז, 12/6/17,  במעמד הצדדים. </w:t>
      </w:r>
    </w:p>
    <w:p w14:paraId="00333C33" w14:textId="77777777" w:rsidR="00A7521E" w:rsidRPr="00364355" w:rsidRDefault="00A7521E" w:rsidP="00A7521E">
      <w:pPr>
        <w:spacing w:line="360" w:lineRule="auto"/>
        <w:jc w:val="both"/>
        <w:rPr>
          <w:rtl/>
        </w:rPr>
      </w:pPr>
      <w:r>
        <w:rPr>
          <w:rtl/>
        </w:rPr>
        <w:t xml:space="preserve">                                                                                </w:t>
      </w:r>
    </w:p>
    <w:p w14:paraId="48990EE0" w14:textId="77777777" w:rsidR="004F21C1" w:rsidRPr="004F21C1" w:rsidRDefault="004F21C1" w:rsidP="004F21C1">
      <w:pPr>
        <w:keepNext/>
        <w:rPr>
          <w:rFonts w:ascii="David" w:hAnsi="David"/>
          <w:color w:val="000000"/>
          <w:sz w:val="22"/>
          <w:szCs w:val="22"/>
          <w:rtl/>
        </w:rPr>
      </w:pPr>
    </w:p>
    <w:p w14:paraId="32DC7082" w14:textId="77777777" w:rsidR="004F21C1" w:rsidRPr="004F21C1" w:rsidRDefault="004F21C1" w:rsidP="004F21C1">
      <w:pPr>
        <w:keepNext/>
        <w:rPr>
          <w:rFonts w:ascii="David" w:hAnsi="David"/>
          <w:color w:val="000000"/>
          <w:sz w:val="22"/>
          <w:szCs w:val="22"/>
          <w:rtl/>
        </w:rPr>
      </w:pPr>
      <w:r w:rsidRPr="004F21C1">
        <w:rPr>
          <w:rFonts w:ascii="David" w:hAnsi="David"/>
          <w:color w:val="000000"/>
          <w:sz w:val="22"/>
          <w:szCs w:val="22"/>
          <w:rtl/>
        </w:rPr>
        <w:t>הה ד''ר נגה שמואלי מאייר 54678313</w:t>
      </w:r>
    </w:p>
    <w:p w14:paraId="4DD4F7E1" w14:textId="77777777" w:rsidR="004F21C1" w:rsidRDefault="004F21C1" w:rsidP="004F21C1">
      <w:r w:rsidRPr="004F21C1">
        <w:rPr>
          <w:color w:val="000000"/>
          <w:rtl/>
        </w:rPr>
        <w:t>נוסח מסמך זה כפוף לשינויי ניסוח ועריכה</w:t>
      </w:r>
    </w:p>
    <w:p w14:paraId="7E36459B" w14:textId="77777777" w:rsidR="004F21C1" w:rsidRDefault="004F21C1" w:rsidP="004F21C1">
      <w:pPr>
        <w:rPr>
          <w:rtl/>
        </w:rPr>
      </w:pPr>
    </w:p>
    <w:p w14:paraId="03194778" w14:textId="77777777" w:rsidR="004F21C1" w:rsidRDefault="004F21C1" w:rsidP="004F21C1">
      <w:pPr>
        <w:jc w:val="center"/>
        <w:rPr>
          <w:color w:val="0000FF"/>
          <w:u w:val="single"/>
        </w:rPr>
      </w:pPr>
      <w:hyperlink r:id="rId45" w:history="1">
        <w:r>
          <w:rPr>
            <w:color w:val="0000FF"/>
            <w:u w:val="single"/>
            <w:rtl/>
          </w:rPr>
          <w:t>בעניין עריכה ושינויים במסמכי פסיקה, חקיקה ועוד באתר נבו – הקש כאן</w:t>
        </w:r>
      </w:hyperlink>
    </w:p>
    <w:p w14:paraId="7BD77951" w14:textId="77777777" w:rsidR="002D7B2F" w:rsidRPr="004F21C1" w:rsidRDefault="002D7B2F" w:rsidP="004F21C1">
      <w:pPr>
        <w:jc w:val="center"/>
        <w:rPr>
          <w:color w:val="0000FF"/>
          <w:u w:val="single"/>
        </w:rPr>
      </w:pPr>
    </w:p>
    <w:sectPr w:rsidR="002D7B2F" w:rsidRPr="004F21C1" w:rsidSect="004F21C1">
      <w:headerReference w:type="even" r:id="rId46"/>
      <w:headerReference w:type="default" r:id="rId47"/>
      <w:footerReference w:type="even" r:id="rId48"/>
      <w:footerReference w:type="default" r:id="rId49"/>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1D0FFB" w14:textId="77777777" w:rsidR="002460F3" w:rsidRDefault="002460F3">
      <w:r>
        <w:separator/>
      </w:r>
    </w:p>
  </w:endnote>
  <w:endnote w:type="continuationSeparator" w:id="0">
    <w:p w14:paraId="62723F8A" w14:textId="77777777" w:rsidR="002460F3" w:rsidRDefault="00246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14105" w14:textId="77777777" w:rsidR="002460F3" w:rsidRDefault="002460F3" w:rsidP="004F21C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49F85706" w14:textId="77777777" w:rsidR="002460F3" w:rsidRPr="004F21C1" w:rsidRDefault="002460F3" w:rsidP="004F21C1">
    <w:pPr>
      <w:pStyle w:val="a5"/>
      <w:pBdr>
        <w:top w:val="single" w:sz="4" w:space="1" w:color="auto"/>
        <w:between w:val="single" w:sz="4" w:space="0" w:color="auto"/>
      </w:pBdr>
      <w:spacing w:after="60"/>
      <w:jc w:val="center"/>
      <w:rPr>
        <w:rFonts w:ascii="FrankRuehl" w:hAnsi="FrankRuehl" w:cs="FrankRuehl"/>
        <w:color w:val="000000"/>
      </w:rPr>
    </w:pPr>
    <w:r w:rsidRPr="004F21C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3F0F6B" w14:textId="77777777" w:rsidR="002460F3" w:rsidRDefault="002460F3" w:rsidP="004F21C1">
    <w:pPr>
      <w:pStyle w:val="a5"/>
      <w:jc w:val="center"/>
      <w:rPr>
        <w:rStyle w:val="a8"/>
        <w:rFonts w:ascii="FrankRuehl" w:hAnsi="FrankRuehl" w:cs="FrankRueh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BE7AA9">
      <w:rPr>
        <w:rStyle w:val="a8"/>
        <w:rFonts w:ascii="FrankRuehl" w:hAnsi="FrankRuehl" w:cs="FrankRuehl"/>
        <w:rtl/>
      </w:rPr>
      <w:t>1</w:t>
    </w:r>
    <w:r>
      <w:rPr>
        <w:rStyle w:val="a8"/>
        <w:rFonts w:ascii="FrankRuehl" w:hAnsi="FrankRuehl" w:cs="FrankRuehl"/>
        <w:rtl/>
      </w:rPr>
      <w:fldChar w:fldCharType="end"/>
    </w:r>
  </w:p>
  <w:p w14:paraId="1E3F4E5F" w14:textId="77777777" w:rsidR="002460F3" w:rsidRPr="004F21C1" w:rsidRDefault="002460F3" w:rsidP="004F21C1">
    <w:pPr>
      <w:pStyle w:val="a5"/>
      <w:pBdr>
        <w:top w:val="single" w:sz="4" w:space="1" w:color="auto"/>
        <w:between w:val="single" w:sz="4" w:space="0" w:color="auto"/>
      </w:pBdr>
      <w:spacing w:after="60"/>
      <w:jc w:val="center"/>
      <w:rPr>
        <w:rStyle w:val="a8"/>
        <w:rFonts w:ascii="FrankRuehl" w:hAnsi="FrankRuehl" w:cs="FrankRuehl" w:hint="cs"/>
        <w:color w:val="000000"/>
      </w:rPr>
    </w:pPr>
    <w:r w:rsidRPr="004F21C1">
      <w:rPr>
        <w:rStyle w:val="a8"/>
        <w:rFonts w:ascii="FrankRuehl" w:hAnsi="FrankRuehl" w:cs="FrankRuehl" w:hint="cs"/>
        <w:color w:val="000000"/>
      </w:rPr>
      <w:pict w14:anchorId="522B64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D0A32E" w14:textId="77777777" w:rsidR="002460F3" w:rsidRDefault="002460F3">
      <w:r>
        <w:separator/>
      </w:r>
    </w:p>
  </w:footnote>
  <w:footnote w:type="continuationSeparator" w:id="0">
    <w:p w14:paraId="530B3207" w14:textId="77777777" w:rsidR="002460F3" w:rsidRDefault="002460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BCB4CC" w14:textId="77777777" w:rsidR="002460F3" w:rsidRPr="004F21C1" w:rsidRDefault="002460F3" w:rsidP="004F21C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65260-11-15</w:t>
    </w:r>
    <w:r>
      <w:rPr>
        <w:rFonts w:ascii="David" w:hAnsi="David"/>
        <w:color w:val="000000"/>
        <w:sz w:val="22"/>
        <w:szCs w:val="22"/>
        <w:rtl/>
      </w:rPr>
      <w:tab/>
      <w:t xml:space="preserve"> מדינת ישראל נ' עמית ליבנה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0384AD" w14:textId="77777777" w:rsidR="002460F3" w:rsidRPr="004F21C1" w:rsidRDefault="002460F3" w:rsidP="004F21C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65260-11-15</w:t>
    </w:r>
    <w:r>
      <w:rPr>
        <w:rFonts w:ascii="David" w:hAnsi="David"/>
        <w:color w:val="000000"/>
        <w:sz w:val="22"/>
        <w:szCs w:val="22"/>
        <w:rtl/>
      </w:rPr>
      <w:tab/>
      <w:t xml:space="preserve"> מדינת ישראל נ' עמית ליבנה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124E5A"/>
    <w:multiLevelType w:val="hybridMultilevel"/>
    <w:tmpl w:val="ABAC6172"/>
    <w:lvl w:ilvl="0" w:tplc="D70C7376">
      <w:start w:val="1"/>
      <w:numFmt w:val="hebrew1"/>
      <w:lvlText w:val="%1."/>
      <w:lvlJc w:val="center"/>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D277F34"/>
    <w:multiLevelType w:val="hybridMultilevel"/>
    <w:tmpl w:val="9AB6A222"/>
    <w:lvl w:ilvl="0" w:tplc="0409000F">
      <w:start w:val="1"/>
      <w:numFmt w:val="decimal"/>
      <w:lvlText w:val="%1."/>
      <w:lvlJc w:val="left"/>
      <w:pPr>
        <w:ind w:left="662" w:hanging="360"/>
      </w:pPr>
    </w:lvl>
    <w:lvl w:ilvl="1" w:tplc="04090019">
      <w:start w:val="1"/>
      <w:numFmt w:val="lowerLetter"/>
      <w:lvlText w:val="%2."/>
      <w:lvlJc w:val="left"/>
      <w:pPr>
        <w:ind w:left="1382" w:hanging="360"/>
      </w:pPr>
    </w:lvl>
    <w:lvl w:ilvl="2" w:tplc="0409001B">
      <w:start w:val="1"/>
      <w:numFmt w:val="lowerRoman"/>
      <w:lvlText w:val="%3."/>
      <w:lvlJc w:val="right"/>
      <w:pPr>
        <w:ind w:left="2102" w:hanging="180"/>
      </w:pPr>
    </w:lvl>
    <w:lvl w:ilvl="3" w:tplc="0409000F">
      <w:start w:val="1"/>
      <w:numFmt w:val="decimal"/>
      <w:lvlText w:val="%4."/>
      <w:lvlJc w:val="left"/>
      <w:pPr>
        <w:ind w:left="2822" w:hanging="360"/>
      </w:pPr>
    </w:lvl>
    <w:lvl w:ilvl="4" w:tplc="04090019">
      <w:start w:val="1"/>
      <w:numFmt w:val="lowerLetter"/>
      <w:lvlText w:val="%5."/>
      <w:lvlJc w:val="left"/>
      <w:pPr>
        <w:ind w:left="3542" w:hanging="360"/>
      </w:pPr>
    </w:lvl>
    <w:lvl w:ilvl="5" w:tplc="0409001B">
      <w:start w:val="1"/>
      <w:numFmt w:val="lowerRoman"/>
      <w:lvlText w:val="%6."/>
      <w:lvlJc w:val="right"/>
      <w:pPr>
        <w:ind w:left="4262" w:hanging="180"/>
      </w:pPr>
    </w:lvl>
    <w:lvl w:ilvl="6" w:tplc="0409000F">
      <w:start w:val="1"/>
      <w:numFmt w:val="decimal"/>
      <w:lvlText w:val="%7."/>
      <w:lvlJc w:val="left"/>
      <w:pPr>
        <w:ind w:left="4982" w:hanging="360"/>
      </w:pPr>
    </w:lvl>
    <w:lvl w:ilvl="7" w:tplc="04090019">
      <w:start w:val="1"/>
      <w:numFmt w:val="lowerLetter"/>
      <w:lvlText w:val="%8."/>
      <w:lvlJc w:val="left"/>
      <w:pPr>
        <w:ind w:left="5702" w:hanging="360"/>
      </w:pPr>
    </w:lvl>
    <w:lvl w:ilvl="8" w:tplc="0409001B">
      <w:start w:val="1"/>
      <w:numFmt w:val="lowerRoman"/>
      <w:lvlText w:val="%9."/>
      <w:lvlJc w:val="right"/>
      <w:pPr>
        <w:ind w:left="6422" w:hanging="180"/>
      </w:pPr>
    </w:lvl>
  </w:abstractNum>
  <w:abstractNum w:abstractNumId="2" w15:restartNumberingAfterBreak="0">
    <w:nsid w:val="633E1DE5"/>
    <w:multiLevelType w:val="hybridMultilevel"/>
    <w:tmpl w:val="CCD2444A"/>
    <w:lvl w:ilvl="0" w:tplc="39F60BB0">
      <w:start w:val="1"/>
      <w:numFmt w:val="hebrew1"/>
      <w:lvlText w:val="%1."/>
      <w:lvlJc w:val="center"/>
      <w:pPr>
        <w:ind w:left="720" w:hanging="360"/>
      </w:pPr>
      <w:rPr>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49580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900090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490295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4098"/>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7521E"/>
    <w:rsid w:val="002460F3"/>
    <w:rsid w:val="002D7B2F"/>
    <w:rsid w:val="00317E12"/>
    <w:rsid w:val="004F21C1"/>
    <w:rsid w:val="008F1B28"/>
    <w:rsid w:val="00A7521E"/>
    <w:rsid w:val="00A75DBA"/>
    <w:rsid w:val="00AF0395"/>
    <w:rsid w:val="00BA16A0"/>
    <w:rsid w:val="00BE7AA9"/>
    <w:rsid w:val="00F66A97"/>
    <w:rsid w:val="00F674CF"/>
  </w:rsids>
  <m:mathPr>
    <m:mathFont m:val="Cambria Math"/>
    <m:brkBin m:val="before"/>
    <m:brkBinSub m:val="--"/>
    <m:smallFrac m:val="0"/>
    <m:dispDef/>
    <m:lMargin m:val="0"/>
    <m:rMargin m:val="0"/>
    <m:defJc m:val="centerGroup"/>
    <m:wrapIndent m:val="1440"/>
    <m:intLim m:val="subSup"/>
    <m:naryLim m:val="undOvr"/>
  </m:mathPr>
  <w:attachedSchema w:val="http://schemas.microsoft.com/office/word/2010/wordprocessingCanvas"/>
  <w:attachedSchema w:val="http://schemas.microsoft.com/office/drawing/2014/chartex"/>
  <w:attachedSchema w:val="http://schemas.microsoft.com/office/drawing/2015/9/8/chartex"/>
  <w:attachedSchema w:val="http://schemas.microsoft.com/office/drawing/2015/10/21/chartex"/>
  <w:attachedSchema w:val="http://schemas.microsoft.com/office/drawing/2016/5/9/chartex"/>
  <w:attachedSchema w:val="http://schemas.microsoft.com/office/drawing/2016/5/10/chartex"/>
  <w:attachedSchema w:val="http://schemas.microsoft.com/office/drawing/2016/5/11/chartex"/>
  <w:attachedSchema w:val="http://schemas.microsoft.com/office/drawing/2016/5/12/chartex"/>
  <w:attachedSchema w:val="http://schemas.microsoft.com/office/drawing/2016/5/13/chartex"/>
  <w:attachedSchema w:val="http://schemas.microsoft.com/office/drawing/2016/5/14/chartex"/>
  <w:attachedSchema w:val="http://schemas.openxmlformats.org/markup-compatibility/2006"/>
  <w:attachedSchema w:val="http://schemas.microsoft.com/office/drawing/2016/ink"/>
  <w:attachedSchema w:val="http://schemas.microsoft.com/office/drawing/2017/model3d"/>
  <w:attachedSchema w:val="http://schemas.microsoft.com/office/word/2006/wordml"/>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4:docId w14:val="0FC4C38F"/>
  <w15:chartTrackingRefBased/>
  <w15:docId w15:val="{E50912B8-F1B0-4A2C-BE17-85A28E4AF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7521E"/>
    <w:pPr>
      <w:bidi/>
    </w:pPr>
    <w:rPr>
      <w:rFonts w:ascii="Times New Roman" w:eastAsia="Times New Roman" w:hAnsi="Times New Roman" w:cs="David"/>
      <w:noProof/>
      <w:sz w:val="24"/>
      <w:szCs w:val="24"/>
    </w:rPr>
  </w:style>
  <w:style w:type="paragraph" w:styleId="1">
    <w:name w:val="heading 1"/>
    <w:basedOn w:val="a"/>
    <w:next w:val="a"/>
    <w:link w:val="10"/>
    <w:qFormat/>
    <w:rsid w:val="00A7521E"/>
    <w:pPr>
      <w:keepNext/>
      <w:keepLines/>
      <w:spacing w:before="240"/>
      <w:outlineLvl w:val="0"/>
    </w:pPr>
    <w:rPr>
      <w:rFonts w:ascii="Cambria" w:hAnsi="Cambria" w:cs="Times New Roman"/>
      <w:color w:val="365F91"/>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10">
    <w:name w:val="כותרת 1 תו"/>
    <w:link w:val="1"/>
    <w:rsid w:val="00A7521E"/>
    <w:rPr>
      <w:rFonts w:ascii="Cambria" w:eastAsia="Times New Roman" w:hAnsi="Cambria" w:cs="Times New Roman"/>
      <w:noProof/>
      <w:color w:val="365F91"/>
      <w:sz w:val="32"/>
      <w:szCs w:val="32"/>
    </w:rPr>
  </w:style>
  <w:style w:type="paragraph" w:styleId="a3">
    <w:name w:val="header"/>
    <w:basedOn w:val="a"/>
    <w:link w:val="a4"/>
    <w:rsid w:val="00A7521E"/>
    <w:pPr>
      <w:tabs>
        <w:tab w:val="center" w:pos="4153"/>
        <w:tab w:val="right" w:pos="8306"/>
      </w:tabs>
    </w:pPr>
  </w:style>
  <w:style w:type="character" w:customStyle="1" w:styleId="a4">
    <w:name w:val="כותרת עליונה תו"/>
    <w:link w:val="a3"/>
    <w:rsid w:val="00A7521E"/>
    <w:rPr>
      <w:rFonts w:ascii="Times New Roman" w:eastAsia="Times New Roman" w:hAnsi="Times New Roman" w:cs="David"/>
      <w:noProof/>
      <w:sz w:val="24"/>
      <w:szCs w:val="24"/>
    </w:rPr>
  </w:style>
  <w:style w:type="paragraph" w:styleId="a5">
    <w:name w:val="footer"/>
    <w:basedOn w:val="a"/>
    <w:link w:val="a6"/>
    <w:rsid w:val="00A7521E"/>
    <w:pPr>
      <w:tabs>
        <w:tab w:val="center" w:pos="4153"/>
        <w:tab w:val="right" w:pos="8306"/>
      </w:tabs>
    </w:pPr>
  </w:style>
  <w:style w:type="character" w:customStyle="1" w:styleId="a6">
    <w:name w:val="כותרת תחתונה תו"/>
    <w:link w:val="a5"/>
    <w:rsid w:val="00A7521E"/>
    <w:rPr>
      <w:rFonts w:ascii="Times New Roman" w:eastAsia="Times New Roman" w:hAnsi="Times New Roman" w:cs="David"/>
      <w:noProof/>
      <w:sz w:val="24"/>
      <w:szCs w:val="24"/>
    </w:rPr>
  </w:style>
  <w:style w:type="table" w:styleId="a7">
    <w:name w:val="Table Grid"/>
    <w:basedOn w:val="a1"/>
    <w:rsid w:val="00A7521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7521E"/>
  </w:style>
  <w:style w:type="paragraph" w:customStyle="1" w:styleId="ListParagraph">
    <w:name w:val="List Paragraph"/>
    <w:basedOn w:val="a"/>
    <w:rsid w:val="00A7521E"/>
    <w:pPr>
      <w:spacing w:after="160" w:line="360" w:lineRule="auto"/>
      <w:ind w:left="720" w:hanging="357"/>
      <w:contextualSpacing/>
      <w:jc w:val="both"/>
    </w:pPr>
    <w:rPr>
      <w:rFonts w:ascii="Calibri" w:eastAsia="Calibri" w:hAnsi="Calibri"/>
      <w:noProof w:val="0"/>
    </w:rPr>
  </w:style>
  <w:style w:type="character" w:styleId="Hyperlink">
    <w:name w:val="Hyperlink"/>
    <w:basedOn w:val="a0"/>
    <w:rsid w:val="004F21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3" TargetMode="External"/><Relationship Id="rId18" Type="http://schemas.openxmlformats.org/officeDocument/2006/relationships/hyperlink" Target="http://www.nevo.co.il/law/4216/6" TargetMode="External"/><Relationship Id="rId26" Type="http://schemas.openxmlformats.org/officeDocument/2006/relationships/hyperlink" Target="http://www.nevo.co.il/law/70301/40c.b" TargetMode="External"/><Relationship Id="rId39" Type="http://schemas.openxmlformats.org/officeDocument/2006/relationships/hyperlink" Target="http://www.nevo.co.il/case/20604405" TargetMode="External"/><Relationship Id="rId21" Type="http://schemas.openxmlformats.org/officeDocument/2006/relationships/hyperlink" Target="http://www.nevo.co.il/case/20707362" TargetMode="External"/><Relationship Id="rId34" Type="http://schemas.openxmlformats.org/officeDocument/2006/relationships/hyperlink" Target="http://www.nevo.co.il/law/70301/40d.a" TargetMode="External"/><Relationship Id="rId42" Type="http://schemas.openxmlformats.org/officeDocument/2006/relationships/hyperlink" Target="http://www.nevo.co.il/case/13049328"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11269559" TargetMode="External"/><Relationship Id="rId11" Type="http://schemas.openxmlformats.org/officeDocument/2006/relationships/hyperlink" Target="http://www.nevo.co.il/law/70301/40d.a" TargetMode="External"/><Relationship Id="rId24" Type="http://schemas.openxmlformats.org/officeDocument/2006/relationships/hyperlink" Target="http://www.nevo.co.il/case/20632055" TargetMode="External"/><Relationship Id="rId32" Type="http://schemas.openxmlformats.org/officeDocument/2006/relationships/hyperlink" Target="http://www.nevo.co.il/law/70301/40d.a" TargetMode="External"/><Relationship Id="rId37" Type="http://schemas.openxmlformats.org/officeDocument/2006/relationships/hyperlink" Target="http://www.nevo.co.il/case/20145219" TargetMode="External"/><Relationship Id="rId40" Type="http://schemas.openxmlformats.org/officeDocument/2006/relationships/hyperlink" Target="http://www.nevo.co.il/case/22116728" TargetMode="External"/><Relationship Id="rId45"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20159091" TargetMode="External"/><Relationship Id="rId28" Type="http://schemas.openxmlformats.org/officeDocument/2006/relationships/hyperlink" Target="http://www.nevo.co.il/law/70301/40ja" TargetMode="External"/><Relationship Id="rId36" Type="http://schemas.openxmlformats.org/officeDocument/2006/relationships/hyperlink" Target="http://www.nevo.co.il/case/10459128" TargetMode="External"/><Relationship Id="rId49" Type="http://schemas.openxmlformats.org/officeDocument/2006/relationships/footer" Target="footer2.xml"/><Relationship Id="rId10" Type="http://schemas.openxmlformats.org/officeDocument/2006/relationships/hyperlink" Target="http://www.nevo.co.il/law/70301/40c.b" TargetMode="External"/><Relationship Id="rId19" Type="http://schemas.openxmlformats.org/officeDocument/2006/relationships/hyperlink" Target="http://www.nevo.co.il/case/20632055" TargetMode="External"/><Relationship Id="rId31" Type="http://schemas.openxmlformats.org/officeDocument/2006/relationships/hyperlink" Target="http://www.nevo.co.il/law/70301" TargetMode="External"/><Relationship Id="rId44"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4216/6" TargetMode="External"/><Relationship Id="rId22" Type="http://schemas.openxmlformats.org/officeDocument/2006/relationships/hyperlink" Target="http://www.nevo.co.il/case/18107527"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40ja.3" TargetMode="External"/><Relationship Id="rId35" Type="http://schemas.openxmlformats.org/officeDocument/2006/relationships/hyperlink" Target="http://www.nevo.co.il/law/70301" TargetMode="External"/><Relationship Id="rId43" Type="http://schemas.openxmlformats.org/officeDocument/2006/relationships/hyperlink" Target="http://www.nevo.co.il/case/16922781" TargetMode="External"/><Relationship Id="rId48" Type="http://schemas.openxmlformats.org/officeDocument/2006/relationships/footer" Target="footer1.xml"/><Relationship Id="rId8" Type="http://schemas.openxmlformats.org/officeDocument/2006/relationships/hyperlink" Target="http://www.nevo.co.il/law/4216/6"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40ja" TargetMode="External"/><Relationship Id="rId17" Type="http://schemas.openxmlformats.org/officeDocument/2006/relationships/hyperlink" Target="http://www.nevo.co.il/case/18119161" TargetMode="External"/><Relationship Id="rId25" Type="http://schemas.openxmlformats.org/officeDocument/2006/relationships/hyperlink" Target="http://www.nevo.co.il/case/20515909"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20632055" TargetMode="External"/><Relationship Id="rId46" Type="http://schemas.openxmlformats.org/officeDocument/2006/relationships/header" Target="header1.xml"/><Relationship Id="rId20" Type="http://schemas.openxmlformats.org/officeDocument/2006/relationships/hyperlink" Target="http://www.nevo.co.il/case/20881083" TargetMode="External"/><Relationship Id="rId41" Type="http://schemas.openxmlformats.org/officeDocument/2006/relationships/hyperlink" Target="http://www.nevo.co.il/case/13062195"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4112</Words>
  <Characters>20560</Characters>
  <Application>Microsoft Office Word</Application>
  <DocSecurity>0</DocSecurity>
  <Lines>171</Lines>
  <Paragraphs>49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24623</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8257637</vt:i4>
      </vt:variant>
      <vt:variant>
        <vt:i4>111</vt:i4>
      </vt:variant>
      <vt:variant>
        <vt:i4>0</vt:i4>
      </vt:variant>
      <vt:variant>
        <vt:i4>5</vt:i4>
      </vt:variant>
      <vt:variant>
        <vt:lpwstr>http://www.nevo.co.il/law/4216</vt:lpwstr>
      </vt:variant>
      <vt:variant>
        <vt:lpwstr/>
      </vt:variant>
      <vt:variant>
        <vt:i4>3276919</vt:i4>
      </vt:variant>
      <vt:variant>
        <vt:i4>108</vt:i4>
      </vt:variant>
      <vt:variant>
        <vt:i4>0</vt:i4>
      </vt:variant>
      <vt:variant>
        <vt:i4>5</vt:i4>
      </vt:variant>
      <vt:variant>
        <vt:lpwstr>http://www.nevo.co.il/case/16922781</vt:lpwstr>
      </vt:variant>
      <vt:variant>
        <vt:lpwstr/>
      </vt:variant>
      <vt:variant>
        <vt:i4>3801200</vt:i4>
      </vt:variant>
      <vt:variant>
        <vt:i4>105</vt:i4>
      </vt:variant>
      <vt:variant>
        <vt:i4>0</vt:i4>
      </vt:variant>
      <vt:variant>
        <vt:i4>5</vt:i4>
      </vt:variant>
      <vt:variant>
        <vt:lpwstr>http://www.nevo.co.il/case/13049328</vt:lpwstr>
      </vt:variant>
      <vt:variant>
        <vt:lpwstr/>
      </vt:variant>
      <vt:variant>
        <vt:i4>3801200</vt:i4>
      </vt:variant>
      <vt:variant>
        <vt:i4>102</vt:i4>
      </vt:variant>
      <vt:variant>
        <vt:i4>0</vt:i4>
      </vt:variant>
      <vt:variant>
        <vt:i4>5</vt:i4>
      </vt:variant>
      <vt:variant>
        <vt:lpwstr>http://www.nevo.co.il/case/13062195</vt:lpwstr>
      </vt:variant>
      <vt:variant>
        <vt:lpwstr/>
      </vt:variant>
      <vt:variant>
        <vt:i4>3604592</vt:i4>
      </vt:variant>
      <vt:variant>
        <vt:i4>99</vt:i4>
      </vt:variant>
      <vt:variant>
        <vt:i4>0</vt:i4>
      </vt:variant>
      <vt:variant>
        <vt:i4>5</vt:i4>
      </vt:variant>
      <vt:variant>
        <vt:lpwstr>http://www.nevo.co.il/case/22116728</vt:lpwstr>
      </vt:variant>
      <vt:variant>
        <vt:lpwstr/>
      </vt:variant>
      <vt:variant>
        <vt:i4>3145840</vt:i4>
      </vt:variant>
      <vt:variant>
        <vt:i4>96</vt:i4>
      </vt:variant>
      <vt:variant>
        <vt:i4>0</vt:i4>
      </vt:variant>
      <vt:variant>
        <vt:i4>5</vt:i4>
      </vt:variant>
      <vt:variant>
        <vt:lpwstr>http://www.nevo.co.il/case/20604405</vt:lpwstr>
      </vt:variant>
      <vt:variant>
        <vt:lpwstr/>
      </vt:variant>
      <vt:variant>
        <vt:i4>3342455</vt:i4>
      </vt:variant>
      <vt:variant>
        <vt:i4>93</vt:i4>
      </vt:variant>
      <vt:variant>
        <vt:i4>0</vt:i4>
      </vt:variant>
      <vt:variant>
        <vt:i4>5</vt:i4>
      </vt:variant>
      <vt:variant>
        <vt:lpwstr>http://www.nevo.co.il/case/20632055</vt:lpwstr>
      </vt:variant>
      <vt:variant>
        <vt:lpwstr/>
      </vt:variant>
      <vt:variant>
        <vt:i4>3604594</vt:i4>
      </vt:variant>
      <vt:variant>
        <vt:i4>90</vt:i4>
      </vt:variant>
      <vt:variant>
        <vt:i4>0</vt:i4>
      </vt:variant>
      <vt:variant>
        <vt:i4>5</vt:i4>
      </vt:variant>
      <vt:variant>
        <vt:lpwstr>http://www.nevo.co.il/case/20145219</vt:lpwstr>
      </vt:variant>
      <vt:variant>
        <vt:lpwstr/>
      </vt:variant>
      <vt:variant>
        <vt:i4>4063344</vt:i4>
      </vt:variant>
      <vt:variant>
        <vt:i4>87</vt:i4>
      </vt:variant>
      <vt:variant>
        <vt:i4>0</vt:i4>
      </vt:variant>
      <vt:variant>
        <vt:i4>5</vt:i4>
      </vt:variant>
      <vt:variant>
        <vt:lpwstr>http://www.nevo.co.il/case/10459128</vt:lpwstr>
      </vt:variant>
      <vt:variant>
        <vt:lpwstr/>
      </vt:variant>
      <vt:variant>
        <vt:i4>7995492</vt:i4>
      </vt:variant>
      <vt:variant>
        <vt:i4>84</vt:i4>
      </vt:variant>
      <vt:variant>
        <vt:i4>0</vt:i4>
      </vt:variant>
      <vt:variant>
        <vt:i4>5</vt:i4>
      </vt:variant>
      <vt:variant>
        <vt:lpwstr>http://www.nevo.co.il/law/70301</vt:lpwstr>
      </vt:variant>
      <vt:variant>
        <vt:lpwstr/>
      </vt:variant>
      <vt:variant>
        <vt:i4>4915205</vt:i4>
      </vt:variant>
      <vt:variant>
        <vt:i4>81</vt:i4>
      </vt:variant>
      <vt:variant>
        <vt:i4>0</vt:i4>
      </vt:variant>
      <vt:variant>
        <vt:i4>5</vt:i4>
      </vt:variant>
      <vt:variant>
        <vt:lpwstr>http://www.nevo.co.il/law/70301/40d.a</vt:lpwstr>
      </vt:variant>
      <vt:variant>
        <vt:lpwstr/>
      </vt:variant>
      <vt:variant>
        <vt:i4>7995492</vt:i4>
      </vt:variant>
      <vt:variant>
        <vt:i4>78</vt:i4>
      </vt:variant>
      <vt:variant>
        <vt:i4>0</vt:i4>
      </vt:variant>
      <vt:variant>
        <vt:i4>5</vt:i4>
      </vt:variant>
      <vt:variant>
        <vt:lpwstr>http://www.nevo.co.il/law/70301</vt:lpwstr>
      </vt:variant>
      <vt:variant>
        <vt:lpwstr/>
      </vt:variant>
      <vt:variant>
        <vt:i4>4915205</vt:i4>
      </vt:variant>
      <vt:variant>
        <vt:i4>75</vt:i4>
      </vt:variant>
      <vt:variant>
        <vt:i4>0</vt:i4>
      </vt:variant>
      <vt:variant>
        <vt:i4>5</vt:i4>
      </vt:variant>
      <vt:variant>
        <vt:lpwstr>http://www.nevo.co.il/law/70301/40d.a</vt:lpwstr>
      </vt:variant>
      <vt:variant>
        <vt:lpwstr/>
      </vt:variant>
      <vt:variant>
        <vt:i4>7995492</vt:i4>
      </vt:variant>
      <vt:variant>
        <vt:i4>72</vt:i4>
      </vt:variant>
      <vt:variant>
        <vt:i4>0</vt:i4>
      </vt:variant>
      <vt:variant>
        <vt:i4>5</vt:i4>
      </vt:variant>
      <vt:variant>
        <vt:lpwstr>http://www.nevo.co.il/law/70301</vt:lpwstr>
      </vt:variant>
      <vt:variant>
        <vt:lpwstr/>
      </vt:variant>
      <vt:variant>
        <vt:i4>3604517</vt:i4>
      </vt:variant>
      <vt:variant>
        <vt:i4>69</vt:i4>
      </vt:variant>
      <vt:variant>
        <vt:i4>0</vt:i4>
      </vt:variant>
      <vt:variant>
        <vt:i4>5</vt:i4>
      </vt:variant>
      <vt:variant>
        <vt:lpwstr>http://www.nevo.co.il/law/70301/40ja.3</vt:lpwstr>
      </vt:variant>
      <vt:variant>
        <vt:lpwstr/>
      </vt:variant>
      <vt:variant>
        <vt:i4>4128886</vt:i4>
      </vt:variant>
      <vt:variant>
        <vt:i4>66</vt:i4>
      </vt:variant>
      <vt:variant>
        <vt:i4>0</vt:i4>
      </vt:variant>
      <vt:variant>
        <vt:i4>5</vt:i4>
      </vt:variant>
      <vt:variant>
        <vt:lpwstr>http://www.nevo.co.il/case/11269559</vt:lpwstr>
      </vt:variant>
      <vt:variant>
        <vt:lpwstr/>
      </vt:variant>
      <vt:variant>
        <vt:i4>262155</vt:i4>
      </vt:variant>
      <vt:variant>
        <vt:i4>63</vt:i4>
      </vt:variant>
      <vt:variant>
        <vt:i4>0</vt:i4>
      </vt:variant>
      <vt:variant>
        <vt:i4>5</vt:i4>
      </vt:variant>
      <vt:variant>
        <vt:lpwstr>http://www.nevo.co.il/law/70301/40ja</vt:lpwstr>
      </vt:variant>
      <vt:variant>
        <vt:lpwstr/>
      </vt:variant>
      <vt:variant>
        <vt:i4>7995492</vt:i4>
      </vt:variant>
      <vt:variant>
        <vt:i4>60</vt:i4>
      </vt:variant>
      <vt:variant>
        <vt:i4>0</vt:i4>
      </vt:variant>
      <vt:variant>
        <vt:i4>5</vt:i4>
      </vt:variant>
      <vt:variant>
        <vt:lpwstr>http://www.nevo.co.il/law/70301</vt:lpwstr>
      </vt:variant>
      <vt:variant>
        <vt:lpwstr/>
      </vt:variant>
      <vt:variant>
        <vt:i4>4915202</vt:i4>
      </vt:variant>
      <vt:variant>
        <vt:i4>57</vt:i4>
      </vt:variant>
      <vt:variant>
        <vt:i4>0</vt:i4>
      </vt:variant>
      <vt:variant>
        <vt:i4>5</vt:i4>
      </vt:variant>
      <vt:variant>
        <vt:lpwstr>http://www.nevo.co.il/law/70301/40c.b</vt:lpwstr>
      </vt:variant>
      <vt:variant>
        <vt:lpwstr/>
      </vt:variant>
      <vt:variant>
        <vt:i4>3276924</vt:i4>
      </vt:variant>
      <vt:variant>
        <vt:i4>54</vt:i4>
      </vt:variant>
      <vt:variant>
        <vt:i4>0</vt:i4>
      </vt:variant>
      <vt:variant>
        <vt:i4>5</vt:i4>
      </vt:variant>
      <vt:variant>
        <vt:lpwstr>http://www.nevo.co.il/case/20515909</vt:lpwstr>
      </vt:variant>
      <vt:variant>
        <vt:lpwstr/>
      </vt:variant>
      <vt:variant>
        <vt:i4>3342455</vt:i4>
      </vt:variant>
      <vt:variant>
        <vt:i4>51</vt:i4>
      </vt:variant>
      <vt:variant>
        <vt:i4>0</vt:i4>
      </vt:variant>
      <vt:variant>
        <vt:i4>5</vt:i4>
      </vt:variant>
      <vt:variant>
        <vt:lpwstr>http://www.nevo.co.il/case/20632055</vt:lpwstr>
      </vt:variant>
      <vt:variant>
        <vt:lpwstr/>
      </vt:variant>
      <vt:variant>
        <vt:i4>3342449</vt:i4>
      </vt:variant>
      <vt:variant>
        <vt:i4>48</vt:i4>
      </vt:variant>
      <vt:variant>
        <vt:i4>0</vt:i4>
      </vt:variant>
      <vt:variant>
        <vt:i4>5</vt:i4>
      </vt:variant>
      <vt:variant>
        <vt:lpwstr>http://www.nevo.co.il/case/20159091</vt:lpwstr>
      </vt:variant>
      <vt:variant>
        <vt:lpwstr/>
      </vt:variant>
      <vt:variant>
        <vt:i4>3473529</vt:i4>
      </vt:variant>
      <vt:variant>
        <vt:i4>45</vt:i4>
      </vt:variant>
      <vt:variant>
        <vt:i4>0</vt:i4>
      </vt:variant>
      <vt:variant>
        <vt:i4>5</vt:i4>
      </vt:variant>
      <vt:variant>
        <vt:lpwstr>http://www.nevo.co.il/case/18107527</vt:lpwstr>
      </vt:variant>
      <vt:variant>
        <vt:lpwstr/>
      </vt:variant>
      <vt:variant>
        <vt:i4>3407991</vt:i4>
      </vt:variant>
      <vt:variant>
        <vt:i4>42</vt:i4>
      </vt:variant>
      <vt:variant>
        <vt:i4>0</vt:i4>
      </vt:variant>
      <vt:variant>
        <vt:i4>5</vt:i4>
      </vt:variant>
      <vt:variant>
        <vt:lpwstr>http://www.nevo.co.il/case/20707362</vt:lpwstr>
      </vt:variant>
      <vt:variant>
        <vt:lpwstr/>
      </vt:variant>
      <vt:variant>
        <vt:i4>3342460</vt:i4>
      </vt:variant>
      <vt:variant>
        <vt:i4>39</vt:i4>
      </vt:variant>
      <vt:variant>
        <vt:i4>0</vt:i4>
      </vt:variant>
      <vt:variant>
        <vt:i4>5</vt:i4>
      </vt:variant>
      <vt:variant>
        <vt:lpwstr>http://www.nevo.co.il/case/20881083</vt:lpwstr>
      </vt:variant>
      <vt:variant>
        <vt:lpwstr/>
      </vt:variant>
      <vt:variant>
        <vt:i4>3342455</vt:i4>
      </vt:variant>
      <vt:variant>
        <vt:i4>36</vt:i4>
      </vt:variant>
      <vt:variant>
        <vt:i4>0</vt:i4>
      </vt:variant>
      <vt:variant>
        <vt:i4>5</vt:i4>
      </vt:variant>
      <vt:variant>
        <vt:lpwstr>http://www.nevo.co.il/case/20632055</vt:lpwstr>
      </vt:variant>
      <vt:variant>
        <vt:lpwstr/>
      </vt:variant>
      <vt:variant>
        <vt:i4>4718666</vt:i4>
      </vt:variant>
      <vt:variant>
        <vt:i4>33</vt:i4>
      </vt:variant>
      <vt:variant>
        <vt:i4>0</vt:i4>
      </vt:variant>
      <vt:variant>
        <vt:i4>5</vt:i4>
      </vt:variant>
      <vt:variant>
        <vt:lpwstr>http://www.nevo.co.il/law/4216/6</vt:lpwstr>
      </vt:variant>
      <vt:variant>
        <vt:lpwstr/>
      </vt:variant>
      <vt:variant>
        <vt:i4>4128892</vt:i4>
      </vt:variant>
      <vt:variant>
        <vt:i4>30</vt:i4>
      </vt:variant>
      <vt:variant>
        <vt:i4>0</vt:i4>
      </vt:variant>
      <vt:variant>
        <vt:i4>5</vt:i4>
      </vt:variant>
      <vt:variant>
        <vt:lpwstr>http://www.nevo.co.il/case/18119161</vt:lpwstr>
      </vt:variant>
      <vt:variant>
        <vt:lpwstr/>
      </vt:variant>
      <vt:variant>
        <vt:i4>8257637</vt:i4>
      </vt:variant>
      <vt:variant>
        <vt:i4>27</vt:i4>
      </vt:variant>
      <vt:variant>
        <vt:i4>0</vt:i4>
      </vt:variant>
      <vt:variant>
        <vt:i4>5</vt:i4>
      </vt:variant>
      <vt:variant>
        <vt:lpwstr>http://www.nevo.co.il/law/4216</vt:lpwstr>
      </vt:variant>
      <vt:variant>
        <vt:lpwstr/>
      </vt:variant>
      <vt:variant>
        <vt:i4>8257637</vt:i4>
      </vt:variant>
      <vt:variant>
        <vt:i4>24</vt:i4>
      </vt:variant>
      <vt:variant>
        <vt:i4>0</vt:i4>
      </vt:variant>
      <vt:variant>
        <vt:i4>5</vt:i4>
      </vt:variant>
      <vt:variant>
        <vt:lpwstr>http://www.nevo.co.il/law/4216</vt:lpwstr>
      </vt:variant>
      <vt:variant>
        <vt:lpwstr/>
      </vt:variant>
      <vt:variant>
        <vt:i4>4718666</vt:i4>
      </vt:variant>
      <vt:variant>
        <vt:i4>21</vt:i4>
      </vt:variant>
      <vt:variant>
        <vt:i4>0</vt:i4>
      </vt:variant>
      <vt:variant>
        <vt:i4>5</vt:i4>
      </vt:variant>
      <vt:variant>
        <vt:lpwstr>http://www.nevo.co.il/law/4216/6</vt:lpwstr>
      </vt:variant>
      <vt:variant>
        <vt:lpwstr/>
      </vt:variant>
      <vt:variant>
        <vt:i4>3604517</vt:i4>
      </vt:variant>
      <vt:variant>
        <vt:i4>18</vt:i4>
      </vt:variant>
      <vt:variant>
        <vt:i4>0</vt:i4>
      </vt:variant>
      <vt:variant>
        <vt:i4>5</vt:i4>
      </vt:variant>
      <vt:variant>
        <vt:lpwstr>http://www.nevo.co.il/law/70301/40ja.3</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4915205</vt:i4>
      </vt:variant>
      <vt:variant>
        <vt:i4>12</vt:i4>
      </vt:variant>
      <vt:variant>
        <vt:i4>0</vt:i4>
      </vt:variant>
      <vt:variant>
        <vt:i4>5</vt:i4>
      </vt:variant>
      <vt:variant>
        <vt:lpwstr>http://www.nevo.co.il/law/70301/40d.a</vt:lpwstr>
      </vt:variant>
      <vt:variant>
        <vt:lpwstr/>
      </vt:variant>
      <vt:variant>
        <vt:i4>4915202</vt:i4>
      </vt:variant>
      <vt:variant>
        <vt:i4>9</vt:i4>
      </vt:variant>
      <vt:variant>
        <vt:i4>0</vt:i4>
      </vt:variant>
      <vt:variant>
        <vt:i4>5</vt:i4>
      </vt:variant>
      <vt:variant>
        <vt:lpwstr>http://www.nevo.co.il/law/70301/40c.b</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2025-04-22T22:55:00Z</dcterms:created>
  <dcterms:modified xsi:type="dcterms:W3CDTF">2025-04-22T22:55:00Z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65260</vt:lpwstr>
  </property>
  <property fmtid="{D5CDD505-2E9C-101B-9397-08002B2CF9AE}" pid="6" name="NEWPARTB">
    <vt:lpwstr>11</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עמית ליבנה</vt:lpwstr>
  </property>
  <property fmtid="{D5CDD505-2E9C-101B-9397-08002B2CF9AE}" pid="10" name="LAWYER">
    <vt:lpwstr>עמית חומרי;חמוטל פז</vt:lpwstr>
  </property>
  <property fmtid="{D5CDD505-2E9C-101B-9397-08002B2CF9AE}" pid="11" name="JUDGE">
    <vt:lpwstr>ד''ר נגה שמואלי מאייר</vt:lpwstr>
  </property>
  <property fmtid="{D5CDD505-2E9C-101B-9397-08002B2CF9AE}" pid="12" name="CITY">
    <vt:lpwstr>ק"ג</vt:lpwstr>
  </property>
  <property fmtid="{D5CDD505-2E9C-101B-9397-08002B2CF9AE}" pid="13" name="DATE">
    <vt:lpwstr>20170612</vt:lpwstr>
  </property>
  <property fmtid="{D5CDD505-2E9C-101B-9397-08002B2CF9AE}" pid="14" name="TYPE_N_DATE">
    <vt:lpwstr>38020170612</vt:lpwstr>
  </property>
  <property fmtid="{D5CDD505-2E9C-101B-9397-08002B2CF9AE}" pid="15" name="CASESLISTTMP1">
    <vt:lpwstr>18119161;20632055:3;20881083;20707362;18107527;20159091;20515909;11269559;10459128;20145219;20604405;22116728;13062195;13049328;16922781</vt:lpwstr>
  </property>
  <property fmtid="{D5CDD505-2E9C-101B-9397-08002B2CF9AE}" pid="16" name="WORDNUMPAGES">
    <vt:lpwstr>10</vt:lpwstr>
  </property>
  <property fmtid="{D5CDD505-2E9C-101B-9397-08002B2CF9AE}" pid="17" name="TYPE_ABS_DATE">
    <vt:lpwstr>380020170612</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4216/006:2</vt:lpwstr>
  </property>
  <property fmtid="{D5CDD505-2E9C-101B-9397-08002B2CF9AE}" pid="37" name="LAWLISTTMP2">
    <vt:lpwstr>70301/040c.b;40ja;40ja.3;040d.a:2</vt:lpwstr>
  </property>
</Properties>
</file>