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A35EB" w:rsidRPr="0041725D" w14:paraId="1A58D7D3" w14:textId="77777777" w:rsidTr="00612A6E">
        <w:trPr>
          <w:trHeight w:hRule="exact" w:val="418"/>
          <w:jc w:val="center"/>
        </w:trPr>
        <w:tc>
          <w:tcPr>
            <w:tcW w:w="8721" w:type="dxa"/>
            <w:gridSpan w:val="2"/>
          </w:tcPr>
          <w:p w14:paraId="10B8BDDF" w14:textId="77777777" w:rsidR="009A35EB" w:rsidRPr="0041725D" w:rsidRDefault="009A35EB" w:rsidP="00277CB9">
            <w:pPr>
              <w:pStyle w:val="a3"/>
              <w:jc w:val="center"/>
              <w:rPr>
                <w:rFonts w:ascii="Tahoma" w:hAnsi="Tahoma" w:cs="Tahoma"/>
                <w:color w:val="000080"/>
                <w:rtl/>
              </w:rPr>
            </w:pPr>
            <w:bookmarkStart w:id="0" w:name="LastJudge"/>
            <w:r w:rsidRPr="0041725D">
              <w:rPr>
                <w:rFonts w:ascii="Tahoma" w:hAnsi="Tahoma" w:cs="Tahoma"/>
                <w:b/>
                <w:bCs/>
                <w:color w:val="000080"/>
                <w:rtl/>
              </w:rPr>
              <w:t>בית משפט השלום בכפר סבא</w:t>
            </w:r>
          </w:p>
        </w:tc>
      </w:tr>
      <w:tr w:rsidR="009A35EB" w:rsidRPr="0041725D" w14:paraId="6629DD30" w14:textId="77777777" w:rsidTr="00612A6E">
        <w:trPr>
          <w:trHeight w:val="337"/>
          <w:jc w:val="center"/>
        </w:trPr>
        <w:tc>
          <w:tcPr>
            <w:tcW w:w="5054" w:type="dxa"/>
          </w:tcPr>
          <w:p w14:paraId="5D5C7BE3" w14:textId="77777777" w:rsidR="009A35EB" w:rsidRPr="0041725D" w:rsidRDefault="009A35EB" w:rsidP="00277CB9">
            <w:pPr>
              <w:rPr>
                <w:rFonts w:cs="FrankRuehl"/>
                <w:sz w:val="28"/>
                <w:szCs w:val="28"/>
                <w:rtl/>
              </w:rPr>
            </w:pPr>
            <w:r w:rsidRPr="0041725D">
              <w:rPr>
                <w:rFonts w:cs="FrankRuehl"/>
                <w:sz w:val="28"/>
                <w:szCs w:val="28"/>
                <w:rtl/>
              </w:rPr>
              <w:t>ת"פ</w:t>
            </w:r>
            <w:r w:rsidRPr="0041725D">
              <w:rPr>
                <w:rFonts w:cs="FrankRuehl" w:hint="cs"/>
                <w:sz w:val="28"/>
                <w:szCs w:val="28"/>
                <w:rtl/>
              </w:rPr>
              <w:t xml:space="preserve"> </w:t>
            </w:r>
            <w:r w:rsidRPr="0041725D">
              <w:rPr>
                <w:rFonts w:cs="FrankRuehl"/>
                <w:sz w:val="28"/>
                <w:szCs w:val="28"/>
                <w:rtl/>
              </w:rPr>
              <w:t>31394-12-15</w:t>
            </w:r>
            <w:r w:rsidRPr="0041725D">
              <w:rPr>
                <w:rFonts w:cs="FrankRuehl" w:hint="cs"/>
                <w:sz w:val="28"/>
                <w:szCs w:val="28"/>
                <w:rtl/>
              </w:rPr>
              <w:t xml:space="preserve"> </w:t>
            </w:r>
            <w:r w:rsidRPr="0041725D">
              <w:rPr>
                <w:rFonts w:cs="FrankRuehl"/>
                <w:sz w:val="28"/>
                <w:szCs w:val="28"/>
                <w:rtl/>
              </w:rPr>
              <w:t>מדינת ישראל נ' צוברי</w:t>
            </w:r>
          </w:p>
          <w:p w14:paraId="4009A32F" w14:textId="77777777" w:rsidR="009A35EB" w:rsidRPr="0041725D" w:rsidRDefault="009A35EB" w:rsidP="00277CB9">
            <w:pPr>
              <w:pStyle w:val="a3"/>
              <w:rPr>
                <w:rFonts w:cs="FrankRuehl"/>
                <w:sz w:val="28"/>
                <w:szCs w:val="28"/>
                <w:rtl/>
              </w:rPr>
            </w:pPr>
          </w:p>
        </w:tc>
        <w:tc>
          <w:tcPr>
            <w:tcW w:w="3667" w:type="dxa"/>
          </w:tcPr>
          <w:p w14:paraId="4CC6153F" w14:textId="77777777" w:rsidR="009A35EB" w:rsidRPr="0041725D" w:rsidRDefault="009A35EB" w:rsidP="00277CB9">
            <w:pPr>
              <w:pStyle w:val="a3"/>
              <w:jc w:val="right"/>
              <w:rPr>
                <w:rFonts w:cs="FrankRuehl"/>
                <w:sz w:val="28"/>
                <w:szCs w:val="28"/>
                <w:rtl/>
              </w:rPr>
            </w:pPr>
          </w:p>
        </w:tc>
      </w:tr>
    </w:tbl>
    <w:p w14:paraId="6F176954" w14:textId="77777777" w:rsidR="009A35EB" w:rsidRPr="0041725D" w:rsidRDefault="009A35EB" w:rsidP="009A35EB">
      <w:pPr>
        <w:pStyle w:val="a3"/>
        <w:rPr>
          <w:rtl/>
        </w:rPr>
      </w:pPr>
      <w:r w:rsidRPr="0041725D">
        <w:rPr>
          <w:rFonts w:hint="cs"/>
          <w:rtl/>
        </w:rPr>
        <w:t xml:space="preserve"> </w:t>
      </w:r>
    </w:p>
    <w:p w14:paraId="7030B51F" w14:textId="77777777" w:rsidR="009A35EB" w:rsidRPr="0041725D" w:rsidRDefault="009A35EB" w:rsidP="009A35EB">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A35EB" w:rsidRPr="0041725D" w14:paraId="7A2B0626" w14:textId="77777777" w:rsidTr="00D07D22">
        <w:trPr>
          <w:trHeight w:val="295"/>
          <w:jc w:val="center"/>
        </w:trPr>
        <w:tc>
          <w:tcPr>
            <w:tcW w:w="945" w:type="dxa"/>
            <w:tcBorders>
              <w:top w:val="nil"/>
              <w:left w:val="nil"/>
              <w:bottom w:val="nil"/>
              <w:right w:val="nil"/>
            </w:tcBorders>
            <w:shd w:val="clear" w:color="auto" w:fill="auto"/>
          </w:tcPr>
          <w:p w14:paraId="17A15EF9" w14:textId="77777777" w:rsidR="009A35EB" w:rsidRPr="0041725D" w:rsidRDefault="009A35EB" w:rsidP="009A35EB">
            <w:pPr>
              <w:jc w:val="both"/>
              <w:rPr>
                <w:rFonts w:ascii="Arial" w:hAnsi="Arial"/>
                <w:b/>
                <w:bCs/>
                <w:sz w:val="28"/>
                <w:szCs w:val="28"/>
              </w:rPr>
            </w:pPr>
            <w:r w:rsidRPr="0041725D">
              <w:rPr>
                <w:rFonts w:ascii="Arial" w:hAnsi="Arial" w:hint="cs"/>
                <w:b/>
                <w:bCs/>
                <w:sz w:val="28"/>
                <w:szCs w:val="28"/>
                <w:rtl/>
              </w:rPr>
              <w:t>ב</w:t>
            </w:r>
            <w:r w:rsidRPr="0041725D">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24C541E9" w14:textId="77777777" w:rsidR="009A35EB" w:rsidRPr="0041725D" w:rsidRDefault="009A35EB" w:rsidP="00277CB9">
            <w:pPr>
              <w:rPr>
                <w:rFonts w:ascii="Arial" w:hAnsi="Arial"/>
                <w:b/>
                <w:bCs/>
                <w:sz w:val="28"/>
                <w:szCs w:val="28"/>
                <w:rtl/>
              </w:rPr>
            </w:pPr>
            <w:r w:rsidRPr="0041725D">
              <w:rPr>
                <w:rFonts w:ascii="Arial" w:hAnsi="Arial" w:hint="cs"/>
                <w:b/>
                <w:bCs/>
                <w:sz w:val="28"/>
                <w:szCs w:val="28"/>
                <w:rtl/>
              </w:rPr>
              <w:t>כבוד ה</w:t>
            </w:r>
            <w:r w:rsidRPr="0041725D">
              <w:rPr>
                <w:rFonts w:ascii="Arial" w:hAnsi="Arial"/>
                <w:b/>
                <w:bCs/>
                <w:sz w:val="28"/>
                <w:szCs w:val="28"/>
                <w:rtl/>
              </w:rPr>
              <w:t>שופטת</w:t>
            </w:r>
            <w:r w:rsidRPr="0041725D">
              <w:rPr>
                <w:rFonts w:ascii="Arial" w:hAnsi="Arial" w:hint="cs"/>
                <w:b/>
                <w:bCs/>
                <w:sz w:val="28"/>
                <w:szCs w:val="28"/>
                <w:rtl/>
              </w:rPr>
              <w:t xml:space="preserve">  </w:t>
            </w:r>
            <w:r w:rsidRPr="0041725D">
              <w:rPr>
                <w:rFonts w:ascii="Arial" w:hAnsi="Arial"/>
                <w:b/>
                <w:bCs/>
                <w:sz w:val="28"/>
                <w:szCs w:val="28"/>
                <w:rtl/>
              </w:rPr>
              <w:t>מרב גרינברג</w:t>
            </w:r>
          </w:p>
          <w:p w14:paraId="3E7E5E1D" w14:textId="77777777" w:rsidR="009A35EB" w:rsidRPr="0041725D" w:rsidRDefault="009A35EB" w:rsidP="00277CB9">
            <w:pPr>
              <w:rPr>
                <w:b/>
                <w:bCs/>
                <w:sz w:val="28"/>
                <w:szCs w:val="28"/>
                <w:rtl/>
              </w:rPr>
            </w:pPr>
          </w:p>
          <w:p w14:paraId="10ED498B" w14:textId="77777777" w:rsidR="009A35EB" w:rsidRPr="0041725D" w:rsidRDefault="009A35EB" w:rsidP="009A35EB">
            <w:pPr>
              <w:jc w:val="both"/>
              <w:rPr>
                <w:rFonts w:ascii="Arial" w:hAnsi="Arial"/>
                <w:b/>
                <w:bCs/>
                <w:sz w:val="28"/>
                <w:szCs w:val="28"/>
              </w:rPr>
            </w:pPr>
          </w:p>
        </w:tc>
      </w:tr>
      <w:tr w:rsidR="009A35EB" w:rsidRPr="0041725D" w14:paraId="366BF04C" w14:textId="77777777" w:rsidTr="00D07D22">
        <w:trPr>
          <w:trHeight w:val="355"/>
          <w:jc w:val="center"/>
        </w:trPr>
        <w:tc>
          <w:tcPr>
            <w:tcW w:w="945" w:type="dxa"/>
            <w:tcBorders>
              <w:top w:val="nil"/>
              <w:left w:val="nil"/>
              <w:bottom w:val="nil"/>
              <w:right w:val="nil"/>
            </w:tcBorders>
            <w:shd w:val="clear" w:color="auto" w:fill="auto"/>
          </w:tcPr>
          <w:p w14:paraId="5F97E9E5" w14:textId="77777777" w:rsidR="009A35EB" w:rsidRPr="0041725D" w:rsidRDefault="009A35EB" w:rsidP="009A35EB">
            <w:pPr>
              <w:jc w:val="both"/>
              <w:rPr>
                <w:rFonts w:ascii="Arial" w:hAnsi="Arial"/>
                <w:b/>
                <w:bCs/>
                <w:sz w:val="28"/>
                <w:szCs w:val="28"/>
              </w:rPr>
            </w:pPr>
            <w:bookmarkStart w:id="1" w:name="FirstAppellant"/>
            <w:r w:rsidRPr="0041725D">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61F4ED67" w14:textId="77777777" w:rsidR="009A35EB" w:rsidRPr="0041725D" w:rsidRDefault="009A35EB" w:rsidP="00277CB9">
            <w:pPr>
              <w:rPr>
                <w:b/>
                <w:bCs/>
                <w:sz w:val="28"/>
                <w:szCs w:val="28"/>
              </w:rPr>
            </w:pPr>
            <w:r w:rsidRPr="0041725D">
              <w:rPr>
                <w:rFonts w:ascii="Arial" w:hAnsi="Arial"/>
                <w:b/>
                <w:bCs/>
                <w:sz w:val="28"/>
                <w:szCs w:val="28"/>
                <w:rtl/>
              </w:rPr>
              <w:t>מדינת ישראל</w:t>
            </w:r>
          </w:p>
        </w:tc>
        <w:tc>
          <w:tcPr>
            <w:tcW w:w="3761" w:type="dxa"/>
            <w:tcBorders>
              <w:top w:val="nil"/>
              <w:left w:val="nil"/>
              <w:bottom w:val="nil"/>
              <w:right w:val="nil"/>
            </w:tcBorders>
            <w:shd w:val="clear" w:color="auto" w:fill="auto"/>
          </w:tcPr>
          <w:p w14:paraId="0C4461E3" w14:textId="77777777" w:rsidR="009A35EB" w:rsidRPr="0041725D" w:rsidRDefault="009A35EB" w:rsidP="009A35EB">
            <w:pPr>
              <w:jc w:val="both"/>
              <w:rPr>
                <w:rFonts w:ascii="Arial" w:hAnsi="Arial"/>
                <w:b/>
                <w:bCs/>
                <w:sz w:val="28"/>
                <w:szCs w:val="28"/>
              </w:rPr>
            </w:pPr>
          </w:p>
        </w:tc>
      </w:tr>
      <w:tr w:rsidR="009A35EB" w:rsidRPr="0041725D" w14:paraId="11B01594" w14:textId="77777777" w:rsidTr="00D07D22">
        <w:trPr>
          <w:trHeight w:val="355"/>
          <w:jc w:val="center"/>
        </w:trPr>
        <w:tc>
          <w:tcPr>
            <w:tcW w:w="945" w:type="dxa"/>
            <w:tcBorders>
              <w:top w:val="nil"/>
              <w:left w:val="nil"/>
              <w:bottom w:val="nil"/>
              <w:right w:val="nil"/>
            </w:tcBorders>
            <w:shd w:val="clear" w:color="auto" w:fill="auto"/>
          </w:tcPr>
          <w:p w14:paraId="65EE5B3D" w14:textId="77777777" w:rsidR="009A35EB" w:rsidRPr="0041725D" w:rsidRDefault="009A35EB" w:rsidP="009A35EB">
            <w:pPr>
              <w:jc w:val="both"/>
              <w:rPr>
                <w:rFonts w:ascii="Arial" w:hAnsi="Arial"/>
                <w:b/>
                <w:bCs/>
                <w:sz w:val="28"/>
                <w:szCs w:val="28"/>
                <w:rtl/>
              </w:rPr>
            </w:pPr>
            <w:bookmarkStart w:id="2" w:name="FirstLawyer"/>
            <w:bookmarkEnd w:id="1"/>
          </w:p>
        </w:tc>
        <w:tc>
          <w:tcPr>
            <w:tcW w:w="4114" w:type="dxa"/>
            <w:tcBorders>
              <w:top w:val="nil"/>
              <w:left w:val="nil"/>
              <w:bottom w:val="nil"/>
              <w:right w:val="nil"/>
            </w:tcBorders>
            <w:shd w:val="clear" w:color="auto" w:fill="auto"/>
          </w:tcPr>
          <w:p w14:paraId="042F25E1" w14:textId="77777777" w:rsidR="009A35EB" w:rsidRPr="0041725D" w:rsidRDefault="009A35EB" w:rsidP="009A35EB">
            <w:pPr>
              <w:jc w:val="both"/>
              <w:rPr>
                <w:b/>
                <w:bCs/>
                <w:sz w:val="28"/>
                <w:szCs w:val="28"/>
                <w:rtl/>
              </w:rPr>
            </w:pPr>
            <w:r w:rsidRPr="0041725D">
              <w:rPr>
                <w:rFonts w:hint="cs"/>
                <w:b/>
                <w:bCs/>
                <w:sz w:val="28"/>
                <w:szCs w:val="28"/>
                <w:rtl/>
              </w:rPr>
              <w:t>ע"י ב"כ עו"ד נופר מזולה</w:t>
            </w:r>
          </w:p>
        </w:tc>
        <w:tc>
          <w:tcPr>
            <w:tcW w:w="3761" w:type="dxa"/>
            <w:tcBorders>
              <w:top w:val="nil"/>
              <w:left w:val="nil"/>
              <w:bottom w:val="nil"/>
              <w:right w:val="nil"/>
            </w:tcBorders>
            <w:shd w:val="clear" w:color="auto" w:fill="auto"/>
          </w:tcPr>
          <w:p w14:paraId="1FCCDFBD" w14:textId="77777777" w:rsidR="009A35EB" w:rsidRPr="0041725D" w:rsidRDefault="009A35EB" w:rsidP="009A35EB">
            <w:pPr>
              <w:jc w:val="right"/>
              <w:rPr>
                <w:rFonts w:ascii="Arial" w:hAnsi="Arial"/>
                <w:b/>
                <w:bCs/>
                <w:sz w:val="28"/>
                <w:szCs w:val="28"/>
                <w:rtl/>
              </w:rPr>
            </w:pPr>
            <w:r w:rsidRPr="0041725D">
              <w:rPr>
                <w:rFonts w:ascii="Arial" w:hAnsi="Arial" w:hint="cs"/>
                <w:b/>
                <w:bCs/>
                <w:sz w:val="28"/>
                <w:szCs w:val="28"/>
                <w:rtl/>
              </w:rPr>
              <w:t>ה</w:t>
            </w:r>
            <w:r w:rsidRPr="0041725D">
              <w:rPr>
                <w:rFonts w:ascii="Arial" w:hAnsi="Arial"/>
                <w:b/>
                <w:bCs/>
                <w:sz w:val="28"/>
                <w:szCs w:val="28"/>
                <w:rtl/>
              </w:rPr>
              <w:t>מאשימה</w:t>
            </w:r>
          </w:p>
        </w:tc>
      </w:tr>
      <w:bookmarkEnd w:id="2"/>
      <w:tr w:rsidR="009A35EB" w:rsidRPr="0041725D" w14:paraId="0F2380E1" w14:textId="77777777" w:rsidTr="00D07D22">
        <w:trPr>
          <w:trHeight w:val="355"/>
          <w:jc w:val="center"/>
        </w:trPr>
        <w:tc>
          <w:tcPr>
            <w:tcW w:w="945" w:type="dxa"/>
            <w:tcBorders>
              <w:top w:val="nil"/>
              <w:left w:val="nil"/>
              <w:bottom w:val="nil"/>
              <w:right w:val="nil"/>
            </w:tcBorders>
            <w:shd w:val="clear" w:color="auto" w:fill="auto"/>
          </w:tcPr>
          <w:p w14:paraId="2B387FEC" w14:textId="77777777" w:rsidR="009A35EB" w:rsidRPr="0041725D" w:rsidRDefault="009A35EB" w:rsidP="009A35EB">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31903A35" w14:textId="77777777" w:rsidR="009A35EB" w:rsidRPr="0041725D" w:rsidRDefault="009A35EB" w:rsidP="009A35EB">
            <w:pPr>
              <w:jc w:val="center"/>
              <w:rPr>
                <w:rFonts w:ascii="Arial" w:hAnsi="Arial"/>
                <w:b/>
                <w:bCs/>
                <w:sz w:val="28"/>
                <w:szCs w:val="28"/>
                <w:rtl/>
              </w:rPr>
            </w:pPr>
          </w:p>
          <w:p w14:paraId="0515C2F2" w14:textId="77777777" w:rsidR="009A35EB" w:rsidRPr="0041725D" w:rsidRDefault="009A35EB" w:rsidP="009A35EB">
            <w:pPr>
              <w:jc w:val="center"/>
              <w:rPr>
                <w:rFonts w:ascii="Arial" w:hAnsi="Arial"/>
                <w:b/>
                <w:bCs/>
                <w:sz w:val="28"/>
                <w:szCs w:val="28"/>
                <w:rtl/>
              </w:rPr>
            </w:pPr>
            <w:r w:rsidRPr="0041725D">
              <w:rPr>
                <w:rFonts w:ascii="Arial" w:hAnsi="Arial"/>
                <w:b/>
                <w:bCs/>
                <w:sz w:val="28"/>
                <w:szCs w:val="28"/>
                <w:rtl/>
              </w:rPr>
              <w:t>נגד</w:t>
            </w:r>
          </w:p>
          <w:p w14:paraId="2EE48087" w14:textId="77777777" w:rsidR="009A35EB" w:rsidRPr="0041725D" w:rsidRDefault="009A35EB" w:rsidP="009A35EB">
            <w:pPr>
              <w:jc w:val="both"/>
              <w:rPr>
                <w:rFonts w:ascii="Arial" w:hAnsi="Arial"/>
                <w:b/>
                <w:bCs/>
                <w:sz w:val="28"/>
                <w:szCs w:val="28"/>
              </w:rPr>
            </w:pPr>
          </w:p>
        </w:tc>
      </w:tr>
      <w:tr w:rsidR="009A35EB" w:rsidRPr="0041725D" w14:paraId="20C729C3" w14:textId="77777777" w:rsidTr="00D07D22">
        <w:trPr>
          <w:trHeight w:val="355"/>
          <w:jc w:val="center"/>
        </w:trPr>
        <w:tc>
          <w:tcPr>
            <w:tcW w:w="945" w:type="dxa"/>
            <w:tcBorders>
              <w:top w:val="nil"/>
              <w:left w:val="nil"/>
              <w:bottom w:val="nil"/>
              <w:right w:val="nil"/>
            </w:tcBorders>
            <w:shd w:val="clear" w:color="auto" w:fill="auto"/>
          </w:tcPr>
          <w:p w14:paraId="6013F64D" w14:textId="77777777" w:rsidR="009A35EB" w:rsidRPr="0041725D" w:rsidRDefault="009A35EB" w:rsidP="00277CB9">
            <w:pPr>
              <w:rPr>
                <w:rFonts w:ascii="Arial" w:hAnsi="Arial"/>
                <w:b/>
                <w:bCs/>
                <w:sz w:val="28"/>
                <w:szCs w:val="28"/>
                <w:rtl/>
              </w:rPr>
            </w:pPr>
          </w:p>
        </w:tc>
        <w:tc>
          <w:tcPr>
            <w:tcW w:w="4114" w:type="dxa"/>
            <w:tcBorders>
              <w:top w:val="nil"/>
              <w:left w:val="nil"/>
              <w:bottom w:val="nil"/>
              <w:right w:val="nil"/>
            </w:tcBorders>
            <w:shd w:val="clear" w:color="auto" w:fill="auto"/>
          </w:tcPr>
          <w:p w14:paraId="78DCDB82" w14:textId="77777777" w:rsidR="009A35EB" w:rsidRPr="0041725D" w:rsidRDefault="009A35EB" w:rsidP="00277CB9">
            <w:pPr>
              <w:rPr>
                <w:b/>
                <w:bCs/>
                <w:sz w:val="28"/>
                <w:szCs w:val="28"/>
                <w:rtl/>
              </w:rPr>
            </w:pPr>
            <w:r w:rsidRPr="0041725D">
              <w:rPr>
                <w:rFonts w:ascii="Arial" w:hAnsi="Arial"/>
                <w:b/>
                <w:bCs/>
                <w:sz w:val="28"/>
                <w:szCs w:val="28"/>
                <w:rtl/>
              </w:rPr>
              <w:t>מאור צוברי</w:t>
            </w:r>
            <w:r w:rsidRPr="0041725D">
              <w:rPr>
                <w:b/>
                <w:bCs/>
                <w:sz w:val="28"/>
                <w:szCs w:val="28"/>
                <w:rtl/>
              </w:rPr>
              <w:t xml:space="preserve"> – בעצמו </w:t>
            </w:r>
          </w:p>
        </w:tc>
        <w:tc>
          <w:tcPr>
            <w:tcW w:w="3761" w:type="dxa"/>
            <w:tcBorders>
              <w:top w:val="nil"/>
              <w:left w:val="nil"/>
              <w:bottom w:val="nil"/>
              <w:right w:val="nil"/>
            </w:tcBorders>
            <w:shd w:val="clear" w:color="auto" w:fill="auto"/>
          </w:tcPr>
          <w:p w14:paraId="4BDE0DE0" w14:textId="77777777" w:rsidR="009A35EB" w:rsidRPr="0041725D" w:rsidRDefault="009A35EB" w:rsidP="009A35EB">
            <w:pPr>
              <w:jc w:val="right"/>
              <w:rPr>
                <w:rFonts w:ascii="Arial" w:hAnsi="Arial"/>
                <w:b/>
                <w:bCs/>
                <w:sz w:val="28"/>
                <w:szCs w:val="28"/>
              </w:rPr>
            </w:pPr>
          </w:p>
        </w:tc>
      </w:tr>
      <w:tr w:rsidR="009A35EB" w:rsidRPr="0041725D" w14:paraId="375941E8" w14:textId="77777777" w:rsidTr="00D07D22">
        <w:trPr>
          <w:trHeight w:val="355"/>
          <w:jc w:val="center"/>
        </w:trPr>
        <w:tc>
          <w:tcPr>
            <w:tcW w:w="945" w:type="dxa"/>
            <w:tcBorders>
              <w:top w:val="nil"/>
              <w:left w:val="nil"/>
              <w:bottom w:val="nil"/>
              <w:right w:val="nil"/>
            </w:tcBorders>
            <w:shd w:val="clear" w:color="auto" w:fill="auto"/>
          </w:tcPr>
          <w:p w14:paraId="1399DA16" w14:textId="77777777" w:rsidR="009A35EB" w:rsidRPr="0041725D" w:rsidRDefault="009A35EB" w:rsidP="009A35EB">
            <w:pPr>
              <w:jc w:val="both"/>
              <w:rPr>
                <w:rFonts w:ascii="Arial" w:hAnsi="Arial"/>
                <w:b/>
                <w:bCs/>
                <w:sz w:val="28"/>
                <w:szCs w:val="28"/>
                <w:rtl/>
              </w:rPr>
            </w:pPr>
          </w:p>
        </w:tc>
        <w:tc>
          <w:tcPr>
            <w:tcW w:w="4114" w:type="dxa"/>
            <w:tcBorders>
              <w:top w:val="nil"/>
              <w:left w:val="nil"/>
              <w:bottom w:val="nil"/>
              <w:right w:val="nil"/>
            </w:tcBorders>
            <w:shd w:val="clear" w:color="auto" w:fill="auto"/>
          </w:tcPr>
          <w:p w14:paraId="105032F8" w14:textId="77777777" w:rsidR="009A35EB" w:rsidRPr="0041725D" w:rsidRDefault="009A35EB" w:rsidP="009A35EB">
            <w:pPr>
              <w:jc w:val="both"/>
              <w:rPr>
                <w:b/>
                <w:bCs/>
                <w:sz w:val="28"/>
                <w:szCs w:val="28"/>
                <w:rtl/>
              </w:rPr>
            </w:pPr>
            <w:r w:rsidRPr="0041725D">
              <w:rPr>
                <w:rFonts w:hint="cs"/>
                <w:b/>
                <w:bCs/>
                <w:sz w:val="28"/>
                <w:szCs w:val="28"/>
                <w:rtl/>
              </w:rPr>
              <w:t>ע"י ב"כ עו"ד גלעד מנשה</w:t>
            </w:r>
          </w:p>
        </w:tc>
        <w:tc>
          <w:tcPr>
            <w:tcW w:w="3761" w:type="dxa"/>
            <w:tcBorders>
              <w:top w:val="nil"/>
              <w:left w:val="nil"/>
              <w:bottom w:val="nil"/>
              <w:right w:val="nil"/>
            </w:tcBorders>
            <w:shd w:val="clear" w:color="auto" w:fill="auto"/>
          </w:tcPr>
          <w:p w14:paraId="6FC017AD" w14:textId="77777777" w:rsidR="009A35EB" w:rsidRPr="0041725D" w:rsidRDefault="009A35EB" w:rsidP="009A35EB">
            <w:pPr>
              <w:jc w:val="right"/>
              <w:rPr>
                <w:rFonts w:ascii="Arial" w:hAnsi="Arial"/>
                <w:b/>
                <w:bCs/>
                <w:sz w:val="28"/>
                <w:szCs w:val="28"/>
              </w:rPr>
            </w:pPr>
            <w:r w:rsidRPr="0041725D">
              <w:rPr>
                <w:rFonts w:ascii="Arial" w:hAnsi="Arial" w:hint="cs"/>
                <w:b/>
                <w:bCs/>
                <w:sz w:val="28"/>
                <w:szCs w:val="28"/>
                <w:rtl/>
              </w:rPr>
              <w:t>ה</w:t>
            </w:r>
            <w:r w:rsidRPr="0041725D">
              <w:rPr>
                <w:rFonts w:ascii="Arial" w:hAnsi="Arial"/>
                <w:b/>
                <w:bCs/>
                <w:sz w:val="28"/>
                <w:szCs w:val="28"/>
                <w:rtl/>
              </w:rPr>
              <w:t>נאשם</w:t>
            </w:r>
          </w:p>
        </w:tc>
      </w:tr>
      <w:tr w:rsidR="009A35EB" w14:paraId="77CD38E1" w14:textId="77777777" w:rsidTr="009A35EB">
        <w:trPr>
          <w:trHeight w:val="355"/>
          <w:jc w:val="center"/>
        </w:trPr>
        <w:tc>
          <w:tcPr>
            <w:tcW w:w="8820" w:type="dxa"/>
            <w:gridSpan w:val="3"/>
            <w:tcBorders>
              <w:top w:val="nil"/>
              <w:left w:val="nil"/>
              <w:bottom w:val="nil"/>
              <w:right w:val="nil"/>
            </w:tcBorders>
            <w:shd w:val="clear" w:color="auto" w:fill="auto"/>
          </w:tcPr>
          <w:p w14:paraId="76423712" w14:textId="77777777" w:rsidR="00D07D22" w:rsidRDefault="00D07D22" w:rsidP="0041725D">
            <w:pPr>
              <w:jc w:val="center"/>
              <w:rPr>
                <w:rFonts w:ascii="Arial" w:hAnsi="Arial" w:cs="FrankRuehl"/>
                <w:sz w:val="32"/>
                <w:szCs w:val="32"/>
                <w:rtl/>
              </w:rPr>
            </w:pPr>
            <w:bookmarkStart w:id="3" w:name="PsakDin" w:colFirst="0" w:colLast="0"/>
            <w:bookmarkStart w:id="4" w:name="LawTable"/>
            <w:bookmarkEnd w:id="0"/>
            <w:bookmarkEnd w:id="4"/>
          </w:p>
          <w:p w14:paraId="6547ACEA" w14:textId="77777777" w:rsidR="00D07D22" w:rsidRPr="00D07D22" w:rsidRDefault="00D07D22" w:rsidP="00D07D22">
            <w:pPr>
              <w:spacing w:after="120" w:line="240" w:lineRule="exact"/>
              <w:ind w:left="283" w:hanging="283"/>
              <w:jc w:val="both"/>
              <w:rPr>
                <w:rFonts w:ascii="FrankRuehl" w:hAnsi="FrankRuehl" w:cs="FrankRuehl"/>
                <w:rtl/>
              </w:rPr>
            </w:pPr>
          </w:p>
          <w:p w14:paraId="09C1851F" w14:textId="77777777" w:rsidR="00D07D22" w:rsidRPr="00D07D22" w:rsidRDefault="00D07D22" w:rsidP="00D07D22">
            <w:pPr>
              <w:spacing w:after="120" w:line="240" w:lineRule="exact"/>
              <w:ind w:left="283" w:hanging="283"/>
              <w:jc w:val="both"/>
              <w:rPr>
                <w:rFonts w:ascii="FrankRuehl" w:hAnsi="FrankRuehl" w:cs="FrankRuehl"/>
                <w:rtl/>
              </w:rPr>
            </w:pPr>
            <w:r w:rsidRPr="00D07D22">
              <w:rPr>
                <w:rFonts w:ascii="FrankRuehl" w:hAnsi="FrankRuehl" w:cs="FrankRuehl"/>
                <w:rtl/>
              </w:rPr>
              <w:t xml:space="preserve">חקיקה שאוזכרה: </w:t>
            </w:r>
          </w:p>
          <w:p w14:paraId="601CB041" w14:textId="77777777" w:rsidR="00D07D22" w:rsidRPr="00D07D22" w:rsidRDefault="00D07D22" w:rsidP="00D07D22">
            <w:pPr>
              <w:spacing w:after="120" w:line="240" w:lineRule="exact"/>
              <w:ind w:left="283" w:hanging="283"/>
              <w:jc w:val="both"/>
              <w:rPr>
                <w:rFonts w:ascii="FrankRuehl" w:hAnsi="FrankRuehl" w:cs="FrankRuehl"/>
                <w:rtl/>
              </w:rPr>
            </w:pPr>
            <w:hyperlink r:id="rId7" w:history="1">
              <w:r w:rsidRPr="00D07D22">
                <w:rPr>
                  <w:rFonts w:ascii="FrankRuehl" w:hAnsi="FrankRuehl" w:cs="FrankRuehl"/>
                  <w:color w:val="0000FF"/>
                  <w:u w:val="single"/>
                  <w:rtl/>
                </w:rPr>
                <w:t>חוק העונשין, תשל"ז-1977</w:t>
              </w:r>
            </w:hyperlink>
            <w:r w:rsidRPr="00D07D22">
              <w:rPr>
                <w:rFonts w:ascii="FrankRuehl" w:hAnsi="FrankRuehl" w:cs="FrankRuehl"/>
                <w:rtl/>
              </w:rPr>
              <w:t xml:space="preserve">: סע'  </w:t>
            </w:r>
            <w:hyperlink r:id="rId8" w:history="1">
              <w:r w:rsidRPr="00D07D22">
                <w:rPr>
                  <w:rFonts w:ascii="FrankRuehl" w:hAnsi="FrankRuehl" w:cs="FrankRuehl"/>
                  <w:color w:val="0000FF"/>
                  <w:u w:val="single"/>
                  <w:rtl/>
                </w:rPr>
                <w:t>40יג</w:t>
              </w:r>
            </w:hyperlink>
          </w:p>
          <w:p w14:paraId="47A29E15" w14:textId="77777777" w:rsidR="00D07D22" w:rsidRPr="00D07D22" w:rsidRDefault="00D07D22" w:rsidP="00D07D22">
            <w:pPr>
              <w:spacing w:after="120" w:line="240" w:lineRule="exact"/>
              <w:ind w:left="283" w:hanging="283"/>
              <w:jc w:val="both"/>
              <w:rPr>
                <w:rFonts w:ascii="FrankRuehl" w:hAnsi="FrankRuehl" w:cs="FrankRuehl"/>
                <w:rtl/>
              </w:rPr>
            </w:pPr>
            <w:hyperlink r:id="rId9" w:history="1">
              <w:r w:rsidRPr="00D07D22">
                <w:rPr>
                  <w:rFonts w:ascii="FrankRuehl" w:hAnsi="FrankRuehl" w:cs="FrankRuehl"/>
                  <w:color w:val="0000FF"/>
                  <w:u w:val="single"/>
                  <w:rtl/>
                </w:rPr>
                <w:t>פקודת הסמים המסוכנים [נוסח חדש], תשל"ג-1973</w:t>
              </w:r>
            </w:hyperlink>
            <w:r w:rsidRPr="00D07D22">
              <w:rPr>
                <w:rFonts w:ascii="FrankRuehl" w:hAnsi="FrankRuehl" w:cs="FrankRuehl"/>
                <w:rtl/>
              </w:rPr>
              <w:t xml:space="preserve">: סע'  </w:t>
            </w:r>
            <w:hyperlink r:id="rId10" w:history="1">
              <w:r w:rsidRPr="00D07D22">
                <w:rPr>
                  <w:rFonts w:ascii="FrankRuehl" w:hAnsi="FrankRuehl" w:cs="FrankRuehl"/>
                  <w:color w:val="0000FF"/>
                  <w:u w:val="single"/>
                  <w:rtl/>
                </w:rPr>
                <w:t>36א</w:t>
              </w:r>
            </w:hyperlink>
          </w:p>
          <w:p w14:paraId="449757C2" w14:textId="77777777" w:rsidR="00D07D22" w:rsidRPr="00D07D22" w:rsidRDefault="00D07D22" w:rsidP="00D07D22">
            <w:pPr>
              <w:spacing w:after="120" w:line="240" w:lineRule="exact"/>
              <w:ind w:left="283" w:hanging="283"/>
              <w:jc w:val="both"/>
              <w:rPr>
                <w:rFonts w:ascii="FrankRuehl" w:hAnsi="FrankRuehl" w:cs="FrankRuehl"/>
                <w:rtl/>
              </w:rPr>
            </w:pPr>
          </w:p>
          <w:p w14:paraId="7D0E75EE" w14:textId="77777777" w:rsidR="00D07D22" w:rsidRPr="00D07D22" w:rsidRDefault="00D07D22" w:rsidP="0041725D">
            <w:pPr>
              <w:jc w:val="center"/>
              <w:rPr>
                <w:rFonts w:ascii="Arial" w:hAnsi="Arial" w:cs="FrankRuehl"/>
                <w:sz w:val="32"/>
                <w:szCs w:val="32"/>
                <w:rtl/>
              </w:rPr>
            </w:pPr>
            <w:bookmarkStart w:id="5" w:name="LawTable_End"/>
            <w:bookmarkEnd w:id="5"/>
          </w:p>
          <w:p w14:paraId="2ECF1E1A" w14:textId="77777777" w:rsidR="0041725D" w:rsidRPr="0041725D" w:rsidRDefault="0041725D" w:rsidP="0041725D">
            <w:pPr>
              <w:jc w:val="center"/>
              <w:rPr>
                <w:rFonts w:ascii="Arial" w:hAnsi="Arial" w:cs="FrankRuehl"/>
                <w:b/>
                <w:bCs/>
                <w:sz w:val="32"/>
                <w:szCs w:val="32"/>
                <w:u w:val="single"/>
                <w:rtl/>
              </w:rPr>
            </w:pPr>
            <w:r w:rsidRPr="0041725D">
              <w:rPr>
                <w:rFonts w:ascii="Arial" w:hAnsi="Arial" w:cs="FrankRuehl"/>
                <w:b/>
                <w:bCs/>
                <w:sz w:val="32"/>
                <w:szCs w:val="32"/>
                <w:u w:val="single"/>
                <w:rtl/>
              </w:rPr>
              <w:t>גזר דין</w:t>
            </w:r>
          </w:p>
          <w:p w14:paraId="5AC2A1FC" w14:textId="77777777" w:rsidR="009A35EB" w:rsidRPr="0041725D" w:rsidRDefault="009A35EB" w:rsidP="0041725D">
            <w:pPr>
              <w:jc w:val="center"/>
              <w:rPr>
                <w:rFonts w:ascii="Arial" w:hAnsi="Arial" w:cs="FrankRuehl"/>
                <w:bCs/>
                <w:sz w:val="32"/>
                <w:szCs w:val="32"/>
                <w:u w:val="single"/>
                <w:rtl/>
              </w:rPr>
            </w:pPr>
          </w:p>
        </w:tc>
      </w:tr>
      <w:bookmarkEnd w:id="3"/>
    </w:tbl>
    <w:p w14:paraId="170C0501" w14:textId="77777777" w:rsidR="009A35EB" w:rsidRPr="00B05847" w:rsidRDefault="009A35EB" w:rsidP="009A35EB">
      <w:pPr>
        <w:rPr>
          <w:rFonts w:ascii="Arial" w:hAnsi="Arial"/>
          <w:rtl/>
        </w:rPr>
      </w:pPr>
    </w:p>
    <w:p w14:paraId="4328B52E" w14:textId="77777777" w:rsidR="009A35EB" w:rsidRPr="00B05847" w:rsidRDefault="009A35EB" w:rsidP="009A35EB">
      <w:pPr>
        <w:rPr>
          <w:rFonts w:ascii="Arial" w:hAnsi="Arial"/>
          <w:rtl/>
        </w:rPr>
      </w:pPr>
    </w:p>
    <w:p w14:paraId="0BBB79EF" w14:textId="77777777" w:rsidR="009A35EB" w:rsidRDefault="009A35EB" w:rsidP="009A35EB">
      <w:pPr>
        <w:rPr>
          <w:rFonts w:ascii="Arial" w:hAnsi="Arial"/>
          <w:rtl/>
        </w:rPr>
      </w:pPr>
    </w:p>
    <w:p w14:paraId="32417F98" w14:textId="77777777" w:rsidR="009A35EB" w:rsidRDefault="009A35EB" w:rsidP="009A35EB">
      <w:pPr>
        <w:numPr>
          <w:ilvl w:val="0"/>
          <w:numId w:val="1"/>
        </w:numPr>
        <w:spacing w:line="360" w:lineRule="auto"/>
        <w:jc w:val="both"/>
        <w:rPr>
          <w:rFonts w:ascii="Arial" w:hAnsi="Arial"/>
          <w:b/>
          <w:bCs/>
          <w:u w:val="single"/>
          <w:rtl/>
        </w:rPr>
      </w:pPr>
      <w:bookmarkStart w:id="6" w:name="ABSTRACT_START"/>
      <w:bookmarkEnd w:id="6"/>
      <w:r>
        <w:rPr>
          <w:rFonts w:ascii="Arial" w:hAnsi="Arial" w:hint="cs"/>
          <w:rtl/>
        </w:rPr>
        <w:t>ביום 15.1.17 הגיעו הצדדים להסדר דיוני, לפיו הנאשם יודה ויורשע במיוחס לו בכתב האישום המתוקן  ויופנה לתסקיר.</w:t>
      </w:r>
    </w:p>
    <w:p w14:paraId="15C8C5C9" w14:textId="77777777" w:rsidR="009A35EB" w:rsidRDefault="009A35EB" w:rsidP="009A35EB">
      <w:pPr>
        <w:spacing w:line="360" w:lineRule="auto"/>
        <w:ind w:left="502"/>
        <w:jc w:val="both"/>
        <w:rPr>
          <w:rFonts w:ascii="Arial" w:hAnsi="Arial"/>
          <w:b/>
          <w:bCs/>
          <w:u w:val="single"/>
        </w:rPr>
      </w:pPr>
      <w:bookmarkStart w:id="7" w:name="ABSTRACT_END"/>
      <w:bookmarkEnd w:id="7"/>
    </w:p>
    <w:p w14:paraId="52586225" w14:textId="77777777" w:rsidR="009A35EB" w:rsidRDefault="009A35EB" w:rsidP="009A35EB">
      <w:pPr>
        <w:numPr>
          <w:ilvl w:val="0"/>
          <w:numId w:val="1"/>
        </w:numPr>
        <w:spacing w:line="360" w:lineRule="auto"/>
        <w:jc w:val="both"/>
        <w:rPr>
          <w:rFonts w:ascii="Arial" w:hAnsi="Arial"/>
        </w:rPr>
      </w:pPr>
      <w:r>
        <w:rPr>
          <w:rFonts w:ascii="Arial" w:hAnsi="Arial" w:hint="cs"/>
          <w:rtl/>
        </w:rPr>
        <w:t>התסקיר שהתקבל לדיון שהתקיים לפניי ביום 12.7.17, היה שלילי ונעדר המלצה. התסקיר לימד על נאשם השולל נזקקות טיפולית וחסר מוטיבציה לטיפול בבעיותיו. על אף זאת, ביקשו ב"כ הנאשם ליתן לו הזדמנות נוספת להשתלב בהליך טיפולי, ובהחלטתי, חרף התנגדות המאשימה ולאחר ששמעתי הנאשם עצמו, מצאתי ללכת לקראתו כברת דרך ולאפשר לו הזדמנות נוספת ובלתי חוזרת לשילוב נוסף בהליך טיפולי.</w:t>
      </w:r>
    </w:p>
    <w:p w14:paraId="23BA1323" w14:textId="77777777" w:rsidR="009A35EB" w:rsidRDefault="009A35EB" w:rsidP="009A35EB">
      <w:pPr>
        <w:spacing w:line="360" w:lineRule="auto"/>
        <w:ind w:left="502"/>
        <w:jc w:val="both"/>
        <w:rPr>
          <w:rFonts w:ascii="Arial" w:hAnsi="Arial"/>
        </w:rPr>
      </w:pPr>
    </w:p>
    <w:p w14:paraId="347CFC8F" w14:textId="77777777" w:rsidR="009A35EB" w:rsidRDefault="009A35EB" w:rsidP="009A35EB">
      <w:pPr>
        <w:numPr>
          <w:ilvl w:val="0"/>
          <w:numId w:val="1"/>
        </w:numPr>
        <w:spacing w:line="360" w:lineRule="auto"/>
        <w:jc w:val="both"/>
        <w:rPr>
          <w:rFonts w:ascii="Arial" w:hAnsi="Arial"/>
        </w:rPr>
      </w:pPr>
      <w:r>
        <w:rPr>
          <w:rFonts w:ascii="Arial" w:hAnsi="Arial" w:hint="cs"/>
          <w:rtl/>
        </w:rPr>
        <w:t xml:space="preserve">מהתסקירים הנוספים שהתקבלו עלה שהנאשם שולב בהליך טיפולי בבית חוסן, אך בהמשך, בתסקיר מיום 25.10.17, נוכח כישלונו בהפסקת שימוש בסם, התבקש שילובו באשפוזית </w:t>
      </w:r>
      <w:r>
        <w:rPr>
          <w:rFonts w:ascii="Arial" w:hAnsi="Arial" w:hint="cs"/>
          <w:rtl/>
        </w:rPr>
        <w:lastRenderedPageBreak/>
        <w:t xml:space="preserve">לניקיון מסם. לא נעתרתי לבקשה זו, ובהמשך, לאחר דיון במעמד הצדדים, מצאתי לדחותה בהחלטה מנומקת. (ראו בהרחבה החלטה מיום 20.12.17). </w:t>
      </w:r>
    </w:p>
    <w:p w14:paraId="39F1C16E" w14:textId="77777777" w:rsidR="009A35EB" w:rsidRDefault="009A35EB" w:rsidP="009A35EB">
      <w:pPr>
        <w:spacing w:line="360" w:lineRule="auto"/>
        <w:ind w:left="502"/>
        <w:jc w:val="both"/>
        <w:rPr>
          <w:rFonts w:ascii="Arial" w:hAnsi="Arial"/>
        </w:rPr>
      </w:pPr>
    </w:p>
    <w:p w14:paraId="0A967DBE" w14:textId="77777777" w:rsidR="009A35EB" w:rsidRDefault="009A35EB" w:rsidP="009A35EB">
      <w:pPr>
        <w:spacing w:line="360" w:lineRule="auto"/>
        <w:rPr>
          <w:rFonts w:ascii="Arial" w:hAnsi="Arial"/>
        </w:rPr>
      </w:pPr>
      <w:r>
        <w:rPr>
          <w:rFonts w:ascii="Arial" w:hAnsi="Arial" w:hint="cs"/>
          <w:b/>
          <w:bCs/>
          <w:u w:val="single"/>
          <w:rtl/>
        </w:rPr>
        <w:t>תסקירי שירות המבחן</w:t>
      </w:r>
    </w:p>
    <w:p w14:paraId="4A62A143" w14:textId="77777777" w:rsidR="009A35EB" w:rsidRDefault="009A35EB" w:rsidP="009A35EB">
      <w:pPr>
        <w:numPr>
          <w:ilvl w:val="0"/>
          <w:numId w:val="1"/>
        </w:numPr>
        <w:spacing w:line="360" w:lineRule="auto"/>
        <w:jc w:val="both"/>
        <w:rPr>
          <w:rFonts w:ascii="Arial" w:hAnsi="Arial"/>
          <w:rtl/>
        </w:rPr>
      </w:pPr>
      <w:r>
        <w:rPr>
          <w:rFonts w:ascii="Arial" w:hAnsi="Arial" w:hint="cs"/>
          <w:rtl/>
        </w:rPr>
        <w:t xml:space="preserve">הנאשם כבן 30, גרוש ואב לילדה בת 5. הנאשם, בן למשפחה נורמטיבית ומתגורר בבית אמו החולה. עוד עולה שהחל בשימוש בסמים וחומרים שונים עוד מגיל 16 והורשע בעבר בעבירות של שימוש בסם. באשר לרקע לביצוע העבירות בתיק זה, הסביר שבאותה תקופה לא עבד והתקשה להחזיק עצמו מבחינה כלכלית. בשל כך החל לסחור ולתווך במכירות סם. בדבריו הביע עמדות הנותנות לגיטימציה לשימוש בסם, ולא גילה תובנה לחומרת הסתבכותו. </w:t>
      </w:r>
    </w:p>
    <w:p w14:paraId="44D16CDE" w14:textId="77777777" w:rsidR="009A35EB" w:rsidRDefault="009A35EB" w:rsidP="009A35EB">
      <w:pPr>
        <w:spacing w:line="360" w:lineRule="auto"/>
        <w:ind w:left="502"/>
        <w:jc w:val="both"/>
        <w:rPr>
          <w:rFonts w:ascii="Arial" w:hAnsi="Arial"/>
        </w:rPr>
      </w:pPr>
    </w:p>
    <w:p w14:paraId="314A5F36" w14:textId="77777777" w:rsidR="009A35EB" w:rsidRDefault="009A35EB" w:rsidP="009A35EB">
      <w:pPr>
        <w:numPr>
          <w:ilvl w:val="0"/>
          <w:numId w:val="1"/>
        </w:numPr>
        <w:spacing w:line="360" w:lineRule="auto"/>
        <w:jc w:val="both"/>
        <w:rPr>
          <w:rFonts w:ascii="Arial" w:hAnsi="Arial"/>
        </w:rPr>
      </w:pPr>
      <w:r>
        <w:rPr>
          <w:rFonts w:ascii="Arial" w:hAnsi="Arial" w:hint="cs"/>
          <w:rtl/>
        </w:rPr>
        <w:t>הנאשם שולב בהליך טיפולי מחודש ספטמבר 2016,  עם שחרורו ממעצר. מאז ובמשך תקופה ארוכה, לא הצליח להשתלב בהליך גמילה, המשיך להשתמש בסם ולא גילה כוחות מתאימים ומוטיבציה לערוך שינוי של ממש בדפוסי התנהלותו. עוד עולה מהתסקירים שבחלק מבדיקות שתן נמצא נקי מסם אך בהמשך חזר לשימוש בסם. שירות המבחן התרשם, כי מביע עמדה אמביוולנטית באשר לנכונותו לעבור טיפול בדפוסיו ההתמכרותיים ואינו מבטא רצון להפסיק השימוש בסם, על אף מצבו המשפטי המורכב והמחירים האישיים שמשלם. על כן לא באו בהמלצה טיפולית בעניינו (תסקיר מיום 9.7.17). בהמשך, לאחר שניתנה לנאשם הזדמנות נוספת, דיווח שירות המבחן שהנאשם השתלב במרכז יום "בית חוסן" ומגיע כנדרש למפגשים. למרות זאת, התברר שמצבו לא השתפר והנאשם לא הפסיק השימוש בסם.  על כן ביקש שירות המבחן לאפשר שילובו באשפוזית במטרה לבחון יכולתו להתנקות מסם ולנסות להגביר רמת המוטיבציה שלו ומחויבותו להליך. לבקשה זו, כאמור, לא נעתרתי.</w:t>
      </w:r>
    </w:p>
    <w:p w14:paraId="0D3356F0" w14:textId="77777777" w:rsidR="009A35EB" w:rsidRDefault="009A35EB" w:rsidP="009A35EB">
      <w:pPr>
        <w:spacing w:line="360" w:lineRule="auto"/>
        <w:ind w:left="502"/>
        <w:jc w:val="both"/>
        <w:rPr>
          <w:rFonts w:ascii="Arial" w:hAnsi="Arial"/>
        </w:rPr>
      </w:pPr>
    </w:p>
    <w:p w14:paraId="059AF122" w14:textId="77777777" w:rsidR="009A35EB" w:rsidRDefault="009A35EB" w:rsidP="009A35EB">
      <w:pPr>
        <w:spacing w:line="360" w:lineRule="auto"/>
        <w:rPr>
          <w:rFonts w:ascii="Arial" w:hAnsi="Arial"/>
          <w:b/>
          <w:bCs/>
          <w:u w:val="single"/>
        </w:rPr>
      </w:pPr>
      <w:r>
        <w:rPr>
          <w:rFonts w:ascii="Arial" w:hAnsi="Arial" w:hint="cs"/>
          <w:b/>
          <w:bCs/>
          <w:u w:val="single"/>
          <w:rtl/>
        </w:rPr>
        <w:t>תמצית טיעוני הצדדים</w:t>
      </w:r>
    </w:p>
    <w:p w14:paraId="242164D1" w14:textId="77777777" w:rsidR="009A35EB" w:rsidRDefault="009A35EB" w:rsidP="009A35EB">
      <w:pPr>
        <w:pStyle w:val="ListParagraph"/>
        <w:numPr>
          <w:ilvl w:val="0"/>
          <w:numId w:val="1"/>
        </w:numPr>
        <w:spacing w:after="0" w:line="360" w:lineRule="auto"/>
        <w:jc w:val="both"/>
        <w:rPr>
          <w:rFonts w:cs="David"/>
          <w:sz w:val="24"/>
          <w:szCs w:val="24"/>
          <w:rtl/>
        </w:rPr>
      </w:pPr>
      <w:r>
        <w:rPr>
          <w:rFonts w:ascii="Arial" w:hAnsi="Arial" w:cs="David" w:hint="cs"/>
          <w:sz w:val="24"/>
          <w:szCs w:val="24"/>
          <w:rtl/>
        </w:rPr>
        <w:t>המאשימה, באמצעות ב"כ עו"ד קצובסקי, ביקשה להחמיר עם הנאשם. המאשימה עמדה על חומרת מעשיו, עברו הפלילי וכישלונו להיגמל מסם. עוד ביקשה לקבוע מתחם שנע בין 6-12 חודשי מאסר, לכל אחד מהאישומים בנפרד ועתרה למתחם ענישה כולל שנע בין   36-46 חודשי מאסר, הפעלת תנאי בן 6 חודשים במצטבר, ענישה נלווית הכולל הפעלת עונש פסילה, הכרזה על הנאשם כסוחר סמים וחילוט הכסף שנתפס בביתו. בהמשך, לאחר שצירף הנאשם תיק נוסף של הפרת הוראה חוקית, ביקשה להטיל עליו עונש מאסר קצר במצטבר.</w:t>
      </w:r>
    </w:p>
    <w:p w14:paraId="302579FF" w14:textId="77777777" w:rsidR="009A35EB" w:rsidRDefault="009A35EB" w:rsidP="009A35EB">
      <w:pPr>
        <w:pStyle w:val="ListParagraph"/>
        <w:spacing w:after="0" w:line="360" w:lineRule="auto"/>
        <w:ind w:left="502"/>
        <w:jc w:val="both"/>
        <w:rPr>
          <w:rFonts w:cs="David"/>
          <w:sz w:val="24"/>
          <w:szCs w:val="24"/>
        </w:rPr>
      </w:pPr>
    </w:p>
    <w:p w14:paraId="28C5FDD6" w14:textId="77777777" w:rsidR="009A35EB" w:rsidRDefault="009A35EB" w:rsidP="009A35EB">
      <w:pPr>
        <w:pStyle w:val="ListParagraph"/>
        <w:numPr>
          <w:ilvl w:val="0"/>
          <w:numId w:val="1"/>
        </w:numPr>
        <w:spacing w:after="0" w:line="360" w:lineRule="auto"/>
        <w:jc w:val="both"/>
        <w:rPr>
          <w:rFonts w:cs="David"/>
          <w:sz w:val="24"/>
          <w:szCs w:val="24"/>
        </w:rPr>
      </w:pPr>
      <w:r>
        <w:rPr>
          <w:rFonts w:ascii="Arial" w:hAnsi="Arial" w:cs="David" w:hint="cs"/>
          <w:sz w:val="24"/>
          <w:szCs w:val="24"/>
          <w:rtl/>
        </w:rPr>
        <w:t xml:space="preserve">ב"כ הנאשם, עו"ד אלמוג ועו"ד מנשה, עשו מתחילת הדרך ככל שיכלו על מנת לסייע לנאשם וללמד עליו סנגוריה. ההגנה ביקשה להתחשב בנסיבות הנאשם, בניסיונו להשתלב בהליך טיפולי שלצערם לא צלח ובתקופה הממושכת שנתון בתנאים מגבילים. עוד סבורים שמתחם </w:t>
      </w:r>
      <w:r>
        <w:rPr>
          <w:rFonts w:ascii="Arial" w:hAnsi="Arial" w:cs="David" w:hint="cs"/>
          <w:sz w:val="24"/>
          <w:szCs w:val="24"/>
          <w:rtl/>
        </w:rPr>
        <w:lastRenderedPageBreak/>
        <w:t xml:space="preserve">הענישה שהציעה המאשימה מופרז ואינו מידתי ועותרים למאסר קצר, הפעלת התנאי שתלוי נגדו בחופף לו והסתפקות בחילוט הכספים ללא סנקציות כלכליות נוספות. </w:t>
      </w:r>
    </w:p>
    <w:p w14:paraId="4EA7B82F" w14:textId="77777777" w:rsidR="009A35EB" w:rsidRDefault="009A35EB" w:rsidP="009A35EB">
      <w:pPr>
        <w:pStyle w:val="ListParagraph"/>
        <w:spacing w:after="0" w:line="360" w:lineRule="auto"/>
        <w:ind w:left="502"/>
        <w:jc w:val="both"/>
        <w:rPr>
          <w:rFonts w:cs="David"/>
          <w:sz w:val="24"/>
          <w:szCs w:val="24"/>
        </w:rPr>
      </w:pPr>
    </w:p>
    <w:p w14:paraId="1351BAD1" w14:textId="77777777" w:rsidR="009A35EB" w:rsidRDefault="009A35EB" w:rsidP="009A35EB">
      <w:pPr>
        <w:pStyle w:val="ListParagraph"/>
        <w:numPr>
          <w:ilvl w:val="0"/>
          <w:numId w:val="1"/>
        </w:numPr>
        <w:spacing w:after="0" w:line="360" w:lineRule="auto"/>
        <w:jc w:val="both"/>
        <w:rPr>
          <w:rFonts w:cs="David"/>
          <w:sz w:val="24"/>
          <w:szCs w:val="24"/>
        </w:rPr>
      </w:pPr>
      <w:r>
        <w:rPr>
          <w:rFonts w:ascii="Arial" w:hAnsi="Arial" w:cs="David" w:hint="cs"/>
          <w:sz w:val="24"/>
          <w:szCs w:val="24"/>
          <w:rtl/>
        </w:rPr>
        <w:t xml:space="preserve">הנאשם עצמו הביע צער על מעשיו וביקש את רחמיו של בית המשפט. </w:t>
      </w:r>
    </w:p>
    <w:p w14:paraId="4178B24D" w14:textId="77777777" w:rsidR="009A35EB" w:rsidRDefault="009A35EB" w:rsidP="009A35EB">
      <w:pPr>
        <w:spacing w:line="360" w:lineRule="auto"/>
        <w:jc w:val="both"/>
        <w:rPr>
          <w:rFonts w:ascii="Calibri" w:hAnsi="Calibri"/>
        </w:rPr>
      </w:pPr>
    </w:p>
    <w:p w14:paraId="4E5D0DA9" w14:textId="77777777" w:rsidR="009A35EB" w:rsidRPr="009A35EB" w:rsidRDefault="009A35EB" w:rsidP="009A35EB">
      <w:pPr>
        <w:spacing w:line="360" w:lineRule="auto"/>
        <w:rPr>
          <w:rFonts w:ascii="Calibri" w:hAnsi="Calibri"/>
          <w:rtl/>
        </w:rPr>
      </w:pPr>
      <w:r>
        <w:rPr>
          <w:rFonts w:hint="cs"/>
          <w:b/>
          <w:bCs/>
          <w:u w:val="single"/>
          <w:rtl/>
        </w:rPr>
        <w:t>דיון והכרעה</w:t>
      </w:r>
    </w:p>
    <w:p w14:paraId="62E1F67E" w14:textId="77777777" w:rsidR="009A35EB" w:rsidRDefault="009A35EB" w:rsidP="009A35EB">
      <w:pPr>
        <w:pStyle w:val="ListParagraph1"/>
        <w:numPr>
          <w:ilvl w:val="0"/>
          <w:numId w:val="1"/>
        </w:numPr>
        <w:spacing w:line="360" w:lineRule="auto"/>
        <w:jc w:val="both"/>
        <w:rPr>
          <w:rFonts w:cs="David"/>
          <w:sz w:val="24"/>
          <w:szCs w:val="24"/>
        </w:rPr>
      </w:pPr>
      <w:r>
        <w:rPr>
          <w:rFonts w:cs="David" w:hint="cs"/>
          <w:sz w:val="24"/>
          <w:szCs w:val="24"/>
          <w:rtl/>
        </w:rPr>
        <w:t xml:space="preserve">הנאשם שלפניי ביצע שורה ארוכה של עבירות סחר, אספקה והחזקת סם. התמונה המצטיירת ממקרא כתב האישום הוא של נאשם המשתמש בסם וסוחר בהם לפרנסתו. לנאשם קונים קבועים, להם מכר סם, במספר הזדמנויות בתמורה כספית או בשווי כסף (אישום 7). הנאשם מעורב מעורבות עמוקה בעולם הסמים, מזה שנים רבות, ויכול אף כי אוחז בהשקפה הממזערת חומרת מעשיו ועל כן הקים לעצמו עסק למכירת סם, כשחלק מרווחיו הכספיים, משמש לקניית סם לשימושו העצמי. </w:t>
      </w:r>
    </w:p>
    <w:p w14:paraId="11BA2168" w14:textId="77777777" w:rsidR="009A35EB" w:rsidRDefault="009A35EB" w:rsidP="009A35EB">
      <w:pPr>
        <w:pStyle w:val="ListParagraph1"/>
        <w:spacing w:line="360" w:lineRule="auto"/>
        <w:ind w:left="502"/>
        <w:jc w:val="both"/>
        <w:rPr>
          <w:rFonts w:cs="David"/>
          <w:sz w:val="24"/>
          <w:szCs w:val="24"/>
        </w:rPr>
      </w:pPr>
    </w:p>
    <w:p w14:paraId="2CA06042" w14:textId="77777777" w:rsidR="009A35EB" w:rsidRDefault="009A35EB" w:rsidP="009A35EB">
      <w:pPr>
        <w:pStyle w:val="ListParagraph1"/>
        <w:numPr>
          <w:ilvl w:val="0"/>
          <w:numId w:val="1"/>
        </w:numPr>
        <w:spacing w:line="360" w:lineRule="auto"/>
        <w:jc w:val="both"/>
        <w:rPr>
          <w:rFonts w:cs="David"/>
          <w:sz w:val="24"/>
          <w:szCs w:val="24"/>
        </w:rPr>
      </w:pPr>
      <w:r>
        <w:rPr>
          <w:rFonts w:cs="David" w:hint="cs"/>
          <w:sz w:val="24"/>
          <w:szCs w:val="24"/>
          <w:rtl/>
        </w:rPr>
        <w:t xml:space="preserve">לצד מכירת הסם, הנאשם החזיק בסם מחולק וארוז (ראה גם התמונות ע/4). אופן חלוקתו למנות ואריזתו מלמדים, שמטרת החזקתו הייתה לצרכי מסחר ומחזקים ההתרשמות כי אכן מדובר בסוחר מיומן ומתוכנן, שלו נגישות רבה לסם ופועל מול קונים שונים ממניע כלכלי טהור. </w:t>
      </w:r>
    </w:p>
    <w:p w14:paraId="1F9996C6" w14:textId="77777777" w:rsidR="009A35EB" w:rsidRPr="00B31EFB" w:rsidRDefault="009A35EB" w:rsidP="009A35EB">
      <w:pPr>
        <w:pStyle w:val="ListParagraph1"/>
        <w:spacing w:line="360" w:lineRule="auto"/>
        <w:ind w:left="502"/>
        <w:jc w:val="both"/>
        <w:rPr>
          <w:rFonts w:cs="David"/>
          <w:sz w:val="24"/>
          <w:szCs w:val="24"/>
        </w:rPr>
      </w:pPr>
    </w:p>
    <w:p w14:paraId="6239F8C1" w14:textId="77777777" w:rsidR="009A35EB" w:rsidRDefault="009A35EB" w:rsidP="009A35EB">
      <w:pPr>
        <w:pStyle w:val="ListParagraph1"/>
        <w:numPr>
          <w:ilvl w:val="0"/>
          <w:numId w:val="1"/>
        </w:numPr>
        <w:spacing w:line="360" w:lineRule="auto"/>
        <w:jc w:val="both"/>
        <w:rPr>
          <w:rFonts w:cs="David"/>
          <w:sz w:val="24"/>
          <w:szCs w:val="24"/>
        </w:rPr>
      </w:pPr>
      <w:r>
        <w:rPr>
          <w:rFonts w:cs="David" w:hint="cs"/>
          <w:sz w:val="24"/>
          <w:szCs w:val="24"/>
          <w:rtl/>
        </w:rPr>
        <w:t xml:space="preserve">שיטתיות מעשיו מלמדת על חומרתם ופגיעה מוחשית בערכים חברתיים וביניהם, הגנה על שלום הציבור, הגנה על בריאותם של הצורכים את הסמים, פגיעה בסדר הציבורי ובהגנה על מערכת אכיפת החוק. לכך אוסיף שהנאשם הפר הפרה בוטה את תנאיו המגבילים ובכך מעל באמון בית המשפט. </w:t>
      </w:r>
    </w:p>
    <w:p w14:paraId="6508E13F" w14:textId="77777777" w:rsidR="009A35EB" w:rsidRDefault="009A35EB" w:rsidP="009A35EB">
      <w:pPr>
        <w:pStyle w:val="ListParagraph1"/>
        <w:spacing w:line="360" w:lineRule="auto"/>
        <w:jc w:val="both"/>
        <w:rPr>
          <w:rFonts w:cs="David"/>
          <w:sz w:val="24"/>
          <w:szCs w:val="24"/>
        </w:rPr>
      </w:pPr>
    </w:p>
    <w:p w14:paraId="20B625A0" w14:textId="77777777" w:rsidR="009A35EB" w:rsidRDefault="009A35EB" w:rsidP="009A35EB">
      <w:pPr>
        <w:pStyle w:val="ListParagraph1"/>
        <w:numPr>
          <w:ilvl w:val="0"/>
          <w:numId w:val="1"/>
        </w:numPr>
        <w:spacing w:line="360" w:lineRule="auto"/>
        <w:jc w:val="both"/>
        <w:rPr>
          <w:rFonts w:cs="David"/>
          <w:sz w:val="24"/>
          <w:szCs w:val="24"/>
        </w:rPr>
      </w:pPr>
      <w:r>
        <w:rPr>
          <w:rFonts w:cs="David" w:hint="cs"/>
          <w:sz w:val="24"/>
          <w:szCs w:val="24"/>
          <w:rtl/>
        </w:rPr>
        <w:t xml:space="preserve">כעולה מכתב האישום, הנאשם פעל, במהלך שנת 2015, במועדים שונים מול קוני הסם השונים. מדובר במעשים דומים, ביניהם קשר ענייני הדוק (ראו </w:t>
      </w:r>
      <w:hyperlink r:id="rId11" w:history="1">
        <w:r w:rsidR="0041725D" w:rsidRPr="0041725D">
          <w:rPr>
            <w:rFonts w:cs="David" w:hint="eastAsia"/>
            <w:color w:val="0000FF"/>
            <w:sz w:val="24"/>
            <w:szCs w:val="24"/>
            <w:u w:val="single"/>
            <w:rtl/>
          </w:rPr>
          <w:t>ע</w:t>
        </w:r>
        <w:r w:rsidR="0041725D" w:rsidRPr="0041725D">
          <w:rPr>
            <w:rFonts w:cs="David"/>
            <w:color w:val="0000FF"/>
            <w:sz w:val="24"/>
            <w:szCs w:val="24"/>
            <w:u w:val="single"/>
            <w:rtl/>
          </w:rPr>
          <w:t>"</w:t>
        </w:r>
        <w:r w:rsidR="0041725D" w:rsidRPr="0041725D">
          <w:rPr>
            <w:rFonts w:cs="David" w:hint="eastAsia"/>
            <w:color w:val="0000FF"/>
            <w:sz w:val="24"/>
            <w:szCs w:val="24"/>
            <w:u w:val="single"/>
            <w:rtl/>
          </w:rPr>
          <w:t>פ</w:t>
        </w:r>
        <w:r w:rsidR="0041725D" w:rsidRPr="0041725D">
          <w:rPr>
            <w:rFonts w:cs="David"/>
            <w:color w:val="0000FF"/>
            <w:sz w:val="24"/>
            <w:szCs w:val="24"/>
            <w:u w:val="single"/>
            <w:rtl/>
          </w:rPr>
          <w:t xml:space="preserve"> 4910/13</w:t>
        </w:r>
      </w:hyperlink>
      <w:r>
        <w:rPr>
          <w:rFonts w:cs="David" w:hint="cs"/>
          <w:sz w:val="24"/>
          <w:szCs w:val="24"/>
          <w:rtl/>
        </w:rPr>
        <w:t xml:space="preserve"> </w:t>
      </w:r>
      <w:r>
        <w:rPr>
          <w:rFonts w:cs="David" w:hint="cs"/>
          <w:b/>
          <w:bCs/>
          <w:sz w:val="24"/>
          <w:szCs w:val="24"/>
          <w:rtl/>
        </w:rPr>
        <w:t>ג'אבר נ' מדינת</w:t>
      </w:r>
      <w:r>
        <w:rPr>
          <w:rFonts w:cs="David" w:hint="cs"/>
          <w:sz w:val="24"/>
          <w:szCs w:val="24"/>
          <w:rtl/>
        </w:rPr>
        <w:t xml:space="preserve"> </w:t>
      </w:r>
      <w:r>
        <w:rPr>
          <w:rFonts w:cs="David" w:hint="cs"/>
          <w:b/>
          <w:bCs/>
          <w:sz w:val="24"/>
          <w:szCs w:val="24"/>
          <w:rtl/>
        </w:rPr>
        <w:t xml:space="preserve">ישראל </w:t>
      </w:r>
      <w:r>
        <w:rPr>
          <w:rFonts w:cs="David" w:hint="cs"/>
          <w:sz w:val="24"/>
          <w:szCs w:val="24"/>
          <w:rtl/>
        </w:rPr>
        <w:t xml:space="preserve">(29.10.14)), שבוצעו בתקופה מקבילה ועד לחודש דצמבר 2015, ועל כן אין כל מקום להפרדה ביניהם, כעתירת המאשימה, ויש לראות בהם מסכת אירועים אחת (לפי </w:t>
      </w:r>
      <w:hyperlink r:id="rId12" w:history="1">
        <w:r w:rsidR="00612A6E" w:rsidRPr="00612A6E">
          <w:rPr>
            <w:rFonts w:cs="David" w:hint="eastAsia"/>
            <w:color w:val="0000FF"/>
            <w:sz w:val="24"/>
            <w:szCs w:val="24"/>
            <w:u w:val="single"/>
            <w:rtl/>
          </w:rPr>
          <w:t>סעיף</w:t>
        </w:r>
        <w:r w:rsidR="00612A6E" w:rsidRPr="00612A6E">
          <w:rPr>
            <w:rFonts w:cs="David"/>
            <w:color w:val="0000FF"/>
            <w:sz w:val="24"/>
            <w:szCs w:val="24"/>
            <w:u w:val="single"/>
            <w:rtl/>
          </w:rPr>
          <w:t xml:space="preserve"> 40</w:t>
        </w:r>
        <w:r w:rsidR="00612A6E" w:rsidRPr="00612A6E">
          <w:rPr>
            <w:rFonts w:cs="David" w:hint="eastAsia"/>
            <w:color w:val="0000FF"/>
            <w:sz w:val="24"/>
            <w:szCs w:val="24"/>
            <w:u w:val="single"/>
            <w:rtl/>
          </w:rPr>
          <w:t>יג</w:t>
        </w:r>
      </w:hyperlink>
      <w:r>
        <w:rPr>
          <w:rFonts w:cs="David" w:hint="cs"/>
          <w:sz w:val="24"/>
          <w:szCs w:val="24"/>
          <w:rtl/>
        </w:rPr>
        <w:t xml:space="preserve"> </w:t>
      </w:r>
      <w:hyperlink r:id="rId13" w:history="1">
        <w:r w:rsidR="00612A6E" w:rsidRPr="00612A6E">
          <w:rPr>
            <w:rFonts w:cs="David" w:hint="eastAsia"/>
            <w:color w:val="0000FF"/>
            <w:sz w:val="24"/>
            <w:szCs w:val="24"/>
            <w:u w:val="single"/>
            <w:rtl/>
          </w:rPr>
          <w:t>לחוק</w:t>
        </w:r>
      </w:hyperlink>
      <w:r>
        <w:rPr>
          <w:rFonts w:cs="David" w:hint="cs"/>
          <w:sz w:val="24"/>
          <w:szCs w:val="24"/>
          <w:rtl/>
        </w:rPr>
        <w:t xml:space="preserve">) ולקבוע מתחם ענישה כולל לכלל המעשים בהם הורשע הנאשם (למעט אירוע ההפרה). זהו המקום לציין, כי חלק מהאישומים התבססו על הודאת הנאשם שפירט בחקירותיו, עיסוקו במכירת סמים בשנה האחרונה. </w:t>
      </w:r>
    </w:p>
    <w:p w14:paraId="06CE28A5" w14:textId="77777777" w:rsidR="009A35EB" w:rsidRDefault="009A35EB" w:rsidP="009A35EB">
      <w:pPr>
        <w:pStyle w:val="ListParagraph1"/>
        <w:spacing w:line="360" w:lineRule="auto"/>
        <w:ind w:left="502"/>
        <w:jc w:val="both"/>
        <w:rPr>
          <w:rFonts w:cs="David"/>
          <w:sz w:val="24"/>
          <w:szCs w:val="24"/>
        </w:rPr>
      </w:pPr>
    </w:p>
    <w:p w14:paraId="2DF9FA4A" w14:textId="77777777" w:rsidR="009A35EB" w:rsidRDefault="009A35EB" w:rsidP="009A35EB">
      <w:pPr>
        <w:pStyle w:val="ListParagraph1"/>
        <w:numPr>
          <w:ilvl w:val="0"/>
          <w:numId w:val="1"/>
        </w:numPr>
        <w:spacing w:line="360" w:lineRule="auto"/>
        <w:jc w:val="both"/>
        <w:rPr>
          <w:rFonts w:ascii="Times New Roman" w:hAnsi="Times New Roman" w:cs="David"/>
          <w:sz w:val="24"/>
          <w:szCs w:val="24"/>
        </w:rPr>
      </w:pPr>
      <w:r>
        <w:rPr>
          <w:rFonts w:cs="David" w:hint="cs"/>
          <w:sz w:val="24"/>
          <w:szCs w:val="24"/>
          <w:rtl/>
        </w:rPr>
        <w:t>מדיניות הענישה בעבירות של סחר בסם מצווה להחמיר עם סוחרי הסם ולהכביד בעונשם. בשורה ארוכה של פסקי דין עמד בית המשפט העליון על הסיכון הנשקף מעבירות אלו, שהפכו רעה חולה שיש למגרה ועל ההכרח לעצור את התפשטות נגע הסמים בחברה, בין היתר על-ידי השתת ענישה מרתיעה על הנוטלים חלק ממערך הפצת הסמים (</w:t>
      </w:r>
      <w:r>
        <w:rPr>
          <w:rFonts w:ascii="Times New Roman" w:hAnsi="Times New Roman" w:cs="David" w:hint="cs"/>
          <w:sz w:val="24"/>
          <w:szCs w:val="24"/>
          <w:rtl/>
        </w:rPr>
        <w:t xml:space="preserve">ראו </w:t>
      </w:r>
      <w:hyperlink r:id="rId14" w:history="1">
        <w:r w:rsidR="0041725D" w:rsidRPr="0041725D">
          <w:rPr>
            <w:rFonts w:ascii="Times New Roman" w:hAnsi="Times New Roman" w:cs="David"/>
            <w:color w:val="0000FF"/>
            <w:sz w:val="24"/>
            <w:szCs w:val="24"/>
            <w:u w:val="single"/>
            <w:rtl/>
          </w:rPr>
          <w:t>ע"פ 966/94</w:t>
        </w:r>
      </w:hyperlink>
      <w:r>
        <w:rPr>
          <w:rFonts w:ascii="Times New Roman" w:hAnsi="Times New Roman" w:cs="David" w:hint="cs"/>
          <w:sz w:val="24"/>
          <w:szCs w:val="24"/>
          <w:rtl/>
        </w:rPr>
        <w:t xml:space="preserve"> </w:t>
      </w:r>
      <w:r>
        <w:rPr>
          <w:rFonts w:ascii="Times New Roman" w:hAnsi="Times New Roman" w:cs="David" w:hint="cs"/>
          <w:b/>
          <w:bCs/>
          <w:sz w:val="24"/>
          <w:szCs w:val="24"/>
          <w:rtl/>
        </w:rPr>
        <w:t>אלי אמזלג נ'  מדינת ישראל</w:t>
      </w:r>
      <w:r>
        <w:rPr>
          <w:rFonts w:ascii="Times New Roman" w:hAnsi="Times New Roman" w:cs="David" w:hint="cs"/>
          <w:sz w:val="24"/>
          <w:szCs w:val="24"/>
          <w:rtl/>
        </w:rPr>
        <w:t xml:space="preserve"> (10.12.1995).</w:t>
      </w:r>
    </w:p>
    <w:p w14:paraId="6A03B322" w14:textId="77777777" w:rsidR="009A35EB" w:rsidRPr="00B31EFB" w:rsidRDefault="009A35EB" w:rsidP="009A35EB">
      <w:pPr>
        <w:pStyle w:val="ListParagraph1"/>
        <w:spacing w:line="360" w:lineRule="auto"/>
        <w:jc w:val="both"/>
        <w:rPr>
          <w:rFonts w:ascii="Times New Roman" w:hAnsi="Times New Roman" w:cs="David"/>
          <w:sz w:val="24"/>
          <w:szCs w:val="24"/>
          <w:rtl/>
        </w:rPr>
      </w:pPr>
    </w:p>
    <w:p w14:paraId="2AFC1FC8" w14:textId="77777777" w:rsidR="009A35EB" w:rsidRDefault="009A35EB" w:rsidP="009A35EB">
      <w:pPr>
        <w:pStyle w:val="ListParagraph1"/>
        <w:numPr>
          <w:ilvl w:val="0"/>
          <w:numId w:val="1"/>
        </w:numPr>
        <w:spacing w:line="360" w:lineRule="auto"/>
        <w:jc w:val="both"/>
        <w:rPr>
          <w:rFonts w:ascii="Times New Roman" w:hAnsi="Times New Roman" w:cs="David"/>
          <w:sz w:val="24"/>
          <w:szCs w:val="24"/>
          <w:rtl/>
        </w:rPr>
      </w:pPr>
      <w:r>
        <w:rPr>
          <w:rFonts w:cs="David" w:hint="cs"/>
          <w:sz w:val="24"/>
          <w:szCs w:val="24"/>
          <w:rtl/>
        </w:rPr>
        <w:t>בחינת מדיניות הענישה המקובלת בעבירות סחר בסם, מעלה כי מתחם הענישה מגוון ורחב, וכולל, על דרך הכלל, מאסרים בפועל שאינם קצרים: כך לדוגמא בכמה פסקי דין שנסיבותיהם דומות:</w:t>
      </w:r>
    </w:p>
    <w:p w14:paraId="255BFBDF" w14:textId="77777777" w:rsidR="009A35EB" w:rsidRPr="009A35EB" w:rsidRDefault="0041725D" w:rsidP="009A35EB">
      <w:pPr>
        <w:numPr>
          <w:ilvl w:val="0"/>
          <w:numId w:val="2"/>
        </w:numPr>
        <w:spacing w:line="360" w:lineRule="auto"/>
        <w:jc w:val="both"/>
        <w:rPr>
          <w:rFonts w:ascii="Calibri" w:hAnsi="Calibri"/>
          <w:rtl/>
        </w:rPr>
      </w:pPr>
      <w:hyperlink r:id="rId15" w:history="1">
        <w:r w:rsidRPr="0041725D">
          <w:rPr>
            <w:color w:val="0000FF"/>
            <w:u w:val="single"/>
            <w:rtl/>
          </w:rPr>
          <w:t>רע"פ 189/15</w:t>
        </w:r>
      </w:hyperlink>
      <w:r w:rsidR="009A35EB">
        <w:rPr>
          <w:rFonts w:hint="cs"/>
          <w:rtl/>
        </w:rPr>
        <w:t xml:space="preserve"> </w:t>
      </w:r>
      <w:r w:rsidR="009A35EB">
        <w:rPr>
          <w:rFonts w:hint="cs"/>
          <w:b/>
          <w:bCs/>
          <w:rtl/>
        </w:rPr>
        <w:t>עומרי כהן נ' מדינת ישראל</w:t>
      </w:r>
      <w:r w:rsidR="009A35EB">
        <w:rPr>
          <w:rFonts w:hint="cs"/>
          <w:rtl/>
        </w:rPr>
        <w:t xml:space="preserve"> (21.01.15)- הנאשם הורשע בשלוש עבירות סחר, תיווך בסם והחזקת סם בכמות מסחרית ונדון ל-16 חודשי מאסר. ערעורו נדחה.</w:t>
      </w:r>
    </w:p>
    <w:p w14:paraId="54DA6709" w14:textId="77777777" w:rsidR="009A35EB" w:rsidRDefault="0041725D" w:rsidP="009A35EB">
      <w:pPr>
        <w:numPr>
          <w:ilvl w:val="0"/>
          <w:numId w:val="2"/>
        </w:numPr>
        <w:spacing w:line="360" w:lineRule="auto"/>
        <w:jc w:val="both"/>
      </w:pPr>
      <w:hyperlink r:id="rId16" w:history="1">
        <w:r w:rsidRPr="0041725D">
          <w:rPr>
            <w:color w:val="0000FF"/>
            <w:u w:val="single"/>
            <w:rtl/>
          </w:rPr>
          <w:t>רע"פ 126/15</w:t>
        </w:r>
      </w:hyperlink>
      <w:r w:rsidR="009A35EB">
        <w:rPr>
          <w:rFonts w:hint="cs"/>
          <w:rtl/>
        </w:rPr>
        <w:t xml:space="preserve"> </w:t>
      </w:r>
      <w:r w:rsidR="009A35EB">
        <w:rPr>
          <w:rFonts w:hint="cs"/>
          <w:b/>
          <w:bCs/>
          <w:rtl/>
        </w:rPr>
        <w:t>טל חביף נ' מדינת ישראל-</w:t>
      </w:r>
      <w:r w:rsidR="009A35EB">
        <w:rPr>
          <w:rFonts w:hint="cs"/>
          <w:rtl/>
        </w:rPr>
        <w:t xml:space="preserve"> נאשם הורשע בשלוש עבירות של סחר בסם קוקאין לסוכן סמוי. נקבע מתחם לכל עבירה בין 8-18 חודשי מאסר. הנאשם, שהיה מצוי בעיצומו של הליך שיקום,  נדון ל-20 חודשים, הכוללים 4 חודשי הפעלת תנאי.</w:t>
      </w:r>
    </w:p>
    <w:p w14:paraId="59AFB9FB" w14:textId="77777777" w:rsidR="009A35EB" w:rsidRDefault="0041725D" w:rsidP="009A35EB">
      <w:pPr>
        <w:numPr>
          <w:ilvl w:val="0"/>
          <w:numId w:val="2"/>
        </w:numPr>
        <w:spacing w:line="360" w:lineRule="auto"/>
        <w:jc w:val="both"/>
      </w:pPr>
      <w:hyperlink r:id="rId17" w:history="1">
        <w:r w:rsidRPr="0041725D">
          <w:rPr>
            <w:color w:val="0000FF"/>
            <w:u w:val="single"/>
            <w:rtl/>
          </w:rPr>
          <w:t>רע"פ 1720/11</w:t>
        </w:r>
      </w:hyperlink>
      <w:r w:rsidR="009A35EB">
        <w:rPr>
          <w:rFonts w:hint="cs"/>
          <w:rtl/>
        </w:rPr>
        <w:t xml:space="preserve"> </w:t>
      </w:r>
      <w:r w:rsidR="009A35EB">
        <w:rPr>
          <w:rFonts w:hint="cs"/>
          <w:b/>
          <w:bCs/>
          <w:rtl/>
        </w:rPr>
        <w:t>גליק נ' מדינת ישראל</w:t>
      </w:r>
      <w:r w:rsidR="009A35EB">
        <w:rPr>
          <w:rFonts w:hint="cs"/>
          <w:rtl/>
        </w:rPr>
        <w:t>- דחיית ערעור של נאשם צעיר, מצוי בהליך שיקום ונטול עבר פלילי בשלוש עבירות סחר שנדון ל-8 חודשי מאסר.</w:t>
      </w:r>
    </w:p>
    <w:p w14:paraId="457EB9BC" w14:textId="77777777" w:rsidR="009A35EB" w:rsidRDefault="0041725D" w:rsidP="009A35EB">
      <w:pPr>
        <w:numPr>
          <w:ilvl w:val="0"/>
          <w:numId w:val="2"/>
        </w:numPr>
        <w:spacing w:line="360" w:lineRule="auto"/>
        <w:jc w:val="both"/>
      </w:pPr>
      <w:hyperlink r:id="rId18" w:history="1">
        <w:r w:rsidRPr="0041725D">
          <w:rPr>
            <w:color w:val="0000FF"/>
            <w:u w:val="single"/>
            <w:rtl/>
          </w:rPr>
          <w:t>רע"פ 7996/12</w:t>
        </w:r>
      </w:hyperlink>
      <w:r w:rsidR="009A35EB">
        <w:rPr>
          <w:rFonts w:hint="cs"/>
          <w:u w:val="single"/>
          <w:rtl/>
        </w:rPr>
        <w:t xml:space="preserve"> </w:t>
      </w:r>
      <w:r w:rsidR="009A35EB">
        <w:rPr>
          <w:rFonts w:hint="cs"/>
          <w:b/>
          <w:bCs/>
          <w:rtl/>
        </w:rPr>
        <w:t>יוסף נ' מדינת ישראל</w:t>
      </w:r>
      <w:r w:rsidR="009A35EB">
        <w:rPr>
          <w:rFonts w:hint="cs"/>
          <w:rtl/>
        </w:rPr>
        <w:t xml:space="preserve">- נדחה ערעור של צעיר שהורשע בביצוע ארבע עבירות סחר ונדון ל-21 חודשי מאסר.  </w:t>
      </w:r>
    </w:p>
    <w:p w14:paraId="29A83C30" w14:textId="77777777" w:rsidR="009A35EB" w:rsidRDefault="0041725D" w:rsidP="009A35EB">
      <w:pPr>
        <w:numPr>
          <w:ilvl w:val="0"/>
          <w:numId w:val="2"/>
        </w:numPr>
        <w:spacing w:line="360" w:lineRule="auto"/>
        <w:jc w:val="both"/>
      </w:pPr>
      <w:hyperlink r:id="rId19" w:history="1">
        <w:r w:rsidRPr="0041725D">
          <w:rPr>
            <w:color w:val="0000FF"/>
            <w:u w:val="single"/>
            <w:rtl/>
          </w:rPr>
          <w:t>ע"פ (מח' חיפה) 7319-08-12</w:t>
        </w:r>
      </w:hyperlink>
      <w:r w:rsidR="009A35EB">
        <w:rPr>
          <w:rFonts w:hint="cs"/>
          <w:b/>
          <w:bCs/>
          <w:rtl/>
        </w:rPr>
        <w:t xml:space="preserve"> סבח נ' מדינת ישראל</w:t>
      </w:r>
      <w:r w:rsidR="009A35EB">
        <w:rPr>
          <w:rFonts w:hint="cs"/>
          <w:rtl/>
        </w:rPr>
        <w:t xml:space="preserve"> (25.10.12)- נדחה ערעורו של נאשם אשר הורשע בשתי עבירות של סחר בסם מסוכן . הנאשם סחר בשתי הזדמנויות בסם מסוכן מסוג חשיש במשקלים נמוכים. הנאשם צעיר, נידון ל-18 חודשי מאסר.</w:t>
      </w:r>
    </w:p>
    <w:p w14:paraId="3619BD94" w14:textId="77777777" w:rsidR="009A35EB" w:rsidRDefault="009A35EB" w:rsidP="009A35EB">
      <w:pPr>
        <w:numPr>
          <w:ilvl w:val="0"/>
          <w:numId w:val="2"/>
        </w:numPr>
        <w:spacing w:line="360" w:lineRule="auto"/>
        <w:jc w:val="both"/>
      </w:pPr>
      <w:r>
        <w:rPr>
          <w:rFonts w:hint="cs"/>
          <w:u w:val="single"/>
          <w:rtl/>
        </w:rPr>
        <w:t xml:space="preserve">עפ"ג (מח-מרכז)  </w:t>
      </w:r>
      <w:hyperlink r:id="rId20" w:history="1">
        <w:r w:rsidR="00D07D22" w:rsidRPr="00D07D22">
          <w:rPr>
            <w:color w:val="0000FF"/>
            <w:u w:val="single"/>
            <w:rtl/>
          </w:rPr>
          <w:t xml:space="preserve">26853-04-17 </w:t>
        </w:r>
      </w:hyperlink>
      <w:r>
        <w:rPr>
          <w:rFonts w:hint="cs"/>
          <w:rtl/>
        </w:rPr>
        <w:t xml:space="preserve"> </w:t>
      </w:r>
      <w:r>
        <w:rPr>
          <w:rFonts w:hint="cs"/>
          <w:b/>
          <w:bCs/>
          <w:rtl/>
        </w:rPr>
        <w:t>ליפצר נ' מדינת ישראל</w:t>
      </w:r>
      <w:r>
        <w:rPr>
          <w:rFonts w:hint="cs"/>
          <w:rtl/>
        </w:rPr>
        <w:t xml:space="preserve"> – הנאשם הורשע, לאחר ניהול הוכחות, ב-12 אישומים של סחר בסמים ואספקת סם ב-44 הזדמנויות. הנאשם נדון ל-30 חודשי מאסר וענישה נלווית. ערעורו נדחה. </w:t>
      </w:r>
    </w:p>
    <w:p w14:paraId="148A9CD4" w14:textId="77777777" w:rsidR="009A35EB" w:rsidRDefault="009A35EB" w:rsidP="009A35EB">
      <w:pPr>
        <w:spacing w:line="360" w:lineRule="auto"/>
        <w:ind w:left="1320"/>
        <w:jc w:val="both"/>
      </w:pPr>
    </w:p>
    <w:p w14:paraId="24AF1E20" w14:textId="77777777" w:rsidR="009A35EB" w:rsidRDefault="009A35EB" w:rsidP="009A35EB">
      <w:pPr>
        <w:pStyle w:val="ListParagraph1"/>
        <w:numPr>
          <w:ilvl w:val="0"/>
          <w:numId w:val="1"/>
        </w:numPr>
        <w:spacing w:line="360" w:lineRule="auto"/>
        <w:jc w:val="both"/>
        <w:rPr>
          <w:rFonts w:cs="David"/>
          <w:sz w:val="24"/>
          <w:szCs w:val="24"/>
        </w:rPr>
      </w:pPr>
      <w:r>
        <w:rPr>
          <w:rFonts w:cs="David" w:hint="cs"/>
          <w:b/>
          <w:bCs/>
          <w:sz w:val="24"/>
          <w:szCs w:val="24"/>
          <w:rtl/>
        </w:rPr>
        <w:t xml:space="preserve">לפיכך, כמצוות תיקון 113 ובהתאם לנסיבות מעשי הנאשם, הנני קובעת כי מתחם הענישה ההולם למעשים שביצע הנאשם נע בין 12-24 חודשי מאסר וענישה נלווית. </w:t>
      </w:r>
    </w:p>
    <w:p w14:paraId="6D23726F" w14:textId="77777777" w:rsidR="009A35EB" w:rsidRDefault="009A35EB" w:rsidP="009A35EB">
      <w:pPr>
        <w:pStyle w:val="ListParagraph1"/>
        <w:spacing w:line="360" w:lineRule="auto"/>
        <w:ind w:left="502"/>
        <w:jc w:val="both"/>
        <w:rPr>
          <w:rFonts w:cs="David"/>
          <w:sz w:val="24"/>
          <w:szCs w:val="24"/>
        </w:rPr>
      </w:pPr>
    </w:p>
    <w:p w14:paraId="03EA111A" w14:textId="77777777" w:rsidR="009A35EB" w:rsidRDefault="009A35EB" w:rsidP="009A35EB">
      <w:pPr>
        <w:pStyle w:val="ListParagraph1"/>
        <w:numPr>
          <w:ilvl w:val="0"/>
          <w:numId w:val="1"/>
        </w:numPr>
        <w:spacing w:after="160" w:line="360" w:lineRule="auto"/>
        <w:jc w:val="both"/>
        <w:rPr>
          <w:rFonts w:cs="David"/>
          <w:sz w:val="24"/>
          <w:szCs w:val="24"/>
          <w:rtl/>
        </w:rPr>
      </w:pPr>
      <w:r>
        <w:rPr>
          <w:rFonts w:cs="David" w:hint="cs"/>
          <w:sz w:val="24"/>
          <w:szCs w:val="24"/>
          <w:rtl/>
        </w:rPr>
        <w:t>הנאשם שלפניי הינו כבן 30, בעברו הרשעות בעבירות סם קלות. בשנת 2009 הורשע בשימוש בסם ונדון למאסר על תנאי בן שנה בעבירות סם מסוג פשע ו-6 חודשים בעבירות סם מסוג עוון. במסגרת הרשעתו ב</w:t>
      </w:r>
      <w:hyperlink r:id="rId21" w:history="1">
        <w:r w:rsidR="0041725D" w:rsidRPr="0041725D">
          <w:rPr>
            <w:rFonts w:cs="David" w:hint="eastAsia"/>
            <w:color w:val="0000FF"/>
            <w:sz w:val="24"/>
            <w:szCs w:val="24"/>
            <w:u w:val="single"/>
            <w:rtl/>
          </w:rPr>
          <w:t>ת</w:t>
        </w:r>
        <w:r w:rsidR="0041725D" w:rsidRPr="0041725D">
          <w:rPr>
            <w:rFonts w:cs="David"/>
            <w:color w:val="0000FF"/>
            <w:sz w:val="24"/>
            <w:szCs w:val="24"/>
            <w:u w:val="single"/>
            <w:rtl/>
          </w:rPr>
          <w:t>"</w:t>
        </w:r>
        <w:r w:rsidR="0041725D" w:rsidRPr="0041725D">
          <w:rPr>
            <w:rFonts w:cs="David" w:hint="eastAsia"/>
            <w:color w:val="0000FF"/>
            <w:sz w:val="24"/>
            <w:szCs w:val="24"/>
            <w:u w:val="single"/>
            <w:rtl/>
          </w:rPr>
          <w:t>פ</w:t>
        </w:r>
        <w:r w:rsidR="0041725D" w:rsidRPr="0041725D">
          <w:rPr>
            <w:rFonts w:cs="David"/>
            <w:color w:val="0000FF"/>
            <w:sz w:val="24"/>
            <w:szCs w:val="24"/>
            <w:u w:val="single"/>
            <w:rtl/>
          </w:rPr>
          <w:t xml:space="preserve"> 25801-02-13</w:t>
        </w:r>
      </w:hyperlink>
      <w:r>
        <w:rPr>
          <w:rFonts w:cs="David" w:hint="cs"/>
          <w:sz w:val="24"/>
          <w:szCs w:val="24"/>
          <w:rtl/>
        </w:rPr>
        <w:t xml:space="preserve"> (כ"ס) הוארך התנאי הקצר בהסכמת המאשימה. זהו המקום לציין, שעיון בפסק דין מלמד, שהיום כמו אז, גילה הנאשם אדישות למצבו המשפטי ואף לא התייצב לפגישות בשירות מבחן בניגוד להסדר הטיעון בין הצדדים. המאשימה, באופן חריג ביותר, הסכימה להארכת התנאי, ללא המלצת שירות המבחן ועל אף יחסו המזלזל של הנאשם, תנאי שהינו חב הפעלה בתיק שלפנינו. </w:t>
      </w:r>
    </w:p>
    <w:p w14:paraId="459EC0D3" w14:textId="77777777" w:rsidR="009A35EB" w:rsidRDefault="009A35EB" w:rsidP="009A35EB">
      <w:pPr>
        <w:pStyle w:val="ListParagraph1"/>
        <w:spacing w:after="160" w:line="360" w:lineRule="auto"/>
        <w:ind w:left="502"/>
        <w:jc w:val="both"/>
        <w:rPr>
          <w:rFonts w:cs="David"/>
          <w:sz w:val="24"/>
          <w:szCs w:val="24"/>
        </w:rPr>
      </w:pPr>
    </w:p>
    <w:p w14:paraId="76584933" w14:textId="77777777" w:rsidR="009A35EB" w:rsidRDefault="009A35EB" w:rsidP="009A35EB">
      <w:pPr>
        <w:pStyle w:val="ListParagraph1"/>
        <w:numPr>
          <w:ilvl w:val="0"/>
          <w:numId w:val="1"/>
        </w:numPr>
        <w:spacing w:after="160" w:line="360" w:lineRule="auto"/>
        <w:jc w:val="both"/>
        <w:rPr>
          <w:rFonts w:cs="David"/>
          <w:sz w:val="24"/>
          <w:szCs w:val="24"/>
        </w:rPr>
      </w:pPr>
      <w:r>
        <w:rPr>
          <w:rFonts w:cs="David" w:hint="cs"/>
          <w:sz w:val="24"/>
          <w:szCs w:val="24"/>
          <w:rtl/>
        </w:rPr>
        <w:t xml:space="preserve">הנאשם קיבל הזדמנויות רבות לערוך שינוי ממשי בהתנהלותו ובאורח חייו. למרות עמדתו השלילית של שירות המבחן, מצאתי לאפשר לנאשם, לפנים משורת הדין, לחזור ולהסתייע בשירותיהם כדי לשלבו בהליך טיפולי. הנאשם מכור לסם, ועל אף זאת, ככל הנראה בשל נטייתו למזער את חומרת מצבו, הופנה לטיפול במרכז יום בלבד. חוסר הצלחת הטיפול והמשך השימוש בסם מלמדנו שלא מדובר בטיפול מתאים והדרך היחידה שבה הנאשם יוכל לסייע לעצמו, הינה אם יבין חומרת מצבו, יגלה מוטיבציה וכוחות להשתלב בהליך גמילה ארוך טווח ויתמסר להצלחתו. במצב הקשה אליו נקלע הנאשם באשמתו הבלעדית, אין קיצורי דרך ואין כל מקום לגלגל האחריות לפתחם של גופי הטיפול השונים שביקשו לסייע לו. </w:t>
      </w:r>
    </w:p>
    <w:p w14:paraId="33FD0E9B" w14:textId="77777777" w:rsidR="009A35EB" w:rsidRDefault="009A35EB" w:rsidP="009A35EB">
      <w:pPr>
        <w:pStyle w:val="ListParagraph1"/>
        <w:spacing w:after="160" w:line="360" w:lineRule="auto"/>
        <w:ind w:left="502"/>
        <w:jc w:val="both"/>
        <w:rPr>
          <w:rFonts w:cs="David"/>
          <w:sz w:val="24"/>
          <w:szCs w:val="24"/>
        </w:rPr>
      </w:pPr>
    </w:p>
    <w:p w14:paraId="0E262B80" w14:textId="77777777" w:rsidR="009A35EB" w:rsidRDefault="009A35EB" w:rsidP="009A35EB">
      <w:pPr>
        <w:pStyle w:val="ListParagraph1"/>
        <w:numPr>
          <w:ilvl w:val="0"/>
          <w:numId w:val="1"/>
        </w:numPr>
        <w:spacing w:after="160" w:line="360" w:lineRule="auto"/>
        <w:jc w:val="both"/>
        <w:rPr>
          <w:rFonts w:cs="David"/>
          <w:sz w:val="24"/>
          <w:szCs w:val="24"/>
        </w:rPr>
      </w:pPr>
      <w:r>
        <w:rPr>
          <w:rFonts w:cs="David" w:hint="cs"/>
          <w:sz w:val="24"/>
          <w:szCs w:val="24"/>
          <w:rtl/>
        </w:rPr>
        <w:t xml:space="preserve">המחירים שמשלם הנאשם על דפוסי התנהלותו קשים ואזכיר, בין היתר, את היותו אב לילדה קטנה ומחלת אמו. על אף זאת, לא היה בכל אלו, כדי לדרבנו ולהניעו לטפל בעצמו ואני תקווה שינצל תקופת מאסרו כדי לעשות כן. עוד אתחשב בכך ששהה בתנאים מגבילים זמן ממושך ושזה לו מאסרו הראשון. </w:t>
      </w:r>
    </w:p>
    <w:p w14:paraId="695F8325" w14:textId="77777777" w:rsidR="009A35EB" w:rsidRPr="00F0295A" w:rsidRDefault="009A35EB" w:rsidP="009A35EB">
      <w:pPr>
        <w:pStyle w:val="ListParagraph1"/>
        <w:spacing w:after="160" w:line="360" w:lineRule="auto"/>
        <w:ind w:left="502"/>
        <w:jc w:val="both"/>
        <w:rPr>
          <w:rFonts w:cs="David"/>
          <w:sz w:val="24"/>
          <w:szCs w:val="24"/>
        </w:rPr>
      </w:pPr>
    </w:p>
    <w:p w14:paraId="103724BF" w14:textId="77777777" w:rsidR="009A35EB" w:rsidRDefault="009A35EB" w:rsidP="009A35EB">
      <w:pPr>
        <w:pStyle w:val="ListParagraph1"/>
        <w:numPr>
          <w:ilvl w:val="0"/>
          <w:numId w:val="1"/>
        </w:numPr>
        <w:spacing w:after="160" w:line="360" w:lineRule="auto"/>
        <w:jc w:val="both"/>
        <w:rPr>
          <w:rFonts w:cs="David"/>
          <w:sz w:val="24"/>
          <w:szCs w:val="24"/>
        </w:rPr>
      </w:pPr>
      <w:r>
        <w:rPr>
          <w:rFonts w:cs="David" w:hint="cs"/>
          <w:sz w:val="24"/>
          <w:szCs w:val="24"/>
          <w:rtl/>
        </w:rPr>
        <w:t xml:space="preserve">במצב הדברים הנוכחי, משמעשיו של הנאשם רבים וחמורים, הנאשם לא השכיל לנצל ידו המושטת של בית המשפט ושירות המבחן ומשמסוכנותו נותרה בעינה, אין מנוס משליחתו למאסר ממש לצד הפעלת התנאי וענישה נלווית כואבת. הווה ידוע כי בעבירות מסוג זה נסוגים שיקוליו האישיים של העבריין מפני האינטרסים הציבוריים. ראו </w:t>
      </w:r>
      <w:hyperlink r:id="rId22" w:history="1">
        <w:r w:rsidR="0041725D" w:rsidRPr="0041725D">
          <w:rPr>
            <w:rFonts w:cs="David" w:hint="eastAsia"/>
            <w:color w:val="0000FF"/>
            <w:sz w:val="24"/>
            <w:szCs w:val="24"/>
            <w:u w:val="single"/>
            <w:rtl/>
          </w:rPr>
          <w:t>ע</w:t>
        </w:r>
        <w:r w:rsidR="0041725D" w:rsidRPr="0041725D">
          <w:rPr>
            <w:rFonts w:cs="David"/>
            <w:color w:val="0000FF"/>
            <w:sz w:val="24"/>
            <w:szCs w:val="24"/>
            <w:u w:val="single"/>
            <w:rtl/>
          </w:rPr>
          <w:t>"</w:t>
        </w:r>
        <w:r w:rsidR="0041725D" w:rsidRPr="0041725D">
          <w:rPr>
            <w:rFonts w:cs="David" w:hint="eastAsia"/>
            <w:color w:val="0000FF"/>
            <w:sz w:val="24"/>
            <w:szCs w:val="24"/>
            <w:u w:val="single"/>
            <w:rtl/>
          </w:rPr>
          <w:t>פ</w:t>
        </w:r>
        <w:r w:rsidR="0041725D" w:rsidRPr="0041725D">
          <w:rPr>
            <w:rFonts w:cs="David"/>
            <w:color w:val="0000FF"/>
            <w:sz w:val="24"/>
            <w:szCs w:val="24"/>
            <w:u w:val="single"/>
            <w:rtl/>
          </w:rPr>
          <w:t xml:space="preserve"> 3820/09</w:t>
        </w:r>
      </w:hyperlink>
      <w:r>
        <w:rPr>
          <w:rFonts w:cs="David" w:hint="cs"/>
          <w:sz w:val="24"/>
          <w:szCs w:val="24"/>
          <w:u w:val="single"/>
          <w:rtl/>
        </w:rPr>
        <w:t xml:space="preserve"> </w:t>
      </w:r>
      <w:r>
        <w:rPr>
          <w:rFonts w:cs="David" w:hint="cs"/>
          <w:b/>
          <w:bCs/>
          <w:sz w:val="24"/>
          <w:szCs w:val="24"/>
          <w:rtl/>
        </w:rPr>
        <w:t>מדינת ישראל נ' אוחיון</w:t>
      </w:r>
      <w:r>
        <w:rPr>
          <w:rFonts w:cs="David" w:hint="cs"/>
          <w:sz w:val="24"/>
          <w:szCs w:val="24"/>
          <w:rtl/>
        </w:rPr>
        <w:t xml:space="preserve"> (6.09.2009) ; </w:t>
      </w:r>
      <w:hyperlink r:id="rId23" w:history="1">
        <w:r w:rsidR="0041725D" w:rsidRPr="0041725D">
          <w:rPr>
            <w:rFonts w:cs="David" w:hint="eastAsia"/>
            <w:color w:val="0000FF"/>
            <w:sz w:val="24"/>
            <w:szCs w:val="24"/>
            <w:u w:val="single"/>
            <w:rtl/>
          </w:rPr>
          <w:t>ע</w:t>
        </w:r>
        <w:r w:rsidR="0041725D" w:rsidRPr="0041725D">
          <w:rPr>
            <w:rFonts w:cs="David"/>
            <w:color w:val="0000FF"/>
            <w:sz w:val="24"/>
            <w:szCs w:val="24"/>
            <w:u w:val="single"/>
            <w:rtl/>
          </w:rPr>
          <w:t>"</w:t>
        </w:r>
        <w:r w:rsidR="0041725D" w:rsidRPr="0041725D">
          <w:rPr>
            <w:rFonts w:cs="David" w:hint="eastAsia"/>
            <w:color w:val="0000FF"/>
            <w:sz w:val="24"/>
            <w:szCs w:val="24"/>
            <w:u w:val="single"/>
            <w:rtl/>
          </w:rPr>
          <w:t>פ</w:t>
        </w:r>
        <w:r w:rsidR="0041725D" w:rsidRPr="0041725D">
          <w:rPr>
            <w:rFonts w:cs="David"/>
            <w:color w:val="0000FF"/>
            <w:sz w:val="24"/>
            <w:szCs w:val="24"/>
            <w:u w:val="single"/>
            <w:rtl/>
          </w:rPr>
          <w:t xml:space="preserve"> 9482/09</w:t>
        </w:r>
      </w:hyperlink>
      <w:r>
        <w:rPr>
          <w:rFonts w:cs="David" w:hint="cs"/>
          <w:sz w:val="24"/>
          <w:szCs w:val="24"/>
          <w:rtl/>
        </w:rPr>
        <w:t xml:space="preserve"> </w:t>
      </w:r>
      <w:r>
        <w:rPr>
          <w:rFonts w:cs="David" w:hint="cs"/>
          <w:b/>
          <w:bCs/>
          <w:sz w:val="24"/>
          <w:szCs w:val="24"/>
          <w:rtl/>
        </w:rPr>
        <w:t>ביטון נ' מדינת ישראל</w:t>
      </w:r>
      <w:r>
        <w:rPr>
          <w:rFonts w:cs="David" w:hint="cs"/>
          <w:sz w:val="24"/>
          <w:szCs w:val="24"/>
          <w:rtl/>
        </w:rPr>
        <w:t xml:space="preserve"> (פורסם בנבו, 2009); </w:t>
      </w:r>
      <w:hyperlink r:id="rId24" w:history="1">
        <w:r w:rsidR="0041725D" w:rsidRPr="0041725D">
          <w:rPr>
            <w:rFonts w:cs="David" w:hint="eastAsia"/>
            <w:color w:val="0000FF"/>
            <w:sz w:val="24"/>
            <w:szCs w:val="24"/>
            <w:u w:val="single"/>
            <w:rtl/>
          </w:rPr>
          <w:t>ע</w:t>
        </w:r>
        <w:r w:rsidR="0041725D" w:rsidRPr="0041725D">
          <w:rPr>
            <w:rFonts w:cs="David"/>
            <w:color w:val="0000FF"/>
            <w:sz w:val="24"/>
            <w:szCs w:val="24"/>
            <w:u w:val="single"/>
            <w:rtl/>
          </w:rPr>
          <w:t>"</w:t>
        </w:r>
        <w:r w:rsidR="0041725D" w:rsidRPr="0041725D">
          <w:rPr>
            <w:rFonts w:cs="David" w:hint="eastAsia"/>
            <w:color w:val="0000FF"/>
            <w:sz w:val="24"/>
            <w:szCs w:val="24"/>
            <w:u w:val="single"/>
            <w:rtl/>
          </w:rPr>
          <w:t>פ</w:t>
        </w:r>
        <w:r w:rsidR="0041725D" w:rsidRPr="0041725D">
          <w:rPr>
            <w:rFonts w:cs="David"/>
            <w:color w:val="0000FF"/>
            <w:sz w:val="24"/>
            <w:szCs w:val="24"/>
            <w:u w:val="single"/>
            <w:rtl/>
          </w:rPr>
          <w:t xml:space="preserve"> 307/17</w:t>
        </w:r>
      </w:hyperlink>
      <w:r>
        <w:rPr>
          <w:rFonts w:cs="David" w:hint="cs"/>
          <w:sz w:val="24"/>
          <w:szCs w:val="24"/>
          <w:u w:val="single"/>
          <w:rtl/>
        </w:rPr>
        <w:t xml:space="preserve"> </w:t>
      </w:r>
      <w:r>
        <w:rPr>
          <w:rFonts w:cs="David" w:hint="cs"/>
          <w:b/>
          <w:bCs/>
          <w:sz w:val="24"/>
          <w:szCs w:val="24"/>
          <w:rtl/>
        </w:rPr>
        <w:t>זוננישווילי נ' מדינת</w:t>
      </w:r>
      <w:r>
        <w:rPr>
          <w:rFonts w:cs="David" w:hint="cs"/>
          <w:sz w:val="24"/>
          <w:szCs w:val="24"/>
          <w:rtl/>
        </w:rPr>
        <w:t xml:space="preserve"> </w:t>
      </w:r>
      <w:r>
        <w:rPr>
          <w:rFonts w:cs="David" w:hint="cs"/>
          <w:b/>
          <w:bCs/>
          <w:sz w:val="24"/>
          <w:szCs w:val="24"/>
          <w:rtl/>
        </w:rPr>
        <w:t>ישראל</w:t>
      </w:r>
      <w:r>
        <w:rPr>
          <w:rFonts w:cs="David" w:hint="cs"/>
          <w:sz w:val="24"/>
          <w:szCs w:val="24"/>
          <w:rtl/>
        </w:rPr>
        <w:t xml:space="preserve"> (21.03.17).   </w:t>
      </w:r>
    </w:p>
    <w:p w14:paraId="2E8961FE" w14:textId="77777777" w:rsidR="009A35EB" w:rsidRDefault="009A35EB" w:rsidP="009A35EB">
      <w:pPr>
        <w:pStyle w:val="ListParagraph1"/>
        <w:spacing w:after="160" w:line="360" w:lineRule="auto"/>
        <w:ind w:left="502"/>
        <w:jc w:val="both"/>
        <w:rPr>
          <w:rFonts w:cs="David"/>
          <w:sz w:val="24"/>
          <w:szCs w:val="24"/>
        </w:rPr>
      </w:pPr>
    </w:p>
    <w:p w14:paraId="6781265C" w14:textId="77777777" w:rsidR="009A35EB" w:rsidRDefault="009A35EB" w:rsidP="009A35EB">
      <w:pPr>
        <w:pStyle w:val="ListParagraph1"/>
        <w:numPr>
          <w:ilvl w:val="0"/>
          <w:numId w:val="1"/>
        </w:numPr>
        <w:spacing w:after="160" w:line="360" w:lineRule="auto"/>
        <w:jc w:val="both"/>
        <w:rPr>
          <w:rFonts w:cs="David"/>
          <w:sz w:val="24"/>
          <w:szCs w:val="24"/>
        </w:rPr>
      </w:pPr>
      <w:r>
        <w:rPr>
          <w:rFonts w:cs="David" w:hint="cs"/>
          <w:sz w:val="24"/>
          <w:szCs w:val="24"/>
          <w:rtl/>
        </w:rPr>
        <w:t xml:space="preserve">בנסיבות אלו, משעסקינן בנאשם שחטא בסחר בסם והפך התנהלות זו לעיסוקו, אני קובעת, מכח סמכותי </w:t>
      </w:r>
      <w:hyperlink r:id="rId25" w:history="1">
        <w:r w:rsidR="00612A6E" w:rsidRPr="00612A6E">
          <w:rPr>
            <w:rFonts w:cs="David" w:hint="eastAsia"/>
            <w:color w:val="0000FF"/>
            <w:sz w:val="24"/>
            <w:szCs w:val="24"/>
            <w:u w:val="single"/>
            <w:rtl/>
          </w:rPr>
          <w:t>בסע</w:t>
        </w:r>
        <w:r w:rsidR="00612A6E" w:rsidRPr="00612A6E">
          <w:rPr>
            <w:rFonts w:cs="David"/>
            <w:color w:val="0000FF"/>
            <w:sz w:val="24"/>
            <w:szCs w:val="24"/>
            <w:u w:val="single"/>
            <w:rtl/>
          </w:rPr>
          <w:t>' 36</w:t>
        </w:r>
        <w:r w:rsidR="00612A6E" w:rsidRPr="00612A6E">
          <w:rPr>
            <w:rFonts w:cs="David" w:hint="eastAsia"/>
            <w:color w:val="0000FF"/>
            <w:sz w:val="24"/>
            <w:szCs w:val="24"/>
            <w:u w:val="single"/>
            <w:rtl/>
          </w:rPr>
          <w:t>א</w:t>
        </w:r>
      </w:hyperlink>
      <w:r>
        <w:rPr>
          <w:rFonts w:cs="David" w:hint="cs"/>
          <w:sz w:val="24"/>
          <w:szCs w:val="24"/>
          <w:rtl/>
        </w:rPr>
        <w:t xml:space="preserve"> ל</w:t>
      </w:r>
      <w:hyperlink r:id="rId26" w:history="1">
        <w:r w:rsidR="0041725D" w:rsidRPr="0041725D">
          <w:rPr>
            <w:rFonts w:cs="David" w:hint="eastAsia"/>
            <w:color w:val="0000FF"/>
            <w:sz w:val="24"/>
            <w:szCs w:val="24"/>
            <w:u w:val="single"/>
            <w:rtl/>
          </w:rPr>
          <w:t>פקודת</w:t>
        </w:r>
        <w:r w:rsidR="0041725D" w:rsidRPr="0041725D">
          <w:rPr>
            <w:rFonts w:cs="David"/>
            <w:color w:val="0000FF"/>
            <w:sz w:val="24"/>
            <w:szCs w:val="24"/>
            <w:u w:val="single"/>
            <w:rtl/>
          </w:rPr>
          <w:t xml:space="preserve"> </w:t>
        </w:r>
        <w:r w:rsidR="0041725D" w:rsidRPr="0041725D">
          <w:rPr>
            <w:rFonts w:cs="David" w:hint="eastAsia"/>
            <w:color w:val="0000FF"/>
            <w:sz w:val="24"/>
            <w:szCs w:val="24"/>
            <w:u w:val="single"/>
            <w:rtl/>
          </w:rPr>
          <w:t>הסמים</w:t>
        </w:r>
        <w:r w:rsidR="0041725D" w:rsidRPr="0041725D">
          <w:rPr>
            <w:rFonts w:cs="David"/>
            <w:color w:val="0000FF"/>
            <w:sz w:val="24"/>
            <w:szCs w:val="24"/>
            <w:u w:val="single"/>
            <w:rtl/>
          </w:rPr>
          <w:t xml:space="preserve"> </w:t>
        </w:r>
        <w:r w:rsidR="0041725D" w:rsidRPr="0041725D">
          <w:rPr>
            <w:rFonts w:cs="David" w:hint="eastAsia"/>
            <w:color w:val="0000FF"/>
            <w:sz w:val="24"/>
            <w:szCs w:val="24"/>
            <w:u w:val="single"/>
            <w:rtl/>
          </w:rPr>
          <w:t>המסוכנים</w:t>
        </w:r>
      </w:hyperlink>
      <w:r>
        <w:rPr>
          <w:rFonts w:cs="David" w:hint="cs"/>
          <w:sz w:val="24"/>
          <w:szCs w:val="24"/>
          <w:rtl/>
        </w:rPr>
        <w:t xml:space="preserve">, כי הנאשם הינו "סוחר סמים" ומורה על חילוט 4,600 ₪ שנתפסו במהלך חיפוש בחדרו.  </w:t>
      </w:r>
    </w:p>
    <w:p w14:paraId="60A99680" w14:textId="77777777" w:rsidR="009A35EB" w:rsidRDefault="009A35EB" w:rsidP="009A35EB">
      <w:pPr>
        <w:pStyle w:val="ListParagraph1"/>
        <w:spacing w:after="160" w:line="360" w:lineRule="auto"/>
        <w:ind w:left="502"/>
        <w:jc w:val="both"/>
        <w:rPr>
          <w:rFonts w:cs="David"/>
          <w:sz w:val="24"/>
          <w:szCs w:val="24"/>
        </w:rPr>
      </w:pPr>
    </w:p>
    <w:p w14:paraId="64FF88BC" w14:textId="77777777" w:rsidR="009A35EB" w:rsidRDefault="009A35EB" w:rsidP="009A35EB">
      <w:pPr>
        <w:spacing w:line="360" w:lineRule="auto"/>
        <w:rPr>
          <w:b/>
          <w:bCs/>
        </w:rPr>
      </w:pPr>
      <w:r>
        <w:rPr>
          <w:rFonts w:hint="cs"/>
          <w:b/>
          <w:bCs/>
          <w:u w:val="single"/>
          <w:rtl/>
        </w:rPr>
        <w:t>סוף דבר</w:t>
      </w:r>
    </w:p>
    <w:p w14:paraId="3A2D8524" w14:textId="77777777" w:rsidR="009A35EB" w:rsidRDefault="009A35EB" w:rsidP="009A35EB">
      <w:pPr>
        <w:spacing w:line="360" w:lineRule="auto"/>
        <w:rPr>
          <w:b/>
          <w:bCs/>
          <w:rtl/>
        </w:rPr>
      </w:pPr>
      <w:r>
        <w:rPr>
          <w:rFonts w:hint="cs"/>
          <w:b/>
          <w:bCs/>
          <w:rtl/>
        </w:rPr>
        <w:t>אני גוזרת על הנאשם את העונשים הבאים:</w:t>
      </w:r>
    </w:p>
    <w:p w14:paraId="7F597EAE" w14:textId="77777777" w:rsidR="009A35EB" w:rsidRDefault="009A35EB" w:rsidP="009A35EB">
      <w:pPr>
        <w:pStyle w:val="ListParagraph1"/>
        <w:numPr>
          <w:ilvl w:val="0"/>
          <w:numId w:val="3"/>
        </w:numPr>
        <w:spacing w:line="480" w:lineRule="auto"/>
        <w:rPr>
          <w:rFonts w:cs="David"/>
          <w:sz w:val="24"/>
          <w:szCs w:val="24"/>
          <w:rtl/>
        </w:rPr>
      </w:pPr>
      <w:r>
        <w:rPr>
          <w:rFonts w:cs="David" w:hint="cs"/>
          <w:sz w:val="24"/>
          <w:szCs w:val="24"/>
          <w:rtl/>
        </w:rPr>
        <w:t>מאסר בפועל בן 16 חודשי מאסר, בניכוי ימי מעצרו 6.12.16-17.1.17.</w:t>
      </w:r>
    </w:p>
    <w:p w14:paraId="275DD9CA" w14:textId="77777777" w:rsidR="009A35EB" w:rsidRPr="009C4368" w:rsidRDefault="009A35EB" w:rsidP="009A35EB">
      <w:pPr>
        <w:pStyle w:val="ListParagraph1"/>
        <w:numPr>
          <w:ilvl w:val="0"/>
          <w:numId w:val="3"/>
        </w:numPr>
        <w:spacing w:line="480" w:lineRule="auto"/>
        <w:rPr>
          <w:rFonts w:cs="David"/>
          <w:b/>
          <w:bCs/>
          <w:sz w:val="24"/>
          <w:szCs w:val="24"/>
          <w:rtl/>
        </w:rPr>
      </w:pPr>
      <w:r>
        <w:rPr>
          <w:rFonts w:cs="David" w:hint="cs"/>
          <w:sz w:val="24"/>
          <w:szCs w:val="24"/>
          <w:rtl/>
        </w:rPr>
        <w:t xml:space="preserve">מפעילה תנאי בן 6 חודשים שהוטל על הנאשם בת"פ 2160/08(כ"ס) ביום 8.3.09 וחודש למשך שנתיים במסגרת </w:t>
      </w:r>
      <w:hyperlink r:id="rId27" w:history="1">
        <w:r w:rsidR="0041725D" w:rsidRPr="0041725D">
          <w:rPr>
            <w:rFonts w:cs="David" w:hint="eastAsia"/>
            <w:color w:val="0000FF"/>
            <w:sz w:val="24"/>
            <w:szCs w:val="24"/>
            <w:u w:val="single"/>
            <w:rtl/>
          </w:rPr>
          <w:t>ת</w:t>
        </w:r>
        <w:r w:rsidR="0041725D" w:rsidRPr="0041725D">
          <w:rPr>
            <w:rFonts w:cs="David"/>
            <w:color w:val="0000FF"/>
            <w:sz w:val="24"/>
            <w:szCs w:val="24"/>
            <w:u w:val="single"/>
            <w:rtl/>
          </w:rPr>
          <w:t>"</w:t>
        </w:r>
        <w:r w:rsidR="0041725D" w:rsidRPr="0041725D">
          <w:rPr>
            <w:rFonts w:cs="David" w:hint="eastAsia"/>
            <w:color w:val="0000FF"/>
            <w:sz w:val="24"/>
            <w:szCs w:val="24"/>
            <w:u w:val="single"/>
            <w:rtl/>
          </w:rPr>
          <w:t>פ</w:t>
        </w:r>
        <w:r w:rsidR="0041725D" w:rsidRPr="0041725D">
          <w:rPr>
            <w:rFonts w:cs="David"/>
            <w:color w:val="0000FF"/>
            <w:sz w:val="24"/>
            <w:szCs w:val="24"/>
            <w:u w:val="single"/>
            <w:rtl/>
          </w:rPr>
          <w:t xml:space="preserve"> 25801-02-13</w:t>
        </w:r>
      </w:hyperlink>
      <w:r>
        <w:rPr>
          <w:rFonts w:cs="David" w:hint="cs"/>
          <w:sz w:val="24"/>
          <w:szCs w:val="24"/>
          <w:rtl/>
        </w:rPr>
        <w:t xml:space="preserve"> (כ"ס) ביום 2.12.14, באופן חופף ומצטבר כך </w:t>
      </w:r>
      <w:r>
        <w:rPr>
          <w:rFonts w:cs="David" w:hint="cs"/>
          <w:b/>
          <w:bCs/>
          <w:sz w:val="24"/>
          <w:szCs w:val="24"/>
          <w:rtl/>
        </w:rPr>
        <w:t>שהנאשם ירצה מאסר בן 20 חודשים בניכוי ימי מעצרו.</w:t>
      </w:r>
      <w:r>
        <w:rPr>
          <w:rFonts w:cs="David" w:hint="cs"/>
          <w:sz w:val="24"/>
          <w:szCs w:val="24"/>
          <w:rtl/>
        </w:rPr>
        <w:t xml:space="preserve">  </w:t>
      </w:r>
      <w:r w:rsidRPr="009C4368">
        <w:rPr>
          <w:rFonts w:cs="David" w:hint="cs"/>
          <w:b/>
          <w:bCs/>
          <w:sz w:val="24"/>
          <w:szCs w:val="24"/>
          <w:rtl/>
        </w:rPr>
        <w:t>מעכבת ביצוע עונש המאסר עד ליום 18.2.18. במועד זה יתייצב הנאשם עד השעה 10:00 בבית מעצר הדרים</w:t>
      </w:r>
      <w:r>
        <w:rPr>
          <w:rFonts w:cs="David" w:hint="cs"/>
          <w:b/>
          <w:bCs/>
          <w:sz w:val="24"/>
          <w:szCs w:val="24"/>
          <w:rtl/>
        </w:rPr>
        <w:t>. מאפשרת מיון טרם מאסרו  על ידי שב"ס. לצורך הבטחת התייצבותו למאסרו, יעמדו הערבויות וההפקדות שהפקיד בהליך המעצר הנילווה.</w:t>
      </w:r>
    </w:p>
    <w:p w14:paraId="5678E888" w14:textId="77777777" w:rsidR="009A35EB" w:rsidRDefault="009A35EB" w:rsidP="009A35EB">
      <w:pPr>
        <w:pStyle w:val="ListParagraph1"/>
        <w:numPr>
          <w:ilvl w:val="0"/>
          <w:numId w:val="3"/>
        </w:numPr>
        <w:spacing w:line="480" w:lineRule="auto"/>
        <w:rPr>
          <w:rFonts w:cs="David"/>
          <w:sz w:val="24"/>
          <w:szCs w:val="24"/>
        </w:rPr>
      </w:pPr>
      <w:r>
        <w:rPr>
          <w:rFonts w:cs="David" w:hint="cs"/>
          <w:sz w:val="24"/>
          <w:szCs w:val="24"/>
          <w:rtl/>
        </w:rPr>
        <w:t>מאסר על תנאי בן 8 חודשים לבל יבצע הנאשם עבירת פשע מ</w:t>
      </w:r>
      <w:hyperlink r:id="rId28" w:history="1">
        <w:r w:rsidR="0041725D" w:rsidRPr="0041725D">
          <w:rPr>
            <w:rFonts w:cs="David" w:hint="eastAsia"/>
            <w:color w:val="0000FF"/>
            <w:sz w:val="24"/>
            <w:szCs w:val="24"/>
            <w:u w:val="single"/>
            <w:rtl/>
          </w:rPr>
          <w:t>פקודת</w:t>
        </w:r>
        <w:r w:rsidR="0041725D" w:rsidRPr="0041725D">
          <w:rPr>
            <w:rFonts w:cs="David"/>
            <w:color w:val="0000FF"/>
            <w:sz w:val="24"/>
            <w:szCs w:val="24"/>
            <w:u w:val="single"/>
            <w:rtl/>
          </w:rPr>
          <w:t xml:space="preserve"> </w:t>
        </w:r>
        <w:r w:rsidR="0041725D" w:rsidRPr="0041725D">
          <w:rPr>
            <w:rFonts w:cs="David" w:hint="eastAsia"/>
            <w:color w:val="0000FF"/>
            <w:sz w:val="24"/>
            <w:szCs w:val="24"/>
            <w:u w:val="single"/>
            <w:rtl/>
          </w:rPr>
          <w:t>הסמים</w:t>
        </w:r>
        <w:r w:rsidR="0041725D" w:rsidRPr="0041725D">
          <w:rPr>
            <w:rFonts w:cs="David"/>
            <w:color w:val="0000FF"/>
            <w:sz w:val="24"/>
            <w:szCs w:val="24"/>
            <w:u w:val="single"/>
            <w:rtl/>
          </w:rPr>
          <w:t xml:space="preserve"> </w:t>
        </w:r>
        <w:r w:rsidR="0041725D" w:rsidRPr="0041725D">
          <w:rPr>
            <w:rFonts w:cs="David" w:hint="eastAsia"/>
            <w:color w:val="0000FF"/>
            <w:sz w:val="24"/>
            <w:szCs w:val="24"/>
            <w:u w:val="single"/>
            <w:rtl/>
          </w:rPr>
          <w:t>המסוכנים</w:t>
        </w:r>
      </w:hyperlink>
      <w:r>
        <w:rPr>
          <w:rFonts w:cs="David" w:hint="cs"/>
          <w:sz w:val="24"/>
          <w:szCs w:val="24"/>
          <w:rtl/>
        </w:rPr>
        <w:t xml:space="preserve">, תוך 3 שנים מיום שחרורו. </w:t>
      </w:r>
    </w:p>
    <w:p w14:paraId="777D948D" w14:textId="77777777" w:rsidR="009A35EB" w:rsidRDefault="009A35EB" w:rsidP="009A35EB">
      <w:pPr>
        <w:pStyle w:val="ListParagraph1"/>
        <w:numPr>
          <w:ilvl w:val="0"/>
          <w:numId w:val="3"/>
        </w:numPr>
        <w:spacing w:line="480" w:lineRule="auto"/>
        <w:rPr>
          <w:rFonts w:cs="David"/>
          <w:sz w:val="24"/>
          <w:szCs w:val="24"/>
          <w:rtl/>
        </w:rPr>
      </w:pPr>
      <w:r>
        <w:rPr>
          <w:rFonts w:cs="David" w:hint="cs"/>
          <w:sz w:val="24"/>
          <w:szCs w:val="24"/>
          <w:rtl/>
        </w:rPr>
        <w:t>מאסר על תנאי בן 4 חודשים לבל יבצע הנאשם עבירת עוון מ</w:t>
      </w:r>
      <w:hyperlink r:id="rId29" w:history="1">
        <w:r w:rsidR="0041725D" w:rsidRPr="0041725D">
          <w:rPr>
            <w:rFonts w:cs="David" w:hint="eastAsia"/>
            <w:color w:val="0000FF"/>
            <w:sz w:val="24"/>
            <w:szCs w:val="24"/>
            <w:u w:val="single"/>
            <w:rtl/>
          </w:rPr>
          <w:t>פקודת</w:t>
        </w:r>
        <w:r w:rsidR="0041725D" w:rsidRPr="0041725D">
          <w:rPr>
            <w:rFonts w:cs="David"/>
            <w:color w:val="0000FF"/>
            <w:sz w:val="24"/>
            <w:szCs w:val="24"/>
            <w:u w:val="single"/>
            <w:rtl/>
          </w:rPr>
          <w:t xml:space="preserve"> </w:t>
        </w:r>
        <w:r w:rsidR="0041725D" w:rsidRPr="0041725D">
          <w:rPr>
            <w:rFonts w:cs="David" w:hint="eastAsia"/>
            <w:color w:val="0000FF"/>
            <w:sz w:val="24"/>
            <w:szCs w:val="24"/>
            <w:u w:val="single"/>
            <w:rtl/>
          </w:rPr>
          <w:t>הסמים</w:t>
        </w:r>
        <w:r w:rsidR="0041725D" w:rsidRPr="0041725D">
          <w:rPr>
            <w:rFonts w:cs="David"/>
            <w:color w:val="0000FF"/>
            <w:sz w:val="24"/>
            <w:szCs w:val="24"/>
            <w:u w:val="single"/>
            <w:rtl/>
          </w:rPr>
          <w:t xml:space="preserve"> </w:t>
        </w:r>
        <w:r w:rsidR="0041725D" w:rsidRPr="0041725D">
          <w:rPr>
            <w:rFonts w:cs="David" w:hint="eastAsia"/>
            <w:color w:val="0000FF"/>
            <w:sz w:val="24"/>
            <w:szCs w:val="24"/>
            <w:u w:val="single"/>
            <w:rtl/>
          </w:rPr>
          <w:t>המסוכנים</w:t>
        </w:r>
      </w:hyperlink>
      <w:r>
        <w:rPr>
          <w:rFonts w:cs="David" w:hint="cs"/>
          <w:sz w:val="24"/>
          <w:szCs w:val="24"/>
          <w:rtl/>
        </w:rPr>
        <w:t xml:space="preserve">, תוך 3 שנים מיום שחרורו. </w:t>
      </w:r>
    </w:p>
    <w:p w14:paraId="27B8DBB0" w14:textId="77777777" w:rsidR="009A35EB" w:rsidRDefault="009A35EB" w:rsidP="009A35EB">
      <w:pPr>
        <w:pStyle w:val="ListParagraph1"/>
        <w:numPr>
          <w:ilvl w:val="0"/>
          <w:numId w:val="3"/>
        </w:numPr>
        <w:spacing w:line="480" w:lineRule="auto"/>
        <w:rPr>
          <w:rFonts w:ascii="Arial" w:hAnsi="Arial" w:cs="David"/>
          <w:sz w:val="24"/>
          <w:szCs w:val="24"/>
          <w:rtl/>
        </w:rPr>
      </w:pPr>
      <w:r>
        <w:rPr>
          <w:rFonts w:cs="David" w:hint="cs"/>
          <w:sz w:val="24"/>
          <w:szCs w:val="24"/>
          <w:rtl/>
        </w:rPr>
        <w:t xml:space="preserve">קנס בסך 4500 ₪  או 30 ימי מאסר תמורתו. הקנס ישולם בשלושה תשלומים שווים ורצופים החל מיום 1.3.18. </w:t>
      </w:r>
    </w:p>
    <w:p w14:paraId="79D0A927" w14:textId="77777777" w:rsidR="009A35EB" w:rsidRDefault="009A35EB" w:rsidP="009A35EB">
      <w:pPr>
        <w:pStyle w:val="ListParagraph1"/>
        <w:numPr>
          <w:ilvl w:val="0"/>
          <w:numId w:val="3"/>
        </w:numPr>
        <w:spacing w:line="480" w:lineRule="auto"/>
        <w:rPr>
          <w:rFonts w:ascii="Arial" w:hAnsi="Arial" w:cs="David"/>
          <w:sz w:val="24"/>
          <w:szCs w:val="24"/>
        </w:rPr>
      </w:pPr>
      <w:r>
        <w:rPr>
          <w:rFonts w:ascii="Arial" w:hAnsi="Arial" w:cs="David" w:hint="cs"/>
          <w:sz w:val="24"/>
          <w:szCs w:val="24"/>
          <w:rtl/>
        </w:rPr>
        <w:t xml:space="preserve">מחלטת סך של 4600 ₪ שנתפס אצל הנאשם לטובת המדינה. </w:t>
      </w:r>
    </w:p>
    <w:p w14:paraId="54F6428A" w14:textId="77777777" w:rsidR="009A35EB" w:rsidRDefault="009A35EB" w:rsidP="009A35EB">
      <w:pPr>
        <w:pStyle w:val="ListParagraph1"/>
        <w:numPr>
          <w:ilvl w:val="0"/>
          <w:numId w:val="3"/>
        </w:numPr>
        <w:spacing w:line="480" w:lineRule="auto"/>
        <w:rPr>
          <w:rFonts w:ascii="Arial" w:hAnsi="Arial" w:cs="David"/>
          <w:sz w:val="24"/>
          <w:szCs w:val="24"/>
        </w:rPr>
      </w:pPr>
      <w:r>
        <w:rPr>
          <w:rFonts w:ascii="Arial" w:hAnsi="Arial" w:cs="David" w:hint="cs"/>
          <w:sz w:val="24"/>
          <w:szCs w:val="24"/>
          <w:rtl/>
        </w:rPr>
        <w:t xml:space="preserve">פוסלת הנאשם מלנהוג או להוציא רישיון נהיגה למשך 6 חודשים מיום שחרורו. הנאשם יפקיד רישיונו תוך 14 יום מיום שחרורו ומניין תקופת הפסילה יחל ממועד זה. </w:t>
      </w:r>
    </w:p>
    <w:p w14:paraId="06638E44" w14:textId="77777777" w:rsidR="009A35EB" w:rsidRDefault="009A35EB" w:rsidP="009A35EB">
      <w:pPr>
        <w:pStyle w:val="ListParagraph1"/>
        <w:numPr>
          <w:ilvl w:val="0"/>
          <w:numId w:val="3"/>
        </w:numPr>
        <w:spacing w:line="480" w:lineRule="auto"/>
        <w:rPr>
          <w:rFonts w:ascii="Arial" w:hAnsi="Arial" w:cs="David"/>
          <w:sz w:val="24"/>
          <w:szCs w:val="24"/>
        </w:rPr>
      </w:pPr>
      <w:r>
        <w:rPr>
          <w:rFonts w:ascii="Arial" w:hAnsi="Arial" w:cs="David" w:hint="cs"/>
          <w:sz w:val="24"/>
          <w:szCs w:val="24"/>
          <w:rtl/>
        </w:rPr>
        <w:t>מפעילה עונש פסילה בן 9 חודשים שהוטל על הנאשם ב</w:t>
      </w:r>
      <w:hyperlink r:id="rId30" w:history="1">
        <w:r w:rsidR="0041725D" w:rsidRPr="0041725D">
          <w:rPr>
            <w:rFonts w:ascii="Arial" w:hAnsi="Arial" w:cs="David"/>
            <w:color w:val="0000FF"/>
            <w:sz w:val="24"/>
            <w:szCs w:val="24"/>
            <w:u w:val="single"/>
            <w:rtl/>
          </w:rPr>
          <w:t>ת"פ 25801-02-13</w:t>
        </w:r>
      </w:hyperlink>
      <w:r>
        <w:rPr>
          <w:rFonts w:ascii="Arial" w:hAnsi="Arial" w:cs="David" w:hint="cs"/>
          <w:sz w:val="24"/>
          <w:szCs w:val="24"/>
          <w:rtl/>
        </w:rPr>
        <w:t xml:space="preserve"> באופן חופף ומצטבר, כך שתקופת הפסילה הכוללת תעמוד על 11 חודשים. </w:t>
      </w:r>
    </w:p>
    <w:p w14:paraId="345569EC" w14:textId="77777777" w:rsidR="009A35EB" w:rsidRDefault="009A35EB" w:rsidP="009A35EB">
      <w:pPr>
        <w:pStyle w:val="ListParagraph1"/>
        <w:numPr>
          <w:ilvl w:val="0"/>
          <w:numId w:val="3"/>
        </w:numPr>
        <w:spacing w:line="480" w:lineRule="auto"/>
        <w:rPr>
          <w:rFonts w:ascii="Arial" w:hAnsi="Arial" w:cs="David"/>
          <w:sz w:val="24"/>
          <w:szCs w:val="24"/>
        </w:rPr>
      </w:pPr>
      <w:r>
        <w:rPr>
          <w:rFonts w:ascii="Arial" w:hAnsi="Arial" w:cs="David" w:hint="cs"/>
          <w:sz w:val="24"/>
          <w:szCs w:val="24"/>
          <w:rtl/>
        </w:rPr>
        <w:t xml:space="preserve">פוסלת את הנאשם למשך 6 חודשים על תנאי שלא יבצע עבירת סם במשך שנתיים מיום שחרורו. </w:t>
      </w:r>
    </w:p>
    <w:p w14:paraId="4BCD4472" w14:textId="77777777" w:rsidR="009A35EB" w:rsidRDefault="009A35EB" w:rsidP="009A35EB">
      <w:pPr>
        <w:pStyle w:val="ListParagraph1"/>
        <w:spacing w:line="360" w:lineRule="auto"/>
        <w:rPr>
          <w:rFonts w:ascii="Arial" w:hAnsi="Arial" w:cs="David"/>
          <w:sz w:val="24"/>
          <w:szCs w:val="24"/>
          <w:rtl/>
        </w:rPr>
      </w:pPr>
    </w:p>
    <w:p w14:paraId="1CC7AEB8" w14:textId="77777777" w:rsidR="009A35EB" w:rsidRPr="009C4368" w:rsidRDefault="009A35EB" w:rsidP="009A35EB">
      <w:pPr>
        <w:pStyle w:val="ListParagraph1"/>
        <w:spacing w:line="360" w:lineRule="auto"/>
        <w:rPr>
          <w:rFonts w:ascii="Arial" w:hAnsi="Arial" w:cs="David"/>
          <w:b/>
          <w:bCs/>
          <w:sz w:val="24"/>
          <w:szCs w:val="24"/>
        </w:rPr>
      </w:pPr>
      <w:r w:rsidRPr="009C4368">
        <w:rPr>
          <w:rFonts w:ascii="Arial" w:hAnsi="Arial" w:cs="David" w:hint="cs"/>
          <w:b/>
          <w:bCs/>
          <w:sz w:val="24"/>
          <w:szCs w:val="24"/>
          <w:rtl/>
        </w:rPr>
        <w:t xml:space="preserve">מורה על השמדת סמים וכלים. </w:t>
      </w:r>
    </w:p>
    <w:p w14:paraId="33869280" w14:textId="77777777" w:rsidR="009A35EB" w:rsidRPr="004112B8" w:rsidRDefault="009A35EB" w:rsidP="009A35EB">
      <w:pPr>
        <w:rPr>
          <w:b/>
          <w:bCs/>
          <w:rtl/>
        </w:rPr>
      </w:pPr>
      <w:r w:rsidRPr="004112B8">
        <w:rPr>
          <w:rFonts w:hint="cs"/>
          <w:b/>
          <w:bCs/>
          <w:rtl/>
        </w:rPr>
        <w:t xml:space="preserve">זכות ערעור לבית המשפט המחוזי לוד תוך 45 יום. </w:t>
      </w:r>
    </w:p>
    <w:p w14:paraId="4CAF012E" w14:textId="77777777" w:rsidR="009A35EB" w:rsidRPr="0041725D" w:rsidRDefault="0041725D" w:rsidP="009A35EB">
      <w:pPr>
        <w:rPr>
          <w:b/>
          <w:bCs/>
          <w:color w:val="FFFFFF"/>
          <w:sz w:val="2"/>
          <w:szCs w:val="2"/>
          <w:rtl/>
        </w:rPr>
      </w:pPr>
      <w:r w:rsidRPr="0041725D">
        <w:rPr>
          <w:b/>
          <w:bCs/>
          <w:color w:val="FFFFFF"/>
          <w:sz w:val="2"/>
          <w:szCs w:val="2"/>
          <w:rtl/>
        </w:rPr>
        <w:t>5129371</w:t>
      </w:r>
    </w:p>
    <w:p w14:paraId="70CD22E4" w14:textId="77777777" w:rsidR="009A35EB" w:rsidRDefault="0041725D" w:rsidP="009A35EB">
      <w:pPr>
        <w:rPr>
          <w:rFonts w:cs="FrankRuehl"/>
          <w:sz w:val="28"/>
          <w:szCs w:val="28"/>
          <w:rtl/>
        </w:rPr>
      </w:pPr>
      <w:r w:rsidRPr="0041725D">
        <w:rPr>
          <w:rFonts w:ascii="Arial" w:hAnsi="Arial"/>
          <w:color w:val="FFFFFF"/>
          <w:sz w:val="2"/>
          <w:szCs w:val="2"/>
          <w:rtl/>
        </w:rPr>
        <w:t>54678313</w:t>
      </w:r>
      <w:r>
        <w:rPr>
          <w:rFonts w:ascii="Arial" w:hAnsi="Arial"/>
          <w:rtl/>
        </w:rPr>
        <w:t xml:space="preserve">ניתן היום,  א' שבט תשע"ח, 17 ינואר 2018, במעמד הצדדים. </w:t>
      </w:r>
    </w:p>
    <w:p w14:paraId="08C07539" w14:textId="77777777" w:rsidR="009A35EB" w:rsidRDefault="009A35EB" w:rsidP="009A35E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A5DD0DD" w14:textId="77777777" w:rsidR="009A35EB" w:rsidRDefault="009A35EB" w:rsidP="009A35EB">
      <w:pPr>
        <w:jc w:val="center"/>
        <w:rPr>
          <w:rFonts w:ascii="Arial" w:hAnsi="Arial" w:cs="FrankRuehl"/>
          <w:sz w:val="28"/>
          <w:szCs w:val="28"/>
          <w:rtl/>
        </w:rPr>
      </w:pPr>
    </w:p>
    <w:p w14:paraId="5C22A139" w14:textId="77777777" w:rsidR="009A35EB" w:rsidRDefault="009A35EB" w:rsidP="009A35EB">
      <w:pPr>
        <w:rPr>
          <w:rFonts w:cs="FrankRuehl"/>
          <w:sz w:val="28"/>
          <w:szCs w:val="28"/>
          <w:rtl/>
        </w:rPr>
      </w:pPr>
    </w:p>
    <w:p w14:paraId="378FF9F9" w14:textId="77777777" w:rsidR="009A35EB" w:rsidRDefault="009A35EB" w:rsidP="009A35EB">
      <w:pPr>
        <w:pStyle w:val="a3"/>
        <w:jc w:val="center"/>
        <w:rPr>
          <w:rtl/>
        </w:rPr>
      </w:pPr>
    </w:p>
    <w:p w14:paraId="29759F5F" w14:textId="77777777" w:rsidR="00095A5A" w:rsidRPr="0041725D" w:rsidRDefault="00095A5A" w:rsidP="0041725D">
      <w:pPr>
        <w:keepNext/>
        <w:rPr>
          <w:rFonts w:ascii="David" w:hAnsi="David"/>
          <w:color w:val="000000"/>
          <w:sz w:val="22"/>
          <w:szCs w:val="22"/>
          <w:rtl/>
        </w:rPr>
      </w:pPr>
    </w:p>
    <w:p w14:paraId="206FD827" w14:textId="77777777" w:rsidR="0041725D" w:rsidRPr="0041725D" w:rsidRDefault="0041725D" w:rsidP="0041725D">
      <w:pPr>
        <w:keepNext/>
        <w:rPr>
          <w:rFonts w:ascii="David" w:hAnsi="David"/>
          <w:color w:val="000000"/>
          <w:sz w:val="22"/>
          <w:szCs w:val="22"/>
          <w:rtl/>
        </w:rPr>
      </w:pPr>
      <w:r w:rsidRPr="0041725D">
        <w:rPr>
          <w:rFonts w:ascii="David" w:hAnsi="David"/>
          <w:color w:val="000000"/>
          <w:sz w:val="22"/>
          <w:szCs w:val="22"/>
          <w:rtl/>
        </w:rPr>
        <w:t>מרב גרינברג 54678313</w:t>
      </w:r>
    </w:p>
    <w:p w14:paraId="7DC4256F" w14:textId="77777777" w:rsidR="0041725D" w:rsidRDefault="0041725D" w:rsidP="0041725D">
      <w:r w:rsidRPr="0041725D">
        <w:rPr>
          <w:color w:val="000000"/>
          <w:rtl/>
        </w:rPr>
        <w:t>נוסח מסמך זה כפוף לשינויי ניסוח ועריכה</w:t>
      </w:r>
    </w:p>
    <w:p w14:paraId="68DD0849" w14:textId="77777777" w:rsidR="0041725D" w:rsidRDefault="0041725D" w:rsidP="0041725D">
      <w:pPr>
        <w:rPr>
          <w:rtl/>
        </w:rPr>
      </w:pPr>
    </w:p>
    <w:p w14:paraId="0293C731" w14:textId="77777777" w:rsidR="0041725D" w:rsidRDefault="0041725D" w:rsidP="0041725D">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A4D6123" w14:textId="77777777" w:rsidR="0041725D" w:rsidRPr="0041725D" w:rsidRDefault="0041725D" w:rsidP="0041725D">
      <w:pPr>
        <w:jc w:val="center"/>
        <w:rPr>
          <w:color w:val="0000FF"/>
          <w:u w:val="single"/>
        </w:rPr>
      </w:pPr>
    </w:p>
    <w:sectPr w:rsidR="0041725D" w:rsidRPr="0041725D" w:rsidSect="0041725D">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321BB" w14:textId="77777777" w:rsidR="001A3BB4" w:rsidRDefault="001A3BB4" w:rsidP="005B6172">
      <w:r>
        <w:separator/>
      </w:r>
    </w:p>
  </w:endnote>
  <w:endnote w:type="continuationSeparator" w:id="0">
    <w:p w14:paraId="1AF5D763" w14:textId="77777777" w:rsidR="001A3BB4" w:rsidRDefault="001A3BB4" w:rsidP="005B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B44DF" w14:textId="77777777" w:rsidR="00C83269" w:rsidRDefault="00C83269" w:rsidP="004172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10DE885" w14:textId="77777777" w:rsidR="00C83269" w:rsidRPr="0041725D" w:rsidRDefault="00C83269" w:rsidP="004172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5B5E0" w14:textId="77777777" w:rsidR="00C83269" w:rsidRDefault="00C83269" w:rsidP="0041725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687E">
      <w:rPr>
        <w:rFonts w:ascii="FrankRuehl" w:hAnsi="FrankRuehl" w:cs="FrankRuehl"/>
        <w:noProof/>
        <w:rtl/>
      </w:rPr>
      <w:t>1</w:t>
    </w:r>
    <w:r>
      <w:rPr>
        <w:rFonts w:ascii="FrankRuehl" w:hAnsi="FrankRuehl" w:cs="FrankRuehl"/>
        <w:rtl/>
      </w:rPr>
      <w:fldChar w:fldCharType="end"/>
    </w:r>
  </w:p>
  <w:p w14:paraId="1A8F1BA8" w14:textId="77777777" w:rsidR="00C83269" w:rsidRPr="0041725D" w:rsidRDefault="00C83269" w:rsidP="0041725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1F7D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AC6C5" w14:textId="77777777" w:rsidR="001A3BB4" w:rsidRDefault="001A3BB4" w:rsidP="005B6172">
      <w:r>
        <w:separator/>
      </w:r>
    </w:p>
  </w:footnote>
  <w:footnote w:type="continuationSeparator" w:id="0">
    <w:p w14:paraId="2B19489A" w14:textId="77777777" w:rsidR="001A3BB4" w:rsidRDefault="001A3BB4" w:rsidP="005B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C53B1" w14:textId="77777777" w:rsidR="00C83269" w:rsidRPr="0041725D" w:rsidRDefault="00C83269" w:rsidP="004172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31394-12-15</w:t>
    </w:r>
    <w:r>
      <w:rPr>
        <w:rFonts w:ascii="David" w:hAnsi="David"/>
        <w:color w:val="000000"/>
        <w:sz w:val="22"/>
        <w:szCs w:val="22"/>
        <w:rtl/>
      </w:rPr>
      <w:tab/>
      <w:t xml:space="preserve"> מדינת ישראל נ' מאור צוברי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23B6E" w14:textId="77777777" w:rsidR="00C83269" w:rsidRPr="0041725D" w:rsidRDefault="00C83269" w:rsidP="004172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31394-12-15</w:t>
    </w:r>
    <w:r>
      <w:rPr>
        <w:rFonts w:ascii="David" w:hAnsi="David"/>
        <w:color w:val="000000"/>
        <w:sz w:val="22"/>
        <w:szCs w:val="22"/>
        <w:rtl/>
      </w:rPr>
      <w:tab/>
      <w:t xml:space="preserve"> מדינת ישראל נ' מאור צוברי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25E7A"/>
    <w:multiLevelType w:val="hybridMultilevel"/>
    <w:tmpl w:val="B29EC5E4"/>
    <w:lvl w:ilvl="0" w:tplc="24148D18">
      <w:start w:val="1"/>
      <w:numFmt w:val="hebrew1"/>
      <w:lvlText w:val="%1."/>
      <w:lvlJc w:val="left"/>
      <w:pPr>
        <w:tabs>
          <w:tab w:val="num" w:pos="1320"/>
        </w:tabs>
        <w:ind w:left="1320" w:hanging="9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00A56A2"/>
    <w:multiLevelType w:val="hybridMultilevel"/>
    <w:tmpl w:val="846A7BE4"/>
    <w:lvl w:ilvl="0" w:tplc="1A3CCFEE">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BE248D8"/>
    <w:multiLevelType w:val="hybridMultilevel"/>
    <w:tmpl w:val="DBCE27F8"/>
    <w:lvl w:ilvl="0" w:tplc="85162A84">
      <w:start w:val="1"/>
      <w:numFmt w:val="decimal"/>
      <w:lvlText w:val="%1."/>
      <w:lvlJc w:val="left"/>
      <w:pPr>
        <w:ind w:left="502" w:hanging="360"/>
      </w:pPr>
      <w:rPr>
        <w:rFonts w:cs="David"/>
        <w:b w:val="0"/>
        <w:bCs w:val="0"/>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932544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87123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9471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35EB"/>
    <w:rsid w:val="00095A5A"/>
    <w:rsid w:val="000D6C50"/>
    <w:rsid w:val="001A3BB4"/>
    <w:rsid w:val="00277CB9"/>
    <w:rsid w:val="003F687E"/>
    <w:rsid w:val="0041725D"/>
    <w:rsid w:val="005B6172"/>
    <w:rsid w:val="00612A6E"/>
    <w:rsid w:val="006F1D3D"/>
    <w:rsid w:val="009A35EB"/>
    <w:rsid w:val="00BB0276"/>
    <w:rsid w:val="00C83269"/>
    <w:rsid w:val="00D07D22"/>
    <w:rsid w:val="00D516E9"/>
    <w:rsid w:val="00FD0F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7A859A"/>
  <w15:chartTrackingRefBased/>
  <w15:docId w15:val="{FC47A529-1BEB-43ED-A6BE-101C38BD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35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35EB"/>
    <w:pPr>
      <w:tabs>
        <w:tab w:val="center" w:pos="4153"/>
        <w:tab w:val="right" w:pos="8306"/>
      </w:tabs>
    </w:pPr>
  </w:style>
  <w:style w:type="character" w:customStyle="1" w:styleId="a4">
    <w:name w:val="כותרת עליונה תו"/>
    <w:link w:val="a3"/>
    <w:rsid w:val="009A35EB"/>
    <w:rPr>
      <w:rFonts w:ascii="Times New Roman" w:eastAsia="Times New Roman" w:hAnsi="Times New Roman" w:cs="David"/>
      <w:sz w:val="24"/>
      <w:szCs w:val="24"/>
    </w:rPr>
  </w:style>
  <w:style w:type="paragraph" w:styleId="a5">
    <w:name w:val="footer"/>
    <w:basedOn w:val="a"/>
    <w:link w:val="a6"/>
    <w:rsid w:val="009A35EB"/>
    <w:pPr>
      <w:tabs>
        <w:tab w:val="center" w:pos="4153"/>
        <w:tab w:val="right" w:pos="8306"/>
      </w:tabs>
    </w:pPr>
  </w:style>
  <w:style w:type="character" w:customStyle="1" w:styleId="a6">
    <w:name w:val="כותרת תחתונה תו"/>
    <w:link w:val="a5"/>
    <w:rsid w:val="009A35EB"/>
    <w:rPr>
      <w:rFonts w:ascii="Times New Roman" w:eastAsia="Times New Roman" w:hAnsi="Times New Roman" w:cs="David"/>
      <w:sz w:val="24"/>
      <w:szCs w:val="24"/>
    </w:rPr>
  </w:style>
  <w:style w:type="table" w:styleId="a7">
    <w:name w:val="Table Grid"/>
    <w:basedOn w:val="a1"/>
    <w:rsid w:val="009A35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35EB"/>
  </w:style>
  <w:style w:type="paragraph" w:customStyle="1" w:styleId="ListParagraph">
    <w:name w:val="List Paragraph"/>
    <w:basedOn w:val="a"/>
    <w:qFormat/>
    <w:rsid w:val="009A35EB"/>
    <w:pPr>
      <w:spacing w:after="200" w:line="276" w:lineRule="auto"/>
      <w:ind w:left="720"/>
      <w:contextualSpacing/>
    </w:pPr>
    <w:rPr>
      <w:rFonts w:ascii="Calibri" w:eastAsia="Calibri" w:hAnsi="Calibri" w:cs="Arial"/>
      <w:sz w:val="22"/>
      <w:szCs w:val="22"/>
    </w:rPr>
  </w:style>
  <w:style w:type="paragraph" w:customStyle="1" w:styleId="ListParagraph1">
    <w:name w:val="List Paragraph1"/>
    <w:basedOn w:val="a"/>
    <w:rsid w:val="009A35EB"/>
    <w:pPr>
      <w:spacing w:after="200" w:line="276" w:lineRule="auto"/>
      <w:ind w:left="720"/>
      <w:contextualSpacing/>
    </w:pPr>
    <w:rPr>
      <w:rFonts w:ascii="Calibri" w:hAnsi="Calibri" w:cs="Arial"/>
      <w:sz w:val="22"/>
      <w:szCs w:val="22"/>
    </w:rPr>
  </w:style>
  <w:style w:type="character" w:styleId="Hyperlink">
    <w:name w:val="Hyperlink"/>
    <w:rsid w:val="0041725D"/>
    <w:rPr>
      <w:color w:val="0563C1"/>
      <w:u w:val="single"/>
    </w:rPr>
  </w:style>
  <w:style w:type="character" w:styleId="a9">
    <w:name w:val="Unresolved Mention"/>
    <w:uiPriority w:val="99"/>
    <w:semiHidden/>
    <w:unhideWhenUsed/>
    <w:rsid w:val="00D07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605484" TargetMode="External"/><Relationship Id="rId26" Type="http://schemas.openxmlformats.org/officeDocument/2006/relationships/hyperlink" Target="http://www.nevo.co.il/law/4216" TargetMode="External"/><Relationship Id="rId21" Type="http://schemas.openxmlformats.org/officeDocument/2006/relationships/hyperlink" Target="http://www.nevo.co.il/case/6273768"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case/5787128" TargetMode="External"/><Relationship Id="rId25" Type="http://schemas.openxmlformats.org/officeDocument/2006/relationships/hyperlink" Target="http://www.nevo.co.il/law/4216/36a"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8793360" TargetMode="External"/><Relationship Id="rId20" Type="http://schemas.openxmlformats.org/officeDocument/2006/relationships/hyperlink" Target="http://www.nevo.co.il/case/22537874"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13093721" TargetMode="External"/><Relationship Id="rId24" Type="http://schemas.openxmlformats.org/officeDocument/2006/relationships/hyperlink" Target="http://www.nevo.co.il/case/22116530"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9994719" TargetMode="External"/><Relationship Id="rId23" Type="http://schemas.openxmlformats.org/officeDocument/2006/relationships/hyperlink" Target="http://www.nevo.co.il/case/5726579"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4216/36a" TargetMode="External"/><Relationship Id="rId19" Type="http://schemas.openxmlformats.org/officeDocument/2006/relationships/hyperlink" Target="http://www.nevo.co.il/case/3892678"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17932979" TargetMode="External"/><Relationship Id="rId22" Type="http://schemas.openxmlformats.org/officeDocument/2006/relationships/hyperlink" Target="http://www.nevo.co.il/case/5917767" TargetMode="External"/><Relationship Id="rId27" Type="http://schemas.openxmlformats.org/officeDocument/2006/relationships/hyperlink" Target="http://www.nevo.co.il/case/6273768" TargetMode="External"/><Relationship Id="rId30" Type="http://schemas.openxmlformats.org/officeDocument/2006/relationships/hyperlink" Target="http://www.nevo.co.il/case/6273768" TargetMode="External"/><Relationship Id="rId35" Type="http://schemas.openxmlformats.org/officeDocument/2006/relationships/footer" Target="footer2.xml"/><Relationship Id="rId8" Type="http://schemas.openxmlformats.org/officeDocument/2006/relationships/hyperlink" Target="http://www.nevo.co.il/law/70301/40j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1859</Words>
  <Characters>9299</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11136</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4063347</vt:i4>
      </vt:variant>
      <vt:variant>
        <vt:i4>69</vt:i4>
      </vt:variant>
      <vt:variant>
        <vt:i4>0</vt:i4>
      </vt:variant>
      <vt:variant>
        <vt:i4>5</vt:i4>
      </vt:variant>
      <vt:variant>
        <vt:lpwstr>http://www.nevo.co.il/case/6273768</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4063347</vt:i4>
      </vt:variant>
      <vt:variant>
        <vt:i4>60</vt:i4>
      </vt:variant>
      <vt:variant>
        <vt:i4>0</vt:i4>
      </vt:variant>
      <vt:variant>
        <vt:i4>5</vt:i4>
      </vt:variant>
      <vt:variant>
        <vt:lpwstr>http://www.nevo.co.il/case/6273768</vt:lpwstr>
      </vt:variant>
      <vt:variant>
        <vt:lpwstr/>
      </vt:variant>
      <vt:variant>
        <vt:i4>8257637</vt:i4>
      </vt:variant>
      <vt:variant>
        <vt:i4>57</vt:i4>
      </vt:variant>
      <vt:variant>
        <vt:i4>0</vt:i4>
      </vt:variant>
      <vt:variant>
        <vt:i4>5</vt:i4>
      </vt:variant>
      <vt:variant>
        <vt:lpwstr>http://www.nevo.co.il/law/4216</vt:lpwstr>
      </vt:variant>
      <vt:variant>
        <vt:lpwstr/>
      </vt:variant>
      <vt:variant>
        <vt:i4>2883708</vt:i4>
      </vt:variant>
      <vt:variant>
        <vt:i4>54</vt:i4>
      </vt:variant>
      <vt:variant>
        <vt:i4>0</vt:i4>
      </vt:variant>
      <vt:variant>
        <vt:i4>5</vt:i4>
      </vt:variant>
      <vt:variant>
        <vt:lpwstr>http://www.nevo.co.il/law/4216/36a</vt:lpwstr>
      </vt:variant>
      <vt:variant>
        <vt:lpwstr/>
      </vt:variant>
      <vt:variant>
        <vt:i4>3539058</vt:i4>
      </vt:variant>
      <vt:variant>
        <vt:i4>51</vt:i4>
      </vt:variant>
      <vt:variant>
        <vt:i4>0</vt:i4>
      </vt:variant>
      <vt:variant>
        <vt:i4>5</vt:i4>
      </vt:variant>
      <vt:variant>
        <vt:lpwstr>http://www.nevo.co.il/case/22116530</vt:lpwstr>
      </vt:variant>
      <vt:variant>
        <vt:lpwstr/>
      </vt:variant>
      <vt:variant>
        <vt:i4>3866738</vt:i4>
      </vt:variant>
      <vt:variant>
        <vt:i4>48</vt:i4>
      </vt:variant>
      <vt:variant>
        <vt:i4>0</vt:i4>
      </vt:variant>
      <vt:variant>
        <vt:i4>5</vt:i4>
      </vt:variant>
      <vt:variant>
        <vt:lpwstr>http://www.nevo.co.il/case/5726579</vt:lpwstr>
      </vt:variant>
      <vt:variant>
        <vt:lpwstr/>
      </vt:variant>
      <vt:variant>
        <vt:i4>3407996</vt:i4>
      </vt:variant>
      <vt:variant>
        <vt:i4>45</vt:i4>
      </vt:variant>
      <vt:variant>
        <vt:i4>0</vt:i4>
      </vt:variant>
      <vt:variant>
        <vt:i4>5</vt:i4>
      </vt:variant>
      <vt:variant>
        <vt:lpwstr>http://www.nevo.co.il/case/5917767</vt:lpwstr>
      </vt:variant>
      <vt:variant>
        <vt:lpwstr/>
      </vt:variant>
      <vt:variant>
        <vt:i4>4063347</vt:i4>
      </vt:variant>
      <vt:variant>
        <vt:i4>42</vt:i4>
      </vt:variant>
      <vt:variant>
        <vt:i4>0</vt:i4>
      </vt:variant>
      <vt:variant>
        <vt:i4>5</vt:i4>
      </vt:variant>
      <vt:variant>
        <vt:lpwstr>http://www.nevo.co.il/case/6273768</vt:lpwstr>
      </vt:variant>
      <vt:variant>
        <vt:lpwstr/>
      </vt:variant>
      <vt:variant>
        <vt:i4>3604605</vt:i4>
      </vt:variant>
      <vt:variant>
        <vt:i4>39</vt:i4>
      </vt:variant>
      <vt:variant>
        <vt:i4>0</vt:i4>
      </vt:variant>
      <vt:variant>
        <vt:i4>5</vt:i4>
      </vt:variant>
      <vt:variant>
        <vt:lpwstr>http://www.nevo.co.il/case/22537874</vt:lpwstr>
      </vt:variant>
      <vt:variant>
        <vt:lpwstr/>
      </vt:variant>
      <vt:variant>
        <vt:i4>3407993</vt:i4>
      </vt:variant>
      <vt:variant>
        <vt:i4>36</vt:i4>
      </vt:variant>
      <vt:variant>
        <vt:i4>0</vt:i4>
      </vt:variant>
      <vt:variant>
        <vt:i4>5</vt:i4>
      </vt:variant>
      <vt:variant>
        <vt:lpwstr>http://www.nevo.co.il/case/3892678</vt:lpwstr>
      </vt:variant>
      <vt:variant>
        <vt:lpwstr/>
      </vt:variant>
      <vt:variant>
        <vt:i4>3473535</vt:i4>
      </vt:variant>
      <vt:variant>
        <vt:i4>33</vt:i4>
      </vt:variant>
      <vt:variant>
        <vt:i4>0</vt:i4>
      </vt:variant>
      <vt:variant>
        <vt:i4>5</vt:i4>
      </vt:variant>
      <vt:variant>
        <vt:lpwstr>http://www.nevo.co.il/case/5605484</vt:lpwstr>
      </vt:variant>
      <vt:variant>
        <vt:lpwstr/>
      </vt:variant>
      <vt:variant>
        <vt:i4>3407990</vt:i4>
      </vt:variant>
      <vt:variant>
        <vt:i4>30</vt:i4>
      </vt:variant>
      <vt:variant>
        <vt:i4>0</vt:i4>
      </vt:variant>
      <vt:variant>
        <vt:i4>5</vt:i4>
      </vt:variant>
      <vt:variant>
        <vt:lpwstr>http://www.nevo.co.il/case/5787128</vt:lpwstr>
      </vt:variant>
      <vt:variant>
        <vt:lpwstr/>
      </vt:variant>
      <vt:variant>
        <vt:i4>3342454</vt:i4>
      </vt:variant>
      <vt:variant>
        <vt:i4>27</vt:i4>
      </vt:variant>
      <vt:variant>
        <vt:i4>0</vt:i4>
      </vt:variant>
      <vt:variant>
        <vt:i4>5</vt:i4>
      </vt:variant>
      <vt:variant>
        <vt:lpwstr>http://www.nevo.co.il/case/18793360</vt:lpwstr>
      </vt:variant>
      <vt:variant>
        <vt:lpwstr/>
      </vt:variant>
      <vt:variant>
        <vt:i4>3997811</vt:i4>
      </vt:variant>
      <vt:variant>
        <vt:i4>24</vt:i4>
      </vt:variant>
      <vt:variant>
        <vt:i4>0</vt:i4>
      </vt:variant>
      <vt:variant>
        <vt:i4>5</vt:i4>
      </vt:variant>
      <vt:variant>
        <vt:lpwstr>http://www.nevo.co.il/case/19994719</vt:lpwstr>
      </vt:variant>
      <vt:variant>
        <vt:lpwstr/>
      </vt:variant>
      <vt:variant>
        <vt:i4>3997817</vt:i4>
      </vt:variant>
      <vt:variant>
        <vt:i4>21</vt:i4>
      </vt:variant>
      <vt:variant>
        <vt:i4>0</vt:i4>
      </vt:variant>
      <vt:variant>
        <vt:i4>5</vt:i4>
      </vt:variant>
      <vt:variant>
        <vt:lpwstr>http://www.nevo.co.il/case/17932979</vt:lpwstr>
      </vt:variant>
      <vt:variant>
        <vt:lpwstr/>
      </vt:variant>
      <vt:variant>
        <vt:i4>7995492</vt:i4>
      </vt:variant>
      <vt:variant>
        <vt:i4>18</vt:i4>
      </vt:variant>
      <vt:variant>
        <vt:i4>0</vt:i4>
      </vt:variant>
      <vt:variant>
        <vt:i4>5</vt:i4>
      </vt:variant>
      <vt:variant>
        <vt:lpwstr>http://www.nevo.co.il/law/70301</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3145849</vt:i4>
      </vt:variant>
      <vt:variant>
        <vt:i4>12</vt:i4>
      </vt:variant>
      <vt:variant>
        <vt:i4>0</vt:i4>
      </vt:variant>
      <vt:variant>
        <vt:i4>5</vt:i4>
      </vt:variant>
      <vt:variant>
        <vt:lpwstr>http://www.nevo.co.il/case/13093721</vt:lpwstr>
      </vt:variant>
      <vt:variant>
        <vt:lpwstr/>
      </vt:variant>
      <vt:variant>
        <vt:i4>2883708</vt:i4>
      </vt:variant>
      <vt:variant>
        <vt:i4>9</vt:i4>
      </vt:variant>
      <vt:variant>
        <vt:i4>0</vt:i4>
      </vt:variant>
      <vt:variant>
        <vt:i4>5</vt:i4>
      </vt:variant>
      <vt:variant>
        <vt:lpwstr>http://www.nevo.co.il/law/4216/36a</vt:lpwstr>
      </vt:variant>
      <vt:variant>
        <vt:lpwstr/>
      </vt:variant>
      <vt:variant>
        <vt:i4>8257637</vt:i4>
      </vt:variant>
      <vt:variant>
        <vt:i4>6</vt:i4>
      </vt:variant>
      <vt:variant>
        <vt:i4>0</vt:i4>
      </vt:variant>
      <vt:variant>
        <vt:i4>5</vt:i4>
      </vt:variant>
      <vt:variant>
        <vt:lpwstr>http://www.nevo.co.il/law/4216</vt:lpwstr>
      </vt:variant>
      <vt:variant>
        <vt:lpwstr/>
      </vt:variant>
      <vt:variant>
        <vt:i4>393227</vt:i4>
      </vt:variant>
      <vt:variant>
        <vt:i4>3</vt:i4>
      </vt:variant>
      <vt:variant>
        <vt:i4>0</vt:i4>
      </vt:variant>
      <vt:variant>
        <vt:i4>5</vt:i4>
      </vt:variant>
      <vt:variant>
        <vt:lpwstr>http://www.nevo.co.il/law/70301/40jc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31394</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מאור צוברי</vt:lpwstr>
  </property>
  <property fmtid="{D5CDD505-2E9C-101B-9397-08002B2CF9AE}" pid="10" name="LAWYER">
    <vt:lpwstr>נופר מזולה;גלעד מנשה</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20180117</vt:lpwstr>
  </property>
  <property fmtid="{D5CDD505-2E9C-101B-9397-08002B2CF9AE}" pid="14" name="TYPE_N_DATE">
    <vt:lpwstr>38020180117</vt:lpwstr>
  </property>
  <property fmtid="{D5CDD505-2E9C-101B-9397-08002B2CF9AE}" pid="15" name="WORDNUMPAGES">
    <vt:lpwstr>7</vt:lpwstr>
  </property>
  <property fmtid="{D5CDD505-2E9C-101B-9397-08002B2CF9AE}" pid="16" name="TYPE_ABS_DATE">
    <vt:lpwstr>380020180117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13093721;17932979;19994719;18793360;5787128;5605484;3892678;22537874;6273768:3;5917767;5726579;22116530</vt:lpwstr>
  </property>
  <property fmtid="{D5CDD505-2E9C-101B-9397-08002B2CF9AE}" pid="36" name="LAWLISTTMP1">
    <vt:lpwstr>70301/40jc</vt:lpwstr>
  </property>
  <property fmtid="{D5CDD505-2E9C-101B-9397-08002B2CF9AE}" pid="37" name="LAWLISTTMP2">
    <vt:lpwstr>4216/036a</vt:lpwstr>
  </property>
</Properties>
</file>