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732D2" w:rsidRPr="007940DB" w14:paraId="4DF66704" w14:textId="77777777" w:rsidTr="00AA1F5C">
        <w:trPr>
          <w:trHeight w:hRule="exact" w:val="418"/>
          <w:jc w:val="center"/>
        </w:trPr>
        <w:tc>
          <w:tcPr>
            <w:tcW w:w="8721" w:type="dxa"/>
            <w:gridSpan w:val="2"/>
          </w:tcPr>
          <w:p w14:paraId="5D9C3DA9" w14:textId="77777777" w:rsidR="00E732D2" w:rsidRPr="007940DB" w:rsidRDefault="00E732D2" w:rsidP="007940DB">
            <w:pPr>
              <w:pStyle w:val="a3"/>
              <w:jc w:val="center"/>
              <w:rPr>
                <w:rFonts w:ascii="Tahoma" w:hAnsi="Tahoma"/>
                <w:color w:val="000080"/>
                <w:sz w:val="32"/>
                <w:szCs w:val="32"/>
                <w:rtl/>
              </w:rPr>
            </w:pPr>
            <w:bookmarkStart w:id="0" w:name="LastJudge"/>
            <w:r w:rsidRPr="007940DB">
              <w:rPr>
                <w:rFonts w:ascii="Tahoma" w:hAnsi="Tahoma"/>
                <w:b/>
                <w:bCs/>
                <w:color w:val="000080"/>
                <w:sz w:val="32"/>
                <w:szCs w:val="32"/>
                <w:rtl/>
              </w:rPr>
              <w:t>בית משפט השלום בתל אביב - יפו</w:t>
            </w:r>
          </w:p>
        </w:tc>
      </w:tr>
      <w:tr w:rsidR="00E732D2" w:rsidRPr="007940DB" w14:paraId="265B9FFA" w14:textId="77777777" w:rsidTr="00AA1F5C">
        <w:trPr>
          <w:trHeight w:val="337"/>
          <w:jc w:val="center"/>
        </w:trPr>
        <w:tc>
          <w:tcPr>
            <w:tcW w:w="5054" w:type="dxa"/>
          </w:tcPr>
          <w:p w14:paraId="00DAF081" w14:textId="77777777" w:rsidR="00E732D2" w:rsidRPr="007940DB" w:rsidRDefault="00E732D2" w:rsidP="007940DB">
            <w:pPr>
              <w:rPr>
                <w:sz w:val="26"/>
                <w:szCs w:val="26"/>
                <w:rtl/>
              </w:rPr>
            </w:pPr>
            <w:r w:rsidRPr="007940DB">
              <w:rPr>
                <w:sz w:val="26"/>
                <w:szCs w:val="26"/>
                <w:rtl/>
              </w:rPr>
              <w:t>ת"פ</w:t>
            </w:r>
            <w:r w:rsidRPr="007940DB">
              <w:rPr>
                <w:rFonts w:hint="cs"/>
                <w:sz w:val="26"/>
                <w:szCs w:val="26"/>
                <w:rtl/>
              </w:rPr>
              <w:t xml:space="preserve"> </w:t>
            </w:r>
            <w:r w:rsidRPr="007940DB">
              <w:rPr>
                <w:sz w:val="26"/>
                <w:szCs w:val="26"/>
                <w:rtl/>
              </w:rPr>
              <w:t>32933-12-15</w:t>
            </w:r>
            <w:r w:rsidRPr="007940DB">
              <w:rPr>
                <w:rFonts w:hint="cs"/>
                <w:sz w:val="26"/>
                <w:szCs w:val="26"/>
                <w:rtl/>
              </w:rPr>
              <w:t xml:space="preserve"> מדינת ישראל </w:t>
            </w:r>
            <w:r w:rsidRPr="007940DB">
              <w:rPr>
                <w:sz w:val="26"/>
                <w:szCs w:val="26"/>
                <w:rtl/>
              </w:rPr>
              <w:t>נ' חולי</w:t>
            </w:r>
          </w:p>
          <w:p w14:paraId="6A49357D" w14:textId="77777777" w:rsidR="00E732D2" w:rsidRPr="007940DB" w:rsidRDefault="00E732D2" w:rsidP="007940DB">
            <w:pPr>
              <w:rPr>
                <w:sz w:val="26"/>
                <w:szCs w:val="26"/>
                <w:rtl/>
              </w:rPr>
            </w:pPr>
            <w:r w:rsidRPr="007940DB">
              <w:rPr>
                <w:rFonts w:hint="cs"/>
                <w:sz w:val="26"/>
                <w:szCs w:val="26"/>
                <w:rtl/>
              </w:rPr>
              <w:t>ת"פ 60497-11-15 מדינת ישראל נ' חולי</w:t>
            </w:r>
          </w:p>
          <w:p w14:paraId="1595F832" w14:textId="77777777" w:rsidR="00E732D2" w:rsidRPr="007940DB" w:rsidRDefault="00E732D2" w:rsidP="007940DB">
            <w:pPr>
              <w:rPr>
                <w:sz w:val="26"/>
                <w:szCs w:val="26"/>
                <w:rtl/>
              </w:rPr>
            </w:pPr>
            <w:r w:rsidRPr="007940DB">
              <w:rPr>
                <w:rFonts w:hint="cs"/>
                <w:sz w:val="26"/>
                <w:szCs w:val="26"/>
                <w:rtl/>
              </w:rPr>
              <w:t>ת"פ 27228-08-15 מדינת ישראל נ' חולי</w:t>
            </w:r>
          </w:p>
          <w:p w14:paraId="355F57CD" w14:textId="77777777" w:rsidR="00E732D2" w:rsidRPr="007940DB" w:rsidRDefault="00E732D2" w:rsidP="007940DB">
            <w:pPr>
              <w:rPr>
                <w:sz w:val="26"/>
                <w:szCs w:val="26"/>
                <w:rtl/>
              </w:rPr>
            </w:pPr>
            <w:r w:rsidRPr="007940DB">
              <w:rPr>
                <w:sz w:val="26"/>
                <w:szCs w:val="26"/>
                <w:rtl/>
              </w:rPr>
              <w:t>ת"פ</w:t>
            </w:r>
            <w:r w:rsidRPr="007940DB">
              <w:rPr>
                <w:rFonts w:hint="cs"/>
                <w:sz w:val="26"/>
                <w:szCs w:val="26"/>
                <w:rtl/>
              </w:rPr>
              <w:t xml:space="preserve"> </w:t>
            </w:r>
            <w:r w:rsidRPr="007940DB">
              <w:rPr>
                <w:sz w:val="26"/>
                <w:szCs w:val="26"/>
                <w:rtl/>
              </w:rPr>
              <w:t>31926-08-16</w:t>
            </w:r>
            <w:r w:rsidRPr="007940DB">
              <w:rPr>
                <w:rFonts w:hint="cs"/>
                <w:sz w:val="26"/>
                <w:szCs w:val="26"/>
                <w:rtl/>
              </w:rPr>
              <w:t xml:space="preserve"> </w:t>
            </w:r>
            <w:r w:rsidRPr="007940DB">
              <w:rPr>
                <w:sz w:val="26"/>
                <w:szCs w:val="26"/>
                <w:rtl/>
              </w:rPr>
              <w:t>מדינת ישראל נ' חולי</w:t>
            </w:r>
          </w:p>
        </w:tc>
        <w:tc>
          <w:tcPr>
            <w:tcW w:w="3667" w:type="dxa"/>
          </w:tcPr>
          <w:p w14:paraId="25B831CF" w14:textId="77777777" w:rsidR="00E732D2" w:rsidRPr="007940DB" w:rsidRDefault="00E732D2" w:rsidP="007940DB">
            <w:pPr>
              <w:pStyle w:val="a3"/>
              <w:jc w:val="right"/>
              <w:rPr>
                <w:rFonts w:cs="FrankRuehl"/>
                <w:sz w:val="28"/>
                <w:szCs w:val="28"/>
                <w:rtl/>
              </w:rPr>
            </w:pPr>
          </w:p>
        </w:tc>
      </w:tr>
    </w:tbl>
    <w:p w14:paraId="24150221" w14:textId="77777777" w:rsidR="00E732D2" w:rsidRPr="007940DB" w:rsidRDefault="00E732D2" w:rsidP="00E732D2">
      <w:pPr>
        <w:pStyle w:val="a3"/>
        <w:rPr>
          <w:rtl/>
        </w:rPr>
      </w:pPr>
      <w:r w:rsidRPr="007940DB">
        <w:rPr>
          <w:rFonts w:hint="cs"/>
          <w:rtl/>
        </w:rPr>
        <w:t xml:space="preserve"> </w:t>
      </w:r>
    </w:p>
    <w:p w14:paraId="54FF6A54" w14:textId="77777777" w:rsidR="00E732D2" w:rsidRPr="007940DB" w:rsidRDefault="00E732D2" w:rsidP="00E732D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70"/>
        <w:gridCol w:w="3355"/>
      </w:tblGrid>
      <w:tr w:rsidR="00E732D2" w:rsidRPr="007940DB" w14:paraId="33B09F9C" w14:textId="77777777" w:rsidTr="007940DB">
        <w:trPr>
          <w:trHeight w:val="295"/>
          <w:jc w:val="center"/>
        </w:trPr>
        <w:tc>
          <w:tcPr>
            <w:tcW w:w="598" w:type="dxa"/>
            <w:tcBorders>
              <w:top w:val="nil"/>
              <w:left w:val="nil"/>
              <w:bottom w:val="nil"/>
              <w:right w:val="nil"/>
            </w:tcBorders>
            <w:shd w:val="clear" w:color="auto" w:fill="auto"/>
          </w:tcPr>
          <w:p w14:paraId="659EF726" w14:textId="77777777" w:rsidR="00E732D2" w:rsidRPr="007940DB" w:rsidRDefault="00E732D2" w:rsidP="007940DB">
            <w:pPr>
              <w:jc w:val="both"/>
              <w:rPr>
                <w:rFonts w:ascii="Arial" w:hAnsi="Arial"/>
                <w:b/>
                <w:bCs/>
                <w:sz w:val="26"/>
                <w:szCs w:val="26"/>
              </w:rPr>
            </w:pPr>
            <w:r w:rsidRPr="007940DB">
              <w:rPr>
                <w:rFonts w:ascii="Arial" w:hAnsi="Arial" w:hint="cs"/>
                <w:b/>
                <w:bCs/>
                <w:sz w:val="26"/>
                <w:szCs w:val="26"/>
                <w:rtl/>
              </w:rPr>
              <w:t>ל</w:t>
            </w:r>
            <w:r w:rsidRPr="007940DB">
              <w:rPr>
                <w:rFonts w:ascii="Arial" w:hAnsi="Arial"/>
                <w:b/>
                <w:bCs/>
                <w:sz w:val="26"/>
                <w:szCs w:val="26"/>
                <w:rtl/>
              </w:rPr>
              <w:t xml:space="preserve">פני </w:t>
            </w:r>
          </w:p>
        </w:tc>
        <w:tc>
          <w:tcPr>
            <w:tcW w:w="8222" w:type="dxa"/>
            <w:gridSpan w:val="2"/>
            <w:tcBorders>
              <w:top w:val="nil"/>
              <w:left w:val="nil"/>
              <w:bottom w:val="nil"/>
              <w:right w:val="nil"/>
            </w:tcBorders>
            <w:shd w:val="clear" w:color="auto" w:fill="auto"/>
          </w:tcPr>
          <w:p w14:paraId="1E7C5675" w14:textId="77777777" w:rsidR="00E732D2" w:rsidRPr="007940DB" w:rsidRDefault="00E732D2" w:rsidP="007940DB">
            <w:pPr>
              <w:rPr>
                <w:rFonts w:ascii="Arial" w:hAnsi="Arial"/>
                <w:b/>
                <w:bCs/>
                <w:sz w:val="26"/>
                <w:szCs w:val="26"/>
                <w:rtl/>
              </w:rPr>
            </w:pPr>
            <w:r w:rsidRPr="007940DB">
              <w:rPr>
                <w:rFonts w:ascii="Arial" w:hAnsi="Arial" w:hint="cs"/>
                <w:b/>
                <w:bCs/>
                <w:sz w:val="26"/>
                <w:szCs w:val="26"/>
                <w:rtl/>
              </w:rPr>
              <w:t>כבוד ה</w:t>
            </w:r>
            <w:r w:rsidRPr="007940DB">
              <w:rPr>
                <w:rFonts w:hint="cs"/>
                <w:sz w:val="26"/>
                <w:szCs w:val="26"/>
                <w:rtl/>
              </w:rPr>
              <w:t>שופט</w:t>
            </w:r>
            <w:r w:rsidRPr="007940DB">
              <w:rPr>
                <w:rFonts w:ascii="Arial" w:hAnsi="Arial" w:hint="cs"/>
                <w:b/>
                <w:bCs/>
                <w:sz w:val="26"/>
                <w:szCs w:val="26"/>
                <w:rtl/>
              </w:rPr>
              <w:t xml:space="preserve">  </w:t>
            </w:r>
            <w:r w:rsidRPr="007940DB">
              <w:rPr>
                <w:rFonts w:hint="cs"/>
                <w:sz w:val="26"/>
                <w:szCs w:val="26"/>
                <w:rtl/>
              </w:rPr>
              <w:t>עידו דרויאן</w:t>
            </w:r>
          </w:p>
          <w:p w14:paraId="230D7E54" w14:textId="77777777" w:rsidR="00E732D2" w:rsidRPr="007940DB" w:rsidRDefault="00E732D2" w:rsidP="007940DB">
            <w:pPr>
              <w:rPr>
                <w:sz w:val="26"/>
                <w:szCs w:val="26"/>
                <w:rtl/>
              </w:rPr>
            </w:pPr>
          </w:p>
          <w:p w14:paraId="57B41C5A" w14:textId="77777777" w:rsidR="00E732D2" w:rsidRPr="007940DB" w:rsidRDefault="00E732D2" w:rsidP="007940DB">
            <w:pPr>
              <w:jc w:val="both"/>
              <w:rPr>
                <w:rFonts w:ascii="Arial" w:hAnsi="Arial"/>
                <w:sz w:val="26"/>
                <w:szCs w:val="26"/>
              </w:rPr>
            </w:pPr>
          </w:p>
        </w:tc>
      </w:tr>
      <w:tr w:rsidR="00E732D2" w:rsidRPr="007940DB" w14:paraId="14BCD18A" w14:textId="77777777" w:rsidTr="007940DB">
        <w:trPr>
          <w:trHeight w:val="355"/>
          <w:jc w:val="center"/>
        </w:trPr>
        <w:tc>
          <w:tcPr>
            <w:tcW w:w="598" w:type="dxa"/>
            <w:tcBorders>
              <w:top w:val="nil"/>
              <w:left w:val="nil"/>
              <w:bottom w:val="nil"/>
              <w:right w:val="nil"/>
            </w:tcBorders>
            <w:shd w:val="clear" w:color="auto" w:fill="auto"/>
          </w:tcPr>
          <w:p w14:paraId="19E7E144" w14:textId="77777777" w:rsidR="00E732D2" w:rsidRPr="007940DB" w:rsidRDefault="00E732D2" w:rsidP="007940DB">
            <w:pPr>
              <w:jc w:val="both"/>
              <w:rPr>
                <w:rFonts w:ascii="Arial" w:hAnsi="Arial"/>
                <w:b/>
                <w:bCs/>
                <w:sz w:val="26"/>
                <w:szCs w:val="26"/>
              </w:rPr>
            </w:pPr>
            <w:bookmarkStart w:id="1" w:name="FirstAppellant"/>
            <w:bookmarkStart w:id="2" w:name="FirstLawyer"/>
            <w:r w:rsidRPr="007940DB">
              <w:rPr>
                <w:rFonts w:ascii="Arial" w:hAnsi="Arial" w:hint="cs"/>
                <w:sz w:val="26"/>
                <w:szCs w:val="26"/>
                <w:rtl/>
              </w:rPr>
              <w:t>ה</w:t>
            </w:r>
            <w:r w:rsidRPr="007940DB">
              <w:rPr>
                <w:rFonts w:hint="cs"/>
                <w:sz w:val="26"/>
                <w:szCs w:val="26"/>
                <w:rtl/>
              </w:rPr>
              <w:t>מאשימה</w:t>
            </w:r>
          </w:p>
        </w:tc>
        <w:tc>
          <w:tcPr>
            <w:tcW w:w="4565" w:type="dxa"/>
            <w:tcBorders>
              <w:top w:val="nil"/>
              <w:left w:val="nil"/>
              <w:bottom w:val="nil"/>
              <w:right w:val="nil"/>
            </w:tcBorders>
            <w:shd w:val="clear" w:color="auto" w:fill="auto"/>
          </w:tcPr>
          <w:p w14:paraId="6FB9AD04" w14:textId="77777777" w:rsidR="00E732D2" w:rsidRPr="007940DB" w:rsidRDefault="00E732D2" w:rsidP="007940DB">
            <w:pPr>
              <w:rPr>
                <w:sz w:val="26"/>
                <w:szCs w:val="26"/>
                <w:rtl/>
              </w:rPr>
            </w:pPr>
            <w:r w:rsidRPr="007940DB">
              <w:rPr>
                <w:rFonts w:hint="cs"/>
                <w:b/>
                <w:bCs/>
                <w:sz w:val="26"/>
                <w:szCs w:val="26"/>
                <w:rtl/>
              </w:rPr>
              <w:t>פרקליטות מחוז תל אביב  פלילי</w:t>
            </w:r>
          </w:p>
          <w:p w14:paraId="412F5EF3" w14:textId="77777777" w:rsidR="00E732D2" w:rsidRPr="007940DB" w:rsidRDefault="00E732D2" w:rsidP="007940DB">
            <w:pPr>
              <w:rPr>
                <w:sz w:val="26"/>
                <w:szCs w:val="26"/>
              </w:rPr>
            </w:pPr>
            <w:r w:rsidRPr="007940DB">
              <w:rPr>
                <w:rFonts w:hint="cs"/>
                <w:sz w:val="26"/>
                <w:szCs w:val="26"/>
                <w:rtl/>
              </w:rPr>
              <w:t>ע"י ב"כ עו"ד טליה קלמרו</w:t>
            </w:r>
          </w:p>
        </w:tc>
        <w:tc>
          <w:tcPr>
            <w:tcW w:w="3657" w:type="dxa"/>
            <w:tcBorders>
              <w:top w:val="nil"/>
              <w:left w:val="nil"/>
              <w:bottom w:val="nil"/>
              <w:right w:val="nil"/>
            </w:tcBorders>
            <w:shd w:val="clear" w:color="auto" w:fill="auto"/>
          </w:tcPr>
          <w:p w14:paraId="515A6AB7" w14:textId="77777777" w:rsidR="00E732D2" w:rsidRPr="007940DB" w:rsidRDefault="00E732D2" w:rsidP="007940DB">
            <w:pPr>
              <w:jc w:val="both"/>
              <w:rPr>
                <w:rFonts w:ascii="Arial" w:hAnsi="Arial"/>
                <w:sz w:val="26"/>
                <w:szCs w:val="26"/>
              </w:rPr>
            </w:pPr>
          </w:p>
        </w:tc>
      </w:tr>
      <w:bookmarkEnd w:id="1"/>
      <w:bookmarkEnd w:id="2"/>
      <w:tr w:rsidR="00E732D2" w:rsidRPr="007940DB" w14:paraId="15945208" w14:textId="77777777" w:rsidTr="007940DB">
        <w:trPr>
          <w:trHeight w:val="355"/>
          <w:jc w:val="center"/>
        </w:trPr>
        <w:tc>
          <w:tcPr>
            <w:tcW w:w="598" w:type="dxa"/>
            <w:tcBorders>
              <w:top w:val="nil"/>
              <w:left w:val="nil"/>
              <w:bottom w:val="nil"/>
              <w:right w:val="nil"/>
            </w:tcBorders>
            <w:shd w:val="clear" w:color="auto" w:fill="auto"/>
          </w:tcPr>
          <w:p w14:paraId="2ABF538E" w14:textId="77777777" w:rsidR="00E732D2" w:rsidRPr="007940DB" w:rsidRDefault="00E732D2" w:rsidP="007940DB">
            <w:pPr>
              <w:jc w:val="both"/>
              <w:rPr>
                <w:rFonts w:ascii="Arial" w:hAnsi="Arial"/>
                <w:sz w:val="26"/>
                <w:szCs w:val="26"/>
                <w:rtl/>
              </w:rPr>
            </w:pPr>
          </w:p>
        </w:tc>
        <w:tc>
          <w:tcPr>
            <w:tcW w:w="4565" w:type="dxa"/>
            <w:tcBorders>
              <w:top w:val="nil"/>
              <w:left w:val="nil"/>
              <w:bottom w:val="nil"/>
              <w:right w:val="nil"/>
            </w:tcBorders>
            <w:shd w:val="clear" w:color="auto" w:fill="auto"/>
          </w:tcPr>
          <w:p w14:paraId="08F53FD0" w14:textId="77777777" w:rsidR="00E732D2" w:rsidRPr="007940DB" w:rsidRDefault="00E732D2" w:rsidP="007940DB">
            <w:pPr>
              <w:rPr>
                <w:rFonts w:ascii="Arial" w:hAnsi="Arial"/>
                <w:sz w:val="26"/>
                <w:szCs w:val="26"/>
                <w:rtl/>
              </w:rPr>
            </w:pPr>
          </w:p>
        </w:tc>
        <w:tc>
          <w:tcPr>
            <w:tcW w:w="3657" w:type="dxa"/>
            <w:tcBorders>
              <w:top w:val="nil"/>
              <w:left w:val="nil"/>
              <w:bottom w:val="nil"/>
              <w:right w:val="nil"/>
            </w:tcBorders>
            <w:shd w:val="clear" w:color="auto" w:fill="auto"/>
          </w:tcPr>
          <w:p w14:paraId="439DBE24" w14:textId="77777777" w:rsidR="00E732D2" w:rsidRPr="007940DB" w:rsidRDefault="00E732D2" w:rsidP="007940DB">
            <w:pPr>
              <w:jc w:val="right"/>
              <w:rPr>
                <w:rFonts w:ascii="Arial" w:hAnsi="Arial"/>
                <w:sz w:val="26"/>
                <w:szCs w:val="26"/>
                <w:rtl/>
              </w:rPr>
            </w:pPr>
          </w:p>
        </w:tc>
      </w:tr>
      <w:tr w:rsidR="00E732D2" w:rsidRPr="007940DB" w14:paraId="3ADE1331" w14:textId="77777777" w:rsidTr="007940DB">
        <w:trPr>
          <w:trHeight w:val="355"/>
          <w:jc w:val="center"/>
        </w:trPr>
        <w:tc>
          <w:tcPr>
            <w:tcW w:w="598" w:type="dxa"/>
            <w:tcBorders>
              <w:top w:val="nil"/>
              <w:left w:val="nil"/>
              <w:bottom w:val="nil"/>
              <w:right w:val="nil"/>
            </w:tcBorders>
            <w:shd w:val="clear" w:color="auto" w:fill="auto"/>
          </w:tcPr>
          <w:p w14:paraId="761BC668" w14:textId="77777777" w:rsidR="00E732D2" w:rsidRPr="007940DB" w:rsidRDefault="00E732D2" w:rsidP="007940DB">
            <w:pPr>
              <w:jc w:val="both"/>
              <w:rPr>
                <w:rFonts w:ascii="Arial" w:hAnsi="Arial"/>
                <w:sz w:val="26"/>
                <w:szCs w:val="26"/>
                <w:rtl/>
              </w:rPr>
            </w:pPr>
          </w:p>
        </w:tc>
        <w:tc>
          <w:tcPr>
            <w:tcW w:w="8222" w:type="dxa"/>
            <w:gridSpan w:val="2"/>
            <w:tcBorders>
              <w:top w:val="nil"/>
              <w:left w:val="nil"/>
              <w:bottom w:val="nil"/>
              <w:right w:val="nil"/>
            </w:tcBorders>
            <w:shd w:val="clear" w:color="auto" w:fill="auto"/>
          </w:tcPr>
          <w:p w14:paraId="22978B41" w14:textId="77777777" w:rsidR="00E732D2" w:rsidRPr="007940DB" w:rsidRDefault="00E732D2" w:rsidP="007940DB">
            <w:pPr>
              <w:jc w:val="center"/>
              <w:rPr>
                <w:rFonts w:ascii="Arial" w:hAnsi="Arial"/>
                <w:b/>
                <w:bCs/>
                <w:sz w:val="26"/>
                <w:szCs w:val="26"/>
                <w:rtl/>
              </w:rPr>
            </w:pPr>
          </w:p>
          <w:p w14:paraId="2AC5FFAD" w14:textId="77777777" w:rsidR="00E732D2" w:rsidRPr="007940DB" w:rsidRDefault="00E732D2" w:rsidP="007940DB">
            <w:pPr>
              <w:jc w:val="center"/>
              <w:rPr>
                <w:rFonts w:ascii="Arial" w:hAnsi="Arial"/>
                <w:b/>
                <w:bCs/>
                <w:sz w:val="26"/>
                <w:szCs w:val="26"/>
                <w:rtl/>
              </w:rPr>
            </w:pPr>
            <w:r w:rsidRPr="007940DB">
              <w:rPr>
                <w:rFonts w:ascii="Arial" w:hAnsi="Arial"/>
                <w:b/>
                <w:bCs/>
                <w:sz w:val="26"/>
                <w:szCs w:val="26"/>
                <w:rtl/>
              </w:rPr>
              <w:t>נגד</w:t>
            </w:r>
          </w:p>
          <w:p w14:paraId="08EE5922" w14:textId="77777777" w:rsidR="00E732D2" w:rsidRPr="007940DB" w:rsidRDefault="00E732D2" w:rsidP="007940DB">
            <w:pPr>
              <w:jc w:val="both"/>
              <w:rPr>
                <w:rFonts w:ascii="Arial" w:hAnsi="Arial"/>
                <w:sz w:val="26"/>
                <w:szCs w:val="26"/>
              </w:rPr>
            </w:pPr>
          </w:p>
        </w:tc>
      </w:tr>
      <w:tr w:rsidR="00E732D2" w:rsidRPr="007940DB" w14:paraId="16C6E231" w14:textId="77777777" w:rsidTr="007940DB">
        <w:trPr>
          <w:trHeight w:val="355"/>
          <w:jc w:val="center"/>
        </w:trPr>
        <w:tc>
          <w:tcPr>
            <w:tcW w:w="598" w:type="dxa"/>
            <w:tcBorders>
              <w:top w:val="nil"/>
              <w:left w:val="nil"/>
              <w:bottom w:val="nil"/>
              <w:right w:val="nil"/>
            </w:tcBorders>
            <w:shd w:val="clear" w:color="auto" w:fill="auto"/>
          </w:tcPr>
          <w:p w14:paraId="74930E39" w14:textId="77777777" w:rsidR="00E732D2" w:rsidRPr="007940DB" w:rsidRDefault="00E732D2" w:rsidP="007940DB">
            <w:pPr>
              <w:rPr>
                <w:rFonts w:ascii="Arial" w:hAnsi="Arial"/>
                <w:sz w:val="26"/>
                <w:szCs w:val="26"/>
                <w:rtl/>
              </w:rPr>
            </w:pPr>
            <w:r w:rsidRPr="007940DB">
              <w:rPr>
                <w:rFonts w:ascii="Arial" w:hAnsi="Arial" w:hint="cs"/>
                <w:sz w:val="26"/>
                <w:szCs w:val="26"/>
                <w:rtl/>
              </w:rPr>
              <w:t>ה</w:t>
            </w:r>
            <w:r w:rsidRPr="007940DB">
              <w:rPr>
                <w:rFonts w:hint="cs"/>
                <w:sz w:val="26"/>
                <w:szCs w:val="26"/>
                <w:rtl/>
              </w:rPr>
              <w:t>נאשם</w:t>
            </w:r>
          </w:p>
        </w:tc>
        <w:tc>
          <w:tcPr>
            <w:tcW w:w="4565" w:type="dxa"/>
            <w:tcBorders>
              <w:top w:val="nil"/>
              <w:left w:val="nil"/>
              <w:bottom w:val="nil"/>
              <w:right w:val="nil"/>
            </w:tcBorders>
            <w:shd w:val="clear" w:color="auto" w:fill="auto"/>
          </w:tcPr>
          <w:p w14:paraId="48958F3A" w14:textId="77777777" w:rsidR="00E732D2" w:rsidRPr="007940DB" w:rsidRDefault="00E732D2" w:rsidP="007940DB">
            <w:pPr>
              <w:rPr>
                <w:sz w:val="26"/>
                <w:szCs w:val="26"/>
                <w:rtl/>
              </w:rPr>
            </w:pPr>
            <w:r w:rsidRPr="007940DB">
              <w:rPr>
                <w:rFonts w:hint="cs"/>
                <w:b/>
                <w:bCs/>
                <w:sz w:val="26"/>
                <w:szCs w:val="26"/>
                <w:rtl/>
              </w:rPr>
              <w:t>חיים חולי (עציר)</w:t>
            </w:r>
          </w:p>
          <w:p w14:paraId="2CA47AEA" w14:textId="77777777" w:rsidR="00E732D2" w:rsidRPr="007940DB" w:rsidRDefault="00E732D2" w:rsidP="007940DB">
            <w:pPr>
              <w:rPr>
                <w:sz w:val="26"/>
                <w:szCs w:val="26"/>
                <w:rtl/>
              </w:rPr>
            </w:pPr>
            <w:r w:rsidRPr="007940DB">
              <w:rPr>
                <w:rFonts w:hint="cs"/>
                <w:sz w:val="26"/>
                <w:szCs w:val="26"/>
                <w:rtl/>
              </w:rPr>
              <w:t>ע"י ב"כ עו"ד עידית קן-ציפור</w:t>
            </w:r>
          </w:p>
        </w:tc>
        <w:tc>
          <w:tcPr>
            <w:tcW w:w="3657" w:type="dxa"/>
            <w:tcBorders>
              <w:top w:val="nil"/>
              <w:left w:val="nil"/>
              <w:bottom w:val="nil"/>
              <w:right w:val="nil"/>
            </w:tcBorders>
            <w:shd w:val="clear" w:color="auto" w:fill="auto"/>
          </w:tcPr>
          <w:p w14:paraId="3D0C2A7D" w14:textId="77777777" w:rsidR="00E732D2" w:rsidRPr="007940DB" w:rsidRDefault="00E732D2" w:rsidP="007940DB">
            <w:pPr>
              <w:jc w:val="right"/>
              <w:rPr>
                <w:rFonts w:ascii="Arial" w:hAnsi="Arial"/>
                <w:sz w:val="26"/>
                <w:szCs w:val="26"/>
              </w:rPr>
            </w:pPr>
          </w:p>
        </w:tc>
      </w:tr>
      <w:tr w:rsidR="00E732D2" w:rsidRPr="007940DB" w14:paraId="08FF9DD3" w14:textId="77777777" w:rsidTr="007940DB">
        <w:trPr>
          <w:trHeight w:val="355"/>
          <w:jc w:val="center"/>
        </w:trPr>
        <w:tc>
          <w:tcPr>
            <w:tcW w:w="598" w:type="dxa"/>
            <w:tcBorders>
              <w:top w:val="nil"/>
              <w:left w:val="nil"/>
              <w:bottom w:val="nil"/>
              <w:right w:val="nil"/>
            </w:tcBorders>
            <w:shd w:val="clear" w:color="auto" w:fill="auto"/>
          </w:tcPr>
          <w:p w14:paraId="66E0310A" w14:textId="77777777" w:rsidR="00E732D2" w:rsidRPr="007940DB" w:rsidRDefault="00E732D2" w:rsidP="007940DB">
            <w:pPr>
              <w:jc w:val="both"/>
              <w:rPr>
                <w:rFonts w:ascii="Arial" w:hAnsi="Arial"/>
                <w:sz w:val="26"/>
                <w:szCs w:val="26"/>
                <w:rtl/>
              </w:rPr>
            </w:pPr>
          </w:p>
        </w:tc>
        <w:tc>
          <w:tcPr>
            <w:tcW w:w="4565" w:type="dxa"/>
            <w:tcBorders>
              <w:top w:val="nil"/>
              <w:left w:val="nil"/>
              <w:bottom w:val="nil"/>
              <w:right w:val="nil"/>
            </w:tcBorders>
            <w:shd w:val="clear" w:color="auto" w:fill="auto"/>
          </w:tcPr>
          <w:p w14:paraId="41C63229" w14:textId="77777777" w:rsidR="00E732D2" w:rsidRPr="007940DB" w:rsidRDefault="00E732D2" w:rsidP="007940DB">
            <w:pPr>
              <w:rPr>
                <w:rFonts w:ascii="Arial" w:hAnsi="Arial"/>
                <w:sz w:val="26"/>
                <w:szCs w:val="26"/>
              </w:rPr>
            </w:pPr>
          </w:p>
        </w:tc>
        <w:tc>
          <w:tcPr>
            <w:tcW w:w="3657" w:type="dxa"/>
            <w:tcBorders>
              <w:top w:val="nil"/>
              <w:left w:val="nil"/>
              <w:bottom w:val="nil"/>
              <w:right w:val="nil"/>
            </w:tcBorders>
            <w:shd w:val="clear" w:color="auto" w:fill="auto"/>
          </w:tcPr>
          <w:p w14:paraId="6B7F2D74" w14:textId="77777777" w:rsidR="00E732D2" w:rsidRPr="007940DB" w:rsidRDefault="00E732D2" w:rsidP="007940DB">
            <w:pPr>
              <w:jc w:val="right"/>
              <w:rPr>
                <w:rFonts w:ascii="Arial" w:hAnsi="Arial"/>
                <w:sz w:val="26"/>
                <w:szCs w:val="26"/>
              </w:rPr>
            </w:pPr>
          </w:p>
        </w:tc>
      </w:tr>
    </w:tbl>
    <w:p w14:paraId="515663AB" w14:textId="77777777" w:rsidR="00AA1F5C" w:rsidRDefault="00AA1F5C" w:rsidP="00E732D2">
      <w:pPr>
        <w:rPr>
          <w:rtl/>
        </w:rPr>
      </w:pPr>
      <w:bookmarkStart w:id="3" w:name="LawTable"/>
      <w:bookmarkEnd w:id="3"/>
    </w:p>
    <w:p w14:paraId="7A3A83EA" w14:textId="77777777" w:rsidR="00AA1F5C" w:rsidRPr="00AA1F5C" w:rsidRDefault="00AA1F5C" w:rsidP="00AA1F5C">
      <w:pPr>
        <w:spacing w:after="120" w:line="240" w:lineRule="exact"/>
        <w:ind w:left="283" w:hanging="283"/>
        <w:jc w:val="both"/>
        <w:rPr>
          <w:rFonts w:ascii="FrankRuehl" w:hAnsi="FrankRuehl" w:cs="FrankRuehl"/>
          <w:rtl/>
        </w:rPr>
      </w:pPr>
      <w:r w:rsidRPr="00AA1F5C">
        <w:rPr>
          <w:rFonts w:ascii="FrankRuehl" w:hAnsi="FrankRuehl" w:cs="FrankRuehl"/>
          <w:rtl/>
        </w:rPr>
        <w:t xml:space="preserve">חקיקה שאוזכרה: </w:t>
      </w:r>
    </w:p>
    <w:p w14:paraId="31E39E52" w14:textId="77777777" w:rsidR="00AA1F5C" w:rsidRPr="00AA1F5C" w:rsidRDefault="00AA1F5C" w:rsidP="00AA1F5C">
      <w:pPr>
        <w:spacing w:after="120" w:line="240" w:lineRule="exact"/>
        <w:ind w:left="283" w:hanging="283"/>
        <w:jc w:val="both"/>
        <w:rPr>
          <w:rFonts w:ascii="FrankRuehl" w:hAnsi="FrankRuehl" w:cs="FrankRuehl"/>
          <w:rtl/>
        </w:rPr>
      </w:pPr>
      <w:hyperlink r:id="rId7" w:history="1">
        <w:r w:rsidRPr="00AA1F5C">
          <w:rPr>
            <w:rFonts w:ascii="FrankRuehl" w:hAnsi="FrankRuehl" w:cs="FrankRuehl"/>
            <w:color w:val="0000FF"/>
            <w:u w:val="single"/>
            <w:rtl/>
          </w:rPr>
          <w:t>פקודת הסמים המסוכנים [נוסח חדש], תשל"ג-1973</w:t>
        </w:r>
      </w:hyperlink>
      <w:r w:rsidRPr="00AA1F5C">
        <w:rPr>
          <w:rFonts w:ascii="FrankRuehl" w:hAnsi="FrankRuehl" w:cs="FrankRuehl"/>
          <w:rtl/>
        </w:rPr>
        <w:t xml:space="preserve">: סע'  </w:t>
      </w:r>
      <w:hyperlink r:id="rId8" w:history="1">
        <w:r w:rsidRPr="00AA1F5C">
          <w:rPr>
            <w:rFonts w:ascii="FrankRuehl" w:hAnsi="FrankRuehl" w:cs="FrankRuehl"/>
            <w:color w:val="0000FF"/>
            <w:u w:val="single"/>
            <w:rtl/>
          </w:rPr>
          <w:t>7(א)</w:t>
        </w:r>
      </w:hyperlink>
      <w:r w:rsidRPr="00AA1F5C">
        <w:rPr>
          <w:rFonts w:ascii="FrankRuehl" w:hAnsi="FrankRuehl" w:cs="FrankRuehl"/>
          <w:rtl/>
        </w:rPr>
        <w:t xml:space="preserve">, </w:t>
      </w:r>
      <w:hyperlink r:id="rId9" w:history="1">
        <w:r w:rsidRPr="00AA1F5C">
          <w:rPr>
            <w:rFonts w:ascii="FrankRuehl" w:hAnsi="FrankRuehl" w:cs="FrankRuehl"/>
            <w:color w:val="0000FF"/>
            <w:u w:val="single"/>
            <w:rtl/>
          </w:rPr>
          <w:t>7(ג)</w:t>
        </w:r>
      </w:hyperlink>
      <w:r w:rsidRPr="00AA1F5C">
        <w:rPr>
          <w:rFonts w:ascii="FrankRuehl" w:hAnsi="FrankRuehl" w:cs="FrankRuehl"/>
          <w:rtl/>
        </w:rPr>
        <w:t xml:space="preserve">, </w:t>
      </w:r>
      <w:hyperlink r:id="rId10" w:history="1">
        <w:r w:rsidRPr="00AA1F5C">
          <w:rPr>
            <w:rFonts w:ascii="FrankRuehl" w:hAnsi="FrankRuehl" w:cs="FrankRuehl"/>
            <w:color w:val="0000FF"/>
            <w:u w:val="single"/>
            <w:rtl/>
          </w:rPr>
          <w:t>10</w:t>
        </w:r>
      </w:hyperlink>
    </w:p>
    <w:p w14:paraId="043D8270" w14:textId="77777777" w:rsidR="00AA1F5C" w:rsidRPr="00AA1F5C" w:rsidRDefault="00AA1F5C" w:rsidP="00AA1F5C">
      <w:pPr>
        <w:spacing w:after="120" w:line="240" w:lineRule="exact"/>
        <w:ind w:left="283" w:hanging="283"/>
        <w:jc w:val="both"/>
        <w:rPr>
          <w:rFonts w:ascii="FrankRuehl" w:hAnsi="FrankRuehl" w:cs="FrankRuehl"/>
          <w:rtl/>
        </w:rPr>
      </w:pPr>
      <w:hyperlink r:id="rId11" w:history="1">
        <w:r w:rsidRPr="00AA1F5C">
          <w:rPr>
            <w:rFonts w:ascii="FrankRuehl" w:hAnsi="FrankRuehl" w:cs="FrankRuehl"/>
            <w:color w:val="0000FF"/>
            <w:u w:val="single"/>
            <w:rtl/>
          </w:rPr>
          <w:t>חוק העונשין, תשל"ז-1977</w:t>
        </w:r>
      </w:hyperlink>
      <w:r w:rsidRPr="00AA1F5C">
        <w:rPr>
          <w:rFonts w:ascii="FrankRuehl" w:hAnsi="FrankRuehl" w:cs="FrankRuehl"/>
          <w:rtl/>
        </w:rPr>
        <w:t xml:space="preserve">: סע'  </w:t>
      </w:r>
      <w:hyperlink r:id="rId12" w:history="1">
        <w:r w:rsidRPr="00AA1F5C">
          <w:rPr>
            <w:rFonts w:ascii="FrankRuehl" w:hAnsi="FrankRuehl" w:cs="FrankRuehl"/>
            <w:color w:val="0000FF"/>
            <w:u w:val="single"/>
            <w:rtl/>
          </w:rPr>
          <w:t>25</w:t>
        </w:r>
      </w:hyperlink>
      <w:r w:rsidRPr="00AA1F5C">
        <w:rPr>
          <w:rFonts w:ascii="FrankRuehl" w:hAnsi="FrankRuehl" w:cs="FrankRuehl"/>
          <w:rtl/>
        </w:rPr>
        <w:t xml:space="preserve">, </w:t>
      </w:r>
      <w:hyperlink r:id="rId13" w:history="1">
        <w:r w:rsidRPr="00AA1F5C">
          <w:rPr>
            <w:rFonts w:ascii="FrankRuehl" w:hAnsi="FrankRuehl" w:cs="FrankRuehl"/>
            <w:color w:val="0000FF"/>
            <w:u w:val="single"/>
            <w:rtl/>
          </w:rPr>
          <w:t>244</w:t>
        </w:r>
      </w:hyperlink>
      <w:r w:rsidRPr="00AA1F5C">
        <w:rPr>
          <w:rFonts w:ascii="FrankRuehl" w:hAnsi="FrankRuehl" w:cs="FrankRuehl"/>
          <w:rtl/>
        </w:rPr>
        <w:t xml:space="preserve">, </w:t>
      </w:r>
      <w:hyperlink r:id="rId14" w:history="1">
        <w:r w:rsidRPr="00AA1F5C">
          <w:rPr>
            <w:rFonts w:ascii="FrankRuehl" w:hAnsi="FrankRuehl" w:cs="FrankRuehl"/>
            <w:color w:val="0000FF"/>
            <w:u w:val="single"/>
            <w:rtl/>
          </w:rPr>
          <w:t>287(א)</w:t>
        </w:r>
      </w:hyperlink>
      <w:r w:rsidRPr="00AA1F5C">
        <w:rPr>
          <w:rFonts w:ascii="FrankRuehl" w:hAnsi="FrankRuehl" w:cs="FrankRuehl"/>
          <w:rtl/>
        </w:rPr>
        <w:t xml:space="preserve">, </w:t>
      </w:r>
      <w:hyperlink r:id="rId15" w:history="1">
        <w:r w:rsidRPr="00AA1F5C">
          <w:rPr>
            <w:rFonts w:ascii="FrankRuehl" w:hAnsi="FrankRuehl" w:cs="FrankRuehl"/>
            <w:color w:val="0000FF"/>
            <w:u w:val="single"/>
            <w:rtl/>
          </w:rPr>
          <w:t>381(א)(2)</w:t>
        </w:r>
      </w:hyperlink>
      <w:r w:rsidRPr="00AA1F5C">
        <w:rPr>
          <w:rFonts w:ascii="FrankRuehl" w:hAnsi="FrankRuehl" w:cs="FrankRuehl"/>
          <w:rtl/>
        </w:rPr>
        <w:t xml:space="preserve">, </w:t>
      </w:r>
      <w:hyperlink r:id="rId16" w:history="1">
        <w:r w:rsidRPr="00AA1F5C">
          <w:rPr>
            <w:rFonts w:ascii="FrankRuehl" w:hAnsi="FrankRuehl" w:cs="FrankRuehl"/>
            <w:color w:val="0000FF"/>
            <w:u w:val="single"/>
            <w:rtl/>
          </w:rPr>
          <w:t>384</w:t>
        </w:r>
      </w:hyperlink>
      <w:r w:rsidRPr="00AA1F5C">
        <w:rPr>
          <w:rFonts w:ascii="FrankRuehl" w:hAnsi="FrankRuehl" w:cs="FrankRuehl"/>
          <w:rtl/>
        </w:rPr>
        <w:t xml:space="preserve">, </w:t>
      </w:r>
      <w:hyperlink r:id="rId17" w:history="1">
        <w:r w:rsidRPr="00AA1F5C">
          <w:rPr>
            <w:rFonts w:ascii="FrankRuehl" w:hAnsi="FrankRuehl" w:cs="FrankRuehl"/>
            <w:color w:val="0000FF"/>
            <w:u w:val="single"/>
            <w:rtl/>
          </w:rPr>
          <w:t>413</w:t>
        </w:r>
      </w:hyperlink>
    </w:p>
    <w:p w14:paraId="46C1C393" w14:textId="77777777" w:rsidR="00E732D2" w:rsidRPr="007940DB" w:rsidRDefault="00E732D2" w:rsidP="00E732D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732D2" w14:paraId="7940AEB6" w14:textId="77777777" w:rsidTr="007940DB">
        <w:trPr>
          <w:trHeight w:val="355"/>
          <w:jc w:val="center"/>
        </w:trPr>
        <w:tc>
          <w:tcPr>
            <w:tcW w:w="8820" w:type="dxa"/>
            <w:tcBorders>
              <w:top w:val="nil"/>
              <w:left w:val="nil"/>
              <w:bottom w:val="nil"/>
              <w:right w:val="nil"/>
            </w:tcBorders>
            <w:shd w:val="clear" w:color="auto" w:fill="auto"/>
          </w:tcPr>
          <w:p w14:paraId="1278C3C9" w14:textId="77777777" w:rsidR="007940DB" w:rsidRPr="007940DB" w:rsidRDefault="007940DB" w:rsidP="007940DB">
            <w:pPr>
              <w:jc w:val="center"/>
              <w:rPr>
                <w:rFonts w:ascii="Arial" w:hAnsi="Arial"/>
                <w:b/>
                <w:bCs/>
                <w:sz w:val="28"/>
                <w:szCs w:val="28"/>
                <w:u w:val="single"/>
                <w:rtl/>
              </w:rPr>
            </w:pPr>
            <w:bookmarkStart w:id="4" w:name="PsakDin" w:colFirst="0" w:colLast="0"/>
            <w:bookmarkEnd w:id="0"/>
            <w:r w:rsidRPr="007940DB">
              <w:rPr>
                <w:rFonts w:ascii="Arial" w:hAnsi="Arial"/>
                <w:b/>
                <w:bCs/>
                <w:sz w:val="28"/>
                <w:szCs w:val="28"/>
                <w:u w:val="single"/>
                <w:rtl/>
              </w:rPr>
              <w:t>גזר דין</w:t>
            </w:r>
          </w:p>
          <w:p w14:paraId="3DFBA048" w14:textId="77777777" w:rsidR="00E732D2" w:rsidRPr="007940DB" w:rsidRDefault="00E732D2" w:rsidP="007940DB">
            <w:pPr>
              <w:jc w:val="center"/>
              <w:rPr>
                <w:rFonts w:ascii="Arial" w:hAnsi="Arial"/>
                <w:bCs/>
                <w:sz w:val="28"/>
                <w:szCs w:val="28"/>
                <w:u w:val="single"/>
                <w:rtl/>
              </w:rPr>
            </w:pPr>
          </w:p>
        </w:tc>
      </w:tr>
    </w:tbl>
    <w:bookmarkEnd w:id="4"/>
    <w:p w14:paraId="417B840A" w14:textId="77777777" w:rsidR="00E732D2" w:rsidRDefault="00E732D2" w:rsidP="00E732D2">
      <w:pPr>
        <w:spacing w:line="360" w:lineRule="auto"/>
        <w:jc w:val="both"/>
        <w:rPr>
          <w:rFonts w:ascii="Arial" w:hAnsi="Arial"/>
          <w:rtl/>
        </w:rPr>
      </w:pPr>
      <w:r>
        <w:rPr>
          <w:rFonts w:ascii="Arial" w:hAnsi="Arial" w:hint="cs"/>
          <w:rtl/>
        </w:rPr>
        <w:t>במסגרת הסדר טיעון דיוני, ללא הסדר לעונש, הודה הנאשם והורשע ביום 10.5.16 בכתב אישום ב</w:t>
      </w:r>
      <w:hyperlink r:id="rId18" w:history="1">
        <w:r w:rsidR="007940DB" w:rsidRPr="007940DB">
          <w:rPr>
            <w:rFonts w:ascii="Arial" w:hAnsi="Arial"/>
            <w:color w:val="0000FF"/>
            <w:u w:val="single"/>
            <w:rtl/>
          </w:rPr>
          <w:t>ת"פ 32933-12-15</w:t>
        </w:r>
      </w:hyperlink>
      <w:r>
        <w:rPr>
          <w:rFonts w:ascii="Arial" w:hAnsi="Arial" w:hint="cs"/>
          <w:rtl/>
        </w:rPr>
        <w:t>, צירף והודה בכתבי אישום מתוקנים ב</w:t>
      </w:r>
      <w:hyperlink r:id="rId19" w:history="1">
        <w:r w:rsidR="007940DB" w:rsidRPr="007940DB">
          <w:rPr>
            <w:rFonts w:ascii="Arial" w:hAnsi="Arial"/>
            <w:color w:val="0000FF"/>
            <w:u w:val="single"/>
            <w:rtl/>
          </w:rPr>
          <w:t>ת"פ 60497-11-15</w:t>
        </w:r>
      </w:hyperlink>
      <w:r>
        <w:rPr>
          <w:rFonts w:ascii="Arial" w:hAnsi="Arial" w:hint="cs"/>
          <w:rtl/>
        </w:rPr>
        <w:t xml:space="preserve"> וב</w:t>
      </w:r>
      <w:hyperlink r:id="rId20" w:history="1">
        <w:r w:rsidR="007940DB" w:rsidRPr="007940DB">
          <w:rPr>
            <w:rFonts w:ascii="Arial" w:hAnsi="Arial"/>
            <w:color w:val="0000FF"/>
            <w:u w:val="single"/>
            <w:rtl/>
          </w:rPr>
          <w:t>ת"פ 27228-08-15</w:t>
        </w:r>
      </w:hyperlink>
      <w:r>
        <w:rPr>
          <w:rFonts w:ascii="Arial" w:hAnsi="Arial" w:hint="cs"/>
          <w:rtl/>
        </w:rPr>
        <w:t>, וביום 20.2.17 צירף והודה בכתב אישום נוסף ב</w:t>
      </w:r>
      <w:hyperlink r:id="rId21" w:history="1">
        <w:r w:rsidR="007940DB" w:rsidRPr="007940DB">
          <w:rPr>
            <w:rFonts w:ascii="Arial" w:hAnsi="Arial"/>
            <w:color w:val="0000FF"/>
            <w:u w:val="single"/>
            <w:rtl/>
          </w:rPr>
          <w:t>ת"פ 31926-08-16</w:t>
        </w:r>
      </w:hyperlink>
      <w:r>
        <w:rPr>
          <w:rStyle w:val="a8"/>
          <w:rFonts w:ascii="Arial" w:hAnsi="Arial"/>
          <w:rtl/>
        </w:rPr>
        <w:footnoteReference w:id="1"/>
      </w:r>
      <w:r>
        <w:rPr>
          <w:rFonts w:ascii="Arial" w:hAnsi="Arial" w:hint="cs"/>
          <w:rtl/>
        </w:rPr>
        <w:t>. הנאשם הורשע אפוא בעבירות הבאות:</w:t>
      </w:r>
    </w:p>
    <w:p w14:paraId="3A853A4A" w14:textId="77777777" w:rsidR="00E732D2" w:rsidRDefault="00E732D2" w:rsidP="00E732D2">
      <w:pPr>
        <w:spacing w:line="360" w:lineRule="auto"/>
        <w:ind w:left="720" w:hanging="720"/>
        <w:jc w:val="both"/>
        <w:rPr>
          <w:rFonts w:ascii="Arial" w:hAnsi="Arial"/>
          <w:rtl/>
        </w:rPr>
      </w:pPr>
      <w:r>
        <w:rPr>
          <w:rFonts w:ascii="Arial" w:hAnsi="Arial" w:hint="cs"/>
          <w:rtl/>
        </w:rPr>
        <w:t>א.</w:t>
      </w:r>
      <w:r>
        <w:rPr>
          <w:rFonts w:ascii="Arial" w:hAnsi="Arial" w:hint="cs"/>
          <w:rtl/>
        </w:rPr>
        <w:tab/>
      </w:r>
      <w:bookmarkStart w:id="5" w:name="ABSTRACT_START"/>
      <w:bookmarkEnd w:id="5"/>
      <w:r>
        <w:rPr>
          <w:rFonts w:ascii="Arial" w:hAnsi="Arial" w:hint="cs"/>
          <w:rtl/>
        </w:rPr>
        <w:t xml:space="preserve">החזקת סם מסוכן שלא לצריכה עצמית, לפי </w:t>
      </w:r>
      <w:hyperlink r:id="rId22" w:history="1">
        <w:r w:rsidR="00AA1F5C" w:rsidRPr="00AA1F5C">
          <w:rPr>
            <w:rFonts w:ascii="Arial" w:hAnsi="Arial"/>
            <w:color w:val="0000FF"/>
            <w:u w:val="single"/>
            <w:rtl/>
          </w:rPr>
          <w:t>סעיף 7(א)</w:t>
        </w:r>
      </w:hyperlink>
      <w:r>
        <w:rPr>
          <w:rFonts w:ascii="Arial" w:hAnsi="Arial" w:hint="cs"/>
          <w:rtl/>
        </w:rPr>
        <w:t xml:space="preserve"> בצירוף </w:t>
      </w:r>
      <w:hyperlink r:id="rId23" w:history="1">
        <w:r w:rsidR="00AA1F5C" w:rsidRPr="00AA1F5C">
          <w:rPr>
            <w:rFonts w:ascii="Arial" w:hAnsi="Arial"/>
            <w:color w:val="0000FF"/>
            <w:u w:val="single"/>
            <w:rtl/>
          </w:rPr>
          <w:t>סעיף 7(ג)</w:t>
        </w:r>
      </w:hyperlink>
      <w:r>
        <w:rPr>
          <w:rFonts w:ascii="Arial" w:hAnsi="Arial" w:hint="cs"/>
          <w:rtl/>
        </w:rPr>
        <w:t xml:space="preserve"> רישא ל</w:t>
      </w:r>
      <w:hyperlink r:id="rId24" w:history="1">
        <w:r w:rsidR="007940DB" w:rsidRPr="007940DB">
          <w:rPr>
            <w:rFonts w:ascii="Arial" w:hAnsi="Arial"/>
            <w:color w:val="0000FF"/>
            <w:u w:val="single"/>
            <w:rtl/>
          </w:rPr>
          <w:t>פקודת הסמים המסוכנים</w:t>
        </w:r>
      </w:hyperlink>
      <w:r>
        <w:rPr>
          <w:rFonts w:ascii="Arial" w:hAnsi="Arial" w:hint="cs"/>
          <w:rtl/>
        </w:rPr>
        <w:t xml:space="preserve"> [3 עבירות];</w:t>
      </w:r>
    </w:p>
    <w:p w14:paraId="241A0DBD" w14:textId="77777777" w:rsidR="00E732D2" w:rsidRDefault="00E732D2" w:rsidP="00E732D2">
      <w:pPr>
        <w:spacing w:line="360" w:lineRule="auto"/>
        <w:ind w:left="720" w:hanging="720"/>
        <w:jc w:val="both"/>
        <w:rPr>
          <w:rFonts w:ascii="Arial" w:hAnsi="Arial"/>
          <w:rtl/>
        </w:rPr>
      </w:pPr>
      <w:r>
        <w:rPr>
          <w:rFonts w:ascii="Arial" w:hAnsi="Arial" w:hint="cs"/>
          <w:rtl/>
        </w:rPr>
        <w:t>ב.</w:t>
      </w:r>
      <w:r>
        <w:rPr>
          <w:rFonts w:ascii="Arial" w:hAnsi="Arial" w:hint="cs"/>
          <w:rtl/>
        </w:rPr>
        <w:tab/>
        <w:t xml:space="preserve">החזקת סם מסוכן לצריכה עצמית, לפי </w:t>
      </w:r>
      <w:hyperlink r:id="rId25" w:history="1">
        <w:r w:rsidR="00AA1F5C" w:rsidRPr="00AA1F5C">
          <w:rPr>
            <w:rFonts w:ascii="Arial" w:hAnsi="Arial"/>
            <w:color w:val="0000FF"/>
            <w:u w:val="single"/>
            <w:rtl/>
          </w:rPr>
          <w:t>סעיף 7(א)</w:t>
        </w:r>
      </w:hyperlink>
      <w:r>
        <w:rPr>
          <w:rFonts w:ascii="Arial" w:hAnsi="Arial" w:hint="cs"/>
          <w:rtl/>
        </w:rPr>
        <w:t xml:space="preserve"> בצירוף </w:t>
      </w:r>
      <w:hyperlink r:id="rId26" w:history="1">
        <w:r w:rsidR="00AA1F5C" w:rsidRPr="00AA1F5C">
          <w:rPr>
            <w:rFonts w:ascii="Arial" w:hAnsi="Arial"/>
            <w:color w:val="0000FF"/>
            <w:u w:val="single"/>
            <w:rtl/>
          </w:rPr>
          <w:t>סעיף 7(ג)</w:t>
        </w:r>
      </w:hyperlink>
      <w:r>
        <w:rPr>
          <w:rFonts w:ascii="Arial" w:hAnsi="Arial" w:hint="cs"/>
          <w:rtl/>
        </w:rPr>
        <w:t xml:space="preserve"> סיפא לפקודה הנ"ל;</w:t>
      </w:r>
    </w:p>
    <w:p w14:paraId="168DD1DF" w14:textId="77777777" w:rsidR="00E732D2" w:rsidRDefault="00E732D2" w:rsidP="00E732D2">
      <w:pPr>
        <w:spacing w:line="360" w:lineRule="auto"/>
        <w:ind w:left="720" w:hanging="720"/>
        <w:jc w:val="both"/>
        <w:rPr>
          <w:rFonts w:ascii="Arial" w:hAnsi="Arial"/>
          <w:rtl/>
        </w:rPr>
      </w:pPr>
      <w:r>
        <w:rPr>
          <w:rFonts w:ascii="Arial" w:hAnsi="Arial" w:hint="cs"/>
          <w:rtl/>
        </w:rPr>
        <w:t xml:space="preserve">ג. </w:t>
      </w:r>
      <w:r>
        <w:rPr>
          <w:rFonts w:ascii="Arial" w:hAnsi="Arial"/>
          <w:rtl/>
        </w:rPr>
        <w:tab/>
      </w:r>
      <w:r>
        <w:rPr>
          <w:rFonts w:ascii="Arial" w:hAnsi="Arial" w:hint="cs"/>
          <w:rtl/>
        </w:rPr>
        <w:t xml:space="preserve">החזקת כלים המשמשים להכנת סם מסוכן, לפי </w:t>
      </w:r>
      <w:hyperlink r:id="rId27" w:history="1">
        <w:r w:rsidR="00AA1F5C" w:rsidRPr="00AA1F5C">
          <w:rPr>
            <w:rFonts w:ascii="Arial" w:hAnsi="Arial"/>
            <w:color w:val="0000FF"/>
            <w:u w:val="single"/>
            <w:rtl/>
          </w:rPr>
          <w:t>סעיף 10</w:t>
        </w:r>
      </w:hyperlink>
      <w:r>
        <w:rPr>
          <w:rFonts w:ascii="Arial" w:hAnsi="Arial" w:hint="cs"/>
          <w:rtl/>
        </w:rPr>
        <w:t xml:space="preserve"> רישא לפקודה הנ"ל;</w:t>
      </w:r>
    </w:p>
    <w:p w14:paraId="59B9130E" w14:textId="77777777" w:rsidR="00E732D2" w:rsidRDefault="00E732D2" w:rsidP="00E732D2">
      <w:pPr>
        <w:spacing w:line="360" w:lineRule="auto"/>
        <w:ind w:left="720" w:hanging="720"/>
        <w:jc w:val="both"/>
        <w:rPr>
          <w:rFonts w:ascii="Arial" w:hAnsi="Arial"/>
          <w:rtl/>
        </w:rPr>
      </w:pPr>
      <w:r>
        <w:rPr>
          <w:rFonts w:ascii="Arial" w:hAnsi="Arial" w:hint="cs"/>
          <w:rtl/>
        </w:rPr>
        <w:t>ד.</w:t>
      </w:r>
      <w:r>
        <w:rPr>
          <w:rFonts w:ascii="Arial" w:hAnsi="Arial" w:hint="cs"/>
          <w:rtl/>
        </w:rPr>
        <w:tab/>
        <w:t xml:space="preserve">ניסיון לשבש מהלכי משפט, לפי </w:t>
      </w:r>
      <w:hyperlink r:id="rId28" w:history="1">
        <w:r w:rsidR="00AA1F5C" w:rsidRPr="00AA1F5C">
          <w:rPr>
            <w:rFonts w:ascii="Arial" w:hAnsi="Arial"/>
            <w:color w:val="0000FF"/>
            <w:u w:val="single"/>
            <w:rtl/>
          </w:rPr>
          <w:t>סעיף 244</w:t>
        </w:r>
      </w:hyperlink>
      <w:r>
        <w:rPr>
          <w:rFonts w:ascii="Arial" w:hAnsi="Arial" w:hint="cs"/>
          <w:rtl/>
        </w:rPr>
        <w:t xml:space="preserve"> בצירוף </w:t>
      </w:r>
      <w:hyperlink r:id="rId29" w:history="1">
        <w:r w:rsidR="00AA1F5C" w:rsidRPr="00AA1F5C">
          <w:rPr>
            <w:rFonts w:ascii="Arial" w:hAnsi="Arial"/>
            <w:color w:val="0000FF"/>
            <w:u w:val="single"/>
            <w:rtl/>
          </w:rPr>
          <w:t>סעיף 25</w:t>
        </w:r>
      </w:hyperlink>
      <w:r>
        <w:rPr>
          <w:rFonts w:ascii="Arial" w:hAnsi="Arial" w:hint="cs"/>
          <w:rtl/>
        </w:rPr>
        <w:t xml:space="preserve"> ל</w:t>
      </w:r>
      <w:hyperlink r:id="rId30" w:history="1">
        <w:r w:rsidR="007940DB" w:rsidRPr="007940DB">
          <w:rPr>
            <w:rFonts w:ascii="Arial" w:hAnsi="Arial"/>
            <w:color w:val="0000FF"/>
            <w:u w:val="single"/>
            <w:rtl/>
          </w:rPr>
          <w:t>חוק העונשין</w:t>
        </w:r>
      </w:hyperlink>
      <w:r>
        <w:rPr>
          <w:rFonts w:ascii="Arial" w:hAnsi="Arial" w:hint="cs"/>
          <w:rtl/>
        </w:rPr>
        <w:t>, תשל"ז-1977;</w:t>
      </w:r>
    </w:p>
    <w:p w14:paraId="2C1CDF06" w14:textId="77777777" w:rsidR="00E732D2" w:rsidRDefault="00E732D2" w:rsidP="00E732D2">
      <w:pPr>
        <w:spacing w:line="360" w:lineRule="auto"/>
        <w:ind w:left="720" w:hanging="720"/>
        <w:jc w:val="both"/>
        <w:rPr>
          <w:rFonts w:ascii="Arial" w:hAnsi="Arial"/>
          <w:rtl/>
        </w:rPr>
      </w:pPr>
      <w:r>
        <w:rPr>
          <w:rFonts w:ascii="Arial" w:hAnsi="Arial" w:hint="cs"/>
          <w:rtl/>
        </w:rPr>
        <w:t xml:space="preserve">ה. </w:t>
      </w:r>
      <w:r>
        <w:rPr>
          <w:rFonts w:ascii="Arial" w:hAnsi="Arial"/>
          <w:rtl/>
        </w:rPr>
        <w:tab/>
      </w:r>
      <w:r>
        <w:rPr>
          <w:rFonts w:ascii="Arial" w:hAnsi="Arial" w:hint="cs"/>
          <w:rtl/>
        </w:rPr>
        <w:t xml:space="preserve">הפרת הוראה חוקית, לפי </w:t>
      </w:r>
      <w:hyperlink r:id="rId31" w:history="1">
        <w:r w:rsidR="00AA1F5C" w:rsidRPr="00AA1F5C">
          <w:rPr>
            <w:rFonts w:ascii="Arial" w:hAnsi="Arial"/>
            <w:color w:val="0000FF"/>
            <w:u w:val="single"/>
            <w:rtl/>
          </w:rPr>
          <w:t>סעיף 287(א)</w:t>
        </w:r>
      </w:hyperlink>
      <w:r>
        <w:rPr>
          <w:rFonts w:ascii="Arial" w:hAnsi="Arial" w:hint="cs"/>
          <w:rtl/>
        </w:rPr>
        <w:t xml:space="preserve"> לחוק הנ"ל;</w:t>
      </w:r>
    </w:p>
    <w:p w14:paraId="6AA4A1F9" w14:textId="77777777" w:rsidR="00E732D2" w:rsidRDefault="00E732D2" w:rsidP="00E732D2">
      <w:pPr>
        <w:spacing w:line="360" w:lineRule="auto"/>
        <w:ind w:left="720" w:hanging="720"/>
        <w:jc w:val="both"/>
        <w:rPr>
          <w:rFonts w:ascii="Arial" w:hAnsi="Arial"/>
          <w:rtl/>
        </w:rPr>
      </w:pPr>
      <w:r>
        <w:rPr>
          <w:rFonts w:ascii="Arial" w:hAnsi="Arial" w:hint="cs"/>
          <w:rtl/>
        </w:rPr>
        <w:t xml:space="preserve">ו. </w:t>
      </w:r>
      <w:r>
        <w:rPr>
          <w:rFonts w:ascii="Arial" w:hAnsi="Arial" w:hint="cs"/>
          <w:rtl/>
        </w:rPr>
        <w:tab/>
        <w:t xml:space="preserve">תקיפה כדי לגנוב, לפי </w:t>
      </w:r>
      <w:hyperlink r:id="rId32" w:history="1">
        <w:r w:rsidR="00AA1F5C" w:rsidRPr="00AA1F5C">
          <w:rPr>
            <w:rFonts w:ascii="Arial" w:hAnsi="Arial"/>
            <w:color w:val="0000FF"/>
            <w:u w:val="single"/>
            <w:rtl/>
          </w:rPr>
          <w:t>סעיף 381(א)(2)</w:t>
        </w:r>
      </w:hyperlink>
      <w:r>
        <w:rPr>
          <w:rFonts w:ascii="Arial" w:hAnsi="Arial" w:hint="cs"/>
          <w:rtl/>
        </w:rPr>
        <w:t xml:space="preserve"> לחוק הנ"ל;</w:t>
      </w:r>
    </w:p>
    <w:p w14:paraId="48E6C185" w14:textId="77777777" w:rsidR="00E732D2" w:rsidRDefault="00E732D2" w:rsidP="00E732D2">
      <w:pPr>
        <w:spacing w:line="360" w:lineRule="auto"/>
        <w:ind w:left="720" w:hanging="720"/>
        <w:jc w:val="both"/>
        <w:rPr>
          <w:rFonts w:ascii="Arial" w:hAnsi="Arial"/>
          <w:rtl/>
        </w:rPr>
      </w:pPr>
      <w:r>
        <w:rPr>
          <w:rFonts w:ascii="Arial" w:hAnsi="Arial" w:hint="cs"/>
          <w:rtl/>
        </w:rPr>
        <w:t>ז.</w:t>
      </w:r>
      <w:r>
        <w:rPr>
          <w:rFonts w:ascii="Arial" w:hAnsi="Arial" w:hint="cs"/>
          <w:rtl/>
        </w:rPr>
        <w:tab/>
        <w:t xml:space="preserve">גניבה, לפי </w:t>
      </w:r>
      <w:hyperlink r:id="rId33" w:history="1">
        <w:r w:rsidR="00AA1F5C" w:rsidRPr="00AA1F5C">
          <w:rPr>
            <w:rFonts w:ascii="Arial" w:hAnsi="Arial"/>
            <w:color w:val="0000FF"/>
            <w:u w:val="single"/>
            <w:rtl/>
          </w:rPr>
          <w:t>סעיף 384</w:t>
        </w:r>
      </w:hyperlink>
      <w:r>
        <w:rPr>
          <w:rFonts w:ascii="Arial" w:hAnsi="Arial" w:hint="cs"/>
          <w:rtl/>
        </w:rPr>
        <w:t xml:space="preserve"> לחוק הנ"ל;</w:t>
      </w:r>
    </w:p>
    <w:p w14:paraId="579AF304" w14:textId="77777777" w:rsidR="00E732D2" w:rsidRPr="00B05847" w:rsidRDefault="00E732D2" w:rsidP="00E732D2">
      <w:pPr>
        <w:spacing w:line="360" w:lineRule="auto"/>
        <w:ind w:left="720" w:hanging="720"/>
        <w:jc w:val="both"/>
        <w:rPr>
          <w:rFonts w:ascii="Arial" w:hAnsi="Arial"/>
          <w:rtl/>
        </w:rPr>
      </w:pPr>
      <w:r>
        <w:rPr>
          <w:rFonts w:ascii="Arial" w:hAnsi="Arial" w:hint="cs"/>
          <w:rtl/>
        </w:rPr>
        <w:t>ח.</w:t>
      </w:r>
      <w:r>
        <w:rPr>
          <w:rFonts w:ascii="Arial" w:hAnsi="Arial" w:hint="cs"/>
          <w:rtl/>
        </w:rPr>
        <w:tab/>
        <w:t xml:space="preserve">החזקת נכס החשוד כגנוב, לפי </w:t>
      </w:r>
      <w:hyperlink r:id="rId34" w:history="1">
        <w:r w:rsidR="00AA1F5C" w:rsidRPr="00AA1F5C">
          <w:rPr>
            <w:rFonts w:ascii="Arial" w:hAnsi="Arial"/>
            <w:color w:val="0000FF"/>
            <w:u w:val="single"/>
            <w:rtl/>
          </w:rPr>
          <w:t>סעיף 413</w:t>
        </w:r>
      </w:hyperlink>
      <w:r>
        <w:rPr>
          <w:rFonts w:ascii="Arial" w:hAnsi="Arial" w:hint="cs"/>
          <w:rtl/>
        </w:rPr>
        <w:t xml:space="preserve"> לחוק הנ"ל;</w:t>
      </w:r>
    </w:p>
    <w:p w14:paraId="6E69C946" w14:textId="77777777" w:rsidR="00E732D2" w:rsidRPr="00160FE5" w:rsidRDefault="00E732D2" w:rsidP="00E732D2">
      <w:pPr>
        <w:spacing w:line="360" w:lineRule="auto"/>
        <w:jc w:val="both"/>
        <w:rPr>
          <w:b/>
          <w:bCs/>
          <w:u w:val="single"/>
          <w:rtl/>
        </w:rPr>
      </w:pPr>
      <w:bookmarkStart w:id="6" w:name="ABSTRACT_END"/>
      <w:bookmarkEnd w:id="6"/>
      <w:r>
        <w:rPr>
          <w:rFonts w:hint="cs"/>
          <w:b/>
          <w:bCs/>
          <w:u w:val="single"/>
          <w:rtl/>
        </w:rPr>
        <w:lastRenderedPageBreak/>
        <w:t>מעשי הנאשם:</w:t>
      </w:r>
    </w:p>
    <w:p w14:paraId="6B5B870D" w14:textId="77777777" w:rsidR="00E732D2" w:rsidRDefault="00E732D2" w:rsidP="00E732D2">
      <w:pPr>
        <w:pStyle w:val="ListParagraph"/>
        <w:numPr>
          <w:ilvl w:val="0"/>
          <w:numId w:val="1"/>
        </w:numPr>
        <w:spacing w:line="360" w:lineRule="auto"/>
        <w:ind w:left="720" w:hanging="720"/>
        <w:jc w:val="both"/>
      </w:pPr>
      <w:r>
        <w:rPr>
          <w:rFonts w:hint="cs"/>
          <w:rtl/>
        </w:rPr>
        <w:t>ב-30.12.14, דחף הנאשם ילד כבן 13 מאופניו החשמליים, הפילו ארצה, גנב את אופניו ששווים 4,000 ₪, ונמלט כשהוא רוכב עליהם, על-אף ניסיונו של הילד לעצרו. לילד נגרם שטף-דם בברכו [</w:t>
      </w:r>
      <w:hyperlink r:id="rId35" w:history="1">
        <w:r w:rsidR="007940DB" w:rsidRPr="007940DB">
          <w:rPr>
            <w:color w:val="0000FF"/>
            <w:u w:val="single"/>
            <w:rtl/>
          </w:rPr>
          <w:t>ת"פ 60497-11-15</w:t>
        </w:r>
      </w:hyperlink>
      <w:r>
        <w:rPr>
          <w:rFonts w:hint="cs"/>
          <w:rtl/>
        </w:rPr>
        <w:t>, אישום 3];</w:t>
      </w:r>
    </w:p>
    <w:p w14:paraId="3158EB0B" w14:textId="77777777" w:rsidR="00E732D2" w:rsidRDefault="00E732D2" w:rsidP="00E732D2">
      <w:pPr>
        <w:pStyle w:val="ListParagraph"/>
        <w:numPr>
          <w:ilvl w:val="0"/>
          <w:numId w:val="1"/>
        </w:numPr>
        <w:spacing w:line="360" w:lineRule="auto"/>
        <w:ind w:left="720" w:hanging="720"/>
        <w:jc w:val="both"/>
      </w:pPr>
      <w:r>
        <w:rPr>
          <w:rFonts w:hint="cs"/>
          <w:rtl/>
        </w:rPr>
        <w:t>ב-6.1.15, החזיק הנאשם זוג אופניים וזוג אופניים חשמליים שנגנבו שלושה ימים קודם לכן [60497-11-15, אישום 2];</w:t>
      </w:r>
    </w:p>
    <w:p w14:paraId="3B3DDF6F" w14:textId="77777777" w:rsidR="00E732D2" w:rsidRDefault="00E732D2" w:rsidP="00E732D2">
      <w:pPr>
        <w:pStyle w:val="ListParagraph"/>
        <w:numPr>
          <w:ilvl w:val="0"/>
          <w:numId w:val="1"/>
        </w:numPr>
        <w:spacing w:line="360" w:lineRule="auto"/>
        <w:ind w:left="720" w:hanging="720"/>
        <w:jc w:val="both"/>
      </w:pPr>
      <w:r>
        <w:rPr>
          <w:rFonts w:hint="cs"/>
          <w:rtl/>
        </w:rPr>
        <w:t>ב-15.4.15, ב"מאורת סמים" מוכרת, החזיק הנאשם מנת הרואין ומנת קוקאין לשימושו העצמי [</w:t>
      </w:r>
      <w:hyperlink r:id="rId36" w:history="1">
        <w:r w:rsidR="007940DB" w:rsidRPr="007940DB">
          <w:rPr>
            <w:color w:val="0000FF"/>
            <w:u w:val="single"/>
            <w:rtl/>
          </w:rPr>
          <w:t>ת"פ 27228-08-15</w:t>
        </w:r>
      </w:hyperlink>
      <w:r>
        <w:rPr>
          <w:rFonts w:hint="cs"/>
          <w:rtl/>
        </w:rPr>
        <w:t>, אישום 1];</w:t>
      </w:r>
    </w:p>
    <w:p w14:paraId="4FB18861" w14:textId="77777777" w:rsidR="00E732D2" w:rsidRDefault="00E732D2" w:rsidP="00E732D2">
      <w:pPr>
        <w:pStyle w:val="ListParagraph"/>
        <w:numPr>
          <w:ilvl w:val="0"/>
          <w:numId w:val="1"/>
        </w:numPr>
        <w:spacing w:line="360" w:lineRule="auto"/>
        <w:ind w:left="720" w:hanging="720"/>
        <w:jc w:val="both"/>
      </w:pPr>
      <w:r>
        <w:rPr>
          <w:rFonts w:hint="cs"/>
          <w:rtl/>
        </w:rPr>
        <w:t>ב-24.4.15, בשעת לילה, שב הנאשם לאותה "מאורת סמים" תוך הפרת תנאי שחרור שקבע קצין חקירות [</w:t>
      </w:r>
      <w:hyperlink r:id="rId37" w:history="1">
        <w:r w:rsidR="007940DB" w:rsidRPr="007940DB">
          <w:rPr>
            <w:color w:val="0000FF"/>
            <w:u w:val="single"/>
            <w:rtl/>
          </w:rPr>
          <w:t>ת"פ 27228-08-15</w:t>
        </w:r>
      </w:hyperlink>
      <w:r>
        <w:rPr>
          <w:rFonts w:hint="cs"/>
          <w:rtl/>
        </w:rPr>
        <w:t>, אישום 2];</w:t>
      </w:r>
    </w:p>
    <w:p w14:paraId="68C9D005" w14:textId="77777777" w:rsidR="00E732D2" w:rsidRDefault="00E732D2" w:rsidP="00E732D2">
      <w:pPr>
        <w:pStyle w:val="ListParagraph"/>
        <w:numPr>
          <w:ilvl w:val="0"/>
          <w:numId w:val="1"/>
        </w:numPr>
        <w:spacing w:line="360" w:lineRule="auto"/>
        <w:ind w:left="720" w:hanging="720"/>
        <w:jc w:val="both"/>
      </w:pPr>
      <w:r>
        <w:rPr>
          <w:rFonts w:hint="cs"/>
          <w:rtl/>
        </w:rPr>
        <w:t>ב-30.6.15, בהיותו עצור, בעת הוצאת העצורים מבית המעצר לקראת הבאתם לבית המשפט, נמצאו בכיסיו של הנאשם 34 אריזות קוקאין במשקל כולל של 3.510 גרם נטו [</w:t>
      </w:r>
      <w:hyperlink r:id="rId38" w:history="1">
        <w:r w:rsidR="007940DB" w:rsidRPr="007940DB">
          <w:rPr>
            <w:color w:val="0000FF"/>
            <w:u w:val="single"/>
            <w:rtl/>
          </w:rPr>
          <w:t>ת"פ 31926-08-16</w:t>
        </w:r>
      </w:hyperlink>
      <w:r>
        <w:rPr>
          <w:rFonts w:hint="cs"/>
          <w:rtl/>
        </w:rPr>
        <w:t>];</w:t>
      </w:r>
    </w:p>
    <w:p w14:paraId="213E4767" w14:textId="77777777" w:rsidR="00E732D2" w:rsidRDefault="00E732D2" w:rsidP="00E732D2">
      <w:pPr>
        <w:pStyle w:val="ListParagraph"/>
        <w:numPr>
          <w:ilvl w:val="0"/>
          <w:numId w:val="1"/>
        </w:numPr>
        <w:spacing w:line="360" w:lineRule="auto"/>
        <w:ind w:left="720" w:hanging="720"/>
        <w:jc w:val="both"/>
      </w:pPr>
      <w:r>
        <w:rPr>
          <w:rFonts w:hint="cs"/>
          <w:rtl/>
        </w:rPr>
        <w:t>ב-15.8.15, ברחוב, החזיק הנאשם 8 אריזות הרואין במשקל כולל של 6.192 גרם נטו, ו-13 אריזות קוקאין במשקל כולל של 1.8434 גרם נטו. כשהבחין הנאשם בשוטרים, השליך את הסמים כדי להעלים ראיות [</w:t>
      </w:r>
      <w:hyperlink r:id="rId39" w:history="1">
        <w:r w:rsidR="007940DB" w:rsidRPr="007940DB">
          <w:rPr>
            <w:color w:val="0000FF"/>
            <w:u w:val="single"/>
            <w:rtl/>
          </w:rPr>
          <w:t>ת"פ 32933-12-15</w:t>
        </w:r>
      </w:hyperlink>
      <w:r>
        <w:rPr>
          <w:rFonts w:hint="cs"/>
          <w:rtl/>
        </w:rPr>
        <w:t>, אישום 2];</w:t>
      </w:r>
    </w:p>
    <w:p w14:paraId="6D46105C" w14:textId="77777777" w:rsidR="00E732D2" w:rsidRPr="00B05847" w:rsidRDefault="00E732D2" w:rsidP="00E732D2">
      <w:pPr>
        <w:pStyle w:val="ListParagraph"/>
        <w:numPr>
          <w:ilvl w:val="0"/>
          <w:numId w:val="1"/>
        </w:numPr>
        <w:spacing w:line="360" w:lineRule="auto"/>
        <w:ind w:left="720" w:hanging="720"/>
        <w:jc w:val="both"/>
        <w:rPr>
          <w:rtl/>
        </w:rPr>
      </w:pPr>
      <w:r>
        <w:rPr>
          <w:rFonts w:hint="cs"/>
          <w:rtl/>
        </w:rPr>
        <w:t>ב-6.12.15, בדירתו, החזיק הנאשם 33 אריזות הרואין במשקל כולל של 27.6739 גרם נטו, ו-44 אריזות קוקאין במשקל כולל של 3.7576 גרם נטו. עוד החזיק הנאשם בדירה משקל אלקטרוני ושקיות ורצועות ניילון, ששימשו לשקילה ואריזה של הסמים [</w:t>
      </w:r>
      <w:hyperlink r:id="rId40" w:history="1">
        <w:r w:rsidR="007940DB" w:rsidRPr="007940DB">
          <w:rPr>
            <w:color w:val="0000FF"/>
            <w:u w:val="single"/>
            <w:rtl/>
          </w:rPr>
          <w:t>ת"פ 32933-12-15</w:t>
        </w:r>
      </w:hyperlink>
      <w:r>
        <w:rPr>
          <w:rFonts w:hint="cs"/>
          <w:rtl/>
        </w:rPr>
        <w:t>, אישום 1];</w:t>
      </w:r>
    </w:p>
    <w:p w14:paraId="33EE8060" w14:textId="77777777" w:rsidR="00E732D2" w:rsidRDefault="00E732D2" w:rsidP="00E732D2">
      <w:pPr>
        <w:spacing w:line="360" w:lineRule="auto"/>
        <w:jc w:val="both"/>
        <w:rPr>
          <w:rtl/>
        </w:rPr>
      </w:pPr>
    </w:p>
    <w:p w14:paraId="5FBFAC87" w14:textId="77777777" w:rsidR="00E732D2" w:rsidRPr="002B4B6F" w:rsidRDefault="00E732D2" w:rsidP="00E732D2">
      <w:pPr>
        <w:spacing w:line="360" w:lineRule="auto"/>
        <w:jc w:val="both"/>
        <w:rPr>
          <w:b/>
          <w:bCs/>
          <w:u w:val="single"/>
          <w:rtl/>
        </w:rPr>
      </w:pPr>
      <w:r>
        <w:rPr>
          <w:rFonts w:hint="cs"/>
          <w:b/>
          <w:bCs/>
          <w:u w:val="single"/>
          <w:rtl/>
        </w:rPr>
        <w:t>נסיבות העבירות - מתחמי העונש ההולם לכל אירוע עבירה:</w:t>
      </w:r>
    </w:p>
    <w:p w14:paraId="574AA616" w14:textId="77777777" w:rsidR="00E732D2" w:rsidRPr="00B05847" w:rsidRDefault="00E732D2" w:rsidP="00E732D2">
      <w:pPr>
        <w:spacing w:line="360" w:lineRule="auto"/>
        <w:jc w:val="both"/>
        <w:rPr>
          <w:rtl/>
        </w:rPr>
      </w:pPr>
      <w:r>
        <w:rPr>
          <w:rFonts w:hint="cs"/>
          <w:rtl/>
        </w:rPr>
        <w:t>מעשי הנאשם התפרשו על-פני תקופה ניכרת של כשנה, וכל אירוע עבירה בוצע כשלעצמו, ולא במסגרת תכנית עבריינית אחת. כל אירוע עבירה יצדיק אפוא קביעתו של מתחם נפרד.</w:t>
      </w:r>
    </w:p>
    <w:p w14:paraId="65D27B2C" w14:textId="77777777" w:rsidR="00E732D2" w:rsidRDefault="00E732D2" w:rsidP="00E732D2">
      <w:pPr>
        <w:pStyle w:val="ListParagraph"/>
        <w:numPr>
          <w:ilvl w:val="0"/>
          <w:numId w:val="2"/>
        </w:numPr>
        <w:spacing w:line="360" w:lineRule="auto"/>
        <w:jc w:val="both"/>
      </w:pPr>
      <w:r>
        <w:rPr>
          <w:rFonts w:hint="cs"/>
          <w:rtl/>
        </w:rPr>
        <w:t>תקיפה לשם גניבה וגניבה (30.12.14): הנאשם פגע באופן חמור ומתוכנן בערכים המוגנים של בריאות האדם ושלומו, האוטונומיה שלו על גופו, וחזקתו ברכושו. תו מחפיר במיוחד נלווה לתקיפתו של ילד, כשהנאשם מתגבר על התנגדותו. מניעי הנאשם היו כספיים, קרוב לוודאי למימון סמים. הנזק שנגרם אינו מתמצה בנזק הכלכלי ובחבלה שלא הותירה פגיעה מתמדת, ואולי עיקרו נעוץ דווקא בתחושות החרדה והתסכול של הילד, כמו-גם בפגיעה בתמימותו ובאמונתו בסדר הדברים בעולם. העונש העיקרי ייקבע אפוא בין 6 לבין 18 חודשי מאסר בפועל;</w:t>
      </w:r>
    </w:p>
    <w:p w14:paraId="56CC3760" w14:textId="77777777" w:rsidR="00E732D2" w:rsidRDefault="00E732D2" w:rsidP="00E732D2">
      <w:pPr>
        <w:pStyle w:val="ListParagraph"/>
        <w:numPr>
          <w:ilvl w:val="0"/>
          <w:numId w:val="2"/>
        </w:numPr>
        <w:spacing w:line="360" w:lineRule="auto"/>
        <w:jc w:val="both"/>
      </w:pPr>
      <w:r>
        <w:rPr>
          <w:rFonts w:hint="cs"/>
          <w:rtl/>
        </w:rPr>
        <w:t>החזקת נכס החשוד כגנוב (6.1.15): העונש העיקרי ייקבע במתחם המקובל, בין מאסר מותנה לבין חודשי מאסר ספורים;</w:t>
      </w:r>
    </w:p>
    <w:p w14:paraId="73754965" w14:textId="77777777" w:rsidR="00E732D2" w:rsidRDefault="00E732D2" w:rsidP="00E732D2">
      <w:pPr>
        <w:pStyle w:val="ListParagraph"/>
        <w:numPr>
          <w:ilvl w:val="0"/>
          <w:numId w:val="2"/>
        </w:numPr>
        <w:spacing w:line="360" w:lineRule="auto"/>
        <w:jc w:val="both"/>
      </w:pPr>
      <w:r>
        <w:rPr>
          <w:rFonts w:hint="cs"/>
          <w:rtl/>
        </w:rPr>
        <w:t>החזקת סם מסוכן לצריכה עצמית (15.4.15): העונש העיקרי ייקבע במתחם המקובל, בין מאסר מותנה לבין חודשי מאסר ספורים;</w:t>
      </w:r>
    </w:p>
    <w:p w14:paraId="758D9AA1" w14:textId="77777777" w:rsidR="00E732D2" w:rsidRDefault="00E732D2" w:rsidP="00E732D2">
      <w:pPr>
        <w:pStyle w:val="ListParagraph"/>
        <w:numPr>
          <w:ilvl w:val="0"/>
          <w:numId w:val="2"/>
        </w:numPr>
        <w:spacing w:line="360" w:lineRule="auto"/>
        <w:jc w:val="both"/>
      </w:pPr>
      <w:r>
        <w:rPr>
          <w:rFonts w:hint="cs"/>
          <w:rtl/>
        </w:rPr>
        <w:lastRenderedPageBreak/>
        <w:t>הפרת הוראה חוקית (24.4.15): העונש העיקרי ייקבע במתחם המקובל, בין מאסר מותנה לבין חודשי מאסר ספורים;</w:t>
      </w:r>
    </w:p>
    <w:p w14:paraId="547204E7" w14:textId="77777777" w:rsidR="00E732D2" w:rsidRDefault="00E732D2" w:rsidP="00E732D2">
      <w:pPr>
        <w:pStyle w:val="ListParagraph"/>
        <w:numPr>
          <w:ilvl w:val="0"/>
          <w:numId w:val="2"/>
        </w:numPr>
        <w:spacing w:line="360" w:lineRule="auto"/>
        <w:jc w:val="both"/>
      </w:pPr>
      <w:r>
        <w:rPr>
          <w:rFonts w:hint="cs"/>
          <w:rtl/>
        </w:rPr>
        <w:t xml:space="preserve">החזקת סם מסוכן שלא לצריכה עצמית, בעת מעצרו (30.6.15): מדובר בהחזקת כמות נכבדה של קוקאין, מחולק ל-34 מנות ומוכן להפצה, בבית המעצר. </w:t>
      </w:r>
      <w:r w:rsidRPr="00B40AD2">
        <w:rPr>
          <w:rtl/>
        </w:rPr>
        <w:t xml:space="preserve">הפסיקה חזרה וקבעה בכל דרגות בתי המשפט את החומרה הרבה המיוחסת לעבירות סמים, עקב כובד משקלם של הערכים החברתיים המוגנים בעבירות סמים ואת חומרת הפגיעה בהם על ידי העבריינים. מדובר בנגע האוכל בחברה בכל פה, משחית את הגוף ואת הנפש, ושולח גרורות גם בדמות עבירות אלימות ורכוש חמורות לכלל הסביבה. זאת, עוד טרם שאזכיר את האומללות הפוקדת את משפחות הצרכנים ואת השימוש ברווחי הסמים למימונם של ארגוני פשיעה ושל כל סוגי העבריינות הקשה. במקרה דנן, ענייננו בעבירת החזקת סם שלא לצריכה עצמית, </w:t>
      </w:r>
      <w:r>
        <w:rPr>
          <w:rFonts w:hint="cs"/>
          <w:rtl/>
        </w:rPr>
        <w:t xml:space="preserve">בנסיבות המצדיקות כינוייה </w:t>
      </w:r>
      <w:r w:rsidRPr="00B40AD2">
        <w:rPr>
          <w:rtl/>
        </w:rPr>
        <w:t>"אחותה של עבירת הסחר", בכמות ניכרת מאוד, כך שמידת הפגיעה בערכים המוגנים הינה קשה</w:t>
      </w:r>
      <w:r>
        <w:rPr>
          <w:rFonts w:hint="cs"/>
          <w:rtl/>
        </w:rPr>
        <w:t xml:space="preserve"> וחמורה</w:t>
      </w:r>
      <w:r w:rsidRPr="00B40AD2">
        <w:rPr>
          <w:rtl/>
        </w:rPr>
        <w:t>. אין תמה, שלנוכח חומרת העבירות והפגיעה בערכים המוגנים, הענישה הנוהגת חמורה בהתאם</w:t>
      </w:r>
      <w:r>
        <w:rPr>
          <w:rFonts w:hint="cs"/>
          <w:rtl/>
        </w:rPr>
        <w:t>. המעשה היה מתוכנן ולמטרת בצע, סכנתו גדולה במיוחד לנוכח החדרת הסם לבית המעצר, והנזק נמנע רק עקב עירנותו של איש שב"ס. המתחם שאקבע ישקף אפוא את מדדי החומרה והעונש העיקרי ייקבע בין 12 לבין 36 חודשי מאסר;</w:t>
      </w:r>
    </w:p>
    <w:p w14:paraId="3532F9D8" w14:textId="77777777" w:rsidR="00E732D2" w:rsidRDefault="00E732D2" w:rsidP="00E732D2">
      <w:pPr>
        <w:pStyle w:val="ListParagraph"/>
        <w:numPr>
          <w:ilvl w:val="0"/>
          <w:numId w:val="2"/>
        </w:numPr>
        <w:spacing w:line="360" w:lineRule="auto"/>
        <w:jc w:val="both"/>
      </w:pPr>
      <w:r>
        <w:rPr>
          <w:rFonts w:hint="cs"/>
          <w:rtl/>
        </w:rPr>
        <w:t>החזקת סם מסוכן שלא לצריכה עצמית (15.8.15): לנוכח הכמות ומספר האריזות, הנסיבות המעידות על קרבה לסחר, והשיקולים התקפים-תמיד בסוג עבירות זה, ייקבע המתחם הנהוג והעונש העיקרי ייקבע בין 12 לבין 24 חודשי מאסר. העונש הנוגע להכשלת השוטרים יתבטא במאסר המותנה שיוטל;</w:t>
      </w:r>
    </w:p>
    <w:p w14:paraId="7FA7AAD5" w14:textId="77777777" w:rsidR="00E732D2" w:rsidRDefault="00E732D2" w:rsidP="00E732D2">
      <w:pPr>
        <w:pStyle w:val="ListParagraph"/>
        <w:numPr>
          <w:ilvl w:val="0"/>
          <w:numId w:val="2"/>
        </w:numPr>
        <w:spacing w:line="360" w:lineRule="auto"/>
        <w:jc w:val="both"/>
      </w:pPr>
      <w:r>
        <w:rPr>
          <w:rFonts w:hint="cs"/>
          <w:rtl/>
        </w:rPr>
        <w:t xml:space="preserve">החזקת סם מסוכן שלא לצריכה עצמית וחומרי אריזה (6.12.15): כל שנאמר לעיל יפה גם לעניין זה, כאשר הכמות העצומה של הסמים המיועדים להפצה תחייב קביעתו של מתחם מחמיר, לפי מדיניות הענישה הנהוגה. העונש העיקרי ייקבע אפוא </w:t>
      </w:r>
      <w:r w:rsidRPr="00E31F11">
        <w:rPr>
          <w:rFonts w:hint="cs"/>
          <w:rtl/>
        </w:rPr>
        <w:t xml:space="preserve">בין 15 </w:t>
      </w:r>
      <w:r>
        <w:rPr>
          <w:rFonts w:hint="cs"/>
          <w:rtl/>
        </w:rPr>
        <w:t>לבין</w:t>
      </w:r>
      <w:r w:rsidRPr="00E31F11">
        <w:rPr>
          <w:rFonts w:hint="cs"/>
          <w:rtl/>
        </w:rPr>
        <w:t xml:space="preserve"> 36 חודשי מאסר (והשוו לקביעת המתחם ב</w:t>
      </w:r>
      <w:hyperlink r:id="rId41" w:history="1">
        <w:r w:rsidR="007940DB" w:rsidRPr="007940DB">
          <w:rPr>
            <w:color w:val="0000FF"/>
            <w:u w:val="single"/>
            <w:rtl/>
          </w:rPr>
          <w:t>ת"פ 60191-06-13</w:t>
        </w:r>
      </w:hyperlink>
      <w:r w:rsidRPr="00E31F11">
        <w:rPr>
          <w:rFonts w:hint="cs"/>
          <w:rtl/>
        </w:rPr>
        <w:t xml:space="preserve"> </w:t>
      </w:r>
      <w:r w:rsidRPr="00E31F11">
        <w:rPr>
          <w:rFonts w:hint="cs"/>
          <w:b/>
          <w:bCs/>
          <w:rtl/>
        </w:rPr>
        <w:t>מ.י. נ' פרץ</w:t>
      </w:r>
      <w:r w:rsidRPr="00E31F11">
        <w:rPr>
          <w:rFonts w:hint="cs"/>
          <w:rtl/>
        </w:rPr>
        <w:t xml:space="preserve"> (2015) שאושרה ב</w:t>
      </w:r>
      <w:hyperlink r:id="rId42" w:history="1">
        <w:r w:rsidR="007940DB" w:rsidRPr="007940DB">
          <w:rPr>
            <w:color w:val="0000FF"/>
            <w:u w:val="single"/>
            <w:rtl/>
          </w:rPr>
          <w:t>עפ"ג 62780-11-15</w:t>
        </w:r>
      </w:hyperlink>
      <w:r w:rsidRPr="00E31F11">
        <w:rPr>
          <w:rFonts w:hint="cs"/>
          <w:rtl/>
        </w:rPr>
        <w:t xml:space="preserve"> </w:t>
      </w:r>
      <w:r w:rsidRPr="00E31F11">
        <w:rPr>
          <w:rFonts w:hint="cs"/>
          <w:b/>
          <w:bCs/>
          <w:rtl/>
        </w:rPr>
        <w:t>פרץ נ מ.י.</w:t>
      </w:r>
      <w:r>
        <w:rPr>
          <w:rFonts w:hint="cs"/>
          <w:rtl/>
        </w:rPr>
        <w:t xml:space="preserve"> (2016));</w:t>
      </w:r>
    </w:p>
    <w:p w14:paraId="5E51A5A3" w14:textId="77777777" w:rsidR="00E732D2" w:rsidRDefault="00E732D2" w:rsidP="00E732D2">
      <w:pPr>
        <w:spacing w:line="360" w:lineRule="auto"/>
        <w:jc w:val="both"/>
        <w:rPr>
          <w:rtl/>
        </w:rPr>
      </w:pPr>
    </w:p>
    <w:p w14:paraId="7D4C4C95" w14:textId="77777777" w:rsidR="00E732D2" w:rsidRPr="00A40993" w:rsidRDefault="00E732D2" w:rsidP="00E732D2">
      <w:pPr>
        <w:spacing w:line="360" w:lineRule="auto"/>
        <w:jc w:val="both"/>
        <w:rPr>
          <w:b/>
          <w:bCs/>
          <w:u w:val="single"/>
          <w:rtl/>
        </w:rPr>
      </w:pPr>
      <w:r>
        <w:rPr>
          <w:rFonts w:hint="cs"/>
          <w:b/>
          <w:bCs/>
          <w:u w:val="single"/>
          <w:rtl/>
        </w:rPr>
        <w:t xml:space="preserve">נסיבות הנאשם </w:t>
      </w:r>
      <w:r>
        <w:rPr>
          <w:b/>
          <w:bCs/>
          <w:u w:val="single"/>
          <w:rtl/>
        </w:rPr>
        <w:t>–</w:t>
      </w:r>
      <w:r>
        <w:rPr>
          <w:rFonts w:hint="cs"/>
          <w:b/>
          <w:bCs/>
          <w:u w:val="single"/>
          <w:rtl/>
        </w:rPr>
        <w:t xml:space="preserve"> מיקום העונשים במתחמים:</w:t>
      </w:r>
    </w:p>
    <w:p w14:paraId="7322DF52" w14:textId="77777777" w:rsidR="00E732D2" w:rsidRDefault="00E732D2" w:rsidP="00E732D2">
      <w:pPr>
        <w:pStyle w:val="ListParagraph"/>
        <w:numPr>
          <w:ilvl w:val="0"/>
          <w:numId w:val="3"/>
        </w:numPr>
        <w:spacing w:line="360" w:lineRule="auto"/>
        <w:jc w:val="both"/>
      </w:pPr>
      <w:r>
        <w:rPr>
          <w:rFonts w:hint="cs"/>
          <w:rtl/>
        </w:rPr>
        <w:t>הנאשם, יליד 1973 וכבן 44 כיום, גרוש שהתגורר בגפו עד למעצרו, אב לשני בנים. מוצא הנאשם במשפחה מוכת-בעיות ומעורה בפשיעה ובחיי שוליים. אביו נרצח בקטנותו, אמו התאבדה בקשר עם צריכת סמים, והנאשם שולב במסגרות חוץ-ביתיות ומצא דרכו לשימוש בסמים ולחיי עבריינות. הנאשם התגרש מאשתו בשנת 2013, עניין שהיה לדבריו טראומטי וגרם לחזרתו לעולם הסם לאחר גמילה בת מספר שנים.</w:t>
      </w:r>
    </w:p>
    <w:p w14:paraId="1BDE3BE9" w14:textId="77777777" w:rsidR="00E732D2" w:rsidRDefault="00E732D2" w:rsidP="00E732D2">
      <w:pPr>
        <w:pStyle w:val="ListParagraph"/>
        <w:numPr>
          <w:ilvl w:val="0"/>
          <w:numId w:val="3"/>
        </w:numPr>
        <w:spacing w:line="360" w:lineRule="auto"/>
        <w:jc w:val="both"/>
      </w:pPr>
      <w:r>
        <w:rPr>
          <w:rFonts w:hint="cs"/>
          <w:rtl/>
        </w:rPr>
        <w:t xml:space="preserve">לחובת הנאשם עבר פלילי מכביד, בעבירות רכוש, אלימות, סמים ועוד, בהן עסק כבר מנעוריו [תע/1]. עם-זאת, יש לציין כי העבירות האחרונות בהן הורשע הנאשם, קודם לתיקים דנן, הן עבירות סמים שעבר ב-2007: הנאשם לא עבר כל עבירה, עליה הורשע, בין השנים 2007 ו-2014. </w:t>
      </w:r>
    </w:p>
    <w:p w14:paraId="37AD1B82" w14:textId="77777777" w:rsidR="00E732D2" w:rsidRDefault="00E732D2" w:rsidP="00E732D2">
      <w:pPr>
        <w:pStyle w:val="ListParagraph"/>
        <w:numPr>
          <w:ilvl w:val="0"/>
          <w:numId w:val="3"/>
        </w:numPr>
        <w:spacing w:line="360" w:lineRule="auto"/>
        <w:jc w:val="both"/>
      </w:pPr>
      <w:r>
        <w:rPr>
          <w:rFonts w:hint="cs"/>
          <w:rtl/>
        </w:rPr>
        <w:t>שירות המבחן התרשם כי לילדותו של הנאשם השפעה גדולה וקשה על התנהלות חייו ומערכת הערכים העבריינית שגיבש. השירות מצא שלנאשם כוחות דלים בלבד, ובעת משבר אינו מצליח לווסת את דחפיו. מאפיין זה, יחד עם היעדרם של מקורות תמיכה, מקטין את הסיכוי לשיקום. בעת מעצרו לא היה הנאשם מעוניין בטיפול גמילה ומצא סיפוק בתחליף-סם, אך לאחרונה גילה מוטיבציה ראשונית והוא ישולב בקבוצת הכנה לגמילה. בשני תסקיריו המליץ השירות על ענישה של מאסר בפועל ושלל-למעשה היתכנות של גמילה מחוץ לכלא [תסקירים 19.916 ו-22.1.17].</w:t>
      </w:r>
    </w:p>
    <w:p w14:paraId="0705171B" w14:textId="77777777" w:rsidR="00E732D2" w:rsidRDefault="00E732D2" w:rsidP="00E732D2">
      <w:pPr>
        <w:pStyle w:val="ListParagraph"/>
        <w:numPr>
          <w:ilvl w:val="0"/>
          <w:numId w:val="3"/>
        </w:numPr>
        <w:spacing w:line="360" w:lineRule="auto"/>
        <w:jc w:val="both"/>
      </w:pPr>
      <w:r>
        <w:rPr>
          <w:rFonts w:hint="cs"/>
          <w:rtl/>
        </w:rPr>
        <w:t>הנאשם פנה לבית המשפט בכתב [נע/1], פירט את תולדותיו, תאר את רצונו לשקם את הקשר עם בניו, ואת הירתמותו לטיפול גמילה בכלא.</w:t>
      </w:r>
    </w:p>
    <w:p w14:paraId="69542838" w14:textId="77777777" w:rsidR="00E732D2" w:rsidRDefault="00E732D2" w:rsidP="00E732D2">
      <w:pPr>
        <w:pStyle w:val="ListParagraph"/>
        <w:numPr>
          <w:ilvl w:val="0"/>
          <w:numId w:val="3"/>
        </w:numPr>
        <w:spacing w:line="360" w:lineRule="auto"/>
        <w:jc w:val="both"/>
      </w:pPr>
      <w:r>
        <w:rPr>
          <w:rFonts w:hint="cs"/>
          <w:rtl/>
        </w:rPr>
        <w:t>לחובת הנאשם ייזקף בראש ובראשונה עברו הפלילי, הגם שאקח בחשבון את תקופת ניקיונו מסמים שבה חדל לבצע עבירות, משנת 2007 ועד לסוף שנת 2014.</w:t>
      </w:r>
    </w:p>
    <w:p w14:paraId="5C97DC23" w14:textId="77777777" w:rsidR="00E732D2" w:rsidRDefault="00E732D2" w:rsidP="00E732D2">
      <w:pPr>
        <w:pStyle w:val="ListParagraph"/>
        <w:numPr>
          <w:ilvl w:val="0"/>
          <w:numId w:val="3"/>
        </w:numPr>
        <w:spacing w:line="360" w:lineRule="auto"/>
        <w:jc w:val="both"/>
      </w:pPr>
      <w:r>
        <w:rPr>
          <w:rFonts w:hint="cs"/>
          <w:rtl/>
        </w:rPr>
        <w:t>לזכות הנאשם יעמדו אפוא שיקולים אלו:</w:t>
      </w:r>
    </w:p>
    <w:p w14:paraId="48E504DA" w14:textId="77777777" w:rsidR="00E732D2" w:rsidRDefault="00E732D2" w:rsidP="00E732D2">
      <w:pPr>
        <w:pStyle w:val="ListParagraph"/>
        <w:numPr>
          <w:ilvl w:val="1"/>
          <w:numId w:val="3"/>
        </w:numPr>
        <w:spacing w:line="360" w:lineRule="auto"/>
        <w:jc w:val="both"/>
      </w:pPr>
      <w:r>
        <w:rPr>
          <w:rFonts w:hint="cs"/>
          <w:rtl/>
        </w:rPr>
        <w:t>הודייתו ונטילת האחריות;</w:t>
      </w:r>
    </w:p>
    <w:p w14:paraId="14F80CBE" w14:textId="77777777" w:rsidR="00E732D2" w:rsidRDefault="00E732D2" w:rsidP="00E732D2">
      <w:pPr>
        <w:pStyle w:val="ListParagraph"/>
        <w:numPr>
          <w:ilvl w:val="1"/>
          <w:numId w:val="3"/>
        </w:numPr>
        <w:spacing w:line="360" w:lineRule="auto"/>
        <w:jc w:val="both"/>
      </w:pPr>
      <w:r>
        <w:rPr>
          <w:rFonts w:hint="cs"/>
          <w:rtl/>
        </w:rPr>
        <w:t>נסיבות ילדותו הקשות, הנקשרות לאימוצו דרך חיים של התמכרות ועבריינות;</w:t>
      </w:r>
    </w:p>
    <w:p w14:paraId="0B0D9DEF" w14:textId="77777777" w:rsidR="00E732D2" w:rsidRDefault="00E732D2" w:rsidP="00E732D2">
      <w:pPr>
        <w:pStyle w:val="ListParagraph"/>
        <w:numPr>
          <w:ilvl w:val="1"/>
          <w:numId w:val="3"/>
        </w:numPr>
        <w:spacing w:line="360" w:lineRule="auto"/>
        <w:jc w:val="both"/>
      </w:pPr>
      <w:r>
        <w:rPr>
          <w:rFonts w:hint="cs"/>
          <w:rtl/>
        </w:rPr>
        <w:t>משקל-מה יינתן למאמצי השיקום של הנאשם בין כתלי הכלא;</w:t>
      </w:r>
    </w:p>
    <w:p w14:paraId="24708330" w14:textId="77777777" w:rsidR="00E732D2" w:rsidRDefault="00E732D2" w:rsidP="00E732D2">
      <w:pPr>
        <w:pStyle w:val="ListParagraph"/>
        <w:numPr>
          <w:ilvl w:val="1"/>
          <w:numId w:val="3"/>
        </w:numPr>
        <w:spacing w:line="360" w:lineRule="auto"/>
        <w:jc w:val="both"/>
      </w:pPr>
      <w:r>
        <w:rPr>
          <w:rFonts w:hint="cs"/>
          <w:rtl/>
        </w:rPr>
        <w:t>חלוף הזמן מעת ביצוע העבירות;</w:t>
      </w:r>
    </w:p>
    <w:p w14:paraId="0B65861B" w14:textId="77777777" w:rsidR="00E732D2" w:rsidRDefault="00E732D2" w:rsidP="00E732D2">
      <w:pPr>
        <w:pStyle w:val="ListParagraph"/>
        <w:numPr>
          <w:ilvl w:val="1"/>
          <w:numId w:val="3"/>
        </w:numPr>
        <w:spacing w:line="360" w:lineRule="auto"/>
        <w:jc w:val="both"/>
      </w:pPr>
      <w:r>
        <w:rPr>
          <w:rFonts w:hint="cs"/>
          <w:rtl/>
        </w:rPr>
        <w:t>עוד יינתן משקל-מה לנזק שנגרם לנאשם ולילדיו בשל הניתוק ביניהם הנמשך עקב המעצר והמאסר, הגם שהאחריות לכך מוטלת על הנאשם לבדו;</w:t>
      </w:r>
    </w:p>
    <w:p w14:paraId="50D68017" w14:textId="77777777" w:rsidR="00E732D2" w:rsidRDefault="00E732D2" w:rsidP="00E732D2">
      <w:pPr>
        <w:pStyle w:val="ListParagraph"/>
        <w:numPr>
          <w:ilvl w:val="0"/>
          <w:numId w:val="3"/>
        </w:numPr>
        <w:spacing w:line="360" w:lineRule="auto"/>
        <w:jc w:val="both"/>
      </w:pPr>
      <w:r>
        <w:rPr>
          <w:rFonts w:hint="cs"/>
          <w:rtl/>
        </w:rPr>
        <w:t>באיזונם של דברים, ייקבעו העונשים העיקריים לעניין האישומים החמורים בחלקו האמצעי של כל מתחם, והקלה נוספת תימצא בהשתת העונש כאחד, תוך חפיפה-רבתי בין העונשים. הענישה לעניין החזקת סם לצריכה עצמית, הפרת הוראה חוקית והחזקת נכס החשוד כגנוב תתבטא במאסר מותנה בלבד.</w:t>
      </w:r>
    </w:p>
    <w:p w14:paraId="4FFCDABB" w14:textId="77777777" w:rsidR="00E732D2" w:rsidRDefault="00E732D2" w:rsidP="00E732D2">
      <w:pPr>
        <w:pStyle w:val="ListParagraph"/>
        <w:numPr>
          <w:ilvl w:val="0"/>
          <w:numId w:val="3"/>
        </w:numPr>
        <w:spacing w:line="360" w:lineRule="auto"/>
        <w:jc w:val="both"/>
      </w:pPr>
      <w:r>
        <w:rPr>
          <w:rFonts w:hint="cs"/>
          <w:rtl/>
        </w:rPr>
        <w:t xml:space="preserve">לנוכח מצבו של הנאשם וטיב העונש, לא יוטל עיצום כספי, שאין ביכולת הנאשם לעמוד בו (מעבר לחילוט, שההגנה לא התנגדה לו). </w:t>
      </w:r>
    </w:p>
    <w:p w14:paraId="326012BF" w14:textId="77777777" w:rsidR="00E732D2" w:rsidRPr="00B05847" w:rsidRDefault="00E732D2" w:rsidP="00E732D2">
      <w:pPr>
        <w:pStyle w:val="ListParagraph"/>
        <w:numPr>
          <w:ilvl w:val="0"/>
          <w:numId w:val="3"/>
        </w:numPr>
        <w:spacing w:line="360" w:lineRule="auto"/>
        <w:jc w:val="both"/>
        <w:rPr>
          <w:rtl/>
        </w:rPr>
      </w:pPr>
      <w:r>
        <w:rPr>
          <w:rFonts w:hint="cs"/>
          <w:rtl/>
        </w:rPr>
        <w:t>נטיית הנאשם לסם מצדיקה פסילתו מלנהוג, ואין טעם המצדיק הימנעות מכך.</w:t>
      </w:r>
    </w:p>
    <w:p w14:paraId="2ABC08EC" w14:textId="77777777" w:rsidR="00E732D2" w:rsidRDefault="00E732D2" w:rsidP="00E732D2">
      <w:pPr>
        <w:bidi w:val="0"/>
      </w:pPr>
      <w:r>
        <w:rPr>
          <w:rtl/>
        </w:rPr>
        <w:br w:type="page"/>
      </w:r>
    </w:p>
    <w:p w14:paraId="0AAF0FEB" w14:textId="77777777" w:rsidR="00E732D2" w:rsidRPr="002F2CCD" w:rsidRDefault="00E732D2" w:rsidP="00E732D2">
      <w:pPr>
        <w:spacing w:line="360" w:lineRule="auto"/>
        <w:jc w:val="both"/>
        <w:rPr>
          <w:b/>
          <w:bCs/>
          <w:u w:val="single"/>
          <w:rtl/>
        </w:rPr>
      </w:pPr>
      <w:r>
        <w:rPr>
          <w:rFonts w:hint="cs"/>
          <w:b/>
          <w:bCs/>
          <w:u w:val="single"/>
          <w:rtl/>
        </w:rPr>
        <w:t>סוף-דבר, אני גוזר על הנאשם את העונשים הבאים:</w:t>
      </w:r>
    </w:p>
    <w:p w14:paraId="7902571A" w14:textId="77777777" w:rsidR="00E732D2" w:rsidRDefault="00E732D2" w:rsidP="00E732D2">
      <w:pPr>
        <w:spacing w:line="360" w:lineRule="auto"/>
        <w:ind w:left="720" w:hanging="720"/>
        <w:jc w:val="both"/>
        <w:rPr>
          <w:rtl/>
        </w:rPr>
      </w:pPr>
      <w:r>
        <w:rPr>
          <w:rFonts w:hint="cs"/>
          <w:rtl/>
        </w:rPr>
        <w:t>א.</w:t>
      </w:r>
      <w:r>
        <w:rPr>
          <w:rtl/>
        </w:rPr>
        <w:tab/>
      </w:r>
      <w:r>
        <w:rPr>
          <w:rFonts w:hint="cs"/>
          <w:rtl/>
        </w:rPr>
        <w:t>40 חודשי מאסר בפועל, בניכוי ימי מעצרו המפורטים להלן, ואפילו יראו רישומי שב"ס אחרת: מיום 6.1.15 עד ליום 9.1.15, מיום 14.1.15 עד ליום 18.1.15, מיום 15.8.15 עד ליום 19.8.15, ומיום 6.12.15 ועד היום</w:t>
      </w:r>
      <w:r>
        <w:rPr>
          <w:rStyle w:val="a8"/>
          <w:rtl/>
        </w:rPr>
        <w:footnoteReference w:id="2"/>
      </w:r>
      <w:r>
        <w:rPr>
          <w:rFonts w:hint="cs"/>
          <w:rtl/>
        </w:rPr>
        <w:t>;</w:t>
      </w:r>
    </w:p>
    <w:p w14:paraId="69D46B24" w14:textId="77777777" w:rsidR="00E732D2" w:rsidRDefault="00E732D2" w:rsidP="00E732D2">
      <w:pPr>
        <w:spacing w:line="360" w:lineRule="auto"/>
        <w:ind w:left="720" w:hanging="720"/>
        <w:jc w:val="both"/>
        <w:rPr>
          <w:rtl/>
        </w:rPr>
      </w:pPr>
      <w:r>
        <w:rPr>
          <w:rFonts w:hint="cs"/>
          <w:rtl/>
        </w:rPr>
        <w:t xml:space="preserve">ב. </w:t>
      </w:r>
      <w:r>
        <w:rPr>
          <w:rtl/>
        </w:rPr>
        <w:tab/>
      </w:r>
      <w:r>
        <w:rPr>
          <w:rFonts w:hint="cs"/>
          <w:rtl/>
        </w:rPr>
        <w:t>6 חודשי מאסר על-תנאי למשך שנתיים מיום שחרורו, שלא יעבור עבירת סמים שהנה פשע, או עבירת אלימות מכל סוג;</w:t>
      </w:r>
    </w:p>
    <w:p w14:paraId="151F3719" w14:textId="77777777" w:rsidR="00E732D2" w:rsidRDefault="00E732D2" w:rsidP="00E732D2">
      <w:pPr>
        <w:spacing w:line="360" w:lineRule="auto"/>
        <w:ind w:left="720" w:hanging="720"/>
        <w:jc w:val="both"/>
        <w:rPr>
          <w:rtl/>
        </w:rPr>
      </w:pPr>
      <w:r>
        <w:rPr>
          <w:rFonts w:hint="cs"/>
          <w:rtl/>
        </w:rPr>
        <w:t>ג.</w:t>
      </w:r>
      <w:r>
        <w:rPr>
          <w:rFonts w:hint="cs"/>
          <w:rtl/>
        </w:rPr>
        <w:tab/>
        <w:t>3 חודשי מאסר על-תנאי למשך שנתיים מיום שחרורו, שלא יעבור עבירת רכוש מכל סוג, או עבירה של הפרת הוראה חוקית, או עבירה של שיבוש מהלכי חקירה או משפט, או עבירת סמים שהנה עוון;</w:t>
      </w:r>
    </w:p>
    <w:p w14:paraId="69916696" w14:textId="77777777" w:rsidR="00E732D2" w:rsidRDefault="00E732D2" w:rsidP="00E732D2">
      <w:pPr>
        <w:spacing w:line="360" w:lineRule="auto"/>
        <w:ind w:left="720" w:hanging="720"/>
        <w:jc w:val="both"/>
        <w:rPr>
          <w:rtl/>
        </w:rPr>
      </w:pPr>
      <w:r>
        <w:rPr>
          <w:rFonts w:hint="cs"/>
          <w:rtl/>
        </w:rPr>
        <w:t>ד.</w:t>
      </w:r>
      <w:r>
        <w:rPr>
          <w:rFonts w:hint="cs"/>
          <w:rtl/>
        </w:rPr>
        <w:tab/>
        <w:t>פסילה מלנהוג ולקבל רישיון נהיגה למשך שנה מיום שחרורו;</w:t>
      </w:r>
    </w:p>
    <w:p w14:paraId="0A1984A7" w14:textId="77777777" w:rsidR="00E732D2" w:rsidRDefault="00E732D2" w:rsidP="00E732D2">
      <w:pPr>
        <w:spacing w:line="360" w:lineRule="auto"/>
        <w:ind w:left="720" w:hanging="720"/>
        <w:jc w:val="both"/>
        <w:rPr>
          <w:rtl/>
        </w:rPr>
      </w:pPr>
      <w:r>
        <w:rPr>
          <w:rFonts w:hint="cs"/>
          <w:rtl/>
        </w:rPr>
        <w:t xml:space="preserve">ה. </w:t>
      </w:r>
      <w:r>
        <w:rPr>
          <w:rFonts w:hint="cs"/>
          <w:rtl/>
        </w:rPr>
        <w:tab/>
        <w:t xml:space="preserve">חילוט 3,500 ₪ [פל"א </w:t>
      </w:r>
      <w:r w:rsidRPr="00616AFE">
        <w:rPr>
          <w:rtl/>
        </w:rPr>
        <w:t>528281/2015</w:t>
      </w:r>
      <w:r>
        <w:rPr>
          <w:rFonts w:hint="cs"/>
          <w:rtl/>
        </w:rPr>
        <w:t>] וטלפון נייד [פל"א 575784/2014] לזכות קרן הסמים;</w:t>
      </w:r>
    </w:p>
    <w:p w14:paraId="1002AD53" w14:textId="77777777" w:rsidR="00E732D2" w:rsidRDefault="00E732D2" w:rsidP="00E732D2">
      <w:pPr>
        <w:spacing w:line="360" w:lineRule="auto"/>
        <w:ind w:left="720" w:hanging="720"/>
        <w:jc w:val="both"/>
        <w:rPr>
          <w:rtl/>
        </w:rPr>
      </w:pPr>
    </w:p>
    <w:p w14:paraId="51BFF489" w14:textId="77777777" w:rsidR="00E732D2" w:rsidRPr="00CD6B63" w:rsidRDefault="00E732D2" w:rsidP="00E732D2">
      <w:pPr>
        <w:spacing w:line="360" w:lineRule="auto"/>
        <w:ind w:left="720" w:hanging="720"/>
        <w:jc w:val="both"/>
        <w:rPr>
          <w:b/>
          <w:bCs/>
          <w:u w:val="single"/>
          <w:rtl/>
        </w:rPr>
      </w:pPr>
      <w:r>
        <w:rPr>
          <w:rFonts w:hint="cs"/>
          <w:b/>
          <w:bCs/>
          <w:u w:val="single"/>
          <w:rtl/>
        </w:rPr>
        <w:t>הוראות נלוות:</w:t>
      </w:r>
    </w:p>
    <w:p w14:paraId="4C150C20" w14:textId="77777777" w:rsidR="00E732D2" w:rsidRDefault="00E732D2" w:rsidP="00E732D2">
      <w:pPr>
        <w:spacing w:line="360" w:lineRule="auto"/>
        <w:jc w:val="both"/>
        <w:rPr>
          <w:rtl/>
        </w:rPr>
      </w:pPr>
      <w:r>
        <w:rPr>
          <w:rFonts w:hint="cs"/>
          <w:rtl/>
        </w:rPr>
        <w:t>א.</w:t>
      </w:r>
      <w:r>
        <w:rPr>
          <w:rFonts w:hint="cs"/>
          <w:rtl/>
        </w:rPr>
        <w:tab/>
        <w:t>מוצגים: הסמים יושמדו, ופריטים אחרים יועברו להכרעה פרטנית של קצין משטרה;</w:t>
      </w:r>
    </w:p>
    <w:p w14:paraId="5E7F1817" w14:textId="77777777" w:rsidR="00E732D2" w:rsidRDefault="00E732D2" w:rsidP="00E732D2">
      <w:pPr>
        <w:spacing w:line="360" w:lineRule="auto"/>
        <w:jc w:val="both"/>
        <w:rPr>
          <w:rtl/>
        </w:rPr>
      </w:pPr>
      <w:r>
        <w:rPr>
          <w:rFonts w:hint="cs"/>
          <w:rtl/>
        </w:rPr>
        <w:t>ב.</w:t>
      </w:r>
      <w:r>
        <w:rPr>
          <w:rFonts w:hint="cs"/>
          <w:rtl/>
        </w:rPr>
        <w:tab/>
        <w:t>עותק גזר הדין יועבר לידיעת שירות המבחן;</w:t>
      </w:r>
    </w:p>
    <w:p w14:paraId="4CCC1CD8" w14:textId="77777777" w:rsidR="00E732D2" w:rsidRDefault="00E732D2" w:rsidP="00E732D2">
      <w:pPr>
        <w:spacing w:line="360" w:lineRule="auto"/>
        <w:jc w:val="both"/>
        <w:rPr>
          <w:rtl/>
        </w:rPr>
      </w:pPr>
    </w:p>
    <w:p w14:paraId="4D7B794A" w14:textId="77777777" w:rsidR="00E732D2" w:rsidRPr="00B05847" w:rsidRDefault="00E732D2" w:rsidP="00E732D2">
      <w:pPr>
        <w:spacing w:line="360" w:lineRule="auto"/>
        <w:jc w:val="both"/>
        <w:rPr>
          <w:rtl/>
        </w:rPr>
      </w:pPr>
      <w:r>
        <w:rPr>
          <w:rFonts w:hint="cs"/>
          <w:rtl/>
        </w:rPr>
        <w:t>זכות ערעור תוך 45 יום לבית המשפט המחוזי.</w:t>
      </w:r>
    </w:p>
    <w:p w14:paraId="14E8D82A" w14:textId="77777777" w:rsidR="00E732D2" w:rsidRPr="007940DB" w:rsidRDefault="007940DB" w:rsidP="00E732D2">
      <w:pPr>
        <w:spacing w:line="360" w:lineRule="auto"/>
        <w:jc w:val="both"/>
        <w:rPr>
          <w:color w:val="FFFFFF"/>
          <w:sz w:val="2"/>
          <w:szCs w:val="2"/>
          <w:rtl/>
        </w:rPr>
      </w:pPr>
      <w:r w:rsidRPr="007940DB">
        <w:rPr>
          <w:color w:val="FFFFFF"/>
          <w:sz w:val="2"/>
          <w:szCs w:val="2"/>
          <w:rtl/>
        </w:rPr>
        <w:t>5129371</w:t>
      </w:r>
    </w:p>
    <w:p w14:paraId="43B97349" w14:textId="77777777" w:rsidR="00E732D2" w:rsidRPr="00E07392" w:rsidRDefault="007940DB" w:rsidP="00E732D2">
      <w:pPr>
        <w:rPr>
          <w:rtl/>
        </w:rPr>
      </w:pPr>
      <w:r w:rsidRPr="007940DB">
        <w:rPr>
          <w:rFonts w:ascii="Arial" w:hAnsi="Arial"/>
          <w:color w:val="FFFFFF"/>
          <w:sz w:val="2"/>
          <w:szCs w:val="2"/>
          <w:rtl/>
        </w:rPr>
        <w:t>54678313</w:t>
      </w:r>
      <w:r>
        <w:rPr>
          <w:rFonts w:ascii="Arial" w:hAnsi="Arial"/>
          <w:rtl/>
        </w:rPr>
        <w:t xml:space="preserve">ניתן היום,  ד' אדר תשע"ז, 02 מרץ 2017, במעמד הצדדים. </w:t>
      </w:r>
    </w:p>
    <w:p w14:paraId="3C88A1EB" w14:textId="77777777" w:rsidR="00E732D2" w:rsidRPr="00250B83" w:rsidRDefault="00E732D2" w:rsidP="00E732D2">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60B88B83" w14:textId="77777777" w:rsidR="00E732D2" w:rsidRPr="00250B83" w:rsidRDefault="00E732D2" w:rsidP="00E732D2">
      <w:pPr>
        <w:jc w:val="center"/>
        <w:rPr>
          <w:rFonts w:ascii="Arial" w:hAnsi="Arial"/>
          <w:rtl/>
        </w:rPr>
      </w:pPr>
    </w:p>
    <w:p w14:paraId="22CD03F2" w14:textId="77777777" w:rsidR="00E732D2" w:rsidRPr="00250B83" w:rsidRDefault="00E732D2" w:rsidP="00E732D2">
      <w:pPr>
        <w:rPr>
          <w:rtl/>
        </w:rPr>
      </w:pPr>
    </w:p>
    <w:p w14:paraId="2E1D2F36" w14:textId="77777777" w:rsidR="00E732D2" w:rsidRDefault="00E732D2" w:rsidP="00E732D2">
      <w:pPr>
        <w:pStyle w:val="a3"/>
        <w:jc w:val="center"/>
        <w:rPr>
          <w:rtl/>
        </w:rPr>
      </w:pPr>
    </w:p>
    <w:p w14:paraId="30A8EB5B" w14:textId="77777777" w:rsidR="007940DB" w:rsidRPr="007940DB" w:rsidRDefault="007940DB" w:rsidP="007940DB">
      <w:pPr>
        <w:keepNext/>
        <w:rPr>
          <w:rFonts w:ascii="David" w:hAnsi="David"/>
          <w:color w:val="000000"/>
          <w:sz w:val="22"/>
          <w:szCs w:val="22"/>
          <w:rtl/>
        </w:rPr>
      </w:pPr>
    </w:p>
    <w:p w14:paraId="5B59D980" w14:textId="77777777" w:rsidR="007940DB" w:rsidRPr="007940DB" w:rsidRDefault="007940DB" w:rsidP="007940DB">
      <w:pPr>
        <w:keepNext/>
        <w:rPr>
          <w:rFonts w:ascii="David" w:hAnsi="David"/>
          <w:color w:val="000000"/>
          <w:sz w:val="22"/>
          <w:szCs w:val="22"/>
          <w:rtl/>
        </w:rPr>
      </w:pPr>
      <w:r w:rsidRPr="007940DB">
        <w:rPr>
          <w:rFonts w:ascii="David" w:hAnsi="David"/>
          <w:color w:val="000000"/>
          <w:sz w:val="22"/>
          <w:szCs w:val="22"/>
          <w:rtl/>
        </w:rPr>
        <w:t>עידו דרויאן 54678313</w:t>
      </w:r>
    </w:p>
    <w:p w14:paraId="20F9DC5E" w14:textId="77777777" w:rsidR="007940DB" w:rsidRDefault="007940DB" w:rsidP="007940DB">
      <w:r w:rsidRPr="007940DB">
        <w:rPr>
          <w:color w:val="000000"/>
          <w:rtl/>
        </w:rPr>
        <w:t>נוסח מסמך זה כפוף לשינויי ניסוח ועריכה</w:t>
      </w:r>
    </w:p>
    <w:p w14:paraId="2C87C5F6" w14:textId="77777777" w:rsidR="007940DB" w:rsidRDefault="007940DB" w:rsidP="007940DB">
      <w:pPr>
        <w:rPr>
          <w:rtl/>
        </w:rPr>
      </w:pPr>
    </w:p>
    <w:p w14:paraId="6FC2309A" w14:textId="77777777" w:rsidR="007940DB" w:rsidRDefault="007940DB" w:rsidP="007940DB">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07CF73AB" w14:textId="77777777" w:rsidR="00DF27D7" w:rsidRPr="007940DB" w:rsidRDefault="00795904" w:rsidP="007940DB">
      <w:pPr>
        <w:jc w:val="center"/>
        <w:rPr>
          <w:color w:val="0000FF"/>
          <w:u w:val="single"/>
        </w:rPr>
      </w:pPr>
      <w:r>
        <w:rPr>
          <w:rFonts w:hint="cs"/>
          <w:color w:val="0000FF"/>
          <w:u w:val="single"/>
          <w:rtl/>
        </w:rPr>
        <w:t xml:space="preserve">  </w:t>
      </w:r>
    </w:p>
    <w:sectPr w:rsidR="00DF27D7" w:rsidRPr="007940DB" w:rsidSect="007940DB">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4F0F4" w14:textId="77777777" w:rsidR="001A03F0" w:rsidRPr="00AD1ABE" w:rsidRDefault="001A03F0">
      <w:pPr>
        <w:rPr>
          <w:rFonts w:cs="Arial"/>
          <w:szCs w:val="20"/>
        </w:rPr>
      </w:pPr>
      <w:r>
        <w:separator/>
      </w:r>
    </w:p>
  </w:endnote>
  <w:endnote w:type="continuationSeparator" w:id="0">
    <w:p w14:paraId="43C38BC4" w14:textId="77777777" w:rsidR="001A03F0" w:rsidRPr="00AD1ABE" w:rsidRDefault="001A03F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F440A" w14:textId="77777777" w:rsidR="0054672E" w:rsidRDefault="0054672E" w:rsidP="007940D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1720D79" w14:textId="77777777" w:rsidR="0054672E" w:rsidRPr="007940DB" w:rsidRDefault="0054672E" w:rsidP="007940DB">
    <w:pPr>
      <w:pStyle w:val="a4"/>
      <w:pBdr>
        <w:top w:val="single" w:sz="4" w:space="1" w:color="auto"/>
        <w:between w:val="single" w:sz="4" w:space="0" w:color="auto"/>
      </w:pBdr>
      <w:spacing w:after="60"/>
      <w:jc w:val="center"/>
      <w:rPr>
        <w:rFonts w:ascii="FrankRuehl" w:hAnsi="FrankRuehl" w:cs="FrankRuehl"/>
        <w:color w:val="000000"/>
      </w:rPr>
    </w:pPr>
    <w:r w:rsidRPr="007940D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A75E1" w14:textId="77777777" w:rsidR="0054672E" w:rsidRDefault="0054672E" w:rsidP="007940D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00F52">
      <w:rPr>
        <w:rFonts w:ascii="FrankRuehl" w:hAnsi="FrankRuehl" w:cs="FrankRuehl"/>
        <w:noProof/>
        <w:rtl/>
      </w:rPr>
      <w:t>1</w:t>
    </w:r>
    <w:r>
      <w:rPr>
        <w:rFonts w:ascii="FrankRuehl" w:hAnsi="FrankRuehl" w:cs="FrankRuehl"/>
        <w:rtl/>
      </w:rPr>
      <w:fldChar w:fldCharType="end"/>
    </w:r>
  </w:p>
  <w:p w14:paraId="2EA9070A" w14:textId="77777777" w:rsidR="0054672E" w:rsidRPr="007940DB" w:rsidRDefault="0054672E" w:rsidP="007940DB">
    <w:pPr>
      <w:pStyle w:val="a4"/>
      <w:pBdr>
        <w:top w:val="single" w:sz="4" w:space="1" w:color="auto"/>
        <w:between w:val="single" w:sz="4" w:space="0" w:color="auto"/>
      </w:pBdr>
      <w:spacing w:after="60"/>
      <w:jc w:val="center"/>
      <w:rPr>
        <w:rFonts w:ascii="FrankRuehl" w:hAnsi="FrankRuehl" w:cs="FrankRuehl"/>
        <w:color w:val="000000"/>
      </w:rPr>
    </w:pPr>
    <w:r w:rsidRPr="007940DB">
      <w:rPr>
        <w:rFonts w:ascii="FrankRuehl" w:hAnsi="FrankRuehl" w:cs="FrankRuehl"/>
        <w:color w:val="000000"/>
      </w:rPr>
      <w:pict w14:anchorId="1A11F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D3CA3" w14:textId="77777777" w:rsidR="001A03F0" w:rsidRPr="00AD1ABE" w:rsidRDefault="001A03F0">
      <w:pPr>
        <w:rPr>
          <w:rFonts w:cs="Arial"/>
          <w:szCs w:val="20"/>
        </w:rPr>
      </w:pPr>
      <w:r>
        <w:separator/>
      </w:r>
    </w:p>
  </w:footnote>
  <w:footnote w:type="continuationSeparator" w:id="0">
    <w:p w14:paraId="77BDB6BE" w14:textId="77777777" w:rsidR="001A03F0" w:rsidRPr="00AD1ABE" w:rsidRDefault="001A03F0">
      <w:pPr>
        <w:rPr>
          <w:rFonts w:cs="Arial"/>
          <w:szCs w:val="20"/>
        </w:rPr>
      </w:pPr>
      <w:r>
        <w:continuationSeparator/>
      </w:r>
    </w:p>
  </w:footnote>
  <w:footnote w:id="1">
    <w:p w14:paraId="3E9476B3" w14:textId="77777777" w:rsidR="0054672E" w:rsidRPr="0037622D" w:rsidRDefault="0054672E" w:rsidP="00E732D2">
      <w:pPr>
        <w:pStyle w:val="a6"/>
        <w:rPr>
          <w:sz w:val="24"/>
          <w:szCs w:val="24"/>
          <w:rtl/>
        </w:rPr>
      </w:pPr>
      <w:r>
        <w:rPr>
          <w:rStyle w:val="a8"/>
        </w:rPr>
        <w:footnoteRef/>
      </w:r>
      <w:r>
        <w:rPr>
          <w:rtl/>
        </w:rPr>
        <w:t xml:space="preserve"> </w:t>
      </w:r>
      <w:r>
        <w:rPr>
          <w:rtl/>
        </w:rPr>
        <w:tab/>
      </w:r>
      <w:r>
        <w:rPr>
          <w:rFonts w:hint="cs"/>
          <w:sz w:val="24"/>
          <w:szCs w:val="24"/>
          <w:rtl/>
        </w:rPr>
        <w:t xml:space="preserve">הנאשם בחר  שלא לצרף תיק נוסף, </w:t>
      </w:r>
      <w:hyperlink r:id="rId1" w:history="1">
        <w:r w:rsidRPr="007940DB">
          <w:rPr>
            <w:color w:val="0000FF"/>
            <w:sz w:val="24"/>
            <w:szCs w:val="24"/>
            <w:u w:val="single"/>
            <w:rtl/>
          </w:rPr>
          <w:t>ת"פ 15007-02-16</w:t>
        </w:r>
      </w:hyperlink>
      <w:r>
        <w:rPr>
          <w:rFonts w:hint="cs"/>
          <w:sz w:val="24"/>
          <w:szCs w:val="24"/>
          <w:rtl/>
        </w:rPr>
        <w:t>;</w:t>
      </w:r>
    </w:p>
  </w:footnote>
  <w:footnote w:id="2">
    <w:p w14:paraId="609A986D" w14:textId="77777777" w:rsidR="0054672E" w:rsidRDefault="0054672E" w:rsidP="00E732D2">
      <w:pPr>
        <w:pStyle w:val="a6"/>
      </w:pPr>
      <w:r>
        <w:rPr>
          <w:rStyle w:val="a8"/>
        </w:rPr>
        <w:footnoteRef/>
      </w:r>
      <w:r>
        <w:rPr>
          <w:rtl/>
        </w:rPr>
        <w:t xml:space="preserve"> </w:t>
      </w:r>
      <w:r>
        <w:rPr>
          <w:rtl/>
        </w:rPr>
        <w:tab/>
      </w:r>
      <w:r w:rsidRPr="00770787">
        <w:rPr>
          <w:rFonts w:hint="cs"/>
          <w:sz w:val="24"/>
          <w:szCs w:val="24"/>
          <w:rtl/>
        </w:rPr>
        <w:t>לא ינוכו ימי מעצר, ככל שהיו, בקשר ל</w:t>
      </w:r>
      <w:hyperlink r:id="rId2" w:history="1">
        <w:r w:rsidRPr="007940DB">
          <w:rPr>
            <w:color w:val="0000FF"/>
            <w:sz w:val="24"/>
            <w:szCs w:val="24"/>
            <w:u w:val="single"/>
            <w:rtl/>
          </w:rPr>
          <w:t>ת"פ 31926-08-16</w:t>
        </w:r>
      </w:hyperlink>
      <w:r w:rsidRPr="00770787">
        <w:rPr>
          <w:rFonts w:hint="cs"/>
          <w:sz w:val="24"/>
          <w:szCs w:val="24"/>
          <w:rtl/>
        </w:rPr>
        <w:t xml:space="preserve"> שעניינו החזקת סמים במעצר;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98AB3" w14:textId="77777777" w:rsidR="0054672E" w:rsidRPr="007940DB" w:rsidRDefault="0054672E" w:rsidP="007940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32933-12-15</w:t>
    </w:r>
    <w:r>
      <w:rPr>
        <w:rFonts w:ascii="David" w:hAnsi="David"/>
        <w:color w:val="000000"/>
        <w:sz w:val="22"/>
        <w:szCs w:val="22"/>
        <w:rtl/>
      </w:rPr>
      <w:tab/>
      <w:t xml:space="preserve"> פרקליטות מחוז תל אביב פלילי נ' חיים חולי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5F171" w14:textId="77777777" w:rsidR="0054672E" w:rsidRPr="007940DB" w:rsidRDefault="0054672E" w:rsidP="007940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32933-12-15</w:t>
    </w:r>
    <w:r>
      <w:rPr>
        <w:rFonts w:ascii="David" w:hAnsi="David"/>
        <w:color w:val="000000"/>
        <w:sz w:val="22"/>
        <w:szCs w:val="22"/>
        <w:rtl/>
      </w:rPr>
      <w:tab/>
      <w:t xml:space="preserve"> פרקליטות מחוז תל אביב פלילי נ' חיים חולי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E111B6"/>
    <w:multiLevelType w:val="hybridMultilevel"/>
    <w:tmpl w:val="642674DA"/>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44160BE"/>
    <w:multiLevelType w:val="hybridMultilevel"/>
    <w:tmpl w:val="44A4A8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664835"/>
    <w:multiLevelType w:val="hybridMultilevel"/>
    <w:tmpl w:val="A48C3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66344974">
    <w:abstractNumId w:val="2"/>
  </w:num>
  <w:num w:numId="2" w16cid:durableId="1391223053">
    <w:abstractNumId w:val="1"/>
  </w:num>
  <w:num w:numId="3" w16cid:durableId="1869683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732D2"/>
    <w:rsid w:val="001A03F0"/>
    <w:rsid w:val="003F6CEA"/>
    <w:rsid w:val="004355D7"/>
    <w:rsid w:val="004E6425"/>
    <w:rsid w:val="0054672E"/>
    <w:rsid w:val="007940DB"/>
    <w:rsid w:val="00795904"/>
    <w:rsid w:val="00841328"/>
    <w:rsid w:val="00852ED3"/>
    <w:rsid w:val="009042F9"/>
    <w:rsid w:val="00AA1F5C"/>
    <w:rsid w:val="00D00F52"/>
    <w:rsid w:val="00DD14F0"/>
    <w:rsid w:val="00DF27D7"/>
    <w:rsid w:val="00E732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9E16A3"/>
  <w15:chartTrackingRefBased/>
  <w15:docId w15:val="{2A3B8987-92A0-4CE9-B4A0-8DAC96DF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32D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732D2"/>
    <w:pPr>
      <w:tabs>
        <w:tab w:val="center" w:pos="4153"/>
        <w:tab w:val="right" w:pos="8306"/>
      </w:tabs>
    </w:pPr>
  </w:style>
  <w:style w:type="paragraph" w:styleId="a4">
    <w:name w:val="footer"/>
    <w:basedOn w:val="a"/>
    <w:rsid w:val="00E732D2"/>
    <w:pPr>
      <w:tabs>
        <w:tab w:val="center" w:pos="4153"/>
        <w:tab w:val="right" w:pos="8306"/>
      </w:tabs>
    </w:pPr>
  </w:style>
  <w:style w:type="character" w:styleId="a5">
    <w:name w:val="page number"/>
    <w:basedOn w:val="a0"/>
    <w:rsid w:val="00E732D2"/>
  </w:style>
  <w:style w:type="paragraph" w:styleId="a6">
    <w:name w:val="footnote text"/>
    <w:basedOn w:val="a"/>
    <w:link w:val="a7"/>
    <w:rsid w:val="00E732D2"/>
    <w:rPr>
      <w:sz w:val="20"/>
      <w:szCs w:val="20"/>
    </w:rPr>
  </w:style>
  <w:style w:type="character" w:customStyle="1" w:styleId="a7">
    <w:name w:val="טקסט הערת שוליים תו"/>
    <w:link w:val="a6"/>
    <w:rsid w:val="00E732D2"/>
    <w:rPr>
      <w:rFonts w:cs="David"/>
      <w:lang w:val="en-US" w:eastAsia="en-US" w:bidi="he-IL"/>
    </w:rPr>
  </w:style>
  <w:style w:type="character" w:styleId="a8">
    <w:name w:val="footnote reference"/>
    <w:rsid w:val="00E732D2"/>
    <w:rPr>
      <w:vertAlign w:val="superscript"/>
    </w:rPr>
  </w:style>
  <w:style w:type="paragraph" w:customStyle="1" w:styleId="ListParagraph">
    <w:name w:val="List Paragraph"/>
    <w:basedOn w:val="a"/>
    <w:rsid w:val="00E732D2"/>
    <w:pPr>
      <w:ind w:left="720"/>
      <w:contextualSpacing/>
    </w:pPr>
  </w:style>
  <w:style w:type="character" w:styleId="Hyperlink">
    <w:name w:val="Hyperlink"/>
    <w:rsid w:val="00794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44" TargetMode="External"/><Relationship Id="rId18" Type="http://schemas.openxmlformats.org/officeDocument/2006/relationships/hyperlink" Target="http://www.nevo.co.il/case/20799632" TargetMode="External"/><Relationship Id="rId26" Type="http://schemas.openxmlformats.org/officeDocument/2006/relationships/hyperlink" Target="http://www.nevo.co.il/law/4216/7.c" TargetMode="External"/><Relationship Id="rId39" Type="http://schemas.openxmlformats.org/officeDocument/2006/relationships/hyperlink" Target="http://www.nevo.co.il/case/20799632" TargetMode="External"/><Relationship Id="rId21" Type="http://schemas.openxmlformats.org/officeDocument/2006/relationships/hyperlink" Target="http://www.nevo.co.il/case/21627287" TargetMode="External"/><Relationship Id="rId34" Type="http://schemas.openxmlformats.org/officeDocument/2006/relationships/hyperlink" Target="http://www.nevo.co.il/law/70301/413" TargetMode="External"/><Relationship Id="rId42" Type="http://schemas.openxmlformats.org/officeDocument/2006/relationships/hyperlink" Target="http://www.nevo.co.il/case/20758712"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384" TargetMode="External"/><Relationship Id="rId29" Type="http://schemas.openxmlformats.org/officeDocument/2006/relationships/hyperlink" Target="http://www.nevo.co.il/law/70301/25"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 TargetMode="External"/><Relationship Id="rId32" Type="http://schemas.openxmlformats.org/officeDocument/2006/relationships/hyperlink" Target="http://www.nevo.co.il/law/70301/381.a.2" TargetMode="External"/><Relationship Id="rId37" Type="http://schemas.openxmlformats.org/officeDocument/2006/relationships/hyperlink" Target="http://www.nevo.co.il/case/20507970" TargetMode="External"/><Relationship Id="rId40" Type="http://schemas.openxmlformats.org/officeDocument/2006/relationships/hyperlink" Target="http://www.nevo.co.il/case/20799632"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81.a.2"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244" TargetMode="External"/><Relationship Id="rId36" Type="http://schemas.openxmlformats.org/officeDocument/2006/relationships/hyperlink" Target="http://www.nevo.co.il/case/20507970" TargetMode="External"/><Relationship Id="rId49" Type="http://schemas.openxmlformats.org/officeDocument/2006/relationships/theme" Target="theme/theme1.xml"/><Relationship Id="rId10" Type="http://schemas.openxmlformats.org/officeDocument/2006/relationships/hyperlink" Target="http://www.nevo.co.il/law/4216/10" TargetMode="External"/><Relationship Id="rId19" Type="http://schemas.openxmlformats.org/officeDocument/2006/relationships/hyperlink" Target="http://www.nevo.co.il/case/20756394" TargetMode="External"/><Relationship Id="rId31" Type="http://schemas.openxmlformats.org/officeDocument/2006/relationships/hyperlink" Target="http://www.nevo.co.il/law/70301/287.a"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87.a"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4216/10"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0756394"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25" TargetMode="External"/><Relationship Id="rId17" Type="http://schemas.openxmlformats.org/officeDocument/2006/relationships/hyperlink" Target="http://www.nevo.co.il/law/70301/413" TargetMode="External"/><Relationship Id="rId25" Type="http://schemas.openxmlformats.org/officeDocument/2006/relationships/hyperlink" Target="http://www.nevo.co.il/law/4216/7.a" TargetMode="External"/><Relationship Id="rId33" Type="http://schemas.openxmlformats.org/officeDocument/2006/relationships/hyperlink" Target="http://www.nevo.co.il/law/70301/384" TargetMode="External"/><Relationship Id="rId38" Type="http://schemas.openxmlformats.org/officeDocument/2006/relationships/hyperlink" Target="http://www.nevo.co.il/case/21627287" TargetMode="External"/><Relationship Id="rId46" Type="http://schemas.openxmlformats.org/officeDocument/2006/relationships/footer" Target="footer1.xml"/><Relationship Id="rId20" Type="http://schemas.openxmlformats.org/officeDocument/2006/relationships/hyperlink" Target="http://www.nevo.co.il/case/20507970" TargetMode="External"/><Relationship Id="rId41" Type="http://schemas.openxmlformats.org/officeDocument/2006/relationships/hyperlink" Target="http://www.nevo.co.il/case/77097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www.nevo.co.il/case/21627287" TargetMode="External"/><Relationship Id="rId1" Type="http://schemas.openxmlformats.org/officeDocument/2006/relationships/hyperlink" Target="http://www.nevo.co.il/case/20942476"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1698</Words>
  <Characters>8493</Characters>
  <Application>Microsoft Office Word</Application>
  <DocSecurity>0</DocSecurity>
  <Lines>70</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10171</CharactersWithSpaces>
  <SharedDoc>false</SharedDoc>
  <HLinks>
    <vt:vector size="234" baseType="variant">
      <vt:variant>
        <vt:i4>393283</vt:i4>
      </vt:variant>
      <vt:variant>
        <vt:i4>108</vt:i4>
      </vt:variant>
      <vt:variant>
        <vt:i4>0</vt:i4>
      </vt:variant>
      <vt:variant>
        <vt:i4>5</vt:i4>
      </vt:variant>
      <vt:variant>
        <vt:lpwstr>http://www.nevo.co.il/advertisements/nevo-100.doc</vt:lpwstr>
      </vt:variant>
      <vt:variant>
        <vt:lpwstr/>
      </vt:variant>
      <vt:variant>
        <vt:i4>3932278</vt:i4>
      </vt:variant>
      <vt:variant>
        <vt:i4>105</vt:i4>
      </vt:variant>
      <vt:variant>
        <vt:i4>0</vt:i4>
      </vt:variant>
      <vt:variant>
        <vt:i4>5</vt:i4>
      </vt:variant>
      <vt:variant>
        <vt:lpwstr>http://www.nevo.co.il/case/20758712</vt:lpwstr>
      </vt:variant>
      <vt:variant>
        <vt:lpwstr/>
      </vt:variant>
      <vt:variant>
        <vt:i4>3539067</vt:i4>
      </vt:variant>
      <vt:variant>
        <vt:i4>102</vt:i4>
      </vt:variant>
      <vt:variant>
        <vt:i4>0</vt:i4>
      </vt:variant>
      <vt:variant>
        <vt:i4>5</vt:i4>
      </vt:variant>
      <vt:variant>
        <vt:lpwstr>http://www.nevo.co.il/case/7709716</vt:lpwstr>
      </vt:variant>
      <vt:variant>
        <vt:lpwstr/>
      </vt:variant>
      <vt:variant>
        <vt:i4>4128891</vt:i4>
      </vt:variant>
      <vt:variant>
        <vt:i4>99</vt:i4>
      </vt:variant>
      <vt:variant>
        <vt:i4>0</vt:i4>
      </vt:variant>
      <vt:variant>
        <vt:i4>5</vt:i4>
      </vt:variant>
      <vt:variant>
        <vt:lpwstr>http://www.nevo.co.il/case/20799632</vt:lpwstr>
      </vt:variant>
      <vt:variant>
        <vt:lpwstr/>
      </vt:variant>
      <vt:variant>
        <vt:i4>4128891</vt:i4>
      </vt:variant>
      <vt:variant>
        <vt:i4>96</vt:i4>
      </vt:variant>
      <vt:variant>
        <vt:i4>0</vt:i4>
      </vt:variant>
      <vt:variant>
        <vt:i4>5</vt:i4>
      </vt:variant>
      <vt:variant>
        <vt:lpwstr>http://www.nevo.co.il/case/20799632</vt:lpwstr>
      </vt:variant>
      <vt:variant>
        <vt:lpwstr/>
      </vt:variant>
      <vt:variant>
        <vt:i4>3866741</vt:i4>
      </vt:variant>
      <vt:variant>
        <vt:i4>93</vt:i4>
      </vt:variant>
      <vt:variant>
        <vt:i4>0</vt:i4>
      </vt:variant>
      <vt:variant>
        <vt:i4>5</vt:i4>
      </vt:variant>
      <vt:variant>
        <vt:lpwstr>http://www.nevo.co.il/case/21627287</vt:lpwstr>
      </vt:variant>
      <vt:variant>
        <vt:lpwstr/>
      </vt:variant>
      <vt:variant>
        <vt:i4>3604605</vt:i4>
      </vt:variant>
      <vt:variant>
        <vt:i4>90</vt:i4>
      </vt:variant>
      <vt:variant>
        <vt:i4>0</vt:i4>
      </vt:variant>
      <vt:variant>
        <vt:i4>5</vt:i4>
      </vt:variant>
      <vt:variant>
        <vt:lpwstr>http://www.nevo.co.il/case/20507970</vt:lpwstr>
      </vt:variant>
      <vt:variant>
        <vt:lpwstr/>
      </vt:variant>
      <vt:variant>
        <vt:i4>3604605</vt:i4>
      </vt:variant>
      <vt:variant>
        <vt:i4>87</vt:i4>
      </vt:variant>
      <vt:variant>
        <vt:i4>0</vt:i4>
      </vt:variant>
      <vt:variant>
        <vt:i4>5</vt:i4>
      </vt:variant>
      <vt:variant>
        <vt:lpwstr>http://www.nevo.co.il/case/20507970</vt:lpwstr>
      </vt:variant>
      <vt:variant>
        <vt:lpwstr/>
      </vt:variant>
      <vt:variant>
        <vt:i4>3801202</vt:i4>
      </vt:variant>
      <vt:variant>
        <vt:i4>84</vt:i4>
      </vt:variant>
      <vt:variant>
        <vt:i4>0</vt:i4>
      </vt:variant>
      <vt:variant>
        <vt:i4>5</vt:i4>
      </vt:variant>
      <vt:variant>
        <vt:lpwstr>http://www.nevo.co.il/case/20756394</vt:lpwstr>
      </vt:variant>
      <vt:variant>
        <vt:lpwstr/>
      </vt:variant>
      <vt:variant>
        <vt:i4>6553697</vt:i4>
      </vt:variant>
      <vt:variant>
        <vt:i4>81</vt:i4>
      </vt:variant>
      <vt:variant>
        <vt:i4>0</vt:i4>
      </vt:variant>
      <vt:variant>
        <vt:i4>5</vt:i4>
      </vt:variant>
      <vt:variant>
        <vt:lpwstr>http://www.nevo.co.il/law/70301/413</vt:lpwstr>
      </vt:variant>
      <vt:variant>
        <vt:lpwstr/>
      </vt:variant>
      <vt:variant>
        <vt:i4>7143526</vt:i4>
      </vt:variant>
      <vt:variant>
        <vt:i4>78</vt:i4>
      </vt:variant>
      <vt:variant>
        <vt:i4>0</vt:i4>
      </vt:variant>
      <vt:variant>
        <vt:i4>5</vt:i4>
      </vt:variant>
      <vt:variant>
        <vt:lpwstr>http://www.nevo.co.il/law/70301/384</vt:lpwstr>
      </vt:variant>
      <vt:variant>
        <vt:lpwstr/>
      </vt:variant>
      <vt:variant>
        <vt:i4>7143478</vt:i4>
      </vt:variant>
      <vt:variant>
        <vt:i4>75</vt:i4>
      </vt:variant>
      <vt:variant>
        <vt:i4>0</vt:i4>
      </vt:variant>
      <vt:variant>
        <vt:i4>5</vt:i4>
      </vt:variant>
      <vt:variant>
        <vt:lpwstr>http://www.nevo.co.il/law/70301/381.a.2</vt:lpwstr>
      </vt:variant>
      <vt:variant>
        <vt:lpwstr/>
      </vt:variant>
      <vt:variant>
        <vt:i4>4390992</vt:i4>
      </vt:variant>
      <vt:variant>
        <vt:i4>72</vt:i4>
      </vt:variant>
      <vt:variant>
        <vt:i4>0</vt:i4>
      </vt:variant>
      <vt:variant>
        <vt:i4>5</vt:i4>
      </vt:variant>
      <vt:variant>
        <vt:lpwstr>http://www.nevo.co.il/law/70301/287.a</vt:lpwstr>
      </vt:variant>
      <vt:variant>
        <vt:lpwstr/>
      </vt:variant>
      <vt:variant>
        <vt:i4>7995492</vt:i4>
      </vt:variant>
      <vt:variant>
        <vt:i4>69</vt:i4>
      </vt:variant>
      <vt:variant>
        <vt:i4>0</vt:i4>
      </vt:variant>
      <vt:variant>
        <vt:i4>5</vt:i4>
      </vt:variant>
      <vt:variant>
        <vt:lpwstr>http://www.nevo.co.il/law/70301</vt:lpwstr>
      </vt:variant>
      <vt:variant>
        <vt:lpwstr/>
      </vt:variant>
      <vt:variant>
        <vt:i4>6291559</vt:i4>
      </vt:variant>
      <vt:variant>
        <vt:i4>66</vt:i4>
      </vt:variant>
      <vt:variant>
        <vt:i4>0</vt:i4>
      </vt:variant>
      <vt:variant>
        <vt:i4>5</vt:i4>
      </vt:variant>
      <vt:variant>
        <vt:lpwstr>http://www.nevo.co.il/law/70301/25</vt:lpwstr>
      </vt:variant>
      <vt:variant>
        <vt:lpwstr/>
      </vt:variant>
      <vt:variant>
        <vt:i4>6357095</vt:i4>
      </vt:variant>
      <vt:variant>
        <vt:i4>63</vt:i4>
      </vt:variant>
      <vt:variant>
        <vt:i4>0</vt:i4>
      </vt:variant>
      <vt:variant>
        <vt:i4>5</vt:i4>
      </vt:variant>
      <vt:variant>
        <vt:lpwstr>http://www.nevo.co.il/law/70301/244</vt:lpwstr>
      </vt:variant>
      <vt:variant>
        <vt:lpwstr/>
      </vt:variant>
      <vt:variant>
        <vt:i4>5177418</vt:i4>
      </vt:variant>
      <vt:variant>
        <vt:i4>60</vt:i4>
      </vt:variant>
      <vt:variant>
        <vt:i4>0</vt:i4>
      </vt:variant>
      <vt:variant>
        <vt:i4>5</vt:i4>
      </vt:variant>
      <vt:variant>
        <vt:lpwstr>http://www.nevo.co.il/law/4216/10</vt:lpwstr>
      </vt:variant>
      <vt:variant>
        <vt:lpwstr/>
      </vt:variant>
      <vt:variant>
        <vt:i4>2752612</vt:i4>
      </vt:variant>
      <vt:variant>
        <vt:i4>57</vt:i4>
      </vt:variant>
      <vt:variant>
        <vt:i4>0</vt:i4>
      </vt:variant>
      <vt:variant>
        <vt:i4>5</vt:i4>
      </vt:variant>
      <vt:variant>
        <vt:lpwstr>http://www.nevo.co.il/law/4216/7.c</vt:lpwstr>
      </vt:variant>
      <vt:variant>
        <vt:lpwstr/>
      </vt:variant>
      <vt:variant>
        <vt:i4>2621540</vt:i4>
      </vt:variant>
      <vt:variant>
        <vt:i4>54</vt:i4>
      </vt:variant>
      <vt:variant>
        <vt:i4>0</vt:i4>
      </vt:variant>
      <vt:variant>
        <vt:i4>5</vt:i4>
      </vt:variant>
      <vt:variant>
        <vt:lpwstr>http://www.nevo.co.il/law/4216/7.a</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3866741</vt:i4>
      </vt:variant>
      <vt:variant>
        <vt:i4>42</vt:i4>
      </vt:variant>
      <vt:variant>
        <vt:i4>0</vt:i4>
      </vt:variant>
      <vt:variant>
        <vt:i4>5</vt:i4>
      </vt:variant>
      <vt:variant>
        <vt:lpwstr>http://www.nevo.co.il/case/21627287</vt:lpwstr>
      </vt:variant>
      <vt:variant>
        <vt:lpwstr/>
      </vt:variant>
      <vt:variant>
        <vt:i4>3604605</vt:i4>
      </vt:variant>
      <vt:variant>
        <vt:i4>39</vt:i4>
      </vt:variant>
      <vt:variant>
        <vt:i4>0</vt:i4>
      </vt:variant>
      <vt:variant>
        <vt:i4>5</vt:i4>
      </vt:variant>
      <vt:variant>
        <vt:lpwstr>http://www.nevo.co.il/case/20507970</vt:lpwstr>
      </vt:variant>
      <vt:variant>
        <vt:lpwstr/>
      </vt:variant>
      <vt:variant>
        <vt:i4>3801202</vt:i4>
      </vt:variant>
      <vt:variant>
        <vt:i4>36</vt:i4>
      </vt:variant>
      <vt:variant>
        <vt:i4>0</vt:i4>
      </vt:variant>
      <vt:variant>
        <vt:i4>5</vt:i4>
      </vt:variant>
      <vt:variant>
        <vt:lpwstr>http://www.nevo.co.il/case/20756394</vt:lpwstr>
      </vt:variant>
      <vt:variant>
        <vt:lpwstr/>
      </vt:variant>
      <vt:variant>
        <vt:i4>4128891</vt:i4>
      </vt:variant>
      <vt:variant>
        <vt:i4>33</vt:i4>
      </vt:variant>
      <vt:variant>
        <vt:i4>0</vt:i4>
      </vt:variant>
      <vt:variant>
        <vt:i4>5</vt:i4>
      </vt:variant>
      <vt:variant>
        <vt:lpwstr>http://www.nevo.co.il/case/20799632</vt:lpwstr>
      </vt:variant>
      <vt:variant>
        <vt:lpwstr/>
      </vt:variant>
      <vt:variant>
        <vt:i4>6553697</vt:i4>
      </vt:variant>
      <vt:variant>
        <vt:i4>30</vt:i4>
      </vt:variant>
      <vt:variant>
        <vt:i4>0</vt:i4>
      </vt:variant>
      <vt:variant>
        <vt:i4>5</vt:i4>
      </vt:variant>
      <vt:variant>
        <vt:lpwstr>http://www.nevo.co.il/law/70301/413</vt:lpwstr>
      </vt:variant>
      <vt:variant>
        <vt:lpwstr/>
      </vt:variant>
      <vt:variant>
        <vt:i4>7143526</vt:i4>
      </vt:variant>
      <vt:variant>
        <vt:i4>27</vt:i4>
      </vt:variant>
      <vt:variant>
        <vt:i4>0</vt:i4>
      </vt:variant>
      <vt:variant>
        <vt:i4>5</vt:i4>
      </vt:variant>
      <vt:variant>
        <vt:lpwstr>http://www.nevo.co.il/law/70301/384</vt:lpwstr>
      </vt:variant>
      <vt:variant>
        <vt:lpwstr/>
      </vt:variant>
      <vt:variant>
        <vt:i4>7143478</vt:i4>
      </vt:variant>
      <vt:variant>
        <vt:i4>24</vt:i4>
      </vt:variant>
      <vt:variant>
        <vt:i4>0</vt:i4>
      </vt:variant>
      <vt:variant>
        <vt:i4>5</vt:i4>
      </vt:variant>
      <vt:variant>
        <vt:lpwstr>http://www.nevo.co.il/law/70301/381.a.2</vt:lpwstr>
      </vt:variant>
      <vt:variant>
        <vt:lpwstr/>
      </vt:variant>
      <vt:variant>
        <vt:i4>4390992</vt:i4>
      </vt:variant>
      <vt:variant>
        <vt:i4>21</vt:i4>
      </vt:variant>
      <vt:variant>
        <vt:i4>0</vt:i4>
      </vt:variant>
      <vt:variant>
        <vt:i4>5</vt:i4>
      </vt:variant>
      <vt:variant>
        <vt:lpwstr>http://www.nevo.co.il/law/70301/287.a</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ariant>
        <vt:i4>3866741</vt:i4>
      </vt:variant>
      <vt:variant>
        <vt:i4>3</vt:i4>
      </vt:variant>
      <vt:variant>
        <vt:i4>0</vt:i4>
      </vt:variant>
      <vt:variant>
        <vt:i4>5</vt:i4>
      </vt:variant>
      <vt:variant>
        <vt:lpwstr>http://www.nevo.co.il/case/21627287</vt:lpwstr>
      </vt:variant>
      <vt:variant>
        <vt:lpwstr/>
      </vt:variant>
      <vt:variant>
        <vt:i4>4063348</vt:i4>
      </vt:variant>
      <vt:variant>
        <vt:i4>0</vt:i4>
      </vt:variant>
      <vt:variant>
        <vt:i4>0</vt:i4>
      </vt:variant>
      <vt:variant>
        <vt:i4>5</vt:i4>
      </vt:variant>
      <vt:variant>
        <vt:lpwstr>http://www.nevo.co.il/case/20942476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2025-04-22T22:56:00Z</dcterms:created>
  <dcterms:modified xsi:type="dcterms:W3CDTF">2025-04-22T22:56:00Z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vt:lpwstr>
  </property>
  <property fmtid="{D5CDD505-2E9C-101B-9397-08002B2CF9AE}" pid="5" name="NEWPARTA">
    <vt:lpwstr>32933;60497;27228;31926</vt:lpwstr>
  </property>
  <property fmtid="{D5CDD505-2E9C-101B-9397-08002B2CF9AE}" pid="6" name="NEWPARTB">
    <vt:lpwstr>12;11;08;08</vt:lpwstr>
  </property>
  <property fmtid="{D5CDD505-2E9C-101B-9397-08002B2CF9AE}" pid="7" name="NEWPARTC">
    <vt:lpwstr>15;;;</vt:lpwstr>
  </property>
  <property fmtid="{D5CDD505-2E9C-101B-9397-08002B2CF9AE}" pid="8" name="APPELLANT">
    <vt:lpwstr>פרקליטות מחוז תל אביב פלילי</vt:lpwstr>
  </property>
  <property fmtid="{D5CDD505-2E9C-101B-9397-08002B2CF9AE}" pid="9" name="APPELLEE">
    <vt:lpwstr>חיים חולי</vt:lpwstr>
  </property>
  <property fmtid="{D5CDD505-2E9C-101B-9397-08002B2CF9AE}" pid="10" name="LAWYER">
    <vt:lpwstr>טליה קלמרו;עידית קן ציפור</vt:lpwstr>
  </property>
  <property fmtid="{D5CDD505-2E9C-101B-9397-08002B2CF9AE}" pid="11" name="JUDGE">
    <vt:lpwstr>עידו דרויאן</vt:lpwstr>
  </property>
  <property fmtid="{D5CDD505-2E9C-101B-9397-08002B2CF9AE}" pid="12" name="CITY">
    <vt:lpwstr>ת"א</vt:lpwstr>
  </property>
  <property fmtid="{D5CDD505-2E9C-101B-9397-08002B2CF9AE}" pid="13" name="DATE">
    <vt:lpwstr>20170302</vt:lpwstr>
  </property>
  <property fmtid="{D5CDD505-2E9C-101B-9397-08002B2CF9AE}" pid="14" name="TYPE_N_DATE">
    <vt:lpwstr>38020170302</vt:lpwstr>
  </property>
  <property fmtid="{D5CDD505-2E9C-101B-9397-08002B2CF9AE}" pid="15" name="CASESLISTTMP1">
    <vt:lpwstr>20799632:3;20756394:2;20507970:3;21627287:3;7709716;20758712;20942476</vt:lpwstr>
  </property>
  <property fmtid="{D5CDD505-2E9C-101B-9397-08002B2CF9AE}" pid="16" name="WORDNUMPAGES">
    <vt:lpwstr>5</vt:lpwstr>
  </property>
  <property fmtid="{D5CDD505-2E9C-101B-9397-08002B2CF9AE}" pid="17" name="TYPE_ABS_DATE">
    <vt:lpwstr>380020170302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4216/007.a:4;007.c:4;010:2</vt:lpwstr>
  </property>
  <property fmtid="{D5CDD505-2E9C-101B-9397-08002B2CF9AE}" pid="36" name="LAWLISTTMP2">
    <vt:lpwstr>70301/244:2;025:2;287.a:2;381.a.2:2;384:2;413:2</vt:lpwstr>
  </property>
  <property fmtid="{D5CDD505-2E9C-101B-9397-08002B2CF9AE}" pid="37" name="ISABSTRACT">
    <vt:lpwstr>Y</vt:lpwstr>
  </property>
</Properties>
</file>