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FC67A1" w:rsidRPr="000437CC" w14:paraId="4114FA83" w14:textId="77777777" w:rsidTr="000437CC">
        <w:trPr>
          <w:trHeight w:hRule="exact" w:val="418"/>
          <w:jc w:val="center"/>
        </w:trPr>
        <w:tc>
          <w:tcPr>
            <w:tcW w:w="8720" w:type="dxa"/>
            <w:gridSpan w:val="3"/>
          </w:tcPr>
          <w:p w14:paraId="515B92A1" w14:textId="77777777" w:rsidR="00FC67A1" w:rsidRPr="000437CC" w:rsidRDefault="00FC67A1" w:rsidP="000437CC">
            <w:pPr>
              <w:pStyle w:val="a4"/>
              <w:tabs>
                <w:tab w:val="clear" w:pos="8306"/>
              </w:tabs>
              <w:jc w:val="center"/>
              <w:rPr>
                <w:rFonts w:ascii="Tahoma" w:hAnsi="Tahoma" w:cs="Tahoma"/>
                <w:b/>
                <w:bCs/>
                <w:color w:val="000080"/>
                <w:sz w:val="20"/>
                <w:szCs w:val="20"/>
                <w:rtl/>
              </w:rPr>
            </w:pPr>
            <w:bookmarkStart w:id="0" w:name="LastJudge"/>
            <w:r w:rsidRPr="000437CC">
              <w:rPr>
                <w:rFonts w:ascii="Tahoma" w:hAnsi="Tahoma" w:cs="Tahoma"/>
                <w:b/>
                <w:bCs/>
                <w:color w:val="000080"/>
                <w:sz w:val="20"/>
                <w:szCs w:val="20"/>
                <w:rtl/>
              </w:rPr>
              <w:t>בית משפט השלום בנתניה</w:t>
            </w:r>
          </w:p>
        </w:tc>
      </w:tr>
      <w:tr w:rsidR="00FC67A1" w:rsidRPr="000437CC" w14:paraId="45C26A07" w14:textId="77777777" w:rsidTr="000437CC">
        <w:trPr>
          <w:trHeight w:val="337"/>
          <w:jc w:val="center"/>
        </w:trPr>
        <w:tc>
          <w:tcPr>
            <w:tcW w:w="6396" w:type="dxa"/>
          </w:tcPr>
          <w:p w14:paraId="5CDB4D21" w14:textId="77777777" w:rsidR="00FC67A1" w:rsidRPr="000437CC" w:rsidRDefault="00FC67A1" w:rsidP="000437CC">
            <w:pPr>
              <w:rPr>
                <w:b/>
                <w:bCs/>
                <w:sz w:val="26"/>
                <w:szCs w:val="26"/>
                <w:rtl/>
              </w:rPr>
            </w:pPr>
            <w:r w:rsidRPr="000437CC">
              <w:rPr>
                <w:b/>
                <w:bCs/>
                <w:sz w:val="26"/>
                <w:szCs w:val="26"/>
                <w:rtl/>
              </w:rPr>
              <w:t>ת"פ</w:t>
            </w:r>
            <w:r w:rsidRPr="000437CC">
              <w:rPr>
                <w:rFonts w:hint="cs"/>
                <w:b/>
                <w:bCs/>
                <w:sz w:val="26"/>
                <w:szCs w:val="26"/>
                <w:rtl/>
              </w:rPr>
              <w:t xml:space="preserve"> </w:t>
            </w:r>
            <w:r w:rsidRPr="000437CC">
              <w:rPr>
                <w:b/>
                <w:bCs/>
                <w:sz w:val="26"/>
                <w:szCs w:val="26"/>
                <w:rtl/>
              </w:rPr>
              <w:t>39075-12-15</w:t>
            </w:r>
            <w:r w:rsidRPr="000437CC">
              <w:rPr>
                <w:rFonts w:hint="cs"/>
                <w:b/>
                <w:bCs/>
                <w:sz w:val="26"/>
                <w:szCs w:val="26"/>
                <w:rtl/>
              </w:rPr>
              <w:t xml:space="preserve"> </w:t>
            </w:r>
            <w:r w:rsidRPr="000437CC">
              <w:rPr>
                <w:b/>
                <w:bCs/>
                <w:sz w:val="26"/>
                <w:szCs w:val="26"/>
                <w:rtl/>
              </w:rPr>
              <w:t>מדינת ישראל נ' סובולב</w:t>
            </w:r>
          </w:p>
          <w:p w14:paraId="642AC726" w14:textId="77777777" w:rsidR="00FC67A1" w:rsidRPr="000437CC" w:rsidRDefault="00FC67A1" w:rsidP="000437CC">
            <w:pPr>
              <w:rPr>
                <w:b/>
                <w:bCs/>
                <w:sz w:val="26"/>
                <w:szCs w:val="26"/>
                <w:rtl/>
              </w:rPr>
            </w:pPr>
          </w:p>
        </w:tc>
        <w:tc>
          <w:tcPr>
            <w:tcW w:w="236" w:type="dxa"/>
          </w:tcPr>
          <w:p w14:paraId="5826E6AD" w14:textId="77777777" w:rsidR="00FC67A1" w:rsidRPr="000437CC" w:rsidRDefault="00FC67A1" w:rsidP="000437CC">
            <w:pPr>
              <w:pStyle w:val="a4"/>
              <w:jc w:val="right"/>
              <w:rPr>
                <w:b/>
                <w:bCs/>
                <w:sz w:val="26"/>
                <w:szCs w:val="26"/>
                <w:rtl/>
              </w:rPr>
            </w:pPr>
          </w:p>
        </w:tc>
        <w:tc>
          <w:tcPr>
            <w:tcW w:w="2088" w:type="dxa"/>
          </w:tcPr>
          <w:p w14:paraId="676C6DEF" w14:textId="77777777" w:rsidR="00FC67A1" w:rsidRPr="000437CC" w:rsidRDefault="00FC67A1" w:rsidP="000437CC">
            <w:pPr>
              <w:pStyle w:val="a4"/>
              <w:tabs>
                <w:tab w:val="clear" w:pos="4153"/>
              </w:tabs>
              <w:jc w:val="right"/>
              <w:rPr>
                <w:b/>
                <w:bCs/>
                <w:sz w:val="26"/>
                <w:szCs w:val="26"/>
                <w:rtl/>
              </w:rPr>
            </w:pPr>
            <w:r w:rsidRPr="000437CC">
              <w:rPr>
                <w:b/>
                <w:bCs/>
                <w:sz w:val="26"/>
                <w:szCs w:val="26"/>
                <w:rtl/>
              </w:rPr>
              <w:t>18 ינואר 2017</w:t>
            </w:r>
          </w:p>
        </w:tc>
      </w:tr>
    </w:tbl>
    <w:p w14:paraId="4E6A6037" w14:textId="77777777" w:rsidR="00FC67A1" w:rsidRPr="000437CC" w:rsidRDefault="00FC67A1" w:rsidP="00FC67A1">
      <w:pPr>
        <w:pStyle w:val="a4"/>
        <w:jc w:val="center"/>
        <w:rPr>
          <w:rFonts w:ascii="Tahoma" w:hAnsi="Tahoma" w:cs="Tahoma"/>
          <w:b/>
          <w:bCs/>
          <w:color w:val="000080"/>
          <w:sz w:val="20"/>
          <w:szCs w:val="20"/>
          <w:rtl/>
        </w:rPr>
      </w:pPr>
    </w:p>
    <w:p w14:paraId="61F9F75E" w14:textId="77777777" w:rsidR="00FC67A1" w:rsidRPr="000437CC" w:rsidRDefault="00FC67A1" w:rsidP="00FC67A1">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FC67A1" w:rsidRPr="000437CC" w14:paraId="0FF7417D" w14:textId="77777777" w:rsidTr="000437CC">
        <w:trPr>
          <w:trHeight w:val="337"/>
          <w:jc w:val="center"/>
        </w:trPr>
        <w:tc>
          <w:tcPr>
            <w:tcW w:w="1592" w:type="dxa"/>
          </w:tcPr>
          <w:p w14:paraId="4D93C5BD" w14:textId="77777777" w:rsidR="00FC67A1" w:rsidRPr="000437CC" w:rsidRDefault="00FC67A1" w:rsidP="000437CC">
            <w:pPr>
              <w:pStyle w:val="a4"/>
              <w:bidi w:val="0"/>
              <w:spacing w:line="360" w:lineRule="auto"/>
              <w:jc w:val="both"/>
              <w:rPr>
                <w:rFonts w:ascii="Times New Roman" w:hAnsi="Times New Roman"/>
              </w:rPr>
            </w:pPr>
            <w:r w:rsidRPr="000437CC">
              <w:rPr>
                <w:rFonts w:ascii="Times New Roman" w:hAnsi="Times New Roman"/>
              </w:rPr>
              <w:t xml:space="preserve">  </w:t>
            </w:r>
          </w:p>
        </w:tc>
        <w:tc>
          <w:tcPr>
            <w:tcW w:w="7128" w:type="dxa"/>
          </w:tcPr>
          <w:p w14:paraId="3915AF6A" w14:textId="77777777" w:rsidR="00FC67A1" w:rsidRPr="000437CC" w:rsidRDefault="00FC67A1" w:rsidP="000437CC">
            <w:pPr>
              <w:pStyle w:val="a4"/>
              <w:jc w:val="right"/>
              <w:rPr>
                <w:rtl/>
              </w:rPr>
            </w:pPr>
            <w:r w:rsidRPr="000437CC">
              <w:rPr>
                <w:rFonts w:hint="cs"/>
                <w:rtl/>
              </w:rPr>
              <w:t xml:space="preserve"> </w:t>
            </w:r>
          </w:p>
        </w:tc>
      </w:tr>
      <w:tr w:rsidR="00FC67A1" w:rsidRPr="000437CC" w14:paraId="0C345AD5" w14:textId="77777777" w:rsidTr="000437CC">
        <w:trPr>
          <w:trHeight w:val="337"/>
          <w:jc w:val="center"/>
        </w:trPr>
        <w:tc>
          <w:tcPr>
            <w:tcW w:w="1592" w:type="dxa"/>
          </w:tcPr>
          <w:p w14:paraId="1B9812EF" w14:textId="77777777" w:rsidR="00FC67A1" w:rsidRPr="000437CC" w:rsidRDefault="00FC67A1" w:rsidP="000437CC">
            <w:pPr>
              <w:pStyle w:val="a4"/>
              <w:bidi w:val="0"/>
              <w:jc w:val="both"/>
              <w:rPr>
                <w:rFonts w:ascii="Times New Roman" w:hAnsi="Times New Roman"/>
              </w:rPr>
            </w:pPr>
          </w:p>
        </w:tc>
        <w:tc>
          <w:tcPr>
            <w:tcW w:w="7128" w:type="dxa"/>
          </w:tcPr>
          <w:p w14:paraId="341B08FB" w14:textId="77777777" w:rsidR="00FC67A1" w:rsidRPr="000437CC" w:rsidRDefault="00FC67A1" w:rsidP="000437CC">
            <w:pPr>
              <w:pStyle w:val="a4"/>
              <w:rPr>
                <w:b/>
                <w:bCs/>
                <w:sz w:val="4"/>
                <w:szCs w:val="4"/>
                <w:rtl/>
              </w:rPr>
            </w:pPr>
            <w:r w:rsidRPr="000437CC">
              <w:rPr>
                <w:rFonts w:hint="cs"/>
                <w:b/>
                <w:bCs/>
                <w:rtl/>
              </w:rPr>
              <w:t xml:space="preserve">                      </w:t>
            </w:r>
            <w:r w:rsidRPr="000437CC">
              <w:rPr>
                <w:b/>
                <w:bCs/>
                <w:rtl/>
              </w:rPr>
              <w:t xml:space="preserve"> </w:t>
            </w:r>
            <w:r w:rsidRPr="000437CC">
              <w:rPr>
                <w:rFonts w:hint="cs"/>
                <w:b/>
                <w:bCs/>
                <w:rtl/>
              </w:rPr>
              <w:t>מספר פל"א 532969/2015</w:t>
            </w:r>
          </w:p>
        </w:tc>
      </w:tr>
      <w:tr w:rsidR="00FC67A1" w:rsidRPr="000437CC" w14:paraId="5EB03B5C" w14:textId="77777777" w:rsidTr="000437CC">
        <w:trPr>
          <w:trHeight w:val="337"/>
          <w:jc w:val="center"/>
        </w:trPr>
        <w:tc>
          <w:tcPr>
            <w:tcW w:w="1592" w:type="dxa"/>
          </w:tcPr>
          <w:p w14:paraId="4F8D4218" w14:textId="77777777" w:rsidR="00FC67A1" w:rsidRPr="000437CC" w:rsidRDefault="00FC67A1" w:rsidP="000437CC">
            <w:pPr>
              <w:pStyle w:val="a4"/>
              <w:bidi w:val="0"/>
              <w:jc w:val="both"/>
              <w:rPr>
                <w:rFonts w:ascii="Times New Roman" w:hAnsi="Times New Roman"/>
              </w:rPr>
            </w:pPr>
          </w:p>
        </w:tc>
        <w:tc>
          <w:tcPr>
            <w:tcW w:w="7128" w:type="dxa"/>
          </w:tcPr>
          <w:p w14:paraId="792D6CB4" w14:textId="77777777" w:rsidR="00FC67A1" w:rsidRPr="000437CC" w:rsidRDefault="00FC67A1" w:rsidP="000437CC">
            <w:pPr>
              <w:pStyle w:val="a4"/>
              <w:jc w:val="right"/>
              <w:rPr>
                <w:rtl/>
              </w:rPr>
            </w:pPr>
          </w:p>
        </w:tc>
      </w:tr>
    </w:tbl>
    <w:p w14:paraId="29E22FEF" w14:textId="77777777" w:rsidR="00FC67A1" w:rsidRPr="000437CC" w:rsidRDefault="00FC67A1" w:rsidP="00FC67A1">
      <w:pPr>
        <w:suppressLineNumbers/>
        <w:rPr>
          <w:rFonts w:ascii="Arial" w:hAnsi="Arial"/>
          <w:rtl/>
        </w:rPr>
      </w:pPr>
    </w:p>
    <w:p w14:paraId="6555B2CC" w14:textId="77777777" w:rsidR="00FC67A1" w:rsidRPr="000437CC" w:rsidRDefault="00FC67A1" w:rsidP="00FC67A1">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FC67A1" w:rsidRPr="000437CC" w14:paraId="1120FF35" w14:textId="77777777" w:rsidTr="000437CC">
        <w:trPr>
          <w:gridAfter w:val="1"/>
          <w:wAfter w:w="56" w:type="dxa"/>
        </w:trPr>
        <w:tc>
          <w:tcPr>
            <w:tcW w:w="8718" w:type="dxa"/>
            <w:gridSpan w:val="2"/>
            <w:shd w:val="clear" w:color="auto" w:fill="auto"/>
          </w:tcPr>
          <w:p w14:paraId="23B9272F" w14:textId="77777777" w:rsidR="00FC67A1" w:rsidRPr="000437CC" w:rsidRDefault="00FC67A1" w:rsidP="000437CC">
            <w:pPr>
              <w:rPr>
                <w:rFonts w:ascii="Times New Roman" w:eastAsia="Times New Roman" w:hAnsi="Times New Roman"/>
                <w:b/>
                <w:bCs/>
                <w:sz w:val="26"/>
                <w:szCs w:val="26"/>
                <w:rtl/>
              </w:rPr>
            </w:pPr>
            <w:r w:rsidRPr="000437CC">
              <w:rPr>
                <w:rFonts w:ascii="Times New Roman" w:eastAsia="Times New Roman" w:hAnsi="Times New Roman" w:hint="cs"/>
                <w:b/>
                <w:bCs/>
                <w:sz w:val="26"/>
                <w:szCs w:val="26"/>
                <w:rtl/>
              </w:rPr>
              <w:t>לפני כבוד ה</w:t>
            </w:r>
            <w:r w:rsidRPr="000437CC">
              <w:rPr>
                <w:rFonts w:ascii="Times New Roman" w:eastAsia="Times New Roman" w:hAnsi="Times New Roman" w:hint="cs"/>
                <w:rtl/>
              </w:rPr>
              <w:t>שופטת הדס רוזנברג שיינרט</w:t>
            </w:r>
            <w:r w:rsidRPr="000437CC">
              <w:rPr>
                <w:rStyle w:val="TimesNewRomanTimesNewRoman"/>
                <w:rFonts w:eastAsia="Times New Roman"/>
                <w:rtl/>
              </w:rPr>
              <w:t xml:space="preserve"> </w:t>
            </w:r>
          </w:p>
        </w:tc>
      </w:tr>
      <w:tr w:rsidR="00FC67A1" w:rsidRPr="000437CC" w14:paraId="3A7A53A7" w14:textId="77777777" w:rsidTr="000437CC">
        <w:trPr>
          <w:cantSplit/>
          <w:trHeight w:val="724"/>
        </w:trPr>
        <w:tc>
          <w:tcPr>
            <w:tcW w:w="2880" w:type="dxa"/>
            <w:shd w:val="clear" w:color="auto" w:fill="auto"/>
          </w:tcPr>
          <w:p w14:paraId="39EB5285" w14:textId="77777777" w:rsidR="00FC67A1" w:rsidRPr="000437CC" w:rsidRDefault="00FC67A1" w:rsidP="000437CC">
            <w:pPr>
              <w:ind w:left="26"/>
              <w:rPr>
                <w:rFonts w:ascii="Times New Roman" w:eastAsia="Times New Roman" w:hAnsi="Times New Roman"/>
                <w:b/>
                <w:bCs/>
                <w:sz w:val="26"/>
                <w:szCs w:val="26"/>
                <w:rtl/>
              </w:rPr>
            </w:pPr>
            <w:bookmarkStart w:id="1" w:name="FirstAppellant"/>
          </w:p>
          <w:p w14:paraId="13C98FFC" w14:textId="77777777" w:rsidR="00FC67A1" w:rsidRPr="000437CC" w:rsidRDefault="00FC67A1" w:rsidP="000437CC">
            <w:pPr>
              <w:ind w:left="26"/>
              <w:rPr>
                <w:rFonts w:ascii="Times New Roman" w:eastAsia="Times New Roman" w:hAnsi="Times New Roman"/>
                <w:b/>
                <w:bCs/>
                <w:sz w:val="26"/>
                <w:szCs w:val="26"/>
                <w:rtl/>
              </w:rPr>
            </w:pPr>
            <w:r w:rsidRPr="000437CC">
              <w:rPr>
                <w:rFonts w:ascii="Times New Roman" w:eastAsia="Times New Roman" w:hAnsi="Times New Roman" w:hint="cs"/>
                <w:b/>
                <w:bCs/>
                <w:sz w:val="26"/>
                <w:szCs w:val="26"/>
                <w:rtl/>
              </w:rPr>
              <w:t>המאשימה</w:t>
            </w:r>
          </w:p>
        </w:tc>
        <w:tc>
          <w:tcPr>
            <w:tcW w:w="5922" w:type="dxa"/>
            <w:gridSpan w:val="2"/>
            <w:shd w:val="clear" w:color="auto" w:fill="auto"/>
          </w:tcPr>
          <w:p w14:paraId="36A57DF4" w14:textId="77777777" w:rsidR="00FC67A1" w:rsidRPr="000437CC" w:rsidRDefault="00FC67A1" w:rsidP="000437CC">
            <w:pPr>
              <w:rPr>
                <w:rFonts w:ascii="Times New Roman" w:eastAsia="Times New Roman" w:hAnsi="Times New Roman" w:cs="Times New Roman"/>
                <w:rtl/>
              </w:rPr>
            </w:pPr>
          </w:p>
          <w:p w14:paraId="05DDD774" w14:textId="77777777" w:rsidR="00FC67A1" w:rsidRPr="000437CC" w:rsidRDefault="00FC67A1" w:rsidP="000437CC">
            <w:pPr>
              <w:rPr>
                <w:rFonts w:ascii="Times New Roman" w:eastAsia="Times New Roman" w:hAnsi="Times New Roman"/>
                <w:b/>
                <w:bCs/>
                <w:sz w:val="26"/>
                <w:szCs w:val="26"/>
                <w:rtl/>
              </w:rPr>
            </w:pPr>
            <w:r w:rsidRPr="000437CC">
              <w:rPr>
                <w:rFonts w:ascii="Times New Roman" w:eastAsia="Times New Roman" w:hAnsi="Times New Roman" w:cs="Times New Roman" w:hint="cs"/>
                <w:rtl/>
              </w:rPr>
              <w:t xml:space="preserve"> </w:t>
            </w:r>
            <w:r w:rsidRPr="000437CC">
              <w:rPr>
                <w:rFonts w:ascii="Times New Roman" w:eastAsia="Times New Roman" w:hAnsi="Times New Roman" w:hint="cs"/>
                <w:rtl/>
              </w:rPr>
              <w:t>מדינת ישראל</w:t>
            </w:r>
          </w:p>
          <w:p w14:paraId="2A9F4081" w14:textId="77777777" w:rsidR="00FC67A1" w:rsidRPr="000437CC" w:rsidRDefault="00FC67A1" w:rsidP="000437CC">
            <w:pPr>
              <w:rPr>
                <w:rFonts w:ascii="Times New Roman" w:eastAsia="Times New Roman" w:hAnsi="Times New Roman"/>
                <w:b/>
                <w:bCs/>
                <w:sz w:val="26"/>
                <w:szCs w:val="26"/>
                <w:rtl/>
              </w:rPr>
            </w:pPr>
          </w:p>
        </w:tc>
      </w:tr>
      <w:bookmarkEnd w:id="1"/>
      <w:tr w:rsidR="00FC67A1" w:rsidRPr="000437CC" w14:paraId="28CCEBEC" w14:textId="77777777" w:rsidTr="000437CC">
        <w:tc>
          <w:tcPr>
            <w:tcW w:w="8802" w:type="dxa"/>
            <w:gridSpan w:val="3"/>
            <w:shd w:val="clear" w:color="auto" w:fill="auto"/>
            <w:vAlign w:val="center"/>
          </w:tcPr>
          <w:p w14:paraId="01E80FC1" w14:textId="77777777" w:rsidR="00FC67A1" w:rsidRPr="000437CC" w:rsidRDefault="00FC67A1" w:rsidP="000437CC">
            <w:pPr>
              <w:jc w:val="center"/>
              <w:rPr>
                <w:rFonts w:ascii="Arial" w:eastAsia="Times New Roman" w:hAnsi="Arial"/>
                <w:b/>
                <w:bCs/>
                <w:sz w:val="26"/>
                <w:szCs w:val="26"/>
                <w:rtl/>
              </w:rPr>
            </w:pPr>
            <w:r w:rsidRPr="000437CC">
              <w:rPr>
                <w:rFonts w:ascii="Arial" w:eastAsia="Times New Roman" w:hAnsi="Arial"/>
                <w:b/>
                <w:bCs/>
                <w:sz w:val="26"/>
                <w:szCs w:val="26"/>
                <w:rtl/>
              </w:rPr>
              <w:t>נגד</w:t>
            </w:r>
          </w:p>
          <w:p w14:paraId="3EB109AC" w14:textId="77777777" w:rsidR="00FC67A1" w:rsidRPr="000437CC" w:rsidRDefault="00FC67A1" w:rsidP="000437CC">
            <w:pPr>
              <w:rPr>
                <w:rFonts w:ascii="Arial" w:eastAsia="Times New Roman" w:hAnsi="Arial"/>
                <w:b/>
                <w:bCs/>
                <w:sz w:val="26"/>
                <w:szCs w:val="26"/>
              </w:rPr>
            </w:pPr>
          </w:p>
        </w:tc>
      </w:tr>
      <w:tr w:rsidR="00FC67A1" w:rsidRPr="000437CC" w14:paraId="378E232E" w14:textId="77777777" w:rsidTr="000437CC">
        <w:tc>
          <w:tcPr>
            <w:tcW w:w="2880" w:type="dxa"/>
            <w:shd w:val="clear" w:color="auto" w:fill="auto"/>
          </w:tcPr>
          <w:p w14:paraId="58837E72" w14:textId="77777777" w:rsidR="00FC67A1" w:rsidRPr="000437CC" w:rsidRDefault="00FC67A1" w:rsidP="000437CC">
            <w:pPr>
              <w:ind w:left="26"/>
              <w:rPr>
                <w:rFonts w:ascii="Times New Roman" w:eastAsia="Times New Roman" w:hAnsi="Times New Roman"/>
                <w:b/>
                <w:bCs/>
                <w:sz w:val="26"/>
                <w:szCs w:val="26"/>
                <w:rtl/>
              </w:rPr>
            </w:pPr>
            <w:r w:rsidRPr="000437CC">
              <w:rPr>
                <w:rFonts w:ascii="Times New Roman" w:eastAsia="Times New Roman" w:hAnsi="Times New Roman" w:hint="cs"/>
                <w:b/>
                <w:bCs/>
                <w:sz w:val="26"/>
                <w:szCs w:val="26"/>
                <w:rtl/>
              </w:rPr>
              <w:t>הנאשם</w:t>
            </w:r>
          </w:p>
        </w:tc>
        <w:tc>
          <w:tcPr>
            <w:tcW w:w="5922" w:type="dxa"/>
            <w:gridSpan w:val="2"/>
            <w:shd w:val="clear" w:color="auto" w:fill="auto"/>
          </w:tcPr>
          <w:p w14:paraId="4796C0B8" w14:textId="77777777" w:rsidR="00FC67A1" w:rsidRPr="000437CC" w:rsidRDefault="00FC67A1" w:rsidP="000437CC">
            <w:pPr>
              <w:rPr>
                <w:rFonts w:ascii="Times New Roman" w:eastAsia="Times New Roman" w:hAnsi="Times New Roman"/>
                <w:b/>
                <w:bCs/>
                <w:sz w:val="26"/>
                <w:szCs w:val="26"/>
                <w:rtl/>
              </w:rPr>
            </w:pPr>
            <w:r w:rsidRPr="000437CC">
              <w:rPr>
                <w:rFonts w:ascii="Times New Roman" w:eastAsia="Times New Roman" w:hAnsi="Times New Roman" w:cs="Times New Roman" w:hint="cs"/>
                <w:rtl/>
              </w:rPr>
              <w:t xml:space="preserve"> </w:t>
            </w:r>
            <w:r w:rsidRPr="000437CC">
              <w:rPr>
                <w:rFonts w:ascii="Times New Roman" w:eastAsia="Times New Roman" w:hAnsi="Times New Roman" w:hint="cs"/>
                <w:rtl/>
              </w:rPr>
              <w:t>אילן סובולב</w:t>
            </w:r>
            <w:r w:rsidRPr="000437CC">
              <w:rPr>
                <w:rFonts w:ascii="Times New Roman" w:eastAsia="Times New Roman" w:hAnsi="Times New Roman" w:cs="Times New Roman" w:hint="cs"/>
                <w:rtl/>
              </w:rPr>
              <w:t xml:space="preserve"> </w:t>
            </w:r>
            <w:r w:rsidRPr="000437CC">
              <w:rPr>
                <w:rFonts w:ascii="Times New Roman" w:eastAsia="Times New Roman" w:hAnsi="Times New Roman" w:hint="cs"/>
                <w:b/>
                <w:bCs/>
                <w:sz w:val="26"/>
                <w:szCs w:val="26"/>
                <w:rtl/>
              </w:rPr>
              <w:t>ת.ז.</w:t>
            </w:r>
            <w:r w:rsidRPr="000437CC">
              <w:rPr>
                <w:rFonts w:ascii="Times New Roman" w:eastAsia="Times New Roman" w:hAnsi="Times New Roman"/>
                <w:b/>
                <w:bCs/>
                <w:sz w:val="26"/>
                <w:szCs w:val="26"/>
                <w:rtl/>
              </w:rPr>
              <w:t xml:space="preserve"> </w:t>
            </w:r>
            <w:r w:rsidRPr="000437CC">
              <w:rPr>
                <w:rFonts w:ascii="Times New Roman" w:eastAsia="Times New Roman" w:hAnsi="Times New Roman" w:hint="cs"/>
                <w:b/>
                <w:bCs/>
                <w:sz w:val="26"/>
                <w:szCs w:val="26"/>
                <w:rtl/>
              </w:rPr>
              <w:t xml:space="preserve"> </w:t>
            </w:r>
            <w:r w:rsidR="000437CC">
              <w:rPr>
                <w:rFonts w:ascii="Times New Roman" w:eastAsia="Times New Roman" w:hAnsi="Times New Roman"/>
                <w:b/>
                <w:bCs/>
                <w:sz w:val="26"/>
                <w:szCs w:val="26"/>
              </w:rPr>
              <w:t>xxxxxxxxxx</w:t>
            </w:r>
          </w:p>
          <w:p w14:paraId="7D6C1C7F" w14:textId="77777777" w:rsidR="00FC67A1" w:rsidRPr="000437CC" w:rsidRDefault="00FC67A1" w:rsidP="000437CC">
            <w:pPr>
              <w:rPr>
                <w:rFonts w:ascii="Times New Roman" w:eastAsia="Times New Roman" w:hAnsi="Times New Roman"/>
                <w:b/>
                <w:bCs/>
                <w:sz w:val="26"/>
                <w:szCs w:val="26"/>
                <w:rtl/>
              </w:rPr>
            </w:pPr>
          </w:p>
        </w:tc>
      </w:tr>
    </w:tbl>
    <w:p w14:paraId="62E87D0A" w14:textId="77777777" w:rsidR="00FC67A1" w:rsidRPr="000437CC" w:rsidRDefault="00FC67A1" w:rsidP="00FC67A1">
      <w:pPr>
        <w:spacing w:line="360" w:lineRule="auto"/>
        <w:jc w:val="both"/>
        <w:rPr>
          <w:sz w:val="6"/>
          <w:szCs w:val="6"/>
          <w:rtl/>
        </w:rPr>
      </w:pPr>
      <w:r w:rsidRPr="000437CC">
        <w:rPr>
          <w:sz w:val="6"/>
          <w:szCs w:val="6"/>
          <w:rtl/>
        </w:rPr>
        <w:t>&lt;#1#&gt;</w:t>
      </w:r>
    </w:p>
    <w:p w14:paraId="0C11E6F7" w14:textId="77777777" w:rsidR="00FC67A1" w:rsidRPr="000437CC" w:rsidRDefault="00FC67A1" w:rsidP="00FC67A1">
      <w:pPr>
        <w:rPr>
          <w:rFonts w:ascii="Calibri" w:eastAsia="Times New Roman" w:hAnsi="Calibri"/>
          <w:b/>
          <w:bCs/>
          <w:rtl/>
        </w:rPr>
      </w:pPr>
      <w:r w:rsidRPr="000437CC">
        <w:rPr>
          <w:rFonts w:ascii="Calibri" w:eastAsia="Times New Roman" w:hAnsi="Calibri" w:hint="eastAsia"/>
          <w:b/>
          <w:bCs/>
          <w:rtl/>
        </w:rPr>
        <w:t>נוכחים</w:t>
      </w:r>
      <w:r w:rsidRPr="000437CC">
        <w:rPr>
          <w:rFonts w:ascii="Calibri" w:eastAsia="Times New Roman" w:hAnsi="Calibri"/>
          <w:b/>
          <w:bCs/>
          <w:rtl/>
        </w:rPr>
        <w:t>:</w:t>
      </w:r>
    </w:p>
    <w:p w14:paraId="25D64EA6" w14:textId="77777777" w:rsidR="00FC67A1" w:rsidRPr="000437CC" w:rsidRDefault="00FC67A1" w:rsidP="00FC67A1">
      <w:pPr>
        <w:rPr>
          <w:rFonts w:ascii="Calibri" w:eastAsia="Times New Roman" w:hAnsi="Calibri"/>
          <w:rtl/>
        </w:rPr>
      </w:pPr>
      <w:bookmarkStart w:id="2" w:name="FirstLawyer"/>
      <w:r w:rsidRPr="000437CC">
        <w:rPr>
          <w:rFonts w:ascii="Calibri" w:eastAsia="Times New Roman" w:hAnsi="Calibri" w:hint="eastAsia"/>
          <w:rtl/>
        </w:rPr>
        <w:t>ב</w:t>
      </w:r>
      <w:r w:rsidRPr="000437CC">
        <w:rPr>
          <w:rFonts w:ascii="Calibri" w:eastAsia="Times New Roman" w:hAnsi="Calibri"/>
          <w:rtl/>
        </w:rPr>
        <w:t>"</w:t>
      </w:r>
      <w:r w:rsidRPr="000437CC">
        <w:rPr>
          <w:rFonts w:ascii="Calibri" w:eastAsia="Times New Roman" w:hAnsi="Calibri" w:hint="eastAsia"/>
          <w:rtl/>
        </w:rPr>
        <w:t>כ</w:t>
      </w:r>
      <w:bookmarkEnd w:id="2"/>
      <w:r w:rsidRPr="000437CC">
        <w:rPr>
          <w:rFonts w:ascii="Calibri" w:eastAsia="Times New Roman" w:hAnsi="Calibri"/>
          <w:rtl/>
        </w:rPr>
        <w:t xml:space="preserve"> </w:t>
      </w:r>
      <w:r w:rsidRPr="000437CC">
        <w:rPr>
          <w:rFonts w:ascii="Calibri" w:eastAsia="Times New Roman" w:hAnsi="Calibri" w:hint="eastAsia"/>
          <w:rtl/>
        </w:rPr>
        <w:t>המאשימה</w:t>
      </w:r>
      <w:r w:rsidRPr="000437CC">
        <w:rPr>
          <w:rFonts w:ascii="Calibri" w:eastAsia="Times New Roman" w:hAnsi="Calibri"/>
          <w:rtl/>
        </w:rPr>
        <w:t xml:space="preserve"> </w:t>
      </w:r>
      <w:r w:rsidRPr="000437CC">
        <w:rPr>
          <w:rFonts w:ascii="Calibri" w:eastAsia="Times New Roman" w:hAnsi="Calibri" w:hint="eastAsia"/>
          <w:rtl/>
        </w:rPr>
        <w:t>מתמחה</w:t>
      </w:r>
      <w:r w:rsidRPr="000437CC">
        <w:rPr>
          <w:rFonts w:ascii="Calibri" w:eastAsia="Times New Roman" w:hAnsi="Calibri"/>
          <w:rtl/>
        </w:rPr>
        <w:t xml:space="preserve"> </w:t>
      </w:r>
      <w:r w:rsidRPr="000437CC">
        <w:rPr>
          <w:rFonts w:ascii="Calibri" w:eastAsia="Times New Roman" w:hAnsi="Calibri" w:hint="eastAsia"/>
          <w:rtl/>
        </w:rPr>
        <w:t>גב</w:t>
      </w:r>
      <w:r w:rsidRPr="000437CC">
        <w:rPr>
          <w:rFonts w:ascii="Calibri" w:eastAsia="Times New Roman" w:hAnsi="Calibri"/>
          <w:rtl/>
        </w:rPr>
        <w:t xml:space="preserve">' </w:t>
      </w:r>
      <w:r w:rsidRPr="000437CC">
        <w:rPr>
          <w:rFonts w:ascii="Calibri" w:eastAsia="Times New Roman" w:hAnsi="Calibri" w:hint="eastAsia"/>
          <w:rtl/>
        </w:rPr>
        <w:t>ברלין</w:t>
      </w:r>
      <w:r w:rsidRPr="000437CC">
        <w:rPr>
          <w:rFonts w:ascii="Calibri" w:eastAsia="Times New Roman" w:hAnsi="Calibri"/>
          <w:rtl/>
        </w:rPr>
        <w:t xml:space="preserve"> </w:t>
      </w:r>
    </w:p>
    <w:p w14:paraId="299403A2" w14:textId="77777777" w:rsidR="00FC67A1" w:rsidRPr="000437CC" w:rsidRDefault="00FC67A1" w:rsidP="00FC67A1">
      <w:pPr>
        <w:rPr>
          <w:rFonts w:ascii="Calibri" w:eastAsia="Times New Roman" w:hAnsi="Calibri"/>
          <w:rtl/>
        </w:rPr>
      </w:pPr>
      <w:r w:rsidRPr="000437CC">
        <w:rPr>
          <w:rFonts w:ascii="Calibri" w:eastAsia="Times New Roman" w:hAnsi="Calibri" w:hint="eastAsia"/>
          <w:rtl/>
        </w:rPr>
        <w:t>הנאשם</w:t>
      </w:r>
      <w:r w:rsidRPr="000437CC">
        <w:rPr>
          <w:rFonts w:ascii="Calibri" w:eastAsia="Times New Roman" w:hAnsi="Calibri"/>
          <w:rtl/>
        </w:rPr>
        <w:t xml:space="preserve"> </w:t>
      </w:r>
      <w:r w:rsidRPr="000437CC">
        <w:rPr>
          <w:rFonts w:ascii="Calibri" w:eastAsia="Times New Roman" w:hAnsi="Calibri" w:hint="eastAsia"/>
          <w:rtl/>
        </w:rPr>
        <w:t>ובא</w:t>
      </w:r>
      <w:r w:rsidRPr="000437CC">
        <w:rPr>
          <w:rFonts w:ascii="Calibri" w:eastAsia="Times New Roman" w:hAnsi="Calibri" w:hint="cs"/>
          <w:rtl/>
        </w:rPr>
        <w:t>י כוחו עו"ד כבריאן ועו"ד יניב פרץ</w:t>
      </w:r>
    </w:p>
    <w:p w14:paraId="2E5C22B6" w14:textId="77777777" w:rsidR="00FC67A1" w:rsidRPr="000437CC" w:rsidRDefault="00FC67A1" w:rsidP="00FC67A1">
      <w:pPr>
        <w:pStyle w:val="12"/>
        <w:rPr>
          <w:b w:val="0"/>
          <w:bCs w:val="0"/>
          <w:u w:val="none"/>
          <w:rtl/>
        </w:rPr>
      </w:pPr>
    </w:p>
    <w:p w14:paraId="1FAC7730" w14:textId="77777777" w:rsidR="00FC67A1" w:rsidRPr="000437CC" w:rsidRDefault="00FC67A1" w:rsidP="00FC67A1">
      <w:pPr>
        <w:pStyle w:val="12"/>
        <w:rPr>
          <w:b w:val="0"/>
          <w:bCs w:val="0"/>
          <w:u w:val="none"/>
          <w:rtl/>
        </w:rPr>
      </w:pPr>
    </w:p>
    <w:p w14:paraId="36652276" w14:textId="77777777" w:rsidR="00BD04F4" w:rsidRDefault="00FC67A1" w:rsidP="00FC67A1">
      <w:pPr>
        <w:spacing w:line="360" w:lineRule="auto"/>
        <w:jc w:val="center"/>
        <w:rPr>
          <w:rFonts w:ascii="Arial" w:hAnsi="Arial"/>
          <w:sz w:val="28"/>
          <w:szCs w:val="28"/>
          <w:rtl/>
        </w:rPr>
      </w:pPr>
      <w:r w:rsidRPr="000437CC">
        <w:rPr>
          <w:rFonts w:ascii="Arial" w:hAnsi="Arial"/>
          <w:b/>
          <w:color w:val="FF0000"/>
          <w:sz w:val="28"/>
          <w:rtl/>
        </w:rPr>
        <w:t>במסמך זה הושמטו פרוטוקולים</w:t>
      </w:r>
      <w:bookmarkStart w:id="3" w:name="LawTable"/>
      <w:bookmarkEnd w:id="3"/>
    </w:p>
    <w:p w14:paraId="60E7E148" w14:textId="77777777" w:rsidR="00BD04F4" w:rsidRPr="00BD04F4" w:rsidRDefault="00BD04F4" w:rsidP="00BD04F4">
      <w:pPr>
        <w:spacing w:after="120" w:line="240" w:lineRule="exact"/>
        <w:ind w:left="283" w:hanging="283"/>
        <w:jc w:val="both"/>
        <w:rPr>
          <w:rFonts w:ascii="FrankRuehl" w:hAnsi="FrankRuehl" w:cs="FrankRuehl"/>
          <w:rtl/>
        </w:rPr>
      </w:pPr>
    </w:p>
    <w:p w14:paraId="3ABA6DE2" w14:textId="77777777" w:rsidR="00BD04F4" w:rsidRPr="00BD04F4" w:rsidRDefault="00BD04F4" w:rsidP="00BD04F4">
      <w:pPr>
        <w:spacing w:after="120" w:line="240" w:lineRule="exact"/>
        <w:ind w:left="283" w:hanging="283"/>
        <w:jc w:val="both"/>
        <w:rPr>
          <w:rFonts w:ascii="FrankRuehl" w:hAnsi="FrankRuehl" w:cs="FrankRuehl"/>
          <w:rtl/>
        </w:rPr>
      </w:pPr>
      <w:r w:rsidRPr="00BD04F4">
        <w:rPr>
          <w:rFonts w:ascii="FrankRuehl" w:hAnsi="FrankRuehl" w:cs="FrankRuehl"/>
          <w:rtl/>
        </w:rPr>
        <w:t xml:space="preserve">חקיקה שאוזכרה: </w:t>
      </w:r>
    </w:p>
    <w:p w14:paraId="1D165211" w14:textId="77777777" w:rsidR="00BD04F4" w:rsidRPr="00BD04F4" w:rsidRDefault="00BD04F4" w:rsidP="00BD04F4">
      <w:pPr>
        <w:spacing w:after="120" w:line="240" w:lineRule="exact"/>
        <w:ind w:left="283" w:hanging="283"/>
        <w:jc w:val="both"/>
        <w:rPr>
          <w:rFonts w:ascii="FrankRuehl" w:hAnsi="FrankRuehl" w:cs="FrankRuehl"/>
          <w:rtl/>
        </w:rPr>
      </w:pPr>
      <w:hyperlink r:id="rId6" w:history="1">
        <w:r w:rsidRPr="00BD04F4">
          <w:rPr>
            <w:rFonts w:ascii="FrankRuehl" w:hAnsi="FrankRuehl" w:cs="FrankRuehl"/>
            <w:color w:val="0000FF"/>
            <w:u w:val="single"/>
            <w:rtl/>
          </w:rPr>
          <w:t>פקודת הסמים המסוכנים [נוסח חדש], תשל"ג-1973</w:t>
        </w:r>
      </w:hyperlink>
      <w:r w:rsidRPr="00BD04F4">
        <w:rPr>
          <w:rFonts w:ascii="FrankRuehl" w:hAnsi="FrankRuehl" w:cs="FrankRuehl"/>
          <w:rtl/>
        </w:rPr>
        <w:t xml:space="preserve">: סע'  </w:t>
      </w:r>
      <w:hyperlink r:id="rId7" w:history="1">
        <w:r w:rsidRPr="00BD04F4">
          <w:rPr>
            <w:rFonts w:ascii="FrankRuehl" w:hAnsi="FrankRuehl" w:cs="FrankRuehl"/>
            <w:color w:val="0000FF"/>
            <w:u w:val="single"/>
            <w:rtl/>
          </w:rPr>
          <w:t>21 (א) (1)</w:t>
        </w:r>
      </w:hyperlink>
    </w:p>
    <w:p w14:paraId="7C571D48" w14:textId="77777777" w:rsidR="00BD04F4" w:rsidRPr="00BD04F4" w:rsidRDefault="00BD04F4" w:rsidP="00BD04F4">
      <w:pPr>
        <w:spacing w:after="120" w:line="240" w:lineRule="exact"/>
        <w:ind w:left="283" w:hanging="283"/>
        <w:jc w:val="both"/>
        <w:rPr>
          <w:rFonts w:ascii="FrankRuehl" w:hAnsi="FrankRuehl" w:cs="FrankRuehl"/>
          <w:rtl/>
        </w:rPr>
      </w:pPr>
      <w:hyperlink r:id="rId8" w:history="1">
        <w:r w:rsidRPr="00BD04F4">
          <w:rPr>
            <w:rFonts w:ascii="FrankRuehl" w:hAnsi="FrankRuehl" w:cs="FrankRuehl"/>
            <w:color w:val="0000FF"/>
            <w:u w:val="single"/>
            <w:rtl/>
          </w:rPr>
          <w:t>חוק העונשין, תשל"ז-1977</w:t>
        </w:r>
      </w:hyperlink>
      <w:r w:rsidRPr="00BD04F4">
        <w:rPr>
          <w:rFonts w:ascii="FrankRuehl" w:hAnsi="FrankRuehl" w:cs="FrankRuehl"/>
          <w:rtl/>
        </w:rPr>
        <w:t xml:space="preserve">: סע'  </w:t>
      </w:r>
      <w:hyperlink r:id="rId9" w:history="1">
        <w:r w:rsidRPr="00BD04F4">
          <w:rPr>
            <w:rFonts w:ascii="FrankRuehl" w:hAnsi="FrankRuehl" w:cs="FrankRuehl"/>
            <w:color w:val="0000FF"/>
            <w:u w:val="single"/>
            <w:rtl/>
          </w:rPr>
          <w:t>275</w:t>
        </w:r>
      </w:hyperlink>
    </w:p>
    <w:p w14:paraId="350B3B75" w14:textId="77777777" w:rsidR="00BD04F4" w:rsidRPr="00BD04F4" w:rsidRDefault="00BD04F4" w:rsidP="00BD04F4">
      <w:pPr>
        <w:spacing w:after="120" w:line="240" w:lineRule="exact"/>
        <w:ind w:left="283" w:hanging="283"/>
        <w:jc w:val="both"/>
        <w:rPr>
          <w:rFonts w:ascii="FrankRuehl" w:hAnsi="FrankRuehl" w:cs="FrankRuehl"/>
          <w:rtl/>
        </w:rPr>
      </w:pPr>
    </w:p>
    <w:p w14:paraId="0AF4CB5A" w14:textId="77777777" w:rsidR="000437CC" w:rsidRPr="000437CC" w:rsidRDefault="000437CC" w:rsidP="000437CC">
      <w:pPr>
        <w:spacing w:line="360" w:lineRule="auto"/>
        <w:jc w:val="center"/>
        <w:rPr>
          <w:rFonts w:ascii="Arial" w:hAnsi="Arial"/>
          <w:b/>
          <w:bCs/>
          <w:sz w:val="28"/>
          <w:szCs w:val="28"/>
          <w:u w:val="single"/>
          <w:rtl/>
        </w:rPr>
      </w:pPr>
      <w:bookmarkStart w:id="4" w:name="LawTable_End"/>
      <w:bookmarkStart w:id="5" w:name="PsakDin"/>
      <w:bookmarkEnd w:id="0"/>
      <w:bookmarkEnd w:id="4"/>
      <w:r w:rsidRPr="000437CC">
        <w:rPr>
          <w:rFonts w:ascii="Arial" w:hAnsi="Arial"/>
          <w:b/>
          <w:bCs/>
          <w:sz w:val="28"/>
          <w:szCs w:val="28"/>
          <w:u w:val="single"/>
          <w:rtl/>
        </w:rPr>
        <w:t>גזר דין</w:t>
      </w:r>
    </w:p>
    <w:bookmarkEnd w:id="5"/>
    <w:p w14:paraId="6C29F8FC" w14:textId="77777777" w:rsidR="00FC67A1" w:rsidRPr="0073244C" w:rsidRDefault="00FC67A1" w:rsidP="00FC67A1">
      <w:pPr>
        <w:spacing w:line="360" w:lineRule="auto"/>
        <w:jc w:val="both"/>
        <w:rPr>
          <w:rtl/>
        </w:rPr>
      </w:pPr>
      <w:r>
        <w:rPr>
          <w:rFonts w:hint="cs"/>
          <w:rtl/>
        </w:rPr>
        <w:t>ה</w:t>
      </w:r>
      <w:r w:rsidRPr="0073244C">
        <w:rPr>
          <w:rFonts w:hint="cs"/>
          <w:rtl/>
        </w:rPr>
        <w:t xml:space="preserve">נאשם הורשע על פי הודאתו, במסגרת הסדר טיעון, בביצוע </w:t>
      </w:r>
      <w:bookmarkStart w:id="6" w:name="ABSTRACT_START"/>
      <w:bookmarkEnd w:id="6"/>
      <w:r w:rsidRPr="0073244C">
        <w:rPr>
          <w:rFonts w:hint="cs"/>
          <w:rtl/>
        </w:rPr>
        <w:t>עבירות של</w:t>
      </w:r>
      <w:r>
        <w:rPr>
          <w:rFonts w:hint="cs"/>
          <w:rtl/>
        </w:rPr>
        <w:t xml:space="preserve"> הדחת קטין לסמים מסוכנים, עבירה לפי </w:t>
      </w:r>
      <w:hyperlink r:id="rId10" w:history="1">
        <w:r w:rsidR="00BD04F4" w:rsidRPr="00BD04F4">
          <w:rPr>
            <w:color w:val="0000FF"/>
            <w:u w:val="single"/>
            <w:rtl/>
          </w:rPr>
          <w:t xml:space="preserve">סעיף 21 (א) (1) </w:t>
        </w:r>
      </w:hyperlink>
      <w:r>
        <w:rPr>
          <w:rFonts w:hint="cs"/>
          <w:rtl/>
        </w:rPr>
        <w:t xml:space="preserve">  ל</w:t>
      </w:r>
      <w:hyperlink r:id="rId11" w:history="1">
        <w:r w:rsidR="000437CC" w:rsidRPr="000437CC">
          <w:rPr>
            <w:color w:val="0000FF"/>
            <w:u w:val="single"/>
            <w:rtl/>
          </w:rPr>
          <w:t>פקודת הסמים המסוכנים</w:t>
        </w:r>
      </w:hyperlink>
      <w:r>
        <w:rPr>
          <w:rFonts w:hint="cs"/>
          <w:rtl/>
        </w:rPr>
        <w:t xml:space="preserve">, נוסח חדש, תשל"ג </w:t>
      </w:r>
      <w:r>
        <w:rPr>
          <w:rtl/>
        </w:rPr>
        <w:t>–</w:t>
      </w:r>
      <w:r>
        <w:rPr>
          <w:rFonts w:hint="cs"/>
          <w:rtl/>
        </w:rPr>
        <w:t xml:space="preserve"> 1973, ושל הפרעה לשוטר במילוי תפקידו</w:t>
      </w:r>
      <w:bookmarkStart w:id="7" w:name="ABSTRACT_END"/>
      <w:bookmarkEnd w:id="7"/>
      <w:r>
        <w:rPr>
          <w:rFonts w:hint="cs"/>
          <w:rtl/>
        </w:rPr>
        <w:t xml:space="preserve">, עבירה לפי </w:t>
      </w:r>
      <w:hyperlink r:id="rId12" w:history="1">
        <w:r w:rsidR="00BD04F4" w:rsidRPr="00BD04F4">
          <w:rPr>
            <w:color w:val="0000FF"/>
            <w:u w:val="single"/>
            <w:rtl/>
          </w:rPr>
          <w:t>סעיף 275</w:t>
        </w:r>
      </w:hyperlink>
      <w:r>
        <w:rPr>
          <w:rFonts w:hint="cs"/>
          <w:rtl/>
        </w:rPr>
        <w:t xml:space="preserve"> ל</w:t>
      </w:r>
      <w:hyperlink r:id="rId13" w:history="1">
        <w:r w:rsidR="000437CC" w:rsidRPr="000437CC">
          <w:rPr>
            <w:color w:val="0000FF"/>
            <w:u w:val="single"/>
            <w:rtl/>
          </w:rPr>
          <w:t>חוק העונשין</w:t>
        </w:r>
      </w:hyperlink>
      <w:r>
        <w:rPr>
          <w:rFonts w:hint="cs"/>
          <w:rtl/>
        </w:rPr>
        <w:t xml:space="preserve"> התשל"ז </w:t>
      </w:r>
      <w:r>
        <w:rPr>
          <w:rtl/>
        </w:rPr>
        <w:t>–</w:t>
      </w:r>
      <w:r>
        <w:rPr>
          <w:rFonts w:hint="cs"/>
          <w:rtl/>
        </w:rPr>
        <w:t xml:space="preserve"> 1977.</w:t>
      </w:r>
    </w:p>
    <w:p w14:paraId="2141CBB7" w14:textId="77777777" w:rsidR="00FC67A1" w:rsidRDefault="00FC67A1" w:rsidP="00FC67A1">
      <w:pPr>
        <w:snapToGrid w:val="0"/>
        <w:spacing w:line="360" w:lineRule="auto"/>
        <w:jc w:val="both"/>
        <w:rPr>
          <w:rtl/>
        </w:rPr>
      </w:pPr>
    </w:p>
    <w:p w14:paraId="7431022B" w14:textId="77777777" w:rsidR="00FC67A1" w:rsidRDefault="00FC67A1" w:rsidP="00FC67A1">
      <w:pPr>
        <w:snapToGrid w:val="0"/>
        <w:spacing w:line="360" w:lineRule="auto"/>
        <w:jc w:val="both"/>
        <w:rPr>
          <w:rtl/>
        </w:rPr>
      </w:pPr>
      <w:r>
        <w:rPr>
          <w:rFonts w:hint="cs"/>
          <w:rtl/>
        </w:rPr>
        <w:t xml:space="preserve">עסקינן בכך שכחצי שנה עובר ליום 10.12.15 נפגשו הנאשם וקטין יליד 1999, במרכז המסחרי בצורן, והנאשם נתן לאותו קטין סם מסוג קנאביס ללא תמורה. הנאשם ואותו קטין התאמנו יחדיו בחדר כושר בקדימה, ובשתי הזדמנויות נוספות עובר לתאריך 10.12.15 ביקש הקטין מהנאשם לרכוש  קנאביס, והנאשם מכר לו גרם קנאביס דרך חלון חדרו, תמורת 100 ₪. </w:t>
      </w:r>
    </w:p>
    <w:p w14:paraId="172D31E5" w14:textId="77777777" w:rsidR="00FC67A1" w:rsidRDefault="00FC67A1" w:rsidP="00FC67A1">
      <w:pPr>
        <w:snapToGrid w:val="0"/>
        <w:spacing w:line="360" w:lineRule="auto"/>
        <w:jc w:val="both"/>
        <w:rPr>
          <w:rtl/>
        </w:rPr>
      </w:pPr>
    </w:p>
    <w:p w14:paraId="3BDFE4D9" w14:textId="77777777" w:rsidR="00FC67A1" w:rsidRDefault="00FC67A1" w:rsidP="00FC67A1">
      <w:pPr>
        <w:snapToGrid w:val="0"/>
        <w:spacing w:line="360" w:lineRule="auto"/>
        <w:jc w:val="both"/>
        <w:rPr>
          <w:rtl/>
        </w:rPr>
      </w:pPr>
      <w:r>
        <w:rPr>
          <w:rFonts w:hint="cs"/>
          <w:rtl/>
        </w:rPr>
        <w:t xml:space="preserve">הנאשם וקטין אחר יליד 1999 התאמנו יחדיו בחדר כושר בפרדסיה. בין החודשים יוני 2015 לדצמבר 2015 במספר רב של מועדים ולאחר תיאום טלפוני, מכר הנאשם לקטין בין גרם ל- 5 גרם קנאביס, במחיר של 100 ₪ לגרם. </w:t>
      </w:r>
    </w:p>
    <w:p w14:paraId="175B3DB0" w14:textId="77777777" w:rsidR="00FC67A1" w:rsidRDefault="00FC67A1" w:rsidP="00FC67A1">
      <w:pPr>
        <w:snapToGrid w:val="0"/>
        <w:spacing w:line="360" w:lineRule="auto"/>
        <w:jc w:val="both"/>
        <w:rPr>
          <w:rtl/>
        </w:rPr>
      </w:pPr>
      <w:r>
        <w:rPr>
          <w:rFonts w:hint="cs"/>
          <w:rtl/>
        </w:rPr>
        <w:lastRenderedPageBreak/>
        <w:t>בתאריך 9.12.15 הגיעו שוטרים לבית הנאשם עם צו חיפוש. השוטרים דפקו בדלת כ- 20 דקות וצעקו לפתוח זאת משטרה, אך הנאשם אשר שהה בבית התעלם מקריאות השוטרים, ולא פתח את הדלת, עד שנאלצו השוטרים לשבור חלון בביתו, על מנת להיכנס לבית. לאחר מכן אמר הנאשם לשוטרים "תתחפפו אין לי כלום בבית" וקילל אותם במהלך החיפוש.</w:t>
      </w:r>
    </w:p>
    <w:p w14:paraId="225A4F26" w14:textId="77777777" w:rsidR="00FC67A1" w:rsidRDefault="00FC67A1" w:rsidP="00FC67A1">
      <w:pPr>
        <w:snapToGrid w:val="0"/>
        <w:spacing w:line="360" w:lineRule="auto"/>
        <w:jc w:val="both"/>
        <w:rPr>
          <w:rtl/>
        </w:rPr>
      </w:pPr>
    </w:p>
    <w:p w14:paraId="7D9B1FD8" w14:textId="77777777" w:rsidR="00FC67A1" w:rsidRDefault="00FC67A1" w:rsidP="00FC67A1">
      <w:pPr>
        <w:snapToGrid w:val="0"/>
        <w:spacing w:line="360" w:lineRule="auto"/>
        <w:jc w:val="both"/>
        <w:rPr>
          <w:rtl/>
        </w:rPr>
      </w:pPr>
      <w:r>
        <w:rPr>
          <w:rFonts w:hint="cs"/>
          <w:rtl/>
        </w:rPr>
        <w:t>הצדדים הגיעו להסדר טיעון לפיו יושת על הנאשם עונש מאסר בפועל של 6 חודשים אשר ירוצה בדרך של עבודות שירות, לצד מאסר מותנה וקנס בגובה של 10,000 ₪.</w:t>
      </w:r>
    </w:p>
    <w:p w14:paraId="4321A6C4" w14:textId="77777777" w:rsidR="00FC67A1" w:rsidRDefault="00FC67A1" w:rsidP="00FC67A1">
      <w:pPr>
        <w:snapToGrid w:val="0"/>
        <w:spacing w:line="360" w:lineRule="auto"/>
        <w:jc w:val="both"/>
        <w:rPr>
          <w:rtl/>
        </w:rPr>
      </w:pPr>
    </w:p>
    <w:p w14:paraId="7D078C6F" w14:textId="77777777" w:rsidR="00FC67A1" w:rsidRDefault="00FC67A1" w:rsidP="00FC67A1">
      <w:pPr>
        <w:snapToGrid w:val="0"/>
        <w:spacing w:line="360" w:lineRule="auto"/>
        <w:jc w:val="both"/>
        <w:rPr>
          <w:rtl/>
        </w:rPr>
      </w:pPr>
      <w:r>
        <w:rPr>
          <w:rFonts w:hint="cs"/>
          <w:rtl/>
        </w:rPr>
        <w:t xml:space="preserve">בבסיס הסדר הטיעון עומדים הטעמים הבאים: הודאת הנאשם בכתב האישום המתוקן, תוך חסכון בזמן השיפוטי ובזמנם של עדי התביעה, גילו הצעיר של הנאשם והעובדה שאין לחובתו עבר פלילי מכביד, ההליך השיקומי החיובי אותו עבר הנאשם, ולפיו הנאשם איננו נוטל עוד סמים, והמלצתו החיובית של שירות המבחן. </w:t>
      </w:r>
    </w:p>
    <w:p w14:paraId="25A3795C" w14:textId="77777777" w:rsidR="00FC67A1" w:rsidRDefault="00FC67A1" w:rsidP="00FC67A1">
      <w:pPr>
        <w:snapToGrid w:val="0"/>
        <w:spacing w:line="360" w:lineRule="auto"/>
        <w:jc w:val="both"/>
        <w:rPr>
          <w:rtl/>
        </w:rPr>
      </w:pPr>
    </w:p>
    <w:p w14:paraId="0B737BCB" w14:textId="77777777" w:rsidR="00FC67A1" w:rsidRDefault="00FC67A1" w:rsidP="00FC67A1">
      <w:pPr>
        <w:snapToGrid w:val="0"/>
        <w:spacing w:line="360" w:lineRule="auto"/>
        <w:jc w:val="both"/>
        <w:rPr>
          <w:rtl/>
        </w:rPr>
      </w:pPr>
      <w:r>
        <w:rPr>
          <w:rFonts w:hint="cs"/>
          <w:rtl/>
        </w:rPr>
        <w:t xml:space="preserve">העבירות אותן ביצע הנאשם חמורות, הפסיקה הדגישה בעבר את הצורך להילחם בנגע הסמים, בדרך של ענישה מחמירה, נוכח נזקיו החברתיים האישיים והכלכליים הקשים של הנגע האמור. הדברים נכונים בדרך של קל וחומר, עת מדובר במכירה של סם לקטינים. יחד עם זאת, מתסקיר שירות המבחן אשר הוגש לעיוני, ניתן ללמוד כי הנאשם כבן 21 ללא עבר פלילי מכביד, לקח אחריות על ביצוע העבירות והסביר את הרקע לביצוען, תוך שמבין כיום את חומרת מצבו באותה תקופה ואת תוצאות התנהגותו. הנאשם שהה במעצר בית כ- 8 חודשים, ובמסגרת צו הפיקוח השתלב בקבוצת עצורי בית בשירות המבחן, ולאחר כשישה חודשי השתתפות הופנה לטיפול פרטני באל-סם בנתניה. נמסר כי הנאשם מגיע למפגשים, מוסר בדיקות שתן נקיות משרידי סמים, משתף פעולה, מפגין מחויבות ונזקקות להליך הטיפולי. שירות המבחן התרשם לחיוב מיכולות התפקוד וההתמדה בתעסוקה שגילה הנאשם, כמו גם מחרטתו על מעורבותו השולית והמוטיבציה הגבוהה שלו לניהול אורח חיים נורמטיבי. על יסוד שכלול הנתונים המליץ שירות המבחן, להטיל על הנאשם ביצוע של עבודות של"צ לצד צו מבחן למשך שנה. </w:t>
      </w:r>
    </w:p>
    <w:p w14:paraId="6860C527" w14:textId="77777777" w:rsidR="00FC67A1" w:rsidRDefault="00FC67A1" w:rsidP="00FC67A1">
      <w:pPr>
        <w:snapToGrid w:val="0"/>
        <w:spacing w:line="360" w:lineRule="auto"/>
        <w:jc w:val="both"/>
        <w:rPr>
          <w:rtl/>
        </w:rPr>
      </w:pPr>
      <w:r>
        <w:rPr>
          <w:rFonts w:hint="cs"/>
          <w:rtl/>
        </w:rPr>
        <w:t>לאחר שנתתי דעתי למכלול הנימוקים העומדים בבסיס הסדר הטיעון, בדגש על גילו הצעיר של הנאשם, נטילת האחריות מצידו, העדר עבר פלילי מכביד, ההליך הטיפולי שיקומי החיובי שעבר הנאשם והחסכון בזמן השיפוטי, מצאתי כי ההסדר אליו הגיעו הצדדים מאזן בצורה סבירה בין האינטרס הציבורי לבין נסיבותיו האישיות של הנאשם וטובת ההנאה המוענקת לו, וכי ניתן ליישבו עם מתחם העונש ההולם אף אם ברף הנמוך שלו.</w:t>
      </w:r>
    </w:p>
    <w:p w14:paraId="63786207" w14:textId="77777777" w:rsidR="00FC67A1" w:rsidRPr="0073244C" w:rsidRDefault="00FC67A1" w:rsidP="00FC67A1">
      <w:pPr>
        <w:snapToGrid w:val="0"/>
        <w:spacing w:line="360" w:lineRule="auto"/>
        <w:jc w:val="both"/>
        <w:rPr>
          <w:rFonts w:hint="cs"/>
          <w:rtl/>
        </w:rPr>
      </w:pPr>
    </w:p>
    <w:p w14:paraId="1C557FDC" w14:textId="77777777" w:rsidR="00FC67A1" w:rsidRPr="0073244C" w:rsidRDefault="00FC67A1" w:rsidP="00FC67A1">
      <w:pPr>
        <w:snapToGrid w:val="0"/>
        <w:spacing w:line="360" w:lineRule="auto"/>
        <w:jc w:val="both"/>
        <w:rPr>
          <w:b/>
          <w:bCs/>
          <w:u w:val="single"/>
          <w:rtl/>
        </w:rPr>
      </w:pPr>
      <w:r>
        <w:rPr>
          <w:rFonts w:hint="cs"/>
          <w:b/>
          <w:bCs/>
          <w:u w:val="single"/>
          <w:rtl/>
        </w:rPr>
        <w:t xml:space="preserve">נוכח האמור, </w:t>
      </w:r>
      <w:r w:rsidRPr="0073244C">
        <w:rPr>
          <w:rFonts w:hint="cs"/>
          <w:b/>
          <w:bCs/>
          <w:u w:val="single"/>
          <w:rtl/>
        </w:rPr>
        <w:t xml:space="preserve">אני </w:t>
      </w:r>
      <w:r>
        <w:rPr>
          <w:rFonts w:hint="cs"/>
          <w:b/>
          <w:bCs/>
          <w:u w:val="single"/>
          <w:rtl/>
        </w:rPr>
        <w:t>מאמצת את הסדר הטיעון ו</w:t>
      </w:r>
      <w:r w:rsidRPr="0073244C">
        <w:rPr>
          <w:rFonts w:hint="cs"/>
          <w:b/>
          <w:bCs/>
          <w:u w:val="single"/>
          <w:rtl/>
        </w:rPr>
        <w:t>גוזרת על הנאשם את העונשים הבאים:</w:t>
      </w:r>
    </w:p>
    <w:p w14:paraId="1716E22E" w14:textId="77777777" w:rsidR="00FC67A1" w:rsidRPr="0073244C" w:rsidRDefault="00FC67A1" w:rsidP="00FC67A1">
      <w:pPr>
        <w:snapToGrid w:val="0"/>
        <w:spacing w:line="360" w:lineRule="auto"/>
        <w:jc w:val="both"/>
        <w:rPr>
          <w:rtl/>
        </w:rPr>
      </w:pPr>
    </w:p>
    <w:p w14:paraId="63EFCE95" w14:textId="77777777" w:rsidR="00FC67A1" w:rsidRDefault="00FC67A1" w:rsidP="00FC67A1">
      <w:pPr>
        <w:snapToGrid w:val="0"/>
        <w:spacing w:line="360" w:lineRule="auto"/>
        <w:ind w:left="720" w:hanging="360"/>
        <w:jc w:val="both"/>
        <w:rPr>
          <w:rtl/>
        </w:rPr>
      </w:pPr>
      <w:r>
        <w:rPr>
          <w:rFonts w:hint="cs"/>
          <w:rtl/>
        </w:rPr>
        <w:t>א.</w:t>
      </w:r>
      <w:r>
        <w:rPr>
          <w:rFonts w:hint="cs"/>
          <w:rtl/>
        </w:rPr>
        <w:tab/>
        <w:t xml:space="preserve">6 חודשי מאסר אשר ירוצו בדרך של עבודות שירות, במועצה המקומית אבן יהודה, רחוב המייסדים 53, וזאת החל מתאריך 7.3.17.  </w:t>
      </w:r>
    </w:p>
    <w:p w14:paraId="01D51C19" w14:textId="77777777" w:rsidR="00FC67A1" w:rsidRDefault="00FC67A1" w:rsidP="00FC67A1">
      <w:pPr>
        <w:snapToGrid w:val="0"/>
        <w:spacing w:line="360" w:lineRule="auto"/>
        <w:ind w:left="720"/>
        <w:jc w:val="both"/>
        <w:rPr>
          <w:rtl/>
        </w:rPr>
      </w:pPr>
      <w:r w:rsidRPr="0073244C">
        <w:rPr>
          <w:rFonts w:hint="cs"/>
          <w:rtl/>
        </w:rPr>
        <w:t xml:space="preserve">לשם כך, על הנאשם להתייצב במשרדי הממונה על עבודות השירות בשב"ס מרכז (רמלה), באותו מועד עד השעה 8:00. </w:t>
      </w:r>
    </w:p>
    <w:p w14:paraId="67A3A91F" w14:textId="77777777" w:rsidR="00FC67A1" w:rsidRDefault="00FC67A1" w:rsidP="00FC67A1">
      <w:pPr>
        <w:snapToGrid w:val="0"/>
        <w:spacing w:line="360" w:lineRule="auto"/>
        <w:ind w:left="720" w:hanging="360"/>
        <w:jc w:val="both"/>
        <w:rPr>
          <w:rtl/>
        </w:rPr>
      </w:pPr>
      <w:r>
        <w:rPr>
          <w:rFonts w:hint="cs"/>
          <w:rtl/>
        </w:rPr>
        <w:lastRenderedPageBreak/>
        <w:t>ב.</w:t>
      </w:r>
      <w:r>
        <w:rPr>
          <w:rFonts w:hint="cs"/>
          <w:rtl/>
        </w:rPr>
        <w:tab/>
      </w:r>
      <w:r w:rsidRPr="0073244C">
        <w:rPr>
          <w:rFonts w:hint="cs"/>
          <w:rtl/>
        </w:rPr>
        <w:t xml:space="preserve">מאסר על תנאי של </w:t>
      </w:r>
      <w:r>
        <w:rPr>
          <w:rFonts w:hint="cs"/>
          <w:rtl/>
        </w:rPr>
        <w:t xml:space="preserve">8 </w:t>
      </w:r>
      <w:r w:rsidRPr="0073244C">
        <w:rPr>
          <w:rFonts w:hint="cs"/>
          <w:rtl/>
        </w:rPr>
        <w:t>חודשים למשך 3 שנים מהיום, והתנאי הוא ש</w:t>
      </w:r>
      <w:r>
        <w:rPr>
          <w:rFonts w:hint="cs"/>
          <w:rtl/>
        </w:rPr>
        <w:t xml:space="preserve">הנאשם לא יעבור על עבירה של הדחת קטין לסמים מסוכנים, או על כל עבירת פשע לפי </w:t>
      </w:r>
      <w:hyperlink r:id="rId14" w:history="1">
        <w:r w:rsidR="000437CC" w:rsidRPr="000437CC">
          <w:rPr>
            <w:color w:val="0000FF"/>
            <w:u w:val="single"/>
            <w:rtl/>
          </w:rPr>
          <w:t>פקודת הסמים המסוכנים</w:t>
        </w:r>
      </w:hyperlink>
      <w:r>
        <w:rPr>
          <w:rFonts w:hint="cs"/>
          <w:rtl/>
        </w:rPr>
        <w:t>, למעט עבירה של החזקה או שימוש בסם מסוכן לצריכה עצמית</w:t>
      </w:r>
      <w:r w:rsidRPr="0073244C">
        <w:rPr>
          <w:rFonts w:hint="cs"/>
          <w:rtl/>
        </w:rPr>
        <w:t xml:space="preserve">. </w:t>
      </w:r>
    </w:p>
    <w:p w14:paraId="0C9BF364" w14:textId="77777777" w:rsidR="00FC67A1" w:rsidRPr="0073244C" w:rsidRDefault="00FC67A1" w:rsidP="00FC67A1">
      <w:pPr>
        <w:snapToGrid w:val="0"/>
        <w:spacing w:line="360" w:lineRule="auto"/>
        <w:ind w:left="720" w:hanging="360"/>
        <w:jc w:val="both"/>
        <w:rPr>
          <w:rtl/>
        </w:rPr>
      </w:pPr>
    </w:p>
    <w:p w14:paraId="55D507BD" w14:textId="77777777" w:rsidR="00FC67A1" w:rsidRDefault="00FC67A1" w:rsidP="00FC67A1">
      <w:pPr>
        <w:snapToGrid w:val="0"/>
        <w:spacing w:line="360" w:lineRule="auto"/>
        <w:ind w:left="720" w:hanging="360"/>
        <w:jc w:val="both"/>
        <w:rPr>
          <w:rtl/>
        </w:rPr>
      </w:pPr>
      <w:r>
        <w:rPr>
          <w:rFonts w:hint="cs"/>
          <w:rtl/>
        </w:rPr>
        <w:t>ג.</w:t>
      </w:r>
      <w:r>
        <w:rPr>
          <w:rFonts w:hint="cs"/>
          <w:rtl/>
        </w:rPr>
        <w:tab/>
        <w:t xml:space="preserve">4 חודשי מאסר על תנאי למשך 3 שנים מהיום, והתנאי הוא שהנאשם לא יעבור על עבירה של הפרעה לשוטר בעת מילוי תפקידו, עבירה לפי </w:t>
      </w:r>
      <w:hyperlink r:id="rId15" w:history="1">
        <w:r w:rsidR="00BD04F4" w:rsidRPr="00BD04F4">
          <w:rPr>
            <w:color w:val="0000FF"/>
            <w:u w:val="single"/>
            <w:rtl/>
          </w:rPr>
          <w:t>סעיף 275</w:t>
        </w:r>
      </w:hyperlink>
      <w:r>
        <w:rPr>
          <w:rFonts w:hint="cs"/>
          <w:rtl/>
        </w:rPr>
        <w:t xml:space="preserve"> ל</w:t>
      </w:r>
      <w:hyperlink r:id="rId16" w:history="1">
        <w:r w:rsidR="000437CC" w:rsidRPr="000437CC">
          <w:rPr>
            <w:color w:val="0000FF"/>
            <w:u w:val="single"/>
            <w:rtl/>
          </w:rPr>
          <w:t>חוק העונשין</w:t>
        </w:r>
      </w:hyperlink>
      <w:r>
        <w:rPr>
          <w:rFonts w:hint="cs"/>
          <w:rtl/>
        </w:rPr>
        <w:t>.</w:t>
      </w:r>
    </w:p>
    <w:p w14:paraId="6896B147" w14:textId="77777777" w:rsidR="00FC67A1" w:rsidRDefault="00FC67A1" w:rsidP="00FC67A1">
      <w:pPr>
        <w:snapToGrid w:val="0"/>
        <w:spacing w:line="360" w:lineRule="auto"/>
        <w:ind w:left="720" w:hanging="360"/>
        <w:jc w:val="both"/>
        <w:rPr>
          <w:rtl/>
        </w:rPr>
      </w:pPr>
    </w:p>
    <w:p w14:paraId="781BE5E7" w14:textId="77777777" w:rsidR="00FC67A1" w:rsidRDefault="00FC67A1" w:rsidP="00FC67A1">
      <w:pPr>
        <w:snapToGrid w:val="0"/>
        <w:spacing w:line="360" w:lineRule="auto"/>
        <w:ind w:left="720" w:hanging="360"/>
        <w:jc w:val="both"/>
        <w:rPr>
          <w:rtl/>
        </w:rPr>
      </w:pPr>
      <w:r>
        <w:rPr>
          <w:rFonts w:hint="cs"/>
          <w:rtl/>
        </w:rPr>
        <w:t>ד.</w:t>
      </w:r>
      <w:r>
        <w:rPr>
          <w:rFonts w:hint="cs"/>
          <w:rtl/>
        </w:rPr>
        <w:tab/>
      </w:r>
      <w:r w:rsidRPr="0073244C">
        <w:rPr>
          <w:rFonts w:hint="cs"/>
          <w:rtl/>
        </w:rPr>
        <w:t xml:space="preserve">קנס בסך </w:t>
      </w:r>
      <w:r>
        <w:rPr>
          <w:rFonts w:hint="cs"/>
          <w:rtl/>
        </w:rPr>
        <w:t>10,000</w:t>
      </w:r>
      <w:r w:rsidRPr="0073244C">
        <w:rPr>
          <w:rFonts w:hint="cs"/>
          <w:rtl/>
        </w:rPr>
        <w:t xml:space="preserve"> ₪, או</w:t>
      </w:r>
      <w:r>
        <w:rPr>
          <w:rFonts w:hint="cs"/>
          <w:rtl/>
        </w:rPr>
        <w:t xml:space="preserve"> חודשיים</w:t>
      </w:r>
      <w:r w:rsidRPr="0073244C">
        <w:rPr>
          <w:rFonts w:hint="cs"/>
          <w:rtl/>
        </w:rPr>
        <w:t xml:space="preserve"> מאסר תמורתו</w:t>
      </w:r>
      <w:r>
        <w:rPr>
          <w:rFonts w:hint="cs"/>
          <w:rtl/>
        </w:rPr>
        <w:t>.</w:t>
      </w:r>
      <w:r w:rsidRPr="0073244C">
        <w:rPr>
          <w:rFonts w:hint="cs"/>
          <w:rtl/>
        </w:rPr>
        <w:t xml:space="preserve"> הקנס ישולם ב-</w:t>
      </w:r>
      <w:r>
        <w:rPr>
          <w:rFonts w:hint="cs"/>
          <w:rtl/>
        </w:rPr>
        <w:t>5</w:t>
      </w:r>
      <w:r w:rsidRPr="0073244C">
        <w:rPr>
          <w:rFonts w:hint="cs"/>
          <w:rtl/>
        </w:rPr>
        <w:t xml:space="preserve"> תשלומים חודשיים, שווים </w:t>
      </w:r>
      <w:r>
        <w:rPr>
          <w:rFonts w:hint="cs"/>
          <w:rtl/>
        </w:rPr>
        <w:t xml:space="preserve">  </w:t>
      </w:r>
      <w:r w:rsidRPr="0073244C">
        <w:rPr>
          <w:rFonts w:hint="cs"/>
          <w:rtl/>
        </w:rPr>
        <w:t xml:space="preserve">ורצופים, החל מיום </w:t>
      </w:r>
      <w:r>
        <w:rPr>
          <w:rFonts w:hint="cs"/>
          <w:rtl/>
        </w:rPr>
        <w:t xml:space="preserve">1.3.17 ומידי 30 יום לאחר מכן. </w:t>
      </w:r>
      <w:r w:rsidRPr="0073244C">
        <w:rPr>
          <w:rFonts w:hint="cs"/>
          <w:rtl/>
        </w:rPr>
        <w:t>לא ישולם תשלום אחד במועדו – תעמוד כל היתרה לפרעון מיידי.</w:t>
      </w:r>
    </w:p>
    <w:p w14:paraId="614FCB72" w14:textId="77777777" w:rsidR="00FC67A1" w:rsidRDefault="00FC67A1" w:rsidP="00FC67A1">
      <w:pPr>
        <w:snapToGrid w:val="0"/>
        <w:spacing w:line="360" w:lineRule="auto"/>
        <w:ind w:left="720" w:hanging="360"/>
        <w:jc w:val="both"/>
        <w:rPr>
          <w:rtl/>
        </w:rPr>
      </w:pPr>
    </w:p>
    <w:p w14:paraId="4D3CD06B" w14:textId="77777777" w:rsidR="00FC67A1" w:rsidRDefault="00FC67A1" w:rsidP="00FC67A1">
      <w:pPr>
        <w:snapToGrid w:val="0"/>
        <w:spacing w:line="360" w:lineRule="auto"/>
        <w:ind w:left="360"/>
        <w:jc w:val="both"/>
        <w:rPr>
          <w:rtl/>
        </w:rPr>
      </w:pPr>
      <w:r>
        <w:rPr>
          <w:rFonts w:hint="cs"/>
          <w:rtl/>
        </w:rPr>
        <w:t>ה.</w:t>
      </w:r>
      <w:r>
        <w:rPr>
          <w:rFonts w:hint="cs"/>
          <w:rtl/>
        </w:rPr>
        <w:tab/>
        <w:t>מוצא בזאת צו מבחן למשך שנה בעניינו של הנאשם.</w:t>
      </w:r>
    </w:p>
    <w:p w14:paraId="31148A50" w14:textId="77777777" w:rsidR="00FC67A1" w:rsidRDefault="00FC67A1" w:rsidP="00FC67A1">
      <w:pPr>
        <w:snapToGrid w:val="0"/>
        <w:spacing w:line="360" w:lineRule="auto"/>
        <w:ind w:left="360"/>
        <w:jc w:val="both"/>
        <w:rPr>
          <w:rtl/>
        </w:rPr>
      </w:pPr>
    </w:p>
    <w:p w14:paraId="7C0AF90C" w14:textId="77777777" w:rsidR="00FC67A1" w:rsidRDefault="00FC67A1" w:rsidP="00FC67A1">
      <w:pPr>
        <w:snapToGrid w:val="0"/>
        <w:spacing w:line="360" w:lineRule="auto"/>
        <w:jc w:val="both"/>
        <w:rPr>
          <w:b/>
          <w:bCs/>
          <w:rtl/>
        </w:rPr>
      </w:pPr>
      <w:r w:rsidRPr="00B22D08">
        <w:rPr>
          <w:rFonts w:hint="cs"/>
          <w:b/>
          <w:bCs/>
          <w:rtl/>
        </w:rPr>
        <w:t>העתק הפרוטוקול יועבר לממונה על עבודות השירות וכן לשירות המבחן.</w:t>
      </w:r>
    </w:p>
    <w:p w14:paraId="4C014755" w14:textId="77777777" w:rsidR="00FC67A1" w:rsidRDefault="00FC67A1" w:rsidP="00FC67A1">
      <w:pPr>
        <w:snapToGrid w:val="0"/>
        <w:spacing w:line="360" w:lineRule="auto"/>
        <w:jc w:val="both"/>
        <w:rPr>
          <w:b/>
          <w:bCs/>
          <w:rtl/>
        </w:rPr>
      </w:pPr>
    </w:p>
    <w:p w14:paraId="681A5906" w14:textId="77777777" w:rsidR="00FC67A1" w:rsidRDefault="00FC67A1" w:rsidP="00FC67A1">
      <w:pPr>
        <w:snapToGrid w:val="0"/>
        <w:spacing w:line="360" w:lineRule="auto"/>
        <w:ind w:left="567" w:hanging="567"/>
        <w:jc w:val="both"/>
        <w:rPr>
          <w:b/>
          <w:bCs/>
          <w:u w:val="single"/>
          <w:rtl/>
        </w:rPr>
      </w:pPr>
      <w:r w:rsidRPr="00FC7B06">
        <w:rPr>
          <w:rFonts w:hint="cs"/>
          <w:b/>
          <w:bCs/>
          <w:u w:val="single"/>
          <w:rtl/>
        </w:rPr>
        <w:t>זכות ערעור לבית-המשפט המחוזי בלוד בתוך 45 יום.</w:t>
      </w:r>
    </w:p>
    <w:p w14:paraId="55D63084" w14:textId="77777777" w:rsidR="00FC67A1" w:rsidRDefault="00FC67A1" w:rsidP="00FC67A1">
      <w:pPr>
        <w:snapToGrid w:val="0"/>
        <w:spacing w:line="360" w:lineRule="auto"/>
        <w:ind w:left="567" w:hanging="567"/>
        <w:jc w:val="both"/>
        <w:rPr>
          <w:b/>
          <w:bCs/>
          <w:u w:val="single"/>
          <w:rtl/>
        </w:rPr>
      </w:pPr>
    </w:p>
    <w:p w14:paraId="15102307" w14:textId="77777777" w:rsidR="00FC67A1" w:rsidRDefault="00FC67A1" w:rsidP="00FC67A1">
      <w:pPr>
        <w:spacing w:line="360" w:lineRule="auto"/>
        <w:jc w:val="both"/>
        <w:rPr>
          <w:b/>
          <w:bCs/>
          <w:sz w:val="6"/>
          <w:szCs w:val="6"/>
          <w:rtl/>
        </w:rPr>
      </w:pPr>
      <w:r>
        <w:rPr>
          <w:b/>
          <w:bCs/>
          <w:sz w:val="6"/>
          <w:szCs w:val="6"/>
          <w:rtl/>
        </w:rPr>
        <w:t>&lt;#4#&gt;</w:t>
      </w:r>
    </w:p>
    <w:p w14:paraId="271C8CAD" w14:textId="77777777" w:rsidR="00FC67A1" w:rsidRDefault="00FC67A1" w:rsidP="00FC67A1">
      <w:pPr>
        <w:jc w:val="right"/>
        <w:rPr>
          <w:rtl/>
        </w:rPr>
      </w:pPr>
    </w:p>
    <w:p w14:paraId="0D4D871E" w14:textId="77777777" w:rsidR="00FC67A1" w:rsidRDefault="000437CC" w:rsidP="00FC67A1">
      <w:pPr>
        <w:jc w:val="center"/>
        <w:rPr>
          <w:rtl/>
        </w:rPr>
      </w:pPr>
      <w:r w:rsidRPr="000437CC">
        <w:rPr>
          <w:b/>
          <w:bCs/>
          <w:color w:val="FFFFFF"/>
          <w:sz w:val="2"/>
          <w:szCs w:val="2"/>
          <w:rtl/>
        </w:rPr>
        <w:t>5129371</w:t>
      </w:r>
      <w:r>
        <w:rPr>
          <w:b/>
          <w:bCs/>
          <w:rtl/>
        </w:rPr>
        <w:t xml:space="preserve">ניתנה והודעה היום כ' טבת תשע"ז, 18/01/2017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C67A1" w14:paraId="64FD014C" w14:textId="77777777" w:rsidTr="000437CC">
        <w:trPr>
          <w:trHeight w:val="316"/>
          <w:jc w:val="right"/>
        </w:trPr>
        <w:tc>
          <w:tcPr>
            <w:tcW w:w="3936" w:type="dxa"/>
            <w:shd w:val="clear" w:color="auto" w:fill="auto"/>
          </w:tcPr>
          <w:p w14:paraId="72453B33" w14:textId="77777777" w:rsidR="00FC67A1" w:rsidRPr="000437CC" w:rsidRDefault="000437CC" w:rsidP="000437CC">
            <w:pPr>
              <w:jc w:val="center"/>
              <w:rPr>
                <w:rFonts w:ascii="Times New Roman" w:eastAsia="Times New Roman" w:hAnsi="Times New Roman" w:cs="Times New Roman"/>
                <w:color w:val="FFFFFF"/>
                <w:sz w:val="2"/>
                <w:szCs w:val="2"/>
                <w:rtl/>
              </w:rPr>
            </w:pPr>
            <w:r w:rsidRPr="000437CC">
              <w:rPr>
                <w:rFonts w:ascii="Times New Roman" w:eastAsia="Times New Roman" w:hAnsi="Times New Roman" w:cs="Times New Roman"/>
                <w:color w:val="FFFFFF"/>
                <w:sz w:val="2"/>
                <w:szCs w:val="2"/>
                <w:rtl/>
              </w:rPr>
              <w:t>54678313</w:t>
            </w:r>
          </w:p>
        </w:tc>
      </w:tr>
      <w:tr w:rsidR="00FC67A1" w14:paraId="5FF83877" w14:textId="77777777" w:rsidTr="000437CC">
        <w:trPr>
          <w:trHeight w:val="361"/>
          <w:jc w:val="right"/>
        </w:trPr>
        <w:tc>
          <w:tcPr>
            <w:tcW w:w="3936" w:type="dxa"/>
            <w:shd w:val="clear" w:color="auto" w:fill="auto"/>
          </w:tcPr>
          <w:p w14:paraId="59279E7E" w14:textId="77777777" w:rsidR="00FC67A1" w:rsidRPr="00AA276B" w:rsidRDefault="00FC67A1" w:rsidP="000437CC">
            <w:pPr>
              <w:jc w:val="center"/>
              <w:rPr>
                <w:rFonts w:ascii="Times New Roman" w:eastAsia="Times New Roman" w:hAnsi="Times New Roman"/>
                <w:b/>
                <w:bCs/>
                <w:rtl/>
              </w:rPr>
            </w:pPr>
            <w:r w:rsidRPr="00AA276B">
              <w:rPr>
                <w:rFonts w:ascii="Times New Roman" w:eastAsia="Times New Roman" w:hAnsi="Times New Roman" w:hint="cs"/>
                <w:b/>
                <w:bCs/>
                <w:rtl/>
              </w:rPr>
              <w:t>הדס רוזנברג שיינרט</w:t>
            </w:r>
            <w:r w:rsidRPr="00AA276B">
              <w:rPr>
                <w:rFonts w:ascii="Times New Roman" w:eastAsia="Times New Roman" w:hAnsi="Times New Roman"/>
                <w:b/>
                <w:bCs/>
                <w:rtl/>
              </w:rPr>
              <w:t xml:space="preserve"> </w:t>
            </w:r>
            <w:r w:rsidRPr="00AA276B">
              <w:rPr>
                <w:rFonts w:ascii="Times New Roman" w:eastAsia="Times New Roman" w:hAnsi="Times New Roman" w:hint="cs"/>
                <w:b/>
                <w:bCs/>
                <w:rtl/>
              </w:rPr>
              <w:t>, שופטת</w:t>
            </w:r>
            <w:r w:rsidRPr="00AA276B">
              <w:rPr>
                <w:rFonts w:ascii="Times New Roman" w:eastAsia="Times New Roman" w:hAnsi="Times New Roman"/>
                <w:b/>
                <w:bCs/>
                <w:rtl/>
              </w:rPr>
              <w:t xml:space="preserve"> </w:t>
            </w:r>
          </w:p>
        </w:tc>
      </w:tr>
    </w:tbl>
    <w:p w14:paraId="509B0E43" w14:textId="77777777" w:rsidR="00FC67A1" w:rsidRDefault="00FC67A1" w:rsidP="00FC67A1">
      <w:pPr>
        <w:jc w:val="right"/>
        <w:rPr>
          <w:rtl/>
        </w:rPr>
      </w:pPr>
    </w:p>
    <w:p w14:paraId="677F02CB" w14:textId="77777777" w:rsidR="00FC67A1" w:rsidRDefault="00FC67A1" w:rsidP="00FC67A1">
      <w:pPr>
        <w:jc w:val="both"/>
        <w:rPr>
          <w:rtl/>
        </w:rPr>
      </w:pPr>
    </w:p>
    <w:p w14:paraId="0E9B1983" w14:textId="77777777" w:rsidR="00FC67A1" w:rsidRDefault="00FC67A1" w:rsidP="00FC67A1">
      <w:pPr>
        <w:spacing w:line="360" w:lineRule="auto"/>
        <w:jc w:val="center"/>
        <w:rPr>
          <w:rtl/>
        </w:rPr>
      </w:pPr>
    </w:p>
    <w:p w14:paraId="6F2E826A" w14:textId="77777777" w:rsidR="00FC67A1" w:rsidRDefault="00BD04F4" w:rsidP="00FC67A1">
      <w:r w:rsidRPr="00BD04F4">
        <w:rPr>
          <w:color w:val="FFFFFF"/>
          <w:sz w:val="2"/>
          <w:szCs w:val="2"/>
          <w:rtl/>
        </w:rPr>
        <w:t>5129371</w:t>
      </w:r>
      <w:r w:rsidR="00FC67A1">
        <w:rPr>
          <w:rtl/>
        </w:rPr>
        <w:t>הוקלד</w:t>
      </w:r>
      <w:r w:rsidR="00FC67A1">
        <w:t xml:space="preserve"> </w:t>
      </w:r>
      <w:r w:rsidR="00FC67A1">
        <w:rPr>
          <w:rtl/>
        </w:rPr>
        <w:t>על</w:t>
      </w:r>
      <w:r w:rsidR="00FC67A1">
        <w:t xml:space="preserve"> </w:t>
      </w:r>
      <w:r w:rsidR="00FC67A1">
        <w:rPr>
          <w:rtl/>
        </w:rPr>
        <w:t>ידי</w:t>
      </w:r>
      <w:r w:rsidR="00FC67A1">
        <w:t xml:space="preserve"> </w:t>
      </w:r>
      <w:r w:rsidR="00FC67A1">
        <w:rPr>
          <w:rtl/>
        </w:rPr>
        <w:t>אורית</w:t>
      </w:r>
      <w:r w:rsidR="00FC67A1">
        <w:t xml:space="preserve"> </w:t>
      </w:r>
      <w:r w:rsidR="00FC67A1">
        <w:rPr>
          <w:rtl/>
        </w:rPr>
        <w:t>זיתוני</w:t>
      </w:r>
    </w:p>
    <w:p w14:paraId="664E15D1" w14:textId="77777777" w:rsidR="000437CC" w:rsidRPr="00BD04F4" w:rsidRDefault="00BD04F4" w:rsidP="000437CC">
      <w:pPr>
        <w:keepNext/>
        <w:rPr>
          <w:color w:val="FFFFFF"/>
          <w:sz w:val="2"/>
          <w:szCs w:val="2"/>
          <w:rtl/>
        </w:rPr>
      </w:pPr>
      <w:r w:rsidRPr="00BD04F4">
        <w:rPr>
          <w:color w:val="FFFFFF"/>
          <w:sz w:val="2"/>
          <w:szCs w:val="2"/>
          <w:rtl/>
        </w:rPr>
        <w:t>54678313</w:t>
      </w:r>
    </w:p>
    <w:p w14:paraId="5CA7CFC3" w14:textId="77777777" w:rsidR="000437CC" w:rsidRDefault="000437CC" w:rsidP="000437CC">
      <w:pPr>
        <w:rPr>
          <w:rtl/>
        </w:rPr>
      </w:pPr>
    </w:p>
    <w:p w14:paraId="2CDA47B4" w14:textId="77777777" w:rsidR="000437CC" w:rsidRDefault="000437CC" w:rsidP="000437CC">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4CFD9264" w14:textId="77777777" w:rsidR="00BD04F4" w:rsidRPr="00BD04F4" w:rsidRDefault="00BD04F4" w:rsidP="00BD04F4">
      <w:pPr>
        <w:keepNext/>
        <w:rPr>
          <w:color w:val="000000"/>
          <w:sz w:val="22"/>
          <w:szCs w:val="22"/>
          <w:rtl/>
        </w:rPr>
      </w:pPr>
    </w:p>
    <w:p w14:paraId="36E5E38A" w14:textId="77777777" w:rsidR="00BD04F4" w:rsidRPr="00BD04F4" w:rsidRDefault="00BD04F4" w:rsidP="00BD04F4">
      <w:pPr>
        <w:keepNext/>
        <w:rPr>
          <w:color w:val="000000"/>
          <w:sz w:val="22"/>
          <w:szCs w:val="22"/>
          <w:rtl/>
        </w:rPr>
      </w:pPr>
      <w:r w:rsidRPr="00BD04F4">
        <w:rPr>
          <w:color w:val="000000"/>
          <w:sz w:val="22"/>
          <w:szCs w:val="22"/>
          <w:rtl/>
        </w:rPr>
        <w:t>הדס רוזנברג שיינרט 54678313-/</w:t>
      </w:r>
    </w:p>
    <w:p w14:paraId="2C56FD7A" w14:textId="77777777" w:rsidR="00DF27D7" w:rsidRPr="000437CC" w:rsidRDefault="00BD04F4" w:rsidP="00BD04F4">
      <w:pPr>
        <w:rPr>
          <w:color w:val="0000FF"/>
          <w:u w:val="single"/>
        </w:rPr>
      </w:pPr>
      <w:r w:rsidRPr="00BD04F4">
        <w:rPr>
          <w:color w:val="000000"/>
          <w:u w:val="single"/>
          <w:rtl/>
        </w:rPr>
        <w:t>נוסח מסמך זה כפוף לשינויי ניסוח ועריכה</w:t>
      </w:r>
    </w:p>
    <w:sectPr w:rsidR="00DF27D7" w:rsidRPr="000437CC" w:rsidSect="00BD04F4">
      <w:headerReference w:type="even" r:id="rId18"/>
      <w:headerReference w:type="default" r:id="rId19"/>
      <w:footerReference w:type="even" r:id="rId20"/>
      <w:footerReference w:type="default" r:id="rId2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3A3B79" w14:textId="77777777" w:rsidR="00F44F9D" w:rsidRDefault="00F44F9D">
      <w:r>
        <w:separator/>
      </w:r>
    </w:p>
  </w:endnote>
  <w:endnote w:type="continuationSeparator" w:id="0">
    <w:p w14:paraId="1FA4BB71" w14:textId="77777777" w:rsidR="00F44F9D" w:rsidRDefault="00F44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03313" w14:textId="77777777" w:rsidR="00F44F9D" w:rsidRDefault="00F44F9D" w:rsidP="00BD04F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A742967" w14:textId="77777777" w:rsidR="00F44F9D" w:rsidRPr="00BD04F4" w:rsidRDefault="00F44F9D" w:rsidP="00BD04F4">
    <w:pPr>
      <w:pStyle w:val="a5"/>
      <w:pBdr>
        <w:top w:val="single" w:sz="4" w:space="1" w:color="auto"/>
        <w:between w:val="single" w:sz="4" w:space="0" w:color="auto"/>
      </w:pBdr>
      <w:spacing w:after="60"/>
      <w:jc w:val="center"/>
      <w:rPr>
        <w:rFonts w:ascii="FrankRuehl" w:hAnsi="FrankRuehl" w:cs="FrankRuehl"/>
        <w:color w:val="000000"/>
      </w:rPr>
    </w:pPr>
    <w:r w:rsidRPr="00BD04F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2FCE4" w14:textId="77777777" w:rsidR="00F44F9D" w:rsidRDefault="00F44F9D" w:rsidP="00BD04F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C32DF">
      <w:rPr>
        <w:rFonts w:ascii="FrankRuehl" w:hAnsi="FrankRuehl" w:cs="FrankRuehl"/>
        <w:noProof/>
        <w:rtl/>
      </w:rPr>
      <w:t>1</w:t>
    </w:r>
    <w:r>
      <w:rPr>
        <w:rFonts w:ascii="FrankRuehl" w:hAnsi="FrankRuehl" w:cs="FrankRuehl"/>
        <w:rtl/>
      </w:rPr>
      <w:fldChar w:fldCharType="end"/>
    </w:r>
  </w:p>
  <w:p w14:paraId="382C801C" w14:textId="77777777" w:rsidR="00F44F9D" w:rsidRPr="00BD04F4" w:rsidRDefault="00F44F9D" w:rsidP="00BD04F4">
    <w:pPr>
      <w:pStyle w:val="a5"/>
      <w:pBdr>
        <w:top w:val="single" w:sz="4" w:space="1" w:color="auto"/>
        <w:between w:val="single" w:sz="4" w:space="0" w:color="auto"/>
      </w:pBdr>
      <w:spacing w:after="60"/>
      <w:jc w:val="center"/>
      <w:rPr>
        <w:rFonts w:ascii="FrankRuehl" w:hAnsi="FrankRuehl" w:cs="FrankRuehl"/>
        <w:color w:val="000000"/>
      </w:rPr>
    </w:pPr>
    <w:r w:rsidRPr="00BD04F4">
      <w:rPr>
        <w:rFonts w:ascii="FrankRuehl" w:hAnsi="FrankRuehl" w:cs="FrankRuehl"/>
        <w:color w:val="000000"/>
      </w:rPr>
      <w:pict w14:anchorId="28216A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74D90" w14:textId="77777777" w:rsidR="00F44F9D" w:rsidRDefault="00F44F9D">
      <w:r>
        <w:separator/>
      </w:r>
    </w:p>
  </w:footnote>
  <w:footnote w:type="continuationSeparator" w:id="0">
    <w:p w14:paraId="02FFD39B" w14:textId="77777777" w:rsidR="00F44F9D" w:rsidRDefault="00F44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7DDFB" w14:textId="77777777" w:rsidR="00F44F9D" w:rsidRPr="00BD04F4" w:rsidRDefault="00F44F9D" w:rsidP="00BD04F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39075-12-15</w:t>
    </w:r>
    <w:r>
      <w:rPr>
        <w:color w:val="000000"/>
        <w:sz w:val="22"/>
        <w:szCs w:val="22"/>
        <w:rtl/>
      </w:rPr>
      <w:tab/>
      <w:t xml:space="preserve"> מדינת ישראל נ' אילן סובולב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3348B" w14:textId="77777777" w:rsidR="00F44F9D" w:rsidRPr="00BD04F4" w:rsidRDefault="00F44F9D" w:rsidP="00BD04F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39075-12-15</w:t>
    </w:r>
    <w:r>
      <w:rPr>
        <w:color w:val="000000"/>
        <w:sz w:val="22"/>
        <w:szCs w:val="22"/>
        <w:rtl/>
      </w:rPr>
      <w:tab/>
      <w:t xml:space="preserve"> מדינת ישראל נ' אילן סובולב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C67A1"/>
    <w:rsid w:val="000437CC"/>
    <w:rsid w:val="001E6F58"/>
    <w:rsid w:val="006C32DF"/>
    <w:rsid w:val="009412B3"/>
    <w:rsid w:val="00AF1974"/>
    <w:rsid w:val="00BD04F4"/>
    <w:rsid w:val="00DF27D7"/>
    <w:rsid w:val="00E61B89"/>
    <w:rsid w:val="00F44F9D"/>
    <w:rsid w:val="00F702AC"/>
    <w:rsid w:val="00FC0CDA"/>
    <w:rsid w:val="00FC67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D094DC"/>
  <w15:chartTrackingRefBased/>
  <w15:docId w15:val="{09899A79-BB4E-4E34-83F9-15739826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67A1"/>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FC67A1"/>
  </w:style>
  <w:style w:type="paragraph" w:styleId="a4">
    <w:name w:val="header"/>
    <w:basedOn w:val="a"/>
    <w:rsid w:val="00FC67A1"/>
    <w:pPr>
      <w:tabs>
        <w:tab w:val="center" w:pos="4153"/>
        <w:tab w:val="right" w:pos="8306"/>
      </w:tabs>
    </w:pPr>
  </w:style>
  <w:style w:type="paragraph" w:styleId="a5">
    <w:name w:val="footer"/>
    <w:basedOn w:val="a"/>
    <w:rsid w:val="00FC67A1"/>
    <w:pPr>
      <w:tabs>
        <w:tab w:val="center" w:pos="4153"/>
        <w:tab w:val="right" w:pos="8306"/>
      </w:tabs>
    </w:pPr>
  </w:style>
  <w:style w:type="character" w:styleId="a6">
    <w:name w:val="page number"/>
    <w:basedOn w:val="a0"/>
    <w:rsid w:val="00FC67A1"/>
  </w:style>
  <w:style w:type="character" w:customStyle="1" w:styleId="TimesNewRomanTimesNewRoman">
    <w:name w:val="סגנון (לטיני) Times New Roman (עברית ושפות אחרות) Times New Roman..."/>
    <w:rsid w:val="00FC67A1"/>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FC67A1"/>
    <w:rPr>
      <w:rFonts w:ascii="Times New Roman" w:eastAsia="Times New Roman" w:hAnsi="Times New Roman"/>
      <w:b/>
      <w:bCs/>
      <w:u w:val="single"/>
    </w:rPr>
  </w:style>
  <w:style w:type="character" w:styleId="Hyperlink">
    <w:name w:val="Hyperlink"/>
    <w:basedOn w:val="a0"/>
    <w:rsid w:val="000437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4216/21.a.1" TargetMode="External"/><Relationship Id="rId12" Type="http://schemas.openxmlformats.org/officeDocument/2006/relationships/hyperlink" Target="http://www.nevo.co.il/law/70301/275"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yperlink" Target="http://www.nevo.co.il/law/70301/275" TargetMode="External"/><Relationship Id="rId23" Type="http://schemas.openxmlformats.org/officeDocument/2006/relationships/theme" Target="theme/theme1.xml"/><Relationship Id="rId10" Type="http://schemas.openxmlformats.org/officeDocument/2006/relationships/hyperlink" Target="http://www.nevo.co.il/law/4216/21.a.1"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275" TargetMode="External"/><Relationship Id="rId14" Type="http://schemas.openxmlformats.org/officeDocument/2006/relationships/hyperlink" Target="http://www.nevo.co.il/law/4216"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865</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5184</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7995492</vt:i4>
      </vt:variant>
      <vt:variant>
        <vt:i4>30</vt:i4>
      </vt:variant>
      <vt:variant>
        <vt:i4>0</vt:i4>
      </vt:variant>
      <vt:variant>
        <vt:i4>5</vt:i4>
      </vt:variant>
      <vt:variant>
        <vt:lpwstr>http://www.nevo.co.il/law/70301</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8257637</vt:i4>
      </vt:variant>
      <vt:variant>
        <vt:i4>24</vt:i4>
      </vt:variant>
      <vt:variant>
        <vt:i4>0</vt:i4>
      </vt:variant>
      <vt:variant>
        <vt:i4>5</vt:i4>
      </vt:variant>
      <vt:variant>
        <vt:lpwstr>http://www.nevo.co.il/law/4216</vt:lpwstr>
      </vt:variant>
      <vt:variant>
        <vt:lpwstr/>
      </vt:variant>
      <vt:variant>
        <vt:i4>7995492</vt:i4>
      </vt:variant>
      <vt:variant>
        <vt:i4>21</vt:i4>
      </vt:variant>
      <vt:variant>
        <vt:i4>0</vt:i4>
      </vt:variant>
      <vt:variant>
        <vt:i4>5</vt:i4>
      </vt:variant>
      <vt:variant>
        <vt:lpwstr>http://www.nevo.co.il/law/70301</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8257637</vt:i4>
      </vt:variant>
      <vt:variant>
        <vt:i4>15</vt:i4>
      </vt:variant>
      <vt:variant>
        <vt:i4>0</vt:i4>
      </vt:variant>
      <vt:variant>
        <vt:i4>5</vt:i4>
      </vt:variant>
      <vt:variant>
        <vt:lpwstr>http://www.nevo.co.il/law/4216</vt:lpwstr>
      </vt:variant>
      <vt:variant>
        <vt:lpwstr/>
      </vt:variant>
      <vt:variant>
        <vt:i4>4980762</vt:i4>
      </vt:variant>
      <vt:variant>
        <vt:i4>12</vt:i4>
      </vt:variant>
      <vt:variant>
        <vt:i4>0</vt:i4>
      </vt:variant>
      <vt:variant>
        <vt:i4>5</vt:i4>
      </vt:variant>
      <vt:variant>
        <vt:lpwstr>http://www.nevo.co.il/law/4216/21.a.1</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7995492</vt:i4>
      </vt:variant>
      <vt:variant>
        <vt:i4>6</vt:i4>
      </vt:variant>
      <vt:variant>
        <vt:i4>0</vt:i4>
      </vt:variant>
      <vt:variant>
        <vt:i4>5</vt:i4>
      </vt:variant>
      <vt:variant>
        <vt:lpwstr>http://www.nevo.co.il/law/70301</vt:lpwstr>
      </vt:variant>
      <vt:variant>
        <vt:lpwstr/>
      </vt:variant>
      <vt:variant>
        <vt:i4>4980762</vt:i4>
      </vt:variant>
      <vt:variant>
        <vt:i4>3</vt:i4>
      </vt:variant>
      <vt:variant>
        <vt:i4>0</vt:i4>
      </vt:variant>
      <vt:variant>
        <vt:i4>5</vt:i4>
      </vt:variant>
      <vt:variant>
        <vt:lpwstr>http://www.nevo.co.il/law/4216/21.a.1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2025-04-22T22:57:00Z</dcterms:created>
  <dcterms:modified xsi:type="dcterms:W3CDTF">2025-04-22T22:57:00Z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39075</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אילן סובולב </vt:lpwstr>
  </property>
  <property fmtid="{D5CDD505-2E9C-101B-9397-08002B2CF9AE}" pid="10" name="LAWYER">
    <vt:lpwstr>ברלין;יניב פרץ</vt:lpwstr>
  </property>
  <property fmtid="{D5CDD505-2E9C-101B-9397-08002B2CF9AE}" pid="11" name="JUDGE">
    <vt:lpwstr>הדס רוזנברג שיינרט</vt:lpwstr>
  </property>
  <property fmtid="{D5CDD505-2E9C-101B-9397-08002B2CF9AE}" pid="12" name="CITY">
    <vt:lpwstr>נת'</vt:lpwstr>
  </property>
  <property fmtid="{D5CDD505-2E9C-101B-9397-08002B2CF9AE}" pid="13" name="DATE">
    <vt:lpwstr>20170118</vt:lpwstr>
  </property>
  <property fmtid="{D5CDD505-2E9C-101B-9397-08002B2CF9AE}" pid="14" name="TYPE_N_DATE">
    <vt:lpwstr>38020170118</vt:lpwstr>
  </property>
  <property fmtid="{D5CDD505-2E9C-101B-9397-08002B2CF9AE}" pid="15" name="WORDNUMPAGES">
    <vt:lpwstr>3</vt:lpwstr>
  </property>
  <property fmtid="{D5CDD505-2E9C-101B-9397-08002B2CF9AE}" pid="16" name="TYPE_ABS_DATE">
    <vt:lpwstr>380020170118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LAWLISTTMP1">
    <vt:lpwstr>4216/021.a.1</vt:lpwstr>
  </property>
  <property fmtid="{D5CDD505-2E9C-101B-9397-08002B2CF9AE}" pid="35" name="LAWLISTTMP2">
    <vt:lpwstr>70301/275:2</vt:lpwstr>
  </property>
  <property fmtid="{D5CDD505-2E9C-101B-9397-08002B2CF9AE}" pid="36" name="ISABSTRACT">
    <vt:lpwstr>Y</vt:lpwstr>
  </property>
</Properties>
</file>