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D968FB" w:rsidRPr="008F1590" w14:paraId="05CCBF1D" w14:textId="77777777" w:rsidTr="008F1590">
        <w:trPr>
          <w:trHeight w:hRule="exact" w:val="418"/>
          <w:jc w:val="center"/>
        </w:trPr>
        <w:tc>
          <w:tcPr>
            <w:tcW w:w="8721" w:type="dxa"/>
            <w:gridSpan w:val="2"/>
          </w:tcPr>
          <w:p w14:paraId="25068298" w14:textId="77777777" w:rsidR="00D968FB" w:rsidRPr="008F1590" w:rsidRDefault="00D968FB" w:rsidP="008F1590">
            <w:pPr>
              <w:pStyle w:val="a3"/>
              <w:jc w:val="center"/>
              <w:rPr>
                <w:rFonts w:ascii="Tahoma" w:hAnsi="Tahoma" w:cs="Tahoma"/>
                <w:noProof w:val="0"/>
                <w:color w:val="000080"/>
                <w:rtl/>
              </w:rPr>
            </w:pPr>
            <w:bookmarkStart w:id="0" w:name="LastJudge"/>
            <w:r w:rsidRPr="008F1590">
              <w:rPr>
                <w:rFonts w:ascii="Tahoma" w:hAnsi="Tahoma" w:cs="Tahoma"/>
                <w:b/>
                <w:bCs/>
                <w:noProof w:val="0"/>
                <w:color w:val="000080"/>
                <w:rtl/>
              </w:rPr>
              <w:t>בית משפט השלום בקריית גת</w:t>
            </w:r>
          </w:p>
        </w:tc>
      </w:tr>
      <w:tr w:rsidR="00D968FB" w:rsidRPr="008F1590" w14:paraId="717D5F42" w14:textId="77777777" w:rsidTr="008F1590">
        <w:trPr>
          <w:trHeight w:val="337"/>
          <w:jc w:val="center"/>
        </w:trPr>
        <w:tc>
          <w:tcPr>
            <w:tcW w:w="5047" w:type="dxa"/>
          </w:tcPr>
          <w:p w14:paraId="1ACC705D" w14:textId="77777777" w:rsidR="00D968FB" w:rsidRPr="008F1590" w:rsidRDefault="00D968FB" w:rsidP="008F1590">
            <w:pPr>
              <w:rPr>
                <w:b/>
                <w:bCs/>
                <w:noProof w:val="0"/>
                <w:sz w:val="26"/>
                <w:szCs w:val="26"/>
                <w:rtl/>
              </w:rPr>
            </w:pPr>
          </w:p>
        </w:tc>
        <w:tc>
          <w:tcPr>
            <w:tcW w:w="3674" w:type="dxa"/>
          </w:tcPr>
          <w:p w14:paraId="2FFF556F" w14:textId="77777777" w:rsidR="00D968FB" w:rsidRPr="008F1590" w:rsidRDefault="00D968FB" w:rsidP="008F1590">
            <w:pPr>
              <w:pStyle w:val="a3"/>
              <w:jc w:val="right"/>
              <w:rPr>
                <w:b/>
                <w:bCs/>
                <w:noProof w:val="0"/>
                <w:sz w:val="26"/>
                <w:szCs w:val="26"/>
                <w:rtl/>
              </w:rPr>
            </w:pPr>
            <w:r w:rsidRPr="008F1590">
              <w:rPr>
                <w:b/>
                <w:bCs/>
                <w:noProof w:val="0"/>
                <w:sz w:val="26"/>
                <w:szCs w:val="26"/>
                <w:rtl/>
              </w:rPr>
              <w:t>16 אוקטובר 2017</w:t>
            </w:r>
          </w:p>
        </w:tc>
      </w:tr>
      <w:tr w:rsidR="00D968FB" w:rsidRPr="008F1590" w14:paraId="1C6562EB" w14:textId="77777777" w:rsidTr="008F1590">
        <w:trPr>
          <w:trHeight w:val="337"/>
          <w:jc w:val="center"/>
        </w:trPr>
        <w:tc>
          <w:tcPr>
            <w:tcW w:w="8721" w:type="dxa"/>
            <w:gridSpan w:val="2"/>
          </w:tcPr>
          <w:p w14:paraId="71BC624E" w14:textId="77777777" w:rsidR="00D968FB" w:rsidRPr="008F1590" w:rsidRDefault="00D968FB" w:rsidP="008F1590">
            <w:pPr>
              <w:rPr>
                <w:b/>
                <w:bCs/>
                <w:noProof w:val="0"/>
                <w:sz w:val="26"/>
                <w:szCs w:val="26"/>
                <w:rtl/>
              </w:rPr>
            </w:pPr>
            <w:r w:rsidRPr="008F1590">
              <w:rPr>
                <w:b/>
                <w:bCs/>
                <w:noProof w:val="0"/>
                <w:sz w:val="26"/>
                <w:szCs w:val="26"/>
                <w:rtl/>
              </w:rPr>
              <w:t>ת"פ 44250-12-15 מדינת ישראל נ' פיטוסי</w:t>
            </w:r>
            <w:r w:rsidRPr="008F1590">
              <w:rPr>
                <w:b/>
                <w:bCs/>
                <w:noProof w:val="0"/>
                <w:sz w:val="26"/>
                <w:szCs w:val="26"/>
                <w:rtl/>
              </w:rPr>
              <w:br/>
            </w:r>
            <w:r w:rsidRPr="008F1590">
              <w:rPr>
                <w:rFonts w:hint="cs"/>
                <w:b/>
                <w:bCs/>
                <w:rtl/>
              </w:rPr>
              <w:t>באיחוד דיון עם ת"פ 21321-05-15</w:t>
            </w:r>
          </w:p>
          <w:p w14:paraId="631449F0" w14:textId="77777777" w:rsidR="00D968FB" w:rsidRPr="008F1590" w:rsidRDefault="00D968FB" w:rsidP="008F1590">
            <w:pPr>
              <w:rPr>
                <w:rtl/>
              </w:rPr>
            </w:pPr>
          </w:p>
        </w:tc>
      </w:tr>
    </w:tbl>
    <w:p w14:paraId="789085F8" w14:textId="77777777" w:rsidR="00D968FB" w:rsidRPr="008F1590" w:rsidRDefault="00D968FB" w:rsidP="00D968FB"/>
    <w:tbl>
      <w:tblPr>
        <w:bidiVisual/>
        <w:tblW w:w="0" w:type="auto"/>
        <w:jc w:val="center"/>
        <w:tblLook w:val="0000" w:firstRow="0" w:lastRow="0" w:firstColumn="0" w:lastColumn="0" w:noHBand="0" w:noVBand="0"/>
      </w:tblPr>
      <w:tblGrid>
        <w:gridCol w:w="873"/>
        <w:gridCol w:w="7848"/>
      </w:tblGrid>
      <w:tr w:rsidR="00D968FB" w:rsidRPr="008F1590" w14:paraId="65171B49" w14:textId="77777777" w:rsidTr="008F1590">
        <w:trPr>
          <w:trHeight w:val="337"/>
          <w:jc w:val="center"/>
        </w:trPr>
        <w:tc>
          <w:tcPr>
            <w:tcW w:w="873" w:type="dxa"/>
          </w:tcPr>
          <w:p w14:paraId="5B706890" w14:textId="77777777" w:rsidR="00D968FB" w:rsidRPr="008F1590" w:rsidRDefault="00D968FB" w:rsidP="008F1590">
            <w:pPr>
              <w:tabs>
                <w:tab w:val="left" w:pos="1710"/>
              </w:tabs>
              <w:rPr>
                <w:b/>
                <w:bCs/>
                <w:sz w:val="28"/>
                <w:szCs w:val="28"/>
                <w:rtl/>
              </w:rPr>
            </w:pPr>
            <w:r w:rsidRPr="008F1590">
              <w:rPr>
                <w:rFonts w:hint="cs"/>
                <w:b/>
                <w:bCs/>
                <w:sz w:val="28"/>
                <w:szCs w:val="28"/>
                <w:rtl/>
              </w:rPr>
              <w:t>בפני</w:t>
            </w:r>
          </w:p>
        </w:tc>
        <w:tc>
          <w:tcPr>
            <w:tcW w:w="7848" w:type="dxa"/>
          </w:tcPr>
          <w:p w14:paraId="026844B1" w14:textId="77777777" w:rsidR="00D968FB" w:rsidRPr="008F1590" w:rsidRDefault="00D968FB" w:rsidP="008F1590">
            <w:pPr>
              <w:rPr>
                <w:rFonts w:ascii="Arial" w:hAnsi="Arial"/>
                <w:b/>
                <w:bCs/>
                <w:sz w:val="28"/>
                <w:szCs w:val="28"/>
                <w:rtl/>
              </w:rPr>
            </w:pPr>
            <w:r w:rsidRPr="008F1590">
              <w:rPr>
                <w:rFonts w:ascii="Arial" w:hAnsi="Arial" w:hint="cs"/>
                <w:b/>
                <w:bCs/>
                <w:sz w:val="28"/>
                <w:szCs w:val="28"/>
                <w:rtl/>
              </w:rPr>
              <w:t>כב' ה</w:t>
            </w:r>
            <w:r w:rsidRPr="008F1590">
              <w:rPr>
                <w:rFonts w:ascii="Arial" w:hAnsi="Arial"/>
                <w:b/>
                <w:bCs/>
                <w:sz w:val="28"/>
                <w:szCs w:val="28"/>
                <w:rtl/>
              </w:rPr>
              <w:t>סגנית נשיאה</w:t>
            </w:r>
            <w:r w:rsidRPr="008F1590">
              <w:rPr>
                <w:rFonts w:ascii="Arial" w:hAnsi="Arial" w:hint="cs"/>
                <w:b/>
                <w:bCs/>
                <w:sz w:val="28"/>
                <w:szCs w:val="28"/>
                <w:rtl/>
              </w:rPr>
              <w:t xml:space="preserve">  </w:t>
            </w:r>
            <w:r w:rsidRPr="008F1590">
              <w:rPr>
                <w:rFonts w:ascii="Arial" w:hAnsi="Arial"/>
                <w:b/>
                <w:bCs/>
                <w:sz w:val="28"/>
                <w:szCs w:val="28"/>
                <w:rtl/>
              </w:rPr>
              <w:t>ד''ר נגה שמואלי-מאייר</w:t>
            </w:r>
          </w:p>
          <w:p w14:paraId="751FEEBF" w14:textId="77777777" w:rsidR="00D968FB" w:rsidRPr="008F1590" w:rsidRDefault="00D968FB" w:rsidP="008F1590">
            <w:pPr>
              <w:tabs>
                <w:tab w:val="left" w:pos="1710"/>
              </w:tabs>
              <w:rPr>
                <w:rtl/>
              </w:rPr>
            </w:pPr>
          </w:p>
        </w:tc>
      </w:tr>
    </w:tbl>
    <w:p w14:paraId="427EA0B4" w14:textId="77777777" w:rsidR="00D968FB" w:rsidRPr="008F1590" w:rsidRDefault="00D968FB" w:rsidP="00D968FB">
      <w:pPr>
        <w:pStyle w:val="a3"/>
        <w:rPr>
          <w:noProof w:val="0"/>
          <w:rtl/>
        </w:rPr>
      </w:pPr>
      <w:r w:rsidRPr="008F1590">
        <w:rPr>
          <w:noProof w:val="0"/>
          <w:rtl/>
        </w:rPr>
        <w:t xml:space="preserve"> </w:t>
      </w:r>
    </w:p>
    <w:p w14:paraId="0EE7E36C" w14:textId="77777777" w:rsidR="00D968FB" w:rsidRPr="008F1590" w:rsidRDefault="00D968FB" w:rsidP="00D968FB">
      <w:pPr>
        <w:spacing w:line="360" w:lineRule="auto"/>
        <w:jc w:val="both"/>
        <w:rPr>
          <w:rtl/>
        </w:rPr>
      </w:pPr>
    </w:p>
    <w:tbl>
      <w:tblPr>
        <w:bidiVisual/>
        <w:tblW w:w="8820" w:type="dxa"/>
        <w:jc w:val="center"/>
        <w:tblLook w:val="01E0" w:firstRow="1" w:lastRow="1" w:firstColumn="1" w:lastColumn="1" w:noHBand="0" w:noVBand="0"/>
      </w:tblPr>
      <w:tblGrid>
        <w:gridCol w:w="5603"/>
        <w:gridCol w:w="3217"/>
      </w:tblGrid>
      <w:tr w:rsidR="00D968FB" w:rsidRPr="008F1590" w14:paraId="7E152525" w14:textId="77777777" w:rsidTr="00D968FB">
        <w:trPr>
          <w:jc w:val="center"/>
        </w:trPr>
        <w:tc>
          <w:tcPr>
            <w:tcW w:w="5603" w:type="dxa"/>
            <w:shd w:val="clear" w:color="auto" w:fill="auto"/>
          </w:tcPr>
          <w:p w14:paraId="710C6B64" w14:textId="77777777" w:rsidR="00D968FB" w:rsidRPr="008F1590" w:rsidRDefault="00D968FB" w:rsidP="00D968FB">
            <w:pPr>
              <w:spacing w:line="360" w:lineRule="auto"/>
              <w:jc w:val="both"/>
              <w:rPr>
                <w:b/>
                <w:bCs/>
                <w:noProof w:val="0"/>
                <w:sz w:val="28"/>
                <w:szCs w:val="28"/>
                <w:rtl/>
              </w:rPr>
            </w:pPr>
            <w:bookmarkStart w:id="1" w:name="FirstAppellant"/>
            <w:bookmarkStart w:id="2" w:name="FirstLawyer"/>
            <w:r w:rsidRPr="008F1590">
              <w:rPr>
                <w:rFonts w:ascii="Arial" w:hAnsi="Arial" w:hint="cs"/>
                <w:b/>
                <w:bCs/>
                <w:noProof w:val="0"/>
                <w:sz w:val="28"/>
                <w:szCs w:val="28"/>
                <w:rtl/>
              </w:rPr>
              <w:t>מדינת ישראל</w:t>
            </w:r>
          </w:p>
          <w:p w14:paraId="0480CE46" w14:textId="77777777" w:rsidR="00D968FB" w:rsidRPr="008F1590" w:rsidRDefault="00D968FB" w:rsidP="00D968FB">
            <w:pPr>
              <w:spacing w:line="360" w:lineRule="auto"/>
              <w:jc w:val="both"/>
              <w:rPr>
                <w:b/>
                <w:bCs/>
                <w:sz w:val="28"/>
                <w:szCs w:val="28"/>
                <w:rtl/>
              </w:rPr>
            </w:pPr>
            <w:r w:rsidRPr="008F1590">
              <w:rPr>
                <w:rFonts w:hint="cs"/>
                <w:b/>
                <w:bCs/>
                <w:sz w:val="28"/>
                <w:szCs w:val="28"/>
                <w:rtl/>
              </w:rPr>
              <w:t xml:space="preserve">ע"י ב"כ עו"ד לירן פרג' </w:t>
            </w:r>
            <w:r w:rsidRPr="008F1590">
              <w:rPr>
                <w:b/>
                <w:bCs/>
                <w:sz w:val="28"/>
                <w:szCs w:val="28"/>
                <w:rtl/>
              </w:rPr>
              <w:t>–</w:t>
            </w:r>
            <w:r w:rsidRPr="008F1590">
              <w:rPr>
                <w:rFonts w:hint="cs"/>
                <w:b/>
                <w:bCs/>
                <w:sz w:val="28"/>
                <w:szCs w:val="28"/>
                <w:rtl/>
              </w:rPr>
              <w:t xml:space="preserve"> נוכחת</w:t>
            </w:r>
          </w:p>
        </w:tc>
        <w:tc>
          <w:tcPr>
            <w:tcW w:w="3217" w:type="dxa"/>
            <w:shd w:val="clear" w:color="auto" w:fill="auto"/>
          </w:tcPr>
          <w:p w14:paraId="5C75F91E" w14:textId="77777777" w:rsidR="00D968FB" w:rsidRPr="008F1590" w:rsidRDefault="00D968FB" w:rsidP="00D968FB">
            <w:pPr>
              <w:bidi w:val="0"/>
              <w:spacing w:line="360" w:lineRule="auto"/>
              <w:jc w:val="right"/>
              <w:rPr>
                <w:rFonts w:ascii="Arial" w:hAnsi="Arial"/>
                <w:b/>
                <w:bCs/>
                <w:noProof w:val="0"/>
                <w:sz w:val="28"/>
                <w:szCs w:val="28"/>
                <w:rtl/>
              </w:rPr>
            </w:pPr>
            <w:r w:rsidRPr="008F1590">
              <w:rPr>
                <w:rFonts w:ascii="Arial" w:hAnsi="Arial" w:hint="cs"/>
                <w:b/>
                <w:bCs/>
                <w:noProof w:val="0"/>
                <w:sz w:val="28"/>
                <w:szCs w:val="28"/>
                <w:rtl/>
              </w:rPr>
              <w:t>ה</w:t>
            </w:r>
            <w:r w:rsidRPr="008F1590">
              <w:rPr>
                <w:rFonts w:ascii="Arial" w:hAnsi="Arial"/>
                <w:b/>
                <w:bCs/>
                <w:noProof w:val="0"/>
                <w:sz w:val="28"/>
                <w:szCs w:val="28"/>
                <w:rtl/>
              </w:rPr>
              <w:t>מאשימה</w:t>
            </w:r>
          </w:p>
          <w:p w14:paraId="34E2DBC0" w14:textId="77777777" w:rsidR="00D968FB" w:rsidRPr="008F1590" w:rsidRDefault="00D968FB" w:rsidP="00D968FB">
            <w:pPr>
              <w:spacing w:line="360" w:lineRule="auto"/>
              <w:jc w:val="both"/>
              <w:rPr>
                <w:b/>
                <w:bCs/>
                <w:noProof w:val="0"/>
                <w:sz w:val="26"/>
                <w:szCs w:val="26"/>
                <w:rtl/>
              </w:rPr>
            </w:pPr>
          </w:p>
        </w:tc>
      </w:tr>
      <w:bookmarkEnd w:id="1"/>
      <w:bookmarkEnd w:id="2"/>
      <w:tr w:rsidR="00D968FB" w:rsidRPr="008F1590" w14:paraId="66DC7E35" w14:textId="77777777" w:rsidTr="00D968FB">
        <w:trPr>
          <w:jc w:val="center"/>
        </w:trPr>
        <w:tc>
          <w:tcPr>
            <w:tcW w:w="8820" w:type="dxa"/>
            <w:gridSpan w:val="2"/>
            <w:shd w:val="clear" w:color="auto" w:fill="auto"/>
          </w:tcPr>
          <w:p w14:paraId="0C3EF8D3" w14:textId="77777777" w:rsidR="00D968FB" w:rsidRPr="008F1590" w:rsidRDefault="00D968FB" w:rsidP="00D968FB">
            <w:pPr>
              <w:spacing w:line="360" w:lineRule="auto"/>
              <w:jc w:val="center"/>
              <w:rPr>
                <w:rFonts w:ascii="Arial" w:hAnsi="Arial"/>
                <w:b/>
                <w:bCs/>
                <w:noProof w:val="0"/>
                <w:sz w:val="28"/>
                <w:szCs w:val="28"/>
                <w:rtl/>
              </w:rPr>
            </w:pPr>
            <w:r w:rsidRPr="008F1590">
              <w:rPr>
                <w:rFonts w:ascii="Arial" w:hAnsi="Arial"/>
                <w:b/>
                <w:bCs/>
                <w:noProof w:val="0"/>
                <w:sz w:val="28"/>
                <w:szCs w:val="28"/>
                <w:rtl/>
              </w:rPr>
              <w:t>נ</w:t>
            </w:r>
            <w:r w:rsidRPr="008F1590">
              <w:rPr>
                <w:rFonts w:ascii="Arial" w:hAnsi="Arial" w:hint="cs"/>
                <w:b/>
                <w:bCs/>
                <w:noProof w:val="0"/>
                <w:sz w:val="28"/>
                <w:szCs w:val="28"/>
                <w:rtl/>
              </w:rPr>
              <w:t xml:space="preserve"> </w:t>
            </w:r>
            <w:r w:rsidRPr="008F1590">
              <w:rPr>
                <w:rFonts w:ascii="Arial" w:hAnsi="Arial"/>
                <w:b/>
                <w:bCs/>
                <w:noProof w:val="0"/>
                <w:sz w:val="28"/>
                <w:szCs w:val="28"/>
                <w:rtl/>
              </w:rPr>
              <w:t>ג</w:t>
            </w:r>
            <w:r w:rsidRPr="008F1590">
              <w:rPr>
                <w:rFonts w:ascii="Arial" w:hAnsi="Arial" w:hint="cs"/>
                <w:b/>
                <w:bCs/>
                <w:noProof w:val="0"/>
                <w:sz w:val="28"/>
                <w:szCs w:val="28"/>
                <w:rtl/>
              </w:rPr>
              <w:t xml:space="preserve"> </w:t>
            </w:r>
            <w:r w:rsidRPr="008F1590">
              <w:rPr>
                <w:rFonts w:ascii="Arial" w:hAnsi="Arial"/>
                <w:b/>
                <w:bCs/>
                <w:noProof w:val="0"/>
                <w:sz w:val="28"/>
                <w:szCs w:val="28"/>
                <w:rtl/>
              </w:rPr>
              <w:t>ד</w:t>
            </w:r>
          </w:p>
        </w:tc>
      </w:tr>
      <w:tr w:rsidR="00D968FB" w:rsidRPr="008F1590" w14:paraId="25FBB188" w14:textId="77777777" w:rsidTr="00D968FB">
        <w:trPr>
          <w:jc w:val="center"/>
        </w:trPr>
        <w:tc>
          <w:tcPr>
            <w:tcW w:w="5603" w:type="dxa"/>
            <w:shd w:val="clear" w:color="auto" w:fill="auto"/>
          </w:tcPr>
          <w:p w14:paraId="33E2A300" w14:textId="77777777" w:rsidR="00D968FB" w:rsidRPr="008F1590" w:rsidRDefault="00D968FB" w:rsidP="00D968FB">
            <w:pPr>
              <w:spacing w:line="360" w:lineRule="auto"/>
              <w:jc w:val="both"/>
            </w:pPr>
            <w:r w:rsidRPr="008F1590">
              <w:rPr>
                <w:rFonts w:ascii="Arial" w:hAnsi="Arial" w:hint="cs"/>
                <w:b/>
                <w:bCs/>
                <w:noProof w:val="0"/>
                <w:sz w:val="28"/>
                <w:szCs w:val="28"/>
                <w:rtl/>
              </w:rPr>
              <w:t>תומר פיטוסי - נוכח</w:t>
            </w:r>
          </w:p>
          <w:p w14:paraId="1894187C" w14:textId="77777777" w:rsidR="00D968FB" w:rsidRPr="008F1590" w:rsidRDefault="00D968FB" w:rsidP="00D968FB">
            <w:pPr>
              <w:spacing w:line="360" w:lineRule="auto"/>
              <w:jc w:val="both"/>
              <w:rPr>
                <w:b/>
                <w:bCs/>
                <w:noProof w:val="0"/>
                <w:sz w:val="28"/>
                <w:szCs w:val="28"/>
                <w:rtl/>
              </w:rPr>
            </w:pPr>
            <w:r w:rsidRPr="008F1590">
              <w:rPr>
                <w:rFonts w:hint="cs"/>
                <w:b/>
                <w:bCs/>
                <w:sz w:val="28"/>
                <w:szCs w:val="28"/>
                <w:rtl/>
              </w:rPr>
              <w:t>ע"י ב"כ עו"ד</w:t>
            </w:r>
            <w:r w:rsidRPr="008F1590">
              <w:rPr>
                <w:rFonts w:hint="cs"/>
                <w:b/>
                <w:bCs/>
                <w:noProof w:val="0"/>
                <w:sz w:val="28"/>
                <w:szCs w:val="28"/>
                <w:rtl/>
              </w:rPr>
              <w:t xml:space="preserve"> מאיר לחן </w:t>
            </w:r>
            <w:r w:rsidRPr="008F1590">
              <w:rPr>
                <w:b/>
                <w:bCs/>
                <w:noProof w:val="0"/>
                <w:sz w:val="28"/>
                <w:szCs w:val="28"/>
                <w:rtl/>
              </w:rPr>
              <w:t>–</w:t>
            </w:r>
            <w:r w:rsidRPr="008F1590">
              <w:rPr>
                <w:rFonts w:hint="cs"/>
                <w:b/>
                <w:bCs/>
                <w:noProof w:val="0"/>
                <w:sz w:val="28"/>
                <w:szCs w:val="28"/>
                <w:rtl/>
              </w:rPr>
              <w:t xml:space="preserve"> נוכח </w:t>
            </w:r>
          </w:p>
        </w:tc>
        <w:tc>
          <w:tcPr>
            <w:tcW w:w="3217" w:type="dxa"/>
            <w:shd w:val="clear" w:color="auto" w:fill="auto"/>
          </w:tcPr>
          <w:p w14:paraId="047C0C97" w14:textId="77777777" w:rsidR="00D968FB" w:rsidRPr="008F1590" w:rsidRDefault="00D968FB" w:rsidP="00D968FB">
            <w:pPr>
              <w:spacing w:line="360" w:lineRule="auto"/>
              <w:jc w:val="both"/>
              <w:rPr>
                <w:b/>
                <w:bCs/>
                <w:noProof w:val="0"/>
                <w:sz w:val="28"/>
                <w:szCs w:val="28"/>
                <w:rtl/>
              </w:rPr>
            </w:pPr>
            <w:r w:rsidRPr="008F1590">
              <w:rPr>
                <w:rFonts w:ascii="Arial" w:hAnsi="Arial" w:hint="cs"/>
                <w:b/>
                <w:bCs/>
                <w:noProof w:val="0"/>
                <w:sz w:val="28"/>
                <w:szCs w:val="28"/>
                <w:rtl/>
              </w:rPr>
              <w:t>ה</w:t>
            </w:r>
            <w:r w:rsidRPr="008F1590">
              <w:rPr>
                <w:rFonts w:ascii="Arial" w:hAnsi="Arial"/>
                <w:b/>
                <w:bCs/>
                <w:noProof w:val="0"/>
                <w:sz w:val="28"/>
                <w:szCs w:val="28"/>
                <w:rtl/>
              </w:rPr>
              <w:t>נאשמים</w:t>
            </w:r>
          </w:p>
        </w:tc>
      </w:tr>
      <w:tr w:rsidR="00D968FB" w:rsidRPr="00CD35F1" w14:paraId="4F2E8B89" w14:textId="77777777" w:rsidTr="00D968FB">
        <w:trPr>
          <w:jc w:val="center"/>
        </w:trPr>
        <w:tc>
          <w:tcPr>
            <w:tcW w:w="8820" w:type="dxa"/>
            <w:gridSpan w:val="2"/>
            <w:shd w:val="clear" w:color="auto" w:fill="auto"/>
          </w:tcPr>
          <w:p w14:paraId="43D67C7B" w14:textId="77777777" w:rsidR="00C464C7" w:rsidRDefault="00C464C7" w:rsidP="008F1590">
            <w:pPr>
              <w:bidi w:val="0"/>
              <w:spacing w:line="360" w:lineRule="auto"/>
              <w:jc w:val="center"/>
              <w:rPr>
                <w:rFonts w:ascii="Arial" w:hAnsi="Arial"/>
                <w:noProof w:val="0"/>
                <w:sz w:val="36"/>
                <w:szCs w:val="36"/>
              </w:rPr>
            </w:pPr>
            <w:bookmarkStart w:id="3" w:name="PsakDin" w:colFirst="0" w:colLast="0"/>
            <w:bookmarkStart w:id="4" w:name="LawTable"/>
            <w:bookmarkEnd w:id="0"/>
            <w:bookmarkEnd w:id="4"/>
          </w:p>
          <w:p w14:paraId="16725EDE" w14:textId="77777777" w:rsidR="00C464C7" w:rsidRPr="00C464C7" w:rsidRDefault="00C464C7" w:rsidP="00C464C7">
            <w:pPr>
              <w:bidi w:val="0"/>
              <w:spacing w:after="120" w:line="240" w:lineRule="exact"/>
              <w:ind w:left="283" w:hanging="283"/>
              <w:jc w:val="both"/>
              <w:rPr>
                <w:rFonts w:ascii="FrankRuehl" w:hAnsi="FrankRuehl" w:cs="FrankRuehl"/>
                <w:noProof w:val="0"/>
              </w:rPr>
            </w:pPr>
          </w:p>
          <w:p w14:paraId="3CAE1881" w14:textId="77777777" w:rsidR="00C464C7" w:rsidRPr="00C464C7" w:rsidRDefault="00C464C7" w:rsidP="00C464C7">
            <w:pPr>
              <w:bidi w:val="0"/>
              <w:spacing w:after="120" w:line="240" w:lineRule="exact"/>
              <w:ind w:left="283" w:hanging="283"/>
              <w:jc w:val="both"/>
              <w:rPr>
                <w:rFonts w:ascii="FrankRuehl" w:hAnsi="FrankRuehl" w:cs="FrankRuehl"/>
                <w:noProof w:val="0"/>
                <w:rtl/>
              </w:rPr>
            </w:pPr>
            <w:r w:rsidRPr="00C464C7">
              <w:rPr>
                <w:rFonts w:ascii="FrankRuehl" w:hAnsi="FrankRuehl" w:cs="FrankRuehl"/>
                <w:noProof w:val="0"/>
                <w:rtl/>
              </w:rPr>
              <w:t>חקיקה שאוזכרה</w:t>
            </w:r>
            <w:r w:rsidRPr="00C464C7">
              <w:rPr>
                <w:rFonts w:ascii="FrankRuehl" w:hAnsi="FrankRuehl" w:cs="FrankRuehl"/>
                <w:noProof w:val="0"/>
              </w:rPr>
              <w:t xml:space="preserve">: </w:t>
            </w:r>
          </w:p>
          <w:p w14:paraId="7DEEECFE" w14:textId="77777777" w:rsidR="00C464C7" w:rsidRPr="00C464C7" w:rsidRDefault="00C464C7" w:rsidP="00C464C7">
            <w:pPr>
              <w:bidi w:val="0"/>
              <w:spacing w:after="120" w:line="240" w:lineRule="exact"/>
              <w:ind w:left="283" w:hanging="283"/>
              <w:jc w:val="both"/>
              <w:rPr>
                <w:rFonts w:ascii="FrankRuehl" w:hAnsi="FrankRuehl" w:cs="FrankRuehl"/>
                <w:noProof w:val="0"/>
                <w:rtl/>
              </w:rPr>
            </w:pPr>
            <w:hyperlink r:id="rId7" w:history="1">
              <w:r w:rsidRPr="00C464C7">
                <w:rPr>
                  <w:rFonts w:ascii="FrankRuehl" w:hAnsi="FrankRuehl" w:cs="FrankRuehl"/>
                  <w:noProof w:val="0"/>
                  <w:color w:val="0000FF"/>
                  <w:u w:val="single"/>
                  <w:rtl/>
                </w:rPr>
                <w:t>פקודת הסמים המסוכנים [נוסח חדש], תשל"ג-1973</w:t>
              </w:r>
            </w:hyperlink>
            <w:r w:rsidRPr="00C464C7">
              <w:rPr>
                <w:rFonts w:ascii="FrankRuehl" w:hAnsi="FrankRuehl" w:cs="FrankRuehl"/>
                <w:noProof w:val="0"/>
                <w:rtl/>
              </w:rPr>
              <w:t xml:space="preserve">: סע'  </w:t>
            </w:r>
            <w:hyperlink r:id="rId8" w:history="1">
              <w:r w:rsidRPr="00C464C7">
                <w:rPr>
                  <w:rFonts w:ascii="FrankRuehl" w:hAnsi="FrankRuehl" w:cs="FrankRuehl"/>
                  <w:noProof w:val="0"/>
                  <w:color w:val="0000FF"/>
                  <w:u w:val="single"/>
                  <w:rtl/>
                </w:rPr>
                <w:t>6</w:t>
              </w:r>
            </w:hyperlink>
            <w:r w:rsidRPr="00C464C7">
              <w:rPr>
                <w:rFonts w:ascii="FrankRuehl" w:hAnsi="FrankRuehl" w:cs="FrankRuehl"/>
                <w:noProof w:val="0"/>
                <w:rtl/>
              </w:rPr>
              <w:t xml:space="preserve">, </w:t>
            </w:r>
            <w:hyperlink r:id="rId9" w:history="1">
              <w:r w:rsidRPr="00C464C7">
                <w:rPr>
                  <w:rFonts w:ascii="FrankRuehl" w:hAnsi="FrankRuehl" w:cs="FrankRuehl"/>
                  <w:noProof w:val="0"/>
                  <w:color w:val="0000FF"/>
                  <w:u w:val="single"/>
                  <w:rtl/>
                </w:rPr>
                <w:t>9(א)</w:t>
              </w:r>
            </w:hyperlink>
          </w:p>
          <w:p w14:paraId="5206CE33" w14:textId="77777777" w:rsidR="00C464C7" w:rsidRPr="00C464C7" w:rsidRDefault="00C464C7" w:rsidP="00C464C7">
            <w:pPr>
              <w:bidi w:val="0"/>
              <w:spacing w:after="120" w:line="240" w:lineRule="exact"/>
              <w:ind w:left="283" w:hanging="283"/>
              <w:jc w:val="both"/>
              <w:rPr>
                <w:rFonts w:ascii="FrankRuehl" w:hAnsi="FrankRuehl" w:cs="FrankRuehl"/>
                <w:noProof w:val="0"/>
                <w:rtl/>
              </w:rPr>
            </w:pPr>
            <w:hyperlink r:id="rId10" w:history="1">
              <w:r w:rsidRPr="00C464C7">
                <w:rPr>
                  <w:rFonts w:ascii="FrankRuehl" w:hAnsi="FrankRuehl" w:cs="FrankRuehl"/>
                  <w:noProof w:val="0"/>
                  <w:color w:val="0000FF"/>
                  <w:u w:val="single"/>
                  <w:rtl/>
                </w:rPr>
                <w:t>חוק העונשין, תשל"ז-1977</w:t>
              </w:r>
            </w:hyperlink>
            <w:r w:rsidRPr="00C464C7">
              <w:rPr>
                <w:rFonts w:ascii="FrankRuehl" w:hAnsi="FrankRuehl" w:cs="FrankRuehl"/>
                <w:noProof w:val="0"/>
                <w:rtl/>
              </w:rPr>
              <w:t xml:space="preserve">: סע'  </w:t>
            </w:r>
            <w:hyperlink r:id="rId11" w:history="1">
              <w:r w:rsidRPr="00C464C7">
                <w:rPr>
                  <w:rFonts w:ascii="FrankRuehl" w:hAnsi="FrankRuehl" w:cs="FrankRuehl"/>
                  <w:noProof w:val="0"/>
                  <w:color w:val="0000FF"/>
                  <w:u w:val="single"/>
                  <w:rtl/>
                </w:rPr>
                <w:t>40ג(א)</w:t>
              </w:r>
            </w:hyperlink>
            <w:r w:rsidRPr="00C464C7">
              <w:rPr>
                <w:rFonts w:ascii="FrankRuehl" w:hAnsi="FrankRuehl" w:cs="FrankRuehl"/>
                <w:noProof w:val="0"/>
                <w:rtl/>
              </w:rPr>
              <w:t xml:space="preserve">, </w:t>
            </w:r>
            <w:hyperlink r:id="rId12" w:history="1">
              <w:r w:rsidRPr="00C464C7">
                <w:rPr>
                  <w:rFonts w:ascii="FrankRuehl" w:hAnsi="FrankRuehl" w:cs="FrankRuehl"/>
                  <w:noProof w:val="0"/>
                  <w:color w:val="0000FF"/>
                  <w:u w:val="single"/>
                  <w:rtl/>
                </w:rPr>
                <w:t>40ג(ב)</w:t>
              </w:r>
            </w:hyperlink>
            <w:r w:rsidRPr="00C464C7">
              <w:rPr>
                <w:rFonts w:ascii="FrankRuehl" w:hAnsi="FrankRuehl" w:cs="FrankRuehl"/>
                <w:noProof w:val="0"/>
                <w:rtl/>
              </w:rPr>
              <w:t xml:space="preserve">, </w:t>
            </w:r>
            <w:hyperlink r:id="rId13" w:history="1">
              <w:r w:rsidRPr="00C464C7">
                <w:rPr>
                  <w:rFonts w:ascii="FrankRuehl" w:hAnsi="FrankRuehl" w:cs="FrankRuehl"/>
                  <w:noProof w:val="0"/>
                  <w:color w:val="0000FF"/>
                  <w:u w:val="single"/>
                  <w:rtl/>
                </w:rPr>
                <w:t>275</w:t>
              </w:r>
            </w:hyperlink>
            <w:r w:rsidRPr="00C464C7">
              <w:rPr>
                <w:rFonts w:ascii="FrankRuehl" w:hAnsi="FrankRuehl" w:cs="FrankRuehl"/>
                <w:noProof w:val="0"/>
                <w:rtl/>
              </w:rPr>
              <w:t xml:space="preserve">, </w:t>
            </w:r>
            <w:hyperlink r:id="rId14" w:history="1">
              <w:r w:rsidRPr="00C464C7">
                <w:rPr>
                  <w:rFonts w:ascii="FrankRuehl" w:hAnsi="FrankRuehl" w:cs="FrankRuehl"/>
                  <w:noProof w:val="0"/>
                  <w:color w:val="0000FF"/>
                  <w:u w:val="single"/>
                  <w:rtl/>
                </w:rPr>
                <w:t>40יא(3)</w:t>
              </w:r>
            </w:hyperlink>
          </w:p>
          <w:p w14:paraId="6A21532A" w14:textId="77777777" w:rsidR="00C464C7" w:rsidRPr="00C464C7" w:rsidRDefault="00C464C7" w:rsidP="00C464C7">
            <w:pPr>
              <w:bidi w:val="0"/>
              <w:spacing w:after="120" w:line="240" w:lineRule="exact"/>
              <w:ind w:left="283" w:hanging="283"/>
              <w:jc w:val="both"/>
              <w:rPr>
                <w:rFonts w:ascii="FrankRuehl" w:hAnsi="FrankRuehl" w:cs="FrankRuehl"/>
                <w:noProof w:val="0"/>
              </w:rPr>
            </w:pPr>
          </w:p>
          <w:p w14:paraId="1B806DE4" w14:textId="77777777" w:rsidR="00C464C7" w:rsidRPr="00C464C7" w:rsidRDefault="00C464C7" w:rsidP="008F1590">
            <w:pPr>
              <w:bidi w:val="0"/>
              <w:spacing w:line="360" w:lineRule="auto"/>
              <w:jc w:val="center"/>
              <w:rPr>
                <w:rFonts w:ascii="Arial" w:hAnsi="Arial"/>
                <w:noProof w:val="0"/>
                <w:sz w:val="36"/>
                <w:szCs w:val="36"/>
                <w:rtl/>
              </w:rPr>
            </w:pPr>
            <w:bookmarkStart w:id="5" w:name="LawTable_End"/>
            <w:bookmarkEnd w:id="5"/>
          </w:p>
          <w:p w14:paraId="2904926E" w14:textId="77777777" w:rsidR="008F1590" w:rsidRPr="008F1590" w:rsidRDefault="008F1590" w:rsidP="008F1590">
            <w:pPr>
              <w:bidi w:val="0"/>
              <w:spacing w:line="360" w:lineRule="auto"/>
              <w:jc w:val="center"/>
              <w:rPr>
                <w:rFonts w:ascii="Arial" w:hAnsi="Arial"/>
                <w:b/>
                <w:bCs/>
                <w:noProof w:val="0"/>
                <w:sz w:val="36"/>
                <w:szCs w:val="36"/>
                <w:u w:val="single"/>
                <w:rtl/>
              </w:rPr>
            </w:pPr>
            <w:r w:rsidRPr="008F1590">
              <w:rPr>
                <w:rFonts w:ascii="Arial" w:hAnsi="Arial"/>
                <w:b/>
                <w:bCs/>
                <w:noProof w:val="0"/>
                <w:sz w:val="36"/>
                <w:szCs w:val="36"/>
                <w:u w:val="single"/>
                <w:rtl/>
              </w:rPr>
              <w:t>גזר דין</w:t>
            </w:r>
          </w:p>
          <w:p w14:paraId="2F724E31" w14:textId="77777777" w:rsidR="00D968FB" w:rsidRPr="008F1590" w:rsidRDefault="00D968FB" w:rsidP="008F1590">
            <w:pPr>
              <w:bidi w:val="0"/>
              <w:spacing w:line="360" w:lineRule="auto"/>
              <w:jc w:val="center"/>
              <w:rPr>
                <w:rFonts w:ascii="Arial" w:hAnsi="Arial"/>
                <w:b/>
                <w:bCs/>
                <w:noProof w:val="0"/>
                <w:sz w:val="36"/>
                <w:szCs w:val="36"/>
                <w:u w:val="single"/>
              </w:rPr>
            </w:pPr>
          </w:p>
        </w:tc>
      </w:tr>
    </w:tbl>
    <w:bookmarkEnd w:id="3"/>
    <w:p w14:paraId="47ABE986" w14:textId="77777777" w:rsidR="00D968FB" w:rsidRPr="00020E11" w:rsidRDefault="00D968FB" w:rsidP="00D968FB">
      <w:pPr>
        <w:pStyle w:val="1"/>
        <w:numPr>
          <w:ilvl w:val="0"/>
          <w:numId w:val="1"/>
        </w:numPr>
        <w:spacing w:line="360" w:lineRule="auto"/>
        <w:ind w:left="360"/>
        <w:jc w:val="both"/>
        <w:rPr>
          <w:rFonts w:cs="David"/>
          <w:b/>
          <w:bCs/>
          <w:color w:val="auto"/>
          <w:szCs w:val="28"/>
          <w:u w:val="single"/>
          <w:rtl/>
        </w:rPr>
      </w:pPr>
      <w:r w:rsidRPr="00020E11">
        <w:rPr>
          <w:rFonts w:cs="David" w:hint="cs"/>
          <w:b/>
          <w:bCs/>
          <w:color w:val="auto"/>
          <w:rtl/>
        </w:rPr>
        <w:t>רקע עובדתי</w:t>
      </w:r>
    </w:p>
    <w:p w14:paraId="292AA2F5" w14:textId="77777777" w:rsidR="00D968FB" w:rsidRPr="00CD35F1" w:rsidRDefault="00D968FB" w:rsidP="00D968FB">
      <w:pPr>
        <w:pStyle w:val="ListParagraph"/>
        <w:numPr>
          <w:ilvl w:val="0"/>
          <w:numId w:val="2"/>
        </w:numPr>
        <w:ind w:left="-58"/>
        <w:rPr>
          <w:rtl/>
        </w:rPr>
      </w:pPr>
      <w:bookmarkStart w:id="6" w:name="ABSTRACT_START"/>
      <w:bookmarkEnd w:id="6"/>
      <w:r w:rsidRPr="00CD35F1">
        <w:rPr>
          <w:rFonts w:hint="cs"/>
          <w:rtl/>
        </w:rPr>
        <w:t xml:space="preserve">כפי הנטען בכתב האישום (להלן: </w:t>
      </w:r>
      <w:r w:rsidRPr="00CD35F1">
        <w:rPr>
          <w:rFonts w:hint="cs"/>
          <w:b/>
          <w:bCs/>
          <w:rtl/>
        </w:rPr>
        <w:t>"תיק הגידול"</w:t>
      </w:r>
      <w:r w:rsidRPr="00CD35F1">
        <w:rPr>
          <w:rFonts w:hint="cs"/>
          <w:rtl/>
        </w:rPr>
        <w:t xml:space="preserve">), במשך כחודשיים עובר ליום 14.12.2015 גידל הנאשם בביתו, בעליית הגג, 100 שתילים של סם מסוכן מסוג קנבוס במשקל 10.75 ק"ג, אשר הונחו בדליים. לשם גידול הסם, הנאשם התקין והחזיק בעליית הגג: 3 שנאים שחוברו לבית מנורה, ובהם 3 מנורות; ארגז ובו 2 מנורות עם 2 מפצלים חשמליים; מזגן נייד; שנאי ומד טמפרטורה; 4 שקים שהכילו דשנים; וכלי עבודה. </w:t>
      </w:r>
    </w:p>
    <w:p w14:paraId="63BA4C58" w14:textId="77777777" w:rsidR="00D968FB" w:rsidRPr="00CD35F1" w:rsidRDefault="00D968FB" w:rsidP="00D968FB">
      <w:pPr>
        <w:pStyle w:val="ListParagraph"/>
        <w:ind w:left="-58" w:firstLine="0"/>
      </w:pPr>
      <w:r w:rsidRPr="00CD35F1">
        <w:rPr>
          <w:rFonts w:hint="cs"/>
          <w:rtl/>
        </w:rPr>
        <w:t xml:space="preserve">הנאשם הודה במיוחס לו לעיל, ועל יסוד הודאתו זו הורשע בעבירות של </w:t>
      </w:r>
      <w:r w:rsidRPr="00CD35F1">
        <w:rPr>
          <w:rFonts w:hint="cs"/>
          <w:b/>
          <w:bCs/>
          <w:rtl/>
        </w:rPr>
        <w:t>גידול סמים מסוכנים</w:t>
      </w:r>
      <w:r w:rsidRPr="00CD35F1">
        <w:rPr>
          <w:rFonts w:hint="cs"/>
          <w:rtl/>
        </w:rPr>
        <w:t xml:space="preserve">, לפי </w:t>
      </w:r>
      <w:hyperlink r:id="rId15" w:history="1">
        <w:r w:rsidR="002874B8" w:rsidRPr="002874B8">
          <w:rPr>
            <w:rFonts w:hint="cs"/>
            <w:color w:val="0000FF"/>
            <w:u w:val="single"/>
            <w:rtl/>
          </w:rPr>
          <w:t>סעיף</w:t>
        </w:r>
        <w:r w:rsidR="002874B8" w:rsidRPr="002874B8">
          <w:rPr>
            <w:color w:val="0000FF"/>
            <w:u w:val="single"/>
            <w:rtl/>
          </w:rPr>
          <w:t xml:space="preserve"> 6</w:t>
        </w:r>
      </w:hyperlink>
      <w:r w:rsidRPr="00CD35F1">
        <w:rPr>
          <w:rFonts w:hint="cs"/>
          <w:rtl/>
        </w:rPr>
        <w:t xml:space="preserve"> ל</w:t>
      </w:r>
      <w:hyperlink r:id="rId16" w:history="1">
        <w:r w:rsidR="008F1590" w:rsidRPr="008F1590">
          <w:rPr>
            <w:rStyle w:val="Hyperlink"/>
            <w:rFonts w:hint="cs"/>
            <w:rtl/>
          </w:rPr>
          <w:t>פקודת</w:t>
        </w:r>
        <w:r w:rsidR="008F1590" w:rsidRPr="008F1590">
          <w:rPr>
            <w:rStyle w:val="Hyperlink"/>
            <w:rtl/>
          </w:rPr>
          <w:t xml:space="preserve"> </w:t>
        </w:r>
        <w:r w:rsidR="008F1590" w:rsidRPr="008F1590">
          <w:rPr>
            <w:rStyle w:val="Hyperlink"/>
            <w:rFonts w:hint="cs"/>
            <w:rtl/>
          </w:rPr>
          <w:t>הסמים</w:t>
        </w:r>
        <w:r w:rsidR="008F1590" w:rsidRPr="008F1590">
          <w:rPr>
            <w:rStyle w:val="Hyperlink"/>
            <w:rtl/>
          </w:rPr>
          <w:t xml:space="preserve"> </w:t>
        </w:r>
        <w:r w:rsidR="008F1590" w:rsidRPr="008F1590">
          <w:rPr>
            <w:rStyle w:val="Hyperlink"/>
            <w:rFonts w:hint="cs"/>
            <w:rtl/>
          </w:rPr>
          <w:t>המסוכנים</w:t>
        </w:r>
      </w:hyperlink>
      <w:r w:rsidRPr="00CD35F1">
        <w:rPr>
          <w:rFonts w:hint="cs"/>
          <w:rtl/>
        </w:rPr>
        <w:t xml:space="preserve"> [נוסח חדש], התשל"ג-1973 (להלן: </w:t>
      </w:r>
      <w:r w:rsidRPr="00CD35F1">
        <w:rPr>
          <w:rFonts w:hint="cs"/>
          <w:b/>
          <w:bCs/>
          <w:rtl/>
        </w:rPr>
        <w:t>"הפקודה"</w:t>
      </w:r>
      <w:r w:rsidRPr="00CD35F1">
        <w:rPr>
          <w:rFonts w:hint="cs"/>
          <w:rtl/>
        </w:rPr>
        <w:t xml:space="preserve">); </w:t>
      </w:r>
      <w:r w:rsidRPr="00CD35F1">
        <w:rPr>
          <w:rFonts w:hint="cs"/>
          <w:b/>
          <w:bCs/>
          <w:rtl/>
        </w:rPr>
        <w:t>והחזקת חצרים לעישון או הכנת סמים</w:t>
      </w:r>
      <w:r w:rsidRPr="00CD35F1">
        <w:rPr>
          <w:rFonts w:hint="cs"/>
          <w:rtl/>
        </w:rPr>
        <w:t xml:space="preserve">, לפי </w:t>
      </w:r>
      <w:hyperlink r:id="rId17" w:history="1">
        <w:r w:rsidR="002874B8" w:rsidRPr="002874B8">
          <w:rPr>
            <w:rFonts w:hint="cs"/>
            <w:color w:val="0000FF"/>
            <w:u w:val="single"/>
            <w:rtl/>
          </w:rPr>
          <w:t>סעיף</w:t>
        </w:r>
        <w:r w:rsidR="002874B8" w:rsidRPr="002874B8">
          <w:rPr>
            <w:color w:val="0000FF"/>
            <w:u w:val="single"/>
            <w:rtl/>
          </w:rPr>
          <w:t xml:space="preserve"> 9(</w:t>
        </w:r>
        <w:r w:rsidR="002874B8" w:rsidRPr="002874B8">
          <w:rPr>
            <w:rFonts w:hint="cs"/>
            <w:color w:val="0000FF"/>
            <w:u w:val="single"/>
            <w:rtl/>
          </w:rPr>
          <w:t>א</w:t>
        </w:r>
        <w:r w:rsidR="002874B8" w:rsidRPr="002874B8">
          <w:rPr>
            <w:color w:val="0000FF"/>
            <w:u w:val="single"/>
            <w:rtl/>
          </w:rPr>
          <w:t>)</w:t>
        </w:r>
      </w:hyperlink>
      <w:r w:rsidRPr="00CD35F1">
        <w:rPr>
          <w:rFonts w:hint="cs"/>
          <w:rtl/>
        </w:rPr>
        <w:t xml:space="preserve"> לפקודה.</w:t>
      </w:r>
    </w:p>
    <w:p w14:paraId="7D0FC6C6" w14:textId="77777777" w:rsidR="00D968FB" w:rsidRPr="00CD35F1" w:rsidRDefault="00D968FB" w:rsidP="00D968FB">
      <w:pPr>
        <w:pStyle w:val="ListParagraph"/>
        <w:numPr>
          <w:ilvl w:val="0"/>
          <w:numId w:val="2"/>
        </w:numPr>
        <w:ind w:left="-58"/>
      </w:pPr>
      <w:bookmarkStart w:id="7" w:name="ABSTRACT_END"/>
      <w:bookmarkEnd w:id="7"/>
      <w:r w:rsidRPr="00CD35F1">
        <w:rPr>
          <w:rFonts w:hint="cs"/>
          <w:rtl/>
        </w:rPr>
        <w:t xml:space="preserve">כמו כן, הנאשם צירף כתב אישום מתוקן (להלן: </w:t>
      </w:r>
      <w:r w:rsidRPr="00CD35F1">
        <w:rPr>
          <w:rFonts w:hint="cs"/>
          <w:b/>
          <w:bCs/>
          <w:rtl/>
        </w:rPr>
        <w:t>"תיק ההפרעה"</w:t>
      </w:r>
      <w:r w:rsidRPr="00CD35F1">
        <w:rPr>
          <w:rFonts w:hint="cs"/>
          <w:rtl/>
        </w:rPr>
        <w:t xml:space="preserve">), בו נטען כי ביום 11.03.2015 בשעה 11:30, הנאשם נהג ברכב ונתבקש על ידי שוטרת לעצור בצד הדרך, וזאת לאחר שעלה חשד </w:t>
      </w:r>
      <w:r w:rsidRPr="00CD35F1">
        <w:rPr>
          <w:rFonts w:hint="cs"/>
          <w:rtl/>
        </w:rPr>
        <w:lastRenderedPageBreak/>
        <w:t xml:space="preserve">שביצע עבירת תנועה. בנסיבות אלה, הנאשם הזדהה בפני השוטרת בשמו ובפרטיו של אחיו, ואף הציג לה רישיון נהיגה ובו הפרטים האמורים. </w:t>
      </w:r>
    </w:p>
    <w:p w14:paraId="61498EF7" w14:textId="77777777" w:rsidR="00D968FB" w:rsidRPr="00CD35F1" w:rsidRDefault="00D968FB" w:rsidP="00D968FB">
      <w:pPr>
        <w:pStyle w:val="ListParagraph"/>
        <w:ind w:left="-58" w:firstLine="0"/>
      </w:pPr>
      <w:r w:rsidRPr="00CD35F1">
        <w:rPr>
          <w:rFonts w:hint="cs"/>
          <w:rtl/>
        </w:rPr>
        <w:t xml:space="preserve">הנאשם הודה במיוחס לו לעיל, ועל יסוד הודאתו זו הורשע בעבירה של </w:t>
      </w:r>
      <w:r w:rsidRPr="00CD35F1">
        <w:rPr>
          <w:rFonts w:hint="cs"/>
          <w:b/>
          <w:bCs/>
          <w:rtl/>
        </w:rPr>
        <w:t>הפרעת שוטר במילוי תפקידו</w:t>
      </w:r>
      <w:r w:rsidRPr="00CD35F1">
        <w:rPr>
          <w:rFonts w:hint="cs"/>
          <w:rtl/>
        </w:rPr>
        <w:t xml:space="preserve">, לפי </w:t>
      </w:r>
      <w:hyperlink r:id="rId18" w:history="1">
        <w:r w:rsidR="002874B8" w:rsidRPr="002874B8">
          <w:rPr>
            <w:rFonts w:hint="cs"/>
            <w:color w:val="0000FF"/>
            <w:u w:val="single"/>
            <w:rtl/>
          </w:rPr>
          <w:t>סעיף</w:t>
        </w:r>
        <w:r w:rsidR="002874B8" w:rsidRPr="002874B8">
          <w:rPr>
            <w:color w:val="0000FF"/>
            <w:u w:val="single"/>
            <w:rtl/>
          </w:rPr>
          <w:t xml:space="preserve"> 275</w:t>
        </w:r>
      </w:hyperlink>
      <w:r w:rsidRPr="00CD35F1">
        <w:rPr>
          <w:rFonts w:hint="cs"/>
          <w:rtl/>
        </w:rPr>
        <w:t xml:space="preserve"> ל</w:t>
      </w:r>
      <w:hyperlink r:id="rId19" w:history="1">
        <w:r w:rsidR="008F1590" w:rsidRPr="008F1590">
          <w:rPr>
            <w:rStyle w:val="Hyperlink"/>
            <w:rFonts w:hint="cs"/>
            <w:rtl/>
          </w:rPr>
          <w:t>חוק</w:t>
        </w:r>
        <w:r w:rsidR="008F1590" w:rsidRPr="008F1590">
          <w:rPr>
            <w:rStyle w:val="Hyperlink"/>
            <w:rtl/>
          </w:rPr>
          <w:t xml:space="preserve"> </w:t>
        </w:r>
        <w:r w:rsidR="008F1590" w:rsidRPr="008F1590">
          <w:rPr>
            <w:rStyle w:val="Hyperlink"/>
            <w:rFonts w:hint="cs"/>
            <w:rtl/>
          </w:rPr>
          <w:t>העונשין</w:t>
        </w:r>
      </w:hyperlink>
      <w:r w:rsidRPr="00CD35F1">
        <w:rPr>
          <w:rFonts w:hint="cs"/>
          <w:rtl/>
        </w:rPr>
        <w:t xml:space="preserve">, התשל"ז-1977 (להלן: </w:t>
      </w:r>
      <w:r w:rsidRPr="00CD35F1">
        <w:rPr>
          <w:rFonts w:hint="cs"/>
          <w:b/>
          <w:bCs/>
          <w:rtl/>
        </w:rPr>
        <w:t>"חוק העונשין"</w:t>
      </w:r>
      <w:r w:rsidRPr="00CD35F1">
        <w:rPr>
          <w:rFonts w:hint="cs"/>
          <w:rtl/>
        </w:rPr>
        <w:t>).</w:t>
      </w:r>
    </w:p>
    <w:p w14:paraId="5DFE8F71" w14:textId="77777777" w:rsidR="00D968FB" w:rsidRPr="00CD35F1" w:rsidRDefault="00D968FB" w:rsidP="00D968FB">
      <w:pPr>
        <w:pStyle w:val="ListParagraph"/>
        <w:numPr>
          <w:ilvl w:val="0"/>
          <w:numId w:val="2"/>
        </w:numPr>
        <w:ind w:left="-58"/>
      </w:pPr>
      <w:r w:rsidRPr="00CD35F1">
        <w:rPr>
          <w:rFonts w:hint="cs"/>
          <w:rtl/>
        </w:rPr>
        <w:t>הצדדים לא הגיעו להסכמות עונשיות, אך הוסכם כי עובר לטיעונים לעונש הנאשם יופנה לשירות המבחן על מנת שיתקבל תסקיר בעניינו.</w:t>
      </w:r>
    </w:p>
    <w:p w14:paraId="09D1C99B" w14:textId="77777777" w:rsidR="00D968FB" w:rsidRPr="00CD35F1" w:rsidRDefault="00D968FB" w:rsidP="00D968FB">
      <w:pPr>
        <w:pStyle w:val="ListParagraph"/>
        <w:numPr>
          <w:ilvl w:val="0"/>
          <w:numId w:val="2"/>
        </w:numPr>
        <w:ind w:left="-58"/>
      </w:pPr>
      <w:r w:rsidRPr="00CD35F1">
        <w:rPr>
          <w:rFonts w:hint="cs"/>
          <w:rtl/>
        </w:rPr>
        <w:t>בעניינו של הנאשם התקבלו שישה תסקירים, כאשר בסופו של יום המליץ שירות המבחן להשית על הנאשם עונש הרתעתי שיחדד עבורו את המחירים להתנהגותו הבעייתית ויהווה גורם מציב גבולות. מטעמים של צנעת הפרט לא אעלה עלי גזר הדין את כל המפורט בתסקיר האמור, וזאת מלבד אותם נתונים הרלוונטיים לשאלת העונש, שאליהם אתייחס בהמשך. גם התנהלותו של הנאשם אל מול שירות המבחן לאורך כל תקופת הקשר בינם, תזכה להתייחסות בהמשכו של גזר הדין.</w:t>
      </w:r>
    </w:p>
    <w:p w14:paraId="502FF3D5" w14:textId="77777777" w:rsidR="00D968FB" w:rsidRPr="00CD35F1" w:rsidRDefault="00D968FB" w:rsidP="00D968FB">
      <w:pPr>
        <w:pStyle w:val="ListParagraph"/>
        <w:numPr>
          <w:ilvl w:val="0"/>
          <w:numId w:val="2"/>
        </w:numPr>
        <w:ind w:left="-58"/>
      </w:pPr>
      <w:r w:rsidRPr="00CD35F1">
        <w:rPr>
          <w:rFonts w:hint="cs"/>
          <w:b/>
          <w:bCs/>
          <w:rtl/>
        </w:rPr>
        <w:t>מחוות דעת הממונה על עבודות השירות</w:t>
      </w:r>
      <w:r w:rsidRPr="00CD35F1">
        <w:rPr>
          <w:rFonts w:hint="cs"/>
          <w:rtl/>
        </w:rPr>
        <w:t>, שהתקבלה ביום 16.10.2017, עולה כי הנאשם מתאים לעבודות שירות במגבלות.</w:t>
      </w:r>
    </w:p>
    <w:p w14:paraId="5AAA18E1" w14:textId="77777777" w:rsidR="00D968FB" w:rsidRPr="00020E11" w:rsidRDefault="00D968FB" w:rsidP="00D968FB">
      <w:pPr>
        <w:pStyle w:val="1"/>
        <w:numPr>
          <w:ilvl w:val="0"/>
          <w:numId w:val="1"/>
        </w:numPr>
        <w:spacing w:line="360" w:lineRule="auto"/>
        <w:ind w:left="360"/>
        <w:jc w:val="both"/>
        <w:rPr>
          <w:rFonts w:cs="David"/>
          <w:b/>
          <w:bCs/>
          <w:color w:val="auto"/>
        </w:rPr>
      </w:pPr>
      <w:r w:rsidRPr="00020E11">
        <w:rPr>
          <w:rFonts w:cs="David" w:hint="cs"/>
          <w:b/>
          <w:bCs/>
          <w:color w:val="auto"/>
          <w:rtl/>
        </w:rPr>
        <w:t>טיעוני הצדדים (עיקרי הדברים)</w:t>
      </w:r>
    </w:p>
    <w:p w14:paraId="4A895C29" w14:textId="77777777" w:rsidR="00D968FB" w:rsidRPr="00CD35F1" w:rsidRDefault="00D968FB" w:rsidP="00D968FB">
      <w:pPr>
        <w:pStyle w:val="ListParagraph"/>
        <w:numPr>
          <w:ilvl w:val="0"/>
          <w:numId w:val="2"/>
        </w:numPr>
        <w:ind w:left="-58"/>
      </w:pPr>
      <w:r w:rsidRPr="00CD35F1">
        <w:rPr>
          <w:rFonts w:hint="cs"/>
          <w:rtl/>
        </w:rPr>
        <w:t xml:space="preserve">באת כוח המאשימה עמדה על חומרת מעשיו של הנאשם בשני התיקים, ובייחוד הפנתה לכמות שתילי הקנבוס שהנאשם גידל, למשקלם ולציוד שנעשה בו שימוש לשם הגידול. בהמשך, נטען כי מתחם העונש ההולם את מעשיו של הנאשם בתיק הגידול צריך לנוע בין 8 ל- 24 חודשי מאסר, ובתיק ההפרעה בין שבועיים לכמה חודשי מאסר. בשים לב, בין היתר, לאמור בתסקירי שירות המבחן ובהיעדר שיקולי שיקום, עתרה באת כוח המאשימה להשית על הנאשם מאסר ברף הבינוני-גבוה של המתחמים, מאסר מותנה, פסילה בפועל ופסילה מותנית של רישיון הנהיגה, קנס והתחייבות. </w:t>
      </w:r>
    </w:p>
    <w:p w14:paraId="12A1645E" w14:textId="77777777" w:rsidR="00D968FB" w:rsidRPr="00CD35F1" w:rsidRDefault="00D968FB" w:rsidP="00D968FB">
      <w:pPr>
        <w:pStyle w:val="ListParagraph"/>
        <w:numPr>
          <w:ilvl w:val="0"/>
          <w:numId w:val="2"/>
        </w:numPr>
        <w:ind w:left="-58"/>
      </w:pPr>
      <w:r w:rsidRPr="00CD35F1">
        <w:rPr>
          <w:rFonts w:hint="cs"/>
          <w:rtl/>
        </w:rPr>
        <w:t>ההגנה עתרה לדחות את מועד השמעת הטיעונים לעונש ולהפנות את הנאשם לקבלת תסקיר משלים, או לחילופין ליתן לו הזדמנות להשתלב בהליך טיפולי באופן פרטי. משנדחתה בקשה זו, הפנה בא כוח הנאשם להמלצת שירות המבחן בתסקיר מיום 27.04.2017, ותהה על פשר "המהפך" שחל בעמדתו של שירות המבחן. כן נטען, כי מתחם העונש ההולם בתיק הגידול צריך לנוע בין של"צ לכמה חודשי מאסר, שיכול שירוצה בעבודות שירות, ובתיק ההפרעה על המתחם להתחיל במאסר מותנה. בנוסף, ההגנה עמדה על נסיבות חייו של הנאשם שהייתה להן השפעה על ביצוע העבירות; על העובדה שמאז ביצוע העבירות הוא הצליח לשקם את חייו באופן עצמאי; ועל עברו הפלילי הנקי. לאור אלה, עתרה ההגנה להקל בעונשו של הנאשם "ולאפשר לו להמשיך בחייו".</w:t>
      </w:r>
    </w:p>
    <w:p w14:paraId="54942AF6" w14:textId="77777777" w:rsidR="00D968FB" w:rsidRPr="00CD35F1" w:rsidRDefault="00D968FB" w:rsidP="00D968FB">
      <w:pPr>
        <w:pStyle w:val="ListParagraph"/>
        <w:numPr>
          <w:ilvl w:val="0"/>
          <w:numId w:val="2"/>
        </w:numPr>
        <w:ind w:left="-58"/>
      </w:pPr>
      <w:r w:rsidRPr="00CD35F1">
        <w:rPr>
          <w:rFonts w:hint="cs"/>
          <w:rtl/>
        </w:rPr>
        <w:t xml:space="preserve">הנאשם תיאר את קריסתו הכלכלית שהיוותה גורם לביצוע העבירות. כמו כן, הלה מסר כי לאחר ביצוע העבירות הוא החל לבשל באופן עצמאי, מה שהביא להצלחתו ברשתות החברתיות (המתבטאת ב"עוקבים" רבים) ולהשתתפותו באחת מתוכניות הריאליטי. עוד לדבריו, הוא שיתף פעולה עם שירות המבחן, שיקם את חייו וחדל מלהשתמש בסמים. </w:t>
      </w:r>
    </w:p>
    <w:p w14:paraId="5340FDC7" w14:textId="77777777" w:rsidR="00D968FB" w:rsidRPr="00020E11" w:rsidRDefault="00D968FB" w:rsidP="00D968FB">
      <w:pPr>
        <w:pStyle w:val="1"/>
        <w:spacing w:line="360" w:lineRule="auto"/>
        <w:jc w:val="both"/>
        <w:rPr>
          <w:rFonts w:cs="David"/>
          <w:b/>
          <w:bCs/>
          <w:color w:val="auto"/>
          <w:sz w:val="36"/>
          <w:szCs w:val="36"/>
          <w:u w:val="single"/>
        </w:rPr>
      </w:pPr>
      <w:r w:rsidRPr="00020E11">
        <w:rPr>
          <w:rFonts w:cs="David" w:hint="cs"/>
          <w:b/>
          <w:bCs/>
          <w:color w:val="auto"/>
          <w:sz w:val="36"/>
          <w:szCs w:val="36"/>
          <w:u w:val="single"/>
          <w:rtl/>
        </w:rPr>
        <w:t>דיון והכרעה</w:t>
      </w:r>
    </w:p>
    <w:p w14:paraId="7F549009" w14:textId="77777777" w:rsidR="00D968FB" w:rsidRPr="00CD35F1" w:rsidRDefault="00D968FB" w:rsidP="00D968FB">
      <w:pPr>
        <w:pStyle w:val="ListParagraph"/>
        <w:numPr>
          <w:ilvl w:val="0"/>
          <w:numId w:val="2"/>
        </w:numPr>
        <w:ind w:left="-58"/>
      </w:pPr>
      <w:r w:rsidRPr="00CD35F1">
        <w:rPr>
          <w:rFonts w:hint="cs"/>
          <w:rtl/>
        </w:rPr>
        <w:t xml:space="preserve">בהיעדר מחלוקת בין הצדדים על כך שתיק הגידול ותיק ההפרעה מהווים "אירועים" נפרדים, שיש לקבוע בגינם מתחמי ענישה נפרדים, בית המשפט יקבע בשלב הראשון מתחם עונש הולם נפרד בגין </w:t>
      </w:r>
      <w:r w:rsidRPr="00CD35F1">
        <w:rPr>
          <w:rFonts w:hint="cs"/>
          <w:rtl/>
        </w:rPr>
        <w:lastRenderedPageBreak/>
        <w:t>מעשיו של הנאשם בכל תיק; לאחר מכן, בית המשפט יבחן אם יש מקום לסטות ממתחמי הענישה שנקבעו או שמא יש לגזור את עונשו של הנאשם בגדריהם (אודות המתווה לגזירת העונש, כפי שהוא נקבע בתיקון 113 ל</w:t>
      </w:r>
      <w:hyperlink r:id="rId20" w:history="1">
        <w:r w:rsidR="008F1590" w:rsidRPr="008F1590">
          <w:rPr>
            <w:rStyle w:val="Hyperlink"/>
            <w:rFonts w:hint="cs"/>
            <w:rtl/>
          </w:rPr>
          <w:t>חוק</w:t>
        </w:r>
        <w:r w:rsidR="008F1590" w:rsidRPr="008F1590">
          <w:rPr>
            <w:rStyle w:val="Hyperlink"/>
            <w:rtl/>
          </w:rPr>
          <w:t xml:space="preserve"> </w:t>
        </w:r>
        <w:r w:rsidR="008F1590" w:rsidRPr="008F1590">
          <w:rPr>
            <w:rStyle w:val="Hyperlink"/>
            <w:rFonts w:hint="cs"/>
            <w:rtl/>
          </w:rPr>
          <w:t>העונשין</w:t>
        </w:r>
      </w:hyperlink>
      <w:r w:rsidRPr="00CD35F1">
        <w:rPr>
          <w:rFonts w:hint="cs"/>
          <w:rtl/>
        </w:rPr>
        <w:t xml:space="preserve"> ופורש לאחר מכן בפסיקתו של בית המשפט העליון, ראו למשל: </w:t>
      </w:r>
      <w:hyperlink r:id="rId21" w:history="1">
        <w:r w:rsidR="008F1590" w:rsidRPr="008F1590">
          <w:rPr>
            <w:rStyle w:val="Hyperlink"/>
            <w:rFonts w:hint="cs"/>
            <w:rtl/>
          </w:rPr>
          <w:t>ע</w:t>
        </w:r>
        <w:r w:rsidR="008F1590" w:rsidRPr="008F1590">
          <w:rPr>
            <w:rStyle w:val="Hyperlink"/>
            <w:rtl/>
          </w:rPr>
          <w:t>"</w:t>
        </w:r>
        <w:r w:rsidR="008F1590" w:rsidRPr="008F1590">
          <w:rPr>
            <w:rStyle w:val="Hyperlink"/>
            <w:rFonts w:hint="cs"/>
            <w:rtl/>
          </w:rPr>
          <w:t>פ</w:t>
        </w:r>
        <w:r w:rsidR="008F1590" w:rsidRPr="008F1590">
          <w:rPr>
            <w:rStyle w:val="Hyperlink"/>
            <w:rtl/>
          </w:rPr>
          <w:t xml:space="preserve"> 8641/12</w:t>
        </w:r>
      </w:hyperlink>
      <w:r w:rsidRPr="00CD35F1">
        <w:rPr>
          <w:rFonts w:hint="cs"/>
          <w:rtl/>
        </w:rPr>
        <w:t xml:space="preserve"> </w:t>
      </w:r>
      <w:r w:rsidRPr="00CD35F1">
        <w:rPr>
          <w:rFonts w:hint="cs"/>
          <w:b/>
          <w:bCs/>
          <w:rtl/>
        </w:rPr>
        <w:t>מוחמד סעד נ' מדינת ישראל</w:t>
      </w:r>
      <w:r w:rsidRPr="00CD35F1">
        <w:rPr>
          <w:rFonts w:hint="cs"/>
          <w:rtl/>
        </w:rPr>
        <w:t>, (05.08.2013)).</w:t>
      </w:r>
    </w:p>
    <w:p w14:paraId="6A2693D1" w14:textId="77777777" w:rsidR="00D968FB" w:rsidRPr="00020E11" w:rsidRDefault="00D968FB" w:rsidP="00D968FB">
      <w:pPr>
        <w:pStyle w:val="1"/>
        <w:numPr>
          <w:ilvl w:val="0"/>
          <w:numId w:val="1"/>
        </w:numPr>
        <w:spacing w:line="360" w:lineRule="auto"/>
        <w:ind w:left="360"/>
        <w:jc w:val="both"/>
        <w:rPr>
          <w:rFonts w:cs="David"/>
          <w:b/>
          <w:bCs/>
          <w:color w:val="auto"/>
        </w:rPr>
      </w:pPr>
      <w:r w:rsidRPr="00020E11">
        <w:rPr>
          <w:rFonts w:cs="David" w:hint="cs"/>
          <w:b/>
          <w:bCs/>
          <w:color w:val="auto"/>
          <w:rtl/>
        </w:rPr>
        <w:t>קביעת מתחם העונש ההולם</w:t>
      </w:r>
    </w:p>
    <w:p w14:paraId="65019E27" w14:textId="77777777" w:rsidR="00D968FB" w:rsidRPr="00CD35F1" w:rsidRDefault="00D968FB" w:rsidP="00D968FB">
      <w:pPr>
        <w:pStyle w:val="ListParagraph"/>
        <w:numPr>
          <w:ilvl w:val="0"/>
          <w:numId w:val="2"/>
        </w:numPr>
        <w:ind w:left="-58"/>
      </w:pPr>
      <w:r w:rsidRPr="00CD35F1">
        <w:rPr>
          <w:rFonts w:hint="cs"/>
          <w:rtl/>
        </w:rPr>
        <w:t xml:space="preserve">כאמור </w:t>
      </w:r>
      <w:hyperlink r:id="rId22" w:history="1">
        <w:r w:rsidR="002874B8" w:rsidRPr="002874B8">
          <w:rPr>
            <w:rFonts w:hint="cs"/>
            <w:color w:val="0000FF"/>
            <w:u w:val="single"/>
            <w:rtl/>
          </w:rPr>
          <w:t>בסעיף</w:t>
        </w:r>
        <w:r w:rsidR="002874B8" w:rsidRPr="002874B8">
          <w:rPr>
            <w:color w:val="0000FF"/>
            <w:u w:val="single"/>
            <w:rtl/>
          </w:rPr>
          <w:t xml:space="preserve"> 40</w:t>
        </w:r>
        <w:r w:rsidR="002874B8" w:rsidRPr="002874B8">
          <w:rPr>
            <w:rFonts w:hint="cs"/>
            <w:color w:val="0000FF"/>
            <w:u w:val="single"/>
            <w:rtl/>
          </w:rPr>
          <w:t>ג</w:t>
        </w:r>
        <w:r w:rsidR="002874B8" w:rsidRPr="002874B8">
          <w:rPr>
            <w:color w:val="0000FF"/>
            <w:u w:val="single"/>
            <w:rtl/>
          </w:rPr>
          <w:t>(</w:t>
        </w:r>
        <w:r w:rsidR="002874B8" w:rsidRPr="002874B8">
          <w:rPr>
            <w:rFonts w:hint="cs"/>
            <w:color w:val="0000FF"/>
            <w:u w:val="single"/>
            <w:rtl/>
          </w:rPr>
          <w:t>א</w:t>
        </w:r>
        <w:r w:rsidR="002874B8" w:rsidRPr="002874B8">
          <w:rPr>
            <w:color w:val="0000FF"/>
            <w:u w:val="single"/>
            <w:rtl/>
          </w:rPr>
          <w:t>)</w:t>
        </w:r>
      </w:hyperlink>
      <w:r w:rsidRPr="00CD35F1">
        <w:rPr>
          <w:rFonts w:hint="cs"/>
          <w:rtl/>
        </w:rPr>
        <w:t xml:space="preserve"> ל</w:t>
      </w:r>
      <w:hyperlink r:id="rId23" w:history="1">
        <w:r w:rsidR="008F1590" w:rsidRPr="008F1590">
          <w:rPr>
            <w:rStyle w:val="Hyperlink"/>
            <w:rFonts w:hint="cs"/>
            <w:rtl/>
          </w:rPr>
          <w:t>חוק</w:t>
        </w:r>
        <w:r w:rsidR="008F1590" w:rsidRPr="008F1590">
          <w:rPr>
            <w:rStyle w:val="Hyperlink"/>
            <w:rtl/>
          </w:rPr>
          <w:t xml:space="preserve"> </w:t>
        </w:r>
        <w:r w:rsidR="008F1590" w:rsidRPr="008F1590">
          <w:rPr>
            <w:rStyle w:val="Hyperlink"/>
            <w:rFonts w:hint="cs"/>
            <w:rtl/>
          </w:rPr>
          <w:t>העונשין</w:t>
        </w:r>
      </w:hyperlink>
      <w:r w:rsidRPr="00CD35F1">
        <w:rPr>
          <w:rFonts w:hint="cs"/>
          <w:rtl/>
        </w:rPr>
        <w:t xml:space="preserve">, התשל"ז-1977 (להלן: </w:t>
      </w:r>
      <w:r w:rsidRPr="00CD35F1">
        <w:rPr>
          <w:rFonts w:hint="cs"/>
          <w:b/>
          <w:bCs/>
          <w:rtl/>
        </w:rPr>
        <w:t>"חוק העונשין"</w:t>
      </w:r>
      <w:r w:rsidRPr="00CD35F1">
        <w:rPr>
          <w:rFonts w:hint="cs"/>
          <w:rtl/>
        </w:rPr>
        <w:t>),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0A1D2739" w14:textId="77777777" w:rsidR="00D968FB" w:rsidRPr="00CD35F1" w:rsidRDefault="00D968FB" w:rsidP="00D968FB">
      <w:pPr>
        <w:pStyle w:val="ListParagraph"/>
        <w:numPr>
          <w:ilvl w:val="0"/>
          <w:numId w:val="2"/>
        </w:numPr>
        <w:ind w:left="-58"/>
      </w:pPr>
      <w:r w:rsidRPr="00CD35F1">
        <w:rPr>
          <w:rFonts w:hint="cs"/>
          <w:rtl/>
        </w:rPr>
        <w:t xml:space="preserve">אשר </w:t>
      </w:r>
      <w:r w:rsidRPr="00CD35F1">
        <w:rPr>
          <w:rFonts w:hint="cs"/>
          <w:b/>
          <w:bCs/>
          <w:rtl/>
        </w:rPr>
        <w:t>לערכים החברתיים המוגנים</w:t>
      </w:r>
      <w:r w:rsidRPr="00CD35F1">
        <w:rPr>
          <w:rFonts w:hint="cs"/>
          <w:rtl/>
        </w:rPr>
        <w:t xml:space="preserve"> שנפגעו כתוצאה ממעשיו של הנאשם בתיק הגידול, נדמה כי אין צורך להכביר מילים בנוגע לחומרה הרבה הכרוכה בעבירות הסמים, ויעידו על כך עונשי המאסר הארוכים שנקבעו בצדן. </w:t>
      </w:r>
      <w:hyperlink r:id="rId24" w:history="1">
        <w:r w:rsidR="008F1590" w:rsidRPr="008F1590">
          <w:rPr>
            <w:rStyle w:val="Hyperlink"/>
            <w:rFonts w:hint="cs"/>
            <w:rtl/>
          </w:rPr>
          <w:t>פקודת</w:t>
        </w:r>
        <w:r w:rsidR="008F1590" w:rsidRPr="008F1590">
          <w:rPr>
            <w:rStyle w:val="Hyperlink"/>
            <w:rtl/>
          </w:rPr>
          <w:t xml:space="preserve"> </w:t>
        </w:r>
        <w:r w:rsidR="008F1590" w:rsidRPr="008F1590">
          <w:rPr>
            <w:rStyle w:val="Hyperlink"/>
            <w:rFonts w:hint="cs"/>
            <w:rtl/>
          </w:rPr>
          <w:t>הסמים</w:t>
        </w:r>
        <w:r w:rsidR="008F1590" w:rsidRPr="008F1590">
          <w:rPr>
            <w:rStyle w:val="Hyperlink"/>
            <w:rtl/>
          </w:rPr>
          <w:t xml:space="preserve"> </w:t>
        </w:r>
        <w:r w:rsidR="008F1590" w:rsidRPr="008F1590">
          <w:rPr>
            <w:rStyle w:val="Hyperlink"/>
            <w:rFonts w:hint="cs"/>
            <w:rtl/>
          </w:rPr>
          <w:t>המסוכנים</w:t>
        </w:r>
      </w:hyperlink>
      <w:r w:rsidRPr="00CD35F1">
        <w:rPr>
          <w:rFonts w:hint="cs"/>
          <w:rtl/>
        </w:rPr>
        <w:t xml:space="preserve"> נחקקה על מנת להגן על ערכים חברתיים מרכזיים ובראשם החובה להגן על שלומו של הציבור, על בריאותו, על בטחונו האישי ועל רכושו. עבירות הסמים פוגעות פגיעה קשה לא רק במשתמשים בסם, אלא גם בבני משפחתם, חבריהם ומכריהם וכן בציבור בכללותו, אשר הופך לא פעם קורבן לעבירות רכוש ואלימות המבוצעות לצורך מימון ההתמכרות. אשר לעבירות של גידול סמים בפרט, הרי שאלו הפכו ל"מכת מדינה" של ממש, ויש ליתן את הדעת בעניין זה, בין היתר, לקלות שבה מבוצעות עבירות אלו ולקושי הרב בו נתקלות רשויות אכיפת החוק באיתור העבריינים (ראו בעניין זה </w:t>
      </w:r>
      <w:hyperlink r:id="rId25" w:history="1">
        <w:r w:rsidR="008F1590" w:rsidRPr="008F1590">
          <w:rPr>
            <w:rStyle w:val="Hyperlink"/>
            <w:rFonts w:hint="cs"/>
            <w:rtl/>
          </w:rPr>
          <w:t>עפ</w:t>
        </w:r>
        <w:r w:rsidR="008F1590" w:rsidRPr="008F1590">
          <w:rPr>
            <w:rStyle w:val="Hyperlink"/>
            <w:rtl/>
          </w:rPr>
          <w:t>"</w:t>
        </w:r>
        <w:r w:rsidR="008F1590" w:rsidRPr="008F1590">
          <w:rPr>
            <w:rStyle w:val="Hyperlink"/>
            <w:rFonts w:hint="cs"/>
            <w:rtl/>
          </w:rPr>
          <w:t>ג</w:t>
        </w:r>
        <w:r w:rsidR="008F1590" w:rsidRPr="008F1590">
          <w:rPr>
            <w:rStyle w:val="Hyperlink"/>
            <w:rtl/>
          </w:rPr>
          <w:t xml:space="preserve"> (</w:t>
        </w:r>
        <w:r w:rsidR="008F1590" w:rsidRPr="008F1590">
          <w:rPr>
            <w:rStyle w:val="Hyperlink"/>
            <w:rFonts w:hint="cs"/>
            <w:rtl/>
          </w:rPr>
          <w:t>מחוזי</w:t>
        </w:r>
        <w:r w:rsidR="008F1590" w:rsidRPr="008F1590">
          <w:rPr>
            <w:rStyle w:val="Hyperlink"/>
            <w:rtl/>
          </w:rPr>
          <w:t xml:space="preserve"> </w:t>
        </w:r>
        <w:r w:rsidR="008F1590" w:rsidRPr="008F1590">
          <w:rPr>
            <w:rStyle w:val="Hyperlink"/>
            <w:rFonts w:hint="cs"/>
            <w:rtl/>
          </w:rPr>
          <w:t>תל</w:t>
        </w:r>
        <w:r w:rsidR="008F1590" w:rsidRPr="008F1590">
          <w:rPr>
            <w:rStyle w:val="Hyperlink"/>
            <w:rtl/>
          </w:rPr>
          <w:t xml:space="preserve"> </w:t>
        </w:r>
        <w:r w:rsidR="008F1590" w:rsidRPr="008F1590">
          <w:rPr>
            <w:rStyle w:val="Hyperlink"/>
            <w:rFonts w:hint="cs"/>
            <w:rtl/>
          </w:rPr>
          <w:t>אביב</w:t>
        </w:r>
        <w:r w:rsidR="008F1590" w:rsidRPr="008F1590">
          <w:rPr>
            <w:rStyle w:val="Hyperlink"/>
            <w:rtl/>
          </w:rPr>
          <w:t xml:space="preserve"> </w:t>
        </w:r>
        <w:r w:rsidR="008F1590" w:rsidRPr="008F1590">
          <w:rPr>
            <w:rStyle w:val="Hyperlink"/>
            <w:rFonts w:hint="cs"/>
            <w:rtl/>
          </w:rPr>
          <w:t>יפו</w:t>
        </w:r>
        <w:r w:rsidR="008F1590" w:rsidRPr="008F1590">
          <w:rPr>
            <w:rStyle w:val="Hyperlink"/>
            <w:rtl/>
          </w:rPr>
          <w:t>) 42358-10-14</w:t>
        </w:r>
      </w:hyperlink>
      <w:r w:rsidRPr="00CD35F1">
        <w:rPr>
          <w:rFonts w:hint="cs"/>
          <w:rtl/>
        </w:rPr>
        <w:t xml:space="preserve"> </w:t>
      </w:r>
      <w:r w:rsidRPr="00CD35F1">
        <w:rPr>
          <w:rFonts w:hint="cs"/>
          <w:b/>
          <w:bCs/>
          <w:rtl/>
        </w:rPr>
        <w:t>אבי גיא נ' מדינת ישראל</w:t>
      </w:r>
      <w:r w:rsidRPr="00CD35F1">
        <w:rPr>
          <w:rFonts w:hint="cs"/>
          <w:rtl/>
        </w:rPr>
        <w:t>, (18.02.2015)).</w:t>
      </w:r>
    </w:p>
    <w:p w14:paraId="1B765C26" w14:textId="77777777" w:rsidR="00D968FB" w:rsidRPr="00CD35F1" w:rsidRDefault="00D968FB" w:rsidP="00D968FB">
      <w:pPr>
        <w:pStyle w:val="ListParagraph"/>
        <w:ind w:left="-58" w:firstLine="0"/>
        <w:rPr>
          <w:rtl/>
        </w:rPr>
      </w:pPr>
      <w:r w:rsidRPr="00CD35F1">
        <w:rPr>
          <w:rFonts w:hint="cs"/>
          <w:rtl/>
        </w:rPr>
        <w:t xml:space="preserve">בעצם ביצוע העבירה של הפרעה לשוטר, פגע הנאשם בערכים שעניינם הגנה על סדרי משטר וחברה תקינים, על עיקרון שלטון החוק ועל תפקודם התקין של העוסקים במלאכת אכיפת החוק, לבל תופרע מלאכתם ולבל ייפגע תפקודם (ראו והשוו: </w:t>
      </w:r>
      <w:hyperlink r:id="rId26" w:history="1">
        <w:r w:rsidR="008F1590" w:rsidRPr="008F1590">
          <w:rPr>
            <w:rStyle w:val="Hyperlink"/>
            <w:rFonts w:hint="cs"/>
            <w:rtl/>
          </w:rPr>
          <w:t>ת</w:t>
        </w:r>
        <w:r w:rsidR="008F1590" w:rsidRPr="008F1590">
          <w:rPr>
            <w:rStyle w:val="Hyperlink"/>
            <w:rtl/>
          </w:rPr>
          <w:t>"</w:t>
        </w:r>
        <w:r w:rsidR="008F1590" w:rsidRPr="008F1590">
          <w:rPr>
            <w:rStyle w:val="Hyperlink"/>
            <w:rFonts w:hint="cs"/>
            <w:rtl/>
          </w:rPr>
          <w:t>פ</w:t>
        </w:r>
        <w:r w:rsidR="008F1590" w:rsidRPr="008F1590">
          <w:rPr>
            <w:rStyle w:val="Hyperlink"/>
            <w:rtl/>
          </w:rPr>
          <w:t xml:space="preserve"> (</w:t>
        </w:r>
        <w:r w:rsidR="008F1590" w:rsidRPr="008F1590">
          <w:rPr>
            <w:rStyle w:val="Hyperlink"/>
            <w:rFonts w:hint="cs"/>
            <w:rtl/>
          </w:rPr>
          <w:t>מחוזי</w:t>
        </w:r>
        <w:r w:rsidR="008F1590" w:rsidRPr="008F1590">
          <w:rPr>
            <w:rStyle w:val="Hyperlink"/>
            <w:rtl/>
          </w:rPr>
          <w:t xml:space="preserve"> </w:t>
        </w:r>
        <w:r w:rsidR="008F1590" w:rsidRPr="008F1590">
          <w:rPr>
            <w:rStyle w:val="Hyperlink"/>
            <w:rFonts w:hint="cs"/>
            <w:rtl/>
          </w:rPr>
          <w:t>חיפה</w:t>
        </w:r>
        <w:r w:rsidR="008F1590" w:rsidRPr="008F1590">
          <w:rPr>
            <w:rStyle w:val="Hyperlink"/>
            <w:rtl/>
          </w:rPr>
          <w:t>) 20677-01-12</w:t>
        </w:r>
      </w:hyperlink>
      <w:r w:rsidRPr="00CD35F1">
        <w:rPr>
          <w:rFonts w:hint="cs"/>
          <w:u w:val="single"/>
          <w:rtl/>
        </w:rPr>
        <w:t>‏</w:t>
      </w:r>
      <w:r w:rsidRPr="00CD35F1">
        <w:rPr>
          <w:rFonts w:hint="cs"/>
          <w:rtl/>
        </w:rPr>
        <w:t xml:space="preserve"> </w:t>
      </w:r>
      <w:r w:rsidRPr="00CD35F1">
        <w:rPr>
          <w:rFonts w:hint="cs"/>
          <w:b/>
          <w:bCs/>
          <w:rtl/>
        </w:rPr>
        <w:t>מדינת ישראל נ' מיקי מיכאל מישר</w:t>
      </w:r>
      <w:r w:rsidRPr="00CD35F1">
        <w:rPr>
          <w:rFonts w:hint="cs"/>
          <w:rtl/>
        </w:rPr>
        <w:t>, (04.03.2015)).</w:t>
      </w:r>
    </w:p>
    <w:p w14:paraId="26B9D840" w14:textId="77777777" w:rsidR="00D968FB" w:rsidRPr="00CD35F1" w:rsidRDefault="00D968FB" w:rsidP="00D968FB">
      <w:pPr>
        <w:pStyle w:val="ListParagraph"/>
        <w:numPr>
          <w:ilvl w:val="0"/>
          <w:numId w:val="2"/>
        </w:numPr>
        <w:ind w:left="-58"/>
      </w:pPr>
      <w:r w:rsidRPr="00CD35F1">
        <w:rPr>
          <w:rFonts w:hint="cs"/>
          <w:rtl/>
        </w:rPr>
        <w:t xml:space="preserve">בשים לב לנסיבות שנלוו לביצוע העבירות, כפי שיתואר להלן, ובייחוד בשים לב לכמות השתילים ולמשקל הסם שגידל הנאשם, ולציוד שנעשה בו שימוש לשם כך, ולנוכח אופיו של מעשה ההפרעה לשוטר, סבורתני כי </w:t>
      </w:r>
      <w:r w:rsidRPr="00CD35F1">
        <w:rPr>
          <w:rFonts w:hint="cs"/>
          <w:b/>
          <w:bCs/>
          <w:rtl/>
        </w:rPr>
        <w:t>מידת הפגיעה בערכים המוגנים</w:t>
      </w:r>
      <w:r w:rsidRPr="00CD35F1">
        <w:rPr>
          <w:rFonts w:hint="cs"/>
          <w:rtl/>
        </w:rPr>
        <w:t xml:space="preserve"> בתיק הגידול מצויה ברף גבוה; ובתיק ההפרעה ברף הבינוני. </w:t>
      </w:r>
    </w:p>
    <w:p w14:paraId="42A9DCCD" w14:textId="77777777" w:rsidR="00D968FB" w:rsidRPr="00CD35F1" w:rsidRDefault="00D968FB" w:rsidP="00D968FB">
      <w:pPr>
        <w:pStyle w:val="ListParagraph"/>
        <w:numPr>
          <w:ilvl w:val="0"/>
          <w:numId w:val="2"/>
        </w:numPr>
        <w:ind w:left="-58"/>
      </w:pPr>
      <w:r w:rsidRPr="00CD35F1">
        <w:rPr>
          <w:rFonts w:hint="cs"/>
          <w:rtl/>
        </w:rPr>
        <w:t xml:space="preserve">בבחינת </w:t>
      </w:r>
      <w:r w:rsidRPr="00CD35F1">
        <w:rPr>
          <w:rFonts w:hint="cs"/>
          <w:b/>
          <w:bCs/>
          <w:rtl/>
        </w:rPr>
        <w:t>הנסיבות הקשורות בביצוע העבירות</w:t>
      </w:r>
      <w:r w:rsidRPr="00CD35F1">
        <w:rPr>
          <w:rFonts w:hint="cs"/>
          <w:rtl/>
        </w:rPr>
        <w:t xml:space="preserve"> בתיק הגידול, מבלי להתעלם שעסקינן בסם ה"קנבוס" אשר נמנה עם הסמים "הקלים", שקלתי לחומרה את העובדה שהנאשם גידל </w:t>
      </w:r>
      <w:r w:rsidRPr="00CD35F1">
        <w:rPr>
          <w:rFonts w:hint="cs"/>
          <w:b/>
          <w:bCs/>
          <w:rtl/>
        </w:rPr>
        <w:t>100 שתילים שהגיעו לכדי משקל של למעלה מעשרה ק"ג</w:t>
      </w:r>
      <w:r w:rsidRPr="00CD35F1">
        <w:rPr>
          <w:rFonts w:hint="cs"/>
          <w:rtl/>
        </w:rPr>
        <w:t xml:space="preserve">. עוד ולחומרה, בית המשפט שוקל את העובדה שבמקרה הנדון אין המדובר בגידול סם באופן ספורדי, כמו באותם מקרים שבהם מבקש אדם לגדל שתיל בודד לשימושו העצמי גרידא (מעשה שגם הוא חמור בפני עצמו). אדרבא, נדמה שבמקרה הנדון עסקינן בנאשם אשר תכנן היטב את הדברים וכלכל את מעשיו מבעוד מועד, עת הקים מעבדת סמים ביתית של ממש, תוך שימוש בכלים ובציוד רב (מעבדה זו אף הניבה לו בסופו של יום 100 שתילי קנבוס, במשקל ניכר). בהמשך לאמור, ובכל הנוגע לסיבה לביצוע העבירות, אכן בהיעדר אינדיקציה אחרת, על בית המשפט לפרש את הנסיבות בדרך המקלה עם הנאשם ולראות בסמים ככאלה שגודלו לצורך שימוש עצמי בלבד. דא עקא, כמות השתילים שגידל הנאשם במקרה הנדון, היא-היא שיכולה לשמש כאינדיקציה, ואף כחזקה, לכך שהדברים נעשו שלא לצורך שימוש עצמי (ראו </w:t>
      </w:r>
      <w:hyperlink r:id="rId27" w:history="1">
        <w:r w:rsidR="00C464C7" w:rsidRPr="00C464C7">
          <w:rPr>
            <w:color w:val="0000FF"/>
            <w:u w:val="single"/>
            <w:rtl/>
          </w:rPr>
          <w:t xml:space="preserve">רע"פ 314/16‏ </w:t>
        </w:r>
      </w:hyperlink>
      <w:r w:rsidRPr="00CD35F1">
        <w:rPr>
          <w:rFonts w:hint="cs"/>
          <w:rtl/>
        </w:rPr>
        <w:t xml:space="preserve"> </w:t>
      </w:r>
      <w:r w:rsidRPr="00CD35F1">
        <w:rPr>
          <w:rFonts w:hint="cs"/>
          <w:b/>
          <w:bCs/>
          <w:rtl/>
        </w:rPr>
        <w:t>גיא בן צבי נ' מדינת ישראל</w:t>
      </w:r>
      <w:r w:rsidRPr="00CD35F1">
        <w:rPr>
          <w:rFonts w:hint="cs"/>
          <w:rtl/>
        </w:rPr>
        <w:t>, (22.02.2016), ואם הדברים נאמרו שם בעניינו של מי שגידל 9 שתילים במשקל שני ק"ג, כי אז כוחם יפה עוד יותר בענייננו). לצד אלה אציין, כי אין בתיק זה סימן לכך שמטרתו של הנאשם הייתה לסחור בסמים שגידל, ולא בכדי המאשימה לא ביקשה להכריז עליו כסוחר סמים. עוד יצוין, כי גם לטענה לפיה קריסתו הכלכלית של הנאשם היא שהביאוהו לבצע את העבירות, בית המשפט אינו מוצא להעניק משקל רב לקולא, שכן טענה זו לא גובתה ולו בבדל ראיה וממילא לא נהיר אם זו יכולה להצדיק ביצוע עבירות כה חמורות.</w:t>
      </w:r>
    </w:p>
    <w:p w14:paraId="09887E3E" w14:textId="77777777" w:rsidR="00D968FB" w:rsidRPr="00CD35F1" w:rsidRDefault="00D968FB" w:rsidP="00D968FB">
      <w:pPr>
        <w:pStyle w:val="ListParagraph"/>
        <w:ind w:left="-58" w:firstLine="0"/>
      </w:pPr>
      <w:r w:rsidRPr="00CD35F1">
        <w:rPr>
          <w:rFonts w:hint="cs"/>
          <w:rtl/>
        </w:rPr>
        <w:t xml:space="preserve">בנוסף, נתתי דעתי לכך שכתוצאה ממעשיו של הנאשם בתיק הגידול לא נגרם נזק ישיר וממשי כלשהו. דא עקא,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כך, הסמים פוגעים פגיעה קשה לא רק במשתמשים בסם, כי אם גם בבני משפחתם, חבריהם ומכריהם וכן בציבור בכללותו. </w:t>
      </w:r>
    </w:p>
    <w:p w14:paraId="545FB4DD" w14:textId="77777777" w:rsidR="00D968FB" w:rsidRPr="00CD35F1" w:rsidRDefault="00D968FB" w:rsidP="00D968FB">
      <w:pPr>
        <w:pStyle w:val="ListParagraph"/>
        <w:ind w:left="-58" w:firstLine="0"/>
        <w:rPr>
          <w:rtl/>
        </w:rPr>
      </w:pPr>
      <w:r w:rsidRPr="00CD35F1">
        <w:rPr>
          <w:rFonts w:hint="cs"/>
          <w:rtl/>
        </w:rPr>
        <w:t xml:space="preserve">אשר לתיק ההפרעה, בית המשפט שוקל לחומרה את העובדה שבמעשה ההפרעה לשוטר היה כרוך גם אלמנט של מרמה והתחזות. כמו כן, הנאשם נשא עימו את רישיון הנהיגה של אחיו, ומכאן שניתן לתהות שמא הוא תכנן מראש להתייצג כאחיו "בעת צרה" שתבוא (כפי שאכן עשה בסופו של דבר). בנוסף, גם כאן בית המשפט אינו מעניק משקל משמעותי לעובדה שכתוצאה ממעשיו של הנאשם לא נגרם נזק ממשי. שכן, עסקינן בעבירות המופנות כלפי שוטרים, ושיש לראות בחומרה את עצם ביצוען, ללא כל קשר לתוצאותיהן (ראו והשוו: </w:t>
      </w:r>
      <w:hyperlink r:id="rId28" w:history="1">
        <w:r w:rsidR="008F1590" w:rsidRPr="008F1590">
          <w:rPr>
            <w:rStyle w:val="Hyperlink"/>
            <w:rFonts w:hint="cs"/>
            <w:rtl/>
          </w:rPr>
          <w:t>ע</w:t>
        </w:r>
        <w:r w:rsidR="008F1590" w:rsidRPr="008F1590">
          <w:rPr>
            <w:rStyle w:val="Hyperlink"/>
            <w:rtl/>
          </w:rPr>
          <w:t>"</w:t>
        </w:r>
        <w:r w:rsidR="008F1590" w:rsidRPr="008F1590">
          <w:rPr>
            <w:rStyle w:val="Hyperlink"/>
            <w:rFonts w:hint="cs"/>
            <w:rtl/>
          </w:rPr>
          <w:t>פ</w:t>
        </w:r>
        <w:r w:rsidR="008F1590" w:rsidRPr="008F1590">
          <w:rPr>
            <w:rStyle w:val="Hyperlink"/>
            <w:rtl/>
          </w:rPr>
          <w:t xml:space="preserve"> 3236/98</w:t>
        </w:r>
      </w:hyperlink>
      <w:r w:rsidRPr="00CD35F1">
        <w:rPr>
          <w:rFonts w:hint="cs"/>
          <w:rtl/>
        </w:rPr>
        <w:t xml:space="preserve"> </w:t>
      </w:r>
      <w:r w:rsidRPr="00CD35F1">
        <w:rPr>
          <w:rFonts w:hint="cs"/>
          <w:b/>
          <w:bCs/>
          <w:rtl/>
        </w:rPr>
        <w:t>מוחי אבו דריס נ' מדינת ישראל</w:t>
      </w:r>
      <w:r w:rsidRPr="00CD35F1">
        <w:rPr>
          <w:rFonts w:hint="cs"/>
          <w:rtl/>
        </w:rPr>
        <w:t>, (28.07.1998)).</w:t>
      </w:r>
    </w:p>
    <w:p w14:paraId="76AA5FCB" w14:textId="77777777" w:rsidR="00D968FB" w:rsidRPr="00CD35F1" w:rsidRDefault="00D968FB" w:rsidP="00D968FB">
      <w:pPr>
        <w:pStyle w:val="ListParagraph"/>
        <w:numPr>
          <w:ilvl w:val="0"/>
          <w:numId w:val="2"/>
        </w:numPr>
        <w:ind w:left="-58"/>
        <w:rPr>
          <w:rtl/>
        </w:rPr>
      </w:pPr>
      <w:r w:rsidRPr="00CD35F1">
        <w:rPr>
          <w:rFonts w:hint="cs"/>
          <w:rtl/>
        </w:rPr>
        <w:t>אשר</w:t>
      </w:r>
      <w:r w:rsidRPr="00CD35F1">
        <w:rPr>
          <w:rFonts w:hint="cs"/>
          <w:b/>
          <w:bCs/>
          <w:rtl/>
        </w:rPr>
        <w:t xml:space="preserve"> למדיניות הענישה</w:t>
      </w:r>
      <w:r w:rsidRPr="00CD35F1">
        <w:rPr>
          <w:rFonts w:hint="cs"/>
          <w:rtl/>
        </w:rPr>
        <w:t xml:space="preserve"> בעבירות הגידול (שכמו במקרה הנדון, פעמים רבות נכרכות בעבירת נלוות נוספות כגון החזקת כלים להכנת סם, החזקת חצרים להכנת סם, החזקת סם, גניבת חשמל, ועוד), הרי שזו מתחשבת בצורך במאבק בנגע הסמים המסוכנים בכלל, ובתופעת הקמת המעבדות הביתיות ההולכת וצוברת תאוצה בשנים האחרונות בפרט. לגופם של דברים, בחינת הפסיקה מעלה כי במקרים דומים שבהם דובר בנאשמים שגידלו סם מסוג קנבוס במשקל הנמדד בין 5 ל- 15 קילוגרמים, נקבעו </w:t>
      </w:r>
      <w:r w:rsidRPr="00CD35F1">
        <w:rPr>
          <w:rFonts w:hint="cs"/>
          <w:b/>
          <w:bCs/>
          <w:rtl/>
        </w:rPr>
        <w:t>בדרך כלל</w:t>
      </w:r>
      <w:r w:rsidRPr="00CD35F1">
        <w:rPr>
          <w:rFonts w:hint="cs"/>
          <w:rtl/>
        </w:rPr>
        <w:t xml:space="preserve"> מתחמי ענישה שהרף התחתון שלהם הועמד על מאסר בפועל שבשים לב לאורכו, אינו ניתן לריצוי בעבודות שירות (ראו למשל: </w:t>
      </w:r>
      <w:hyperlink r:id="rId29" w:history="1">
        <w:r w:rsidR="00C464C7" w:rsidRPr="00C464C7">
          <w:rPr>
            <w:color w:val="0000FF"/>
            <w:u w:val="single"/>
            <w:rtl/>
          </w:rPr>
          <w:t>רע"פ 2675/17‏‏</w:t>
        </w:r>
      </w:hyperlink>
      <w:r w:rsidRPr="00CD35F1">
        <w:rPr>
          <w:rFonts w:hint="cs"/>
          <w:rtl/>
        </w:rPr>
        <w:t xml:space="preserve"> </w:t>
      </w:r>
      <w:r w:rsidRPr="00CD35F1">
        <w:rPr>
          <w:rFonts w:hint="cs"/>
          <w:b/>
          <w:bCs/>
          <w:rtl/>
        </w:rPr>
        <w:t>גיל ארצי נ' מדינת ישראל</w:t>
      </w:r>
      <w:r w:rsidRPr="00CD35F1">
        <w:rPr>
          <w:rFonts w:hint="cs"/>
          <w:rtl/>
        </w:rPr>
        <w:t xml:space="preserve">, (23.08.2017); </w:t>
      </w:r>
      <w:hyperlink r:id="rId30" w:history="1">
        <w:r w:rsidR="008F1590" w:rsidRPr="008F1590">
          <w:rPr>
            <w:rStyle w:val="Hyperlink"/>
            <w:rFonts w:hint="cs"/>
            <w:rtl/>
          </w:rPr>
          <w:t>רע</w:t>
        </w:r>
        <w:r w:rsidR="008F1590" w:rsidRPr="008F1590">
          <w:rPr>
            <w:rStyle w:val="Hyperlink"/>
            <w:rtl/>
          </w:rPr>
          <w:t>"</w:t>
        </w:r>
        <w:r w:rsidR="008F1590" w:rsidRPr="008F1590">
          <w:rPr>
            <w:rStyle w:val="Hyperlink"/>
            <w:rFonts w:hint="cs"/>
            <w:rtl/>
          </w:rPr>
          <w:t>פ</w:t>
        </w:r>
        <w:r w:rsidR="008F1590" w:rsidRPr="008F1590">
          <w:rPr>
            <w:rStyle w:val="Hyperlink"/>
            <w:rtl/>
          </w:rPr>
          <w:t xml:space="preserve"> 7819/15</w:t>
        </w:r>
      </w:hyperlink>
      <w:r w:rsidRPr="00CD35F1">
        <w:rPr>
          <w:rFonts w:hint="cs"/>
          <w:rtl/>
        </w:rPr>
        <w:t xml:space="preserve"> </w:t>
      </w:r>
      <w:r w:rsidRPr="00CD35F1">
        <w:rPr>
          <w:rFonts w:hint="cs"/>
          <w:b/>
          <w:bCs/>
          <w:rtl/>
        </w:rPr>
        <w:t>עופר סלור נ' מדינת ישראל</w:t>
      </w:r>
      <w:r w:rsidRPr="00CD35F1">
        <w:rPr>
          <w:rFonts w:hint="cs"/>
          <w:rtl/>
        </w:rPr>
        <w:t xml:space="preserve">, (22.05.2016); </w:t>
      </w:r>
      <w:hyperlink r:id="rId31" w:history="1">
        <w:r w:rsidR="008F1590" w:rsidRPr="008F1590">
          <w:rPr>
            <w:rStyle w:val="Hyperlink"/>
            <w:rFonts w:hint="cs"/>
            <w:rtl/>
          </w:rPr>
          <w:t>רע</w:t>
        </w:r>
        <w:r w:rsidR="008F1590" w:rsidRPr="008F1590">
          <w:rPr>
            <w:rStyle w:val="Hyperlink"/>
            <w:rtl/>
          </w:rPr>
          <w:t>"</w:t>
        </w:r>
        <w:r w:rsidR="008F1590" w:rsidRPr="008F1590">
          <w:rPr>
            <w:rStyle w:val="Hyperlink"/>
            <w:rFonts w:hint="cs"/>
            <w:rtl/>
          </w:rPr>
          <w:t>פ</w:t>
        </w:r>
        <w:r w:rsidR="008F1590" w:rsidRPr="008F1590">
          <w:rPr>
            <w:rStyle w:val="Hyperlink"/>
            <w:rtl/>
          </w:rPr>
          <w:t xml:space="preserve"> 7675/13</w:t>
        </w:r>
      </w:hyperlink>
      <w:r w:rsidRPr="00CD35F1">
        <w:rPr>
          <w:rFonts w:hint="cs"/>
          <w:rtl/>
        </w:rPr>
        <w:t xml:space="preserve"> </w:t>
      </w:r>
      <w:r w:rsidRPr="00CD35F1">
        <w:rPr>
          <w:rFonts w:hint="cs"/>
          <w:b/>
          <w:bCs/>
          <w:rtl/>
        </w:rPr>
        <w:t>ג'עבר חסין סעפין נ' מדינת ישראל</w:t>
      </w:r>
      <w:r w:rsidRPr="00CD35F1">
        <w:rPr>
          <w:rFonts w:hint="cs"/>
          <w:rtl/>
        </w:rPr>
        <w:t xml:space="preserve">, (26.01.2014); </w:t>
      </w:r>
      <w:hyperlink r:id="rId32" w:history="1">
        <w:r w:rsidR="008F1590" w:rsidRPr="008F1590">
          <w:rPr>
            <w:rStyle w:val="Hyperlink"/>
            <w:rFonts w:hint="cs"/>
            <w:rtl/>
          </w:rPr>
          <w:t>ת</w:t>
        </w:r>
        <w:r w:rsidR="008F1590" w:rsidRPr="008F1590">
          <w:rPr>
            <w:rStyle w:val="Hyperlink"/>
            <w:rtl/>
          </w:rPr>
          <w:t>"</w:t>
        </w:r>
        <w:r w:rsidR="008F1590" w:rsidRPr="008F1590">
          <w:rPr>
            <w:rStyle w:val="Hyperlink"/>
            <w:rFonts w:hint="cs"/>
            <w:rtl/>
          </w:rPr>
          <w:t>פ</w:t>
        </w:r>
        <w:r w:rsidR="008F1590" w:rsidRPr="008F1590">
          <w:rPr>
            <w:rStyle w:val="Hyperlink"/>
            <w:rtl/>
          </w:rPr>
          <w:t xml:space="preserve"> (</w:t>
        </w:r>
        <w:r w:rsidR="008F1590" w:rsidRPr="008F1590">
          <w:rPr>
            <w:rStyle w:val="Hyperlink"/>
            <w:rFonts w:hint="cs"/>
            <w:rtl/>
          </w:rPr>
          <w:t>שלום</w:t>
        </w:r>
        <w:r w:rsidR="008F1590" w:rsidRPr="008F1590">
          <w:rPr>
            <w:rStyle w:val="Hyperlink"/>
            <w:rtl/>
          </w:rPr>
          <w:t xml:space="preserve"> </w:t>
        </w:r>
        <w:r w:rsidR="008F1590" w:rsidRPr="008F1590">
          <w:rPr>
            <w:rStyle w:val="Hyperlink"/>
            <w:rFonts w:hint="cs"/>
            <w:rtl/>
          </w:rPr>
          <w:t>תל</w:t>
        </w:r>
        <w:r w:rsidR="008F1590" w:rsidRPr="008F1590">
          <w:rPr>
            <w:rStyle w:val="Hyperlink"/>
            <w:rtl/>
          </w:rPr>
          <w:t xml:space="preserve"> </w:t>
        </w:r>
        <w:r w:rsidR="008F1590" w:rsidRPr="008F1590">
          <w:rPr>
            <w:rStyle w:val="Hyperlink"/>
            <w:rFonts w:hint="cs"/>
            <w:rtl/>
          </w:rPr>
          <w:t>אביב</w:t>
        </w:r>
        <w:r w:rsidR="008F1590" w:rsidRPr="008F1590">
          <w:rPr>
            <w:rStyle w:val="Hyperlink"/>
            <w:rtl/>
          </w:rPr>
          <w:t xml:space="preserve"> </w:t>
        </w:r>
        <w:r w:rsidR="008F1590" w:rsidRPr="008F1590">
          <w:rPr>
            <w:rStyle w:val="Hyperlink"/>
            <w:rFonts w:hint="cs"/>
            <w:rtl/>
          </w:rPr>
          <w:t>יפו</w:t>
        </w:r>
        <w:r w:rsidR="008F1590" w:rsidRPr="008F1590">
          <w:rPr>
            <w:rStyle w:val="Hyperlink"/>
            <w:rtl/>
          </w:rPr>
          <w:t>) 50219-07-15</w:t>
        </w:r>
      </w:hyperlink>
      <w:r w:rsidRPr="00CD35F1">
        <w:rPr>
          <w:rFonts w:hint="cs"/>
          <w:u w:val="single"/>
          <w:rtl/>
        </w:rPr>
        <w:t>‏‏</w:t>
      </w:r>
      <w:r w:rsidRPr="00CD35F1">
        <w:rPr>
          <w:rFonts w:hint="cs"/>
          <w:rtl/>
        </w:rPr>
        <w:t xml:space="preserve"> </w:t>
      </w:r>
      <w:r w:rsidRPr="00CD35F1">
        <w:rPr>
          <w:rFonts w:hint="cs"/>
          <w:b/>
          <w:bCs/>
          <w:rtl/>
        </w:rPr>
        <w:t>מדינת ישראל נ' שלמה שמואל</w:t>
      </w:r>
      <w:r w:rsidRPr="00CD35F1">
        <w:rPr>
          <w:rFonts w:hint="cs"/>
          <w:rtl/>
        </w:rPr>
        <w:t xml:space="preserve">, (16.07.2017); </w:t>
      </w:r>
      <w:hyperlink r:id="rId33" w:history="1">
        <w:r w:rsidR="008F1590" w:rsidRPr="008F1590">
          <w:rPr>
            <w:rStyle w:val="Hyperlink"/>
            <w:rFonts w:hint="cs"/>
            <w:rtl/>
          </w:rPr>
          <w:t>ת</w:t>
        </w:r>
        <w:r w:rsidR="008F1590" w:rsidRPr="008F1590">
          <w:rPr>
            <w:rStyle w:val="Hyperlink"/>
            <w:rtl/>
          </w:rPr>
          <w:t>"</w:t>
        </w:r>
        <w:r w:rsidR="008F1590" w:rsidRPr="008F1590">
          <w:rPr>
            <w:rStyle w:val="Hyperlink"/>
            <w:rFonts w:hint="cs"/>
            <w:rtl/>
          </w:rPr>
          <w:t>פ</w:t>
        </w:r>
        <w:r w:rsidR="008F1590" w:rsidRPr="008F1590">
          <w:rPr>
            <w:rStyle w:val="Hyperlink"/>
            <w:rtl/>
          </w:rPr>
          <w:t xml:space="preserve"> (</w:t>
        </w:r>
        <w:r w:rsidR="008F1590" w:rsidRPr="008F1590">
          <w:rPr>
            <w:rStyle w:val="Hyperlink"/>
            <w:rFonts w:hint="cs"/>
            <w:rtl/>
          </w:rPr>
          <w:t>שלום</w:t>
        </w:r>
        <w:r w:rsidR="008F1590" w:rsidRPr="008F1590">
          <w:rPr>
            <w:rStyle w:val="Hyperlink"/>
            <w:rtl/>
          </w:rPr>
          <w:t xml:space="preserve"> </w:t>
        </w:r>
        <w:r w:rsidR="008F1590" w:rsidRPr="008F1590">
          <w:rPr>
            <w:rStyle w:val="Hyperlink"/>
            <w:rFonts w:hint="cs"/>
            <w:rtl/>
          </w:rPr>
          <w:t>קריות</w:t>
        </w:r>
        <w:r w:rsidR="008F1590" w:rsidRPr="008F1590">
          <w:rPr>
            <w:rStyle w:val="Hyperlink"/>
            <w:rtl/>
          </w:rPr>
          <w:t>) 54487-02-16</w:t>
        </w:r>
      </w:hyperlink>
      <w:r w:rsidRPr="00CD35F1">
        <w:rPr>
          <w:rFonts w:hint="cs"/>
          <w:u w:val="single"/>
          <w:rtl/>
        </w:rPr>
        <w:t>‏</w:t>
      </w:r>
      <w:r w:rsidRPr="00CD35F1">
        <w:rPr>
          <w:rFonts w:hint="cs"/>
          <w:rtl/>
        </w:rPr>
        <w:t xml:space="preserve"> </w:t>
      </w:r>
      <w:r w:rsidRPr="00CD35F1">
        <w:rPr>
          <w:rFonts w:hint="cs"/>
          <w:b/>
          <w:bCs/>
          <w:rtl/>
        </w:rPr>
        <w:t>מדינת ישראל נ' זיו דודוב</w:t>
      </w:r>
      <w:r w:rsidRPr="00CD35F1">
        <w:rPr>
          <w:rFonts w:hint="cs"/>
          <w:rtl/>
        </w:rPr>
        <w:t>, (26.02.2017)). מיותר לציין, כי העונשים שהושתו בגדרי המתחמים (או מחוצה להם) בכל מקרה ומקרה, הושפעו מנסיבות שאינן קשורות בביצוע העבירות, ובכלל זה עברם הפלילי של הנאשמים, קבלת אחריות והכאה על חטא, קיומם של הליכים טיפוליים או היעדרם, וכיוצא באלה.</w:t>
      </w:r>
    </w:p>
    <w:p w14:paraId="0129E2F7" w14:textId="77777777" w:rsidR="00D968FB" w:rsidRPr="00CD35F1" w:rsidRDefault="00D968FB" w:rsidP="00D968FB">
      <w:pPr>
        <w:pStyle w:val="ListParagraph"/>
        <w:ind w:left="-58" w:firstLine="0"/>
      </w:pPr>
      <w:r w:rsidRPr="00CD35F1">
        <w:rPr>
          <w:rFonts w:hint="cs"/>
          <w:rtl/>
        </w:rPr>
        <w:t xml:space="preserve">בכל הנוגע למדיניות הענישה הנוהגת בעבירה של הפרעה לשוטר, סקירת הפסיקה מלמדת כי ברגיל נקבעים בגין עבירה זו מתחמי ענישה שתחילתם במאסר מותנה וסופם במאסרים קצרים, שעל פי רוב ניתן לבצעם בעבודות שירות (ראו למשל: </w:t>
      </w:r>
      <w:hyperlink r:id="rId34" w:history="1">
        <w:r w:rsidR="008F1590" w:rsidRPr="008F1590">
          <w:rPr>
            <w:rStyle w:val="Hyperlink"/>
            <w:rFonts w:hint="cs"/>
            <w:rtl/>
          </w:rPr>
          <w:t>ת</w:t>
        </w:r>
        <w:r w:rsidR="008F1590" w:rsidRPr="008F1590">
          <w:rPr>
            <w:rStyle w:val="Hyperlink"/>
            <w:rtl/>
          </w:rPr>
          <w:t>"</w:t>
        </w:r>
        <w:r w:rsidR="008F1590" w:rsidRPr="008F1590">
          <w:rPr>
            <w:rStyle w:val="Hyperlink"/>
            <w:rFonts w:hint="cs"/>
            <w:rtl/>
          </w:rPr>
          <w:t>פ</w:t>
        </w:r>
        <w:r w:rsidR="008F1590" w:rsidRPr="008F1590">
          <w:rPr>
            <w:rStyle w:val="Hyperlink"/>
            <w:rtl/>
          </w:rPr>
          <w:t xml:space="preserve"> (</w:t>
        </w:r>
        <w:r w:rsidR="008F1590" w:rsidRPr="008F1590">
          <w:rPr>
            <w:rStyle w:val="Hyperlink"/>
            <w:rFonts w:hint="cs"/>
            <w:rtl/>
          </w:rPr>
          <w:t>מחוזי</w:t>
        </w:r>
        <w:r w:rsidR="008F1590" w:rsidRPr="008F1590">
          <w:rPr>
            <w:rStyle w:val="Hyperlink"/>
            <w:rtl/>
          </w:rPr>
          <w:t xml:space="preserve"> </w:t>
        </w:r>
        <w:r w:rsidR="008F1590" w:rsidRPr="008F1590">
          <w:rPr>
            <w:rStyle w:val="Hyperlink"/>
            <w:rFonts w:hint="cs"/>
            <w:rtl/>
          </w:rPr>
          <w:t>חיפה</w:t>
        </w:r>
        <w:r w:rsidR="008F1590" w:rsidRPr="008F1590">
          <w:rPr>
            <w:rStyle w:val="Hyperlink"/>
            <w:rtl/>
          </w:rPr>
          <w:t>) 20677-01-12</w:t>
        </w:r>
      </w:hyperlink>
      <w:r w:rsidRPr="00CD35F1">
        <w:rPr>
          <w:rFonts w:hint="cs"/>
          <w:rtl/>
        </w:rPr>
        <w:t xml:space="preserve"> </w:t>
      </w:r>
      <w:r w:rsidRPr="00CD35F1">
        <w:rPr>
          <w:rFonts w:hint="cs"/>
          <w:b/>
          <w:bCs/>
          <w:rtl/>
        </w:rPr>
        <w:t>מדינת ישראל נ' מיקי מיכאל מישר</w:t>
      </w:r>
      <w:r w:rsidRPr="00CD35F1">
        <w:rPr>
          <w:rFonts w:hint="cs"/>
          <w:rtl/>
        </w:rPr>
        <w:t xml:space="preserve">, (04.03.2015); </w:t>
      </w:r>
      <w:hyperlink r:id="rId35" w:history="1">
        <w:r w:rsidR="008F1590" w:rsidRPr="008F1590">
          <w:rPr>
            <w:rStyle w:val="Hyperlink"/>
            <w:rFonts w:hint="cs"/>
            <w:rtl/>
          </w:rPr>
          <w:t>ת</w:t>
        </w:r>
        <w:r w:rsidR="008F1590" w:rsidRPr="008F1590">
          <w:rPr>
            <w:rStyle w:val="Hyperlink"/>
            <w:rtl/>
          </w:rPr>
          <w:t>"</w:t>
        </w:r>
        <w:r w:rsidR="008F1590" w:rsidRPr="008F1590">
          <w:rPr>
            <w:rStyle w:val="Hyperlink"/>
            <w:rFonts w:hint="cs"/>
            <w:rtl/>
          </w:rPr>
          <w:t>פ</w:t>
        </w:r>
        <w:r w:rsidR="008F1590" w:rsidRPr="008F1590">
          <w:rPr>
            <w:rStyle w:val="Hyperlink"/>
            <w:rtl/>
          </w:rPr>
          <w:t xml:space="preserve"> (</w:t>
        </w:r>
        <w:r w:rsidR="008F1590" w:rsidRPr="008F1590">
          <w:rPr>
            <w:rStyle w:val="Hyperlink"/>
            <w:rFonts w:hint="cs"/>
            <w:rtl/>
          </w:rPr>
          <w:t>שלום</w:t>
        </w:r>
        <w:r w:rsidR="008F1590" w:rsidRPr="008F1590">
          <w:rPr>
            <w:rStyle w:val="Hyperlink"/>
            <w:rtl/>
          </w:rPr>
          <w:t xml:space="preserve"> </w:t>
        </w:r>
        <w:r w:rsidR="008F1590" w:rsidRPr="008F1590">
          <w:rPr>
            <w:rStyle w:val="Hyperlink"/>
            <w:rFonts w:hint="cs"/>
            <w:rtl/>
          </w:rPr>
          <w:t>כפר</w:t>
        </w:r>
        <w:r w:rsidR="008F1590" w:rsidRPr="008F1590">
          <w:rPr>
            <w:rStyle w:val="Hyperlink"/>
            <w:rtl/>
          </w:rPr>
          <w:t xml:space="preserve"> </w:t>
        </w:r>
        <w:r w:rsidR="008F1590" w:rsidRPr="008F1590">
          <w:rPr>
            <w:rStyle w:val="Hyperlink"/>
            <w:rFonts w:hint="cs"/>
            <w:rtl/>
          </w:rPr>
          <w:t>סבא</w:t>
        </w:r>
        <w:r w:rsidR="008F1590" w:rsidRPr="008F1590">
          <w:rPr>
            <w:rStyle w:val="Hyperlink"/>
            <w:rtl/>
          </w:rPr>
          <w:t>) 44751-02-13</w:t>
        </w:r>
      </w:hyperlink>
      <w:r w:rsidRPr="00CD35F1">
        <w:rPr>
          <w:rFonts w:hint="cs"/>
          <w:u w:val="single"/>
          <w:rtl/>
        </w:rPr>
        <w:t>‏</w:t>
      </w:r>
      <w:r w:rsidRPr="00CD35F1">
        <w:rPr>
          <w:rFonts w:hint="cs"/>
          <w:rtl/>
        </w:rPr>
        <w:t xml:space="preserve"> </w:t>
      </w:r>
      <w:r w:rsidRPr="00CD35F1">
        <w:rPr>
          <w:rFonts w:hint="cs"/>
          <w:b/>
          <w:bCs/>
          <w:rtl/>
        </w:rPr>
        <w:t>מדינת ישראל נ' מורן גולי</w:t>
      </w:r>
      <w:r w:rsidRPr="00CD35F1">
        <w:rPr>
          <w:rFonts w:hint="cs"/>
          <w:rtl/>
        </w:rPr>
        <w:t xml:space="preserve">, (25.02.2016); </w:t>
      </w:r>
      <w:hyperlink r:id="rId36" w:history="1">
        <w:r w:rsidR="008F1590" w:rsidRPr="008F1590">
          <w:rPr>
            <w:rStyle w:val="Hyperlink"/>
            <w:rFonts w:hint="cs"/>
            <w:rtl/>
          </w:rPr>
          <w:t>ת</w:t>
        </w:r>
        <w:r w:rsidR="008F1590" w:rsidRPr="008F1590">
          <w:rPr>
            <w:rStyle w:val="Hyperlink"/>
            <w:rtl/>
          </w:rPr>
          <w:t>"</w:t>
        </w:r>
        <w:r w:rsidR="008F1590" w:rsidRPr="008F1590">
          <w:rPr>
            <w:rStyle w:val="Hyperlink"/>
            <w:rFonts w:hint="cs"/>
            <w:rtl/>
          </w:rPr>
          <w:t>פ</w:t>
        </w:r>
        <w:r w:rsidR="008F1590" w:rsidRPr="008F1590">
          <w:rPr>
            <w:rStyle w:val="Hyperlink"/>
            <w:rtl/>
          </w:rPr>
          <w:t xml:space="preserve"> (</w:t>
        </w:r>
        <w:r w:rsidR="008F1590" w:rsidRPr="008F1590">
          <w:rPr>
            <w:rStyle w:val="Hyperlink"/>
            <w:rFonts w:hint="cs"/>
            <w:rtl/>
          </w:rPr>
          <w:t>שלום</w:t>
        </w:r>
        <w:r w:rsidR="008F1590" w:rsidRPr="008F1590">
          <w:rPr>
            <w:rStyle w:val="Hyperlink"/>
            <w:rtl/>
          </w:rPr>
          <w:t xml:space="preserve"> </w:t>
        </w:r>
        <w:r w:rsidR="008F1590" w:rsidRPr="008F1590">
          <w:rPr>
            <w:rStyle w:val="Hyperlink"/>
            <w:rFonts w:hint="cs"/>
            <w:rtl/>
          </w:rPr>
          <w:t>כפר</w:t>
        </w:r>
        <w:r w:rsidR="008F1590" w:rsidRPr="008F1590">
          <w:rPr>
            <w:rStyle w:val="Hyperlink"/>
            <w:rtl/>
          </w:rPr>
          <w:t xml:space="preserve"> </w:t>
        </w:r>
        <w:r w:rsidR="008F1590" w:rsidRPr="008F1590">
          <w:rPr>
            <w:rStyle w:val="Hyperlink"/>
            <w:rFonts w:hint="cs"/>
            <w:rtl/>
          </w:rPr>
          <w:t>סבא</w:t>
        </w:r>
        <w:r w:rsidR="008F1590" w:rsidRPr="008F1590">
          <w:rPr>
            <w:rStyle w:val="Hyperlink"/>
            <w:rtl/>
          </w:rPr>
          <w:t>) 17942-11-15</w:t>
        </w:r>
      </w:hyperlink>
      <w:r w:rsidRPr="00CD35F1">
        <w:rPr>
          <w:rFonts w:hint="cs"/>
          <w:u w:val="single"/>
          <w:rtl/>
        </w:rPr>
        <w:t>‏</w:t>
      </w:r>
      <w:r w:rsidRPr="00CD35F1">
        <w:rPr>
          <w:rFonts w:hint="cs"/>
          <w:rtl/>
        </w:rPr>
        <w:t xml:space="preserve"> </w:t>
      </w:r>
      <w:r w:rsidRPr="00CD35F1">
        <w:rPr>
          <w:rFonts w:hint="cs"/>
          <w:b/>
          <w:bCs/>
          <w:rtl/>
        </w:rPr>
        <w:t>מדינת ישראל נ' היתם עאמר</w:t>
      </w:r>
      <w:r w:rsidRPr="00CD35F1">
        <w:rPr>
          <w:rFonts w:hint="cs"/>
          <w:rtl/>
        </w:rPr>
        <w:t xml:space="preserve">, (10.09.2017), טרם הפך לחלוט; </w:t>
      </w:r>
      <w:hyperlink r:id="rId37" w:history="1">
        <w:r w:rsidR="008F1590" w:rsidRPr="008F1590">
          <w:rPr>
            <w:rStyle w:val="Hyperlink"/>
            <w:rFonts w:hint="cs"/>
            <w:rtl/>
          </w:rPr>
          <w:t>ת</w:t>
        </w:r>
        <w:r w:rsidR="008F1590" w:rsidRPr="008F1590">
          <w:rPr>
            <w:rStyle w:val="Hyperlink"/>
            <w:rtl/>
          </w:rPr>
          <w:t>"</w:t>
        </w:r>
        <w:r w:rsidR="008F1590" w:rsidRPr="008F1590">
          <w:rPr>
            <w:rStyle w:val="Hyperlink"/>
            <w:rFonts w:hint="cs"/>
            <w:rtl/>
          </w:rPr>
          <w:t>פ</w:t>
        </w:r>
        <w:r w:rsidR="008F1590" w:rsidRPr="008F1590">
          <w:rPr>
            <w:rStyle w:val="Hyperlink"/>
            <w:rtl/>
          </w:rPr>
          <w:t xml:space="preserve"> (</w:t>
        </w:r>
        <w:r w:rsidR="008F1590" w:rsidRPr="008F1590">
          <w:rPr>
            <w:rStyle w:val="Hyperlink"/>
            <w:rFonts w:hint="cs"/>
            <w:rtl/>
          </w:rPr>
          <w:t>שלום</w:t>
        </w:r>
        <w:r w:rsidR="008F1590" w:rsidRPr="008F1590">
          <w:rPr>
            <w:rStyle w:val="Hyperlink"/>
            <w:rtl/>
          </w:rPr>
          <w:t xml:space="preserve"> </w:t>
        </w:r>
        <w:r w:rsidR="008F1590" w:rsidRPr="008F1590">
          <w:rPr>
            <w:rStyle w:val="Hyperlink"/>
            <w:rFonts w:hint="cs"/>
            <w:rtl/>
          </w:rPr>
          <w:t>רמלה</w:t>
        </w:r>
        <w:r w:rsidR="008F1590" w:rsidRPr="008F1590">
          <w:rPr>
            <w:rStyle w:val="Hyperlink"/>
            <w:rtl/>
          </w:rPr>
          <w:t>) 47200-02-15</w:t>
        </w:r>
      </w:hyperlink>
      <w:r w:rsidRPr="00CD35F1">
        <w:rPr>
          <w:rFonts w:hint="cs"/>
          <w:rtl/>
        </w:rPr>
        <w:t xml:space="preserve"> </w:t>
      </w:r>
      <w:r w:rsidRPr="00CD35F1">
        <w:rPr>
          <w:rFonts w:hint="cs"/>
          <w:b/>
          <w:bCs/>
          <w:rtl/>
        </w:rPr>
        <w:t>מדינת ישראל נ' בהא סוואלחי</w:t>
      </w:r>
      <w:r w:rsidRPr="00CD35F1">
        <w:rPr>
          <w:rFonts w:hint="cs"/>
          <w:rtl/>
        </w:rPr>
        <w:t xml:space="preserve">, (25.06.2015); </w:t>
      </w:r>
      <w:hyperlink r:id="rId38" w:history="1">
        <w:r w:rsidR="008F1590" w:rsidRPr="008F1590">
          <w:rPr>
            <w:rStyle w:val="Hyperlink"/>
            <w:rFonts w:hint="cs"/>
            <w:rtl/>
          </w:rPr>
          <w:t>ת</w:t>
        </w:r>
        <w:r w:rsidR="008F1590" w:rsidRPr="008F1590">
          <w:rPr>
            <w:rStyle w:val="Hyperlink"/>
            <w:rtl/>
          </w:rPr>
          <w:t>"</w:t>
        </w:r>
        <w:r w:rsidR="008F1590" w:rsidRPr="008F1590">
          <w:rPr>
            <w:rStyle w:val="Hyperlink"/>
            <w:rFonts w:hint="cs"/>
            <w:rtl/>
          </w:rPr>
          <w:t>פ</w:t>
        </w:r>
        <w:r w:rsidR="008F1590" w:rsidRPr="008F1590">
          <w:rPr>
            <w:rStyle w:val="Hyperlink"/>
            <w:rtl/>
          </w:rPr>
          <w:t xml:space="preserve"> (</w:t>
        </w:r>
        <w:r w:rsidR="008F1590" w:rsidRPr="008F1590">
          <w:rPr>
            <w:rStyle w:val="Hyperlink"/>
            <w:rFonts w:hint="cs"/>
            <w:rtl/>
          </w:rPr>
          <w:t>שלום</w:t>
        </w:r>
        <w:r w:rsidR="008F1590" w:rsidRPr="008F1590">
          <w:rPr>
            <w:rStyle w:val="Hyperlink"/>
            <w:rtl/>
          </w:rPr>
          <w:t xml:space="preserve"> </w:t>
        </w:r>
        <w:r w:rsidR="008F1590" w:rsidRPr="008F1590">
          <w:rPr>
            <w:rStyle w:val="Hyperlink"/>
            <w:rFonts w:hint="cs"/>
            <w:rtl/>
          </w:rPr>
          <w:t>תל</w:t>
        </w:r>
        <w:r w:rsidR="008F1590" w:rsidRPr="008F1590">
          <w:rPr>
            <w:rStyle w:val="Hyperlink"/>
            <w:rtl/>
          </w:rPr>
          <w:t xml:space="preserve"> </w:t>
        </w:r>
        <w:r w:rsidR="008F1590" w:rsidRPr="008F1590">
          <w:rPr>
            <w:rStyle w:val="Hyperlink"/>
            <w:rFonts w:hint="cs"/>
            <w:rtl/>
          </w:rPr>
          <w:t>אביב</w:t>
        </w:r>
        <w:r w:rsidR="008F1590" w:rsidRPr="008F1590">
          <w:rPr>
            <w:rStyle w:val="Hyperlink"/>
            <w:rtl/>
          </w:rPr>
          <w:t xml:space="preserve"> </w:t>
        </w:r>
        <w:r w:rsidR="008F1590" w:rsidRPr="008F1590">
          <w:rPr>
            <w:rStyle w:val="Hyperlink"/>
            <w:rFonts w:hint="cs"/>
            <w:rtl/>
          </w:rPr>
          <w:t>יפו</w:t>
        </w:r>
        <w:r w:rsidR="008F1590" w:rsidRPr="008F1590">
          <w:rPr>
            <w:rStyle w:val="Hyperlink"/>
            <w:rtl/>
          </w:rPr>
          <w:t>) 56334-09-14</w:t>
        </w:r>
      </w:hyperlink>
      <w:r w:rsidRPr="00CD35F1">
        <w:rPr>
          <w:rFonts w:hint="cs"/>
          <w:rtl/>
        </w:rPr>
        <w:t xml:space="preserve"> </w:t>
      </w:r>
      <w:r w:rsidRPr="00CD35F1">
        <w:rPr>
          <w:rFonts w:hint="cs"/>
          <w:b/>
          <w:bCs/>
          <w:rtl/>
        </w:rPr>
        <w:t>מדינת ישראל נ' מור בן טוב</w:t>
      </w:r>
      <w:r w:rsidRPr="00CD35F1">
        <w:rPr>
          <w:rFonts w:hint="cs"/>
          <w:rtl/>
        </w:rPr>
        <w:t xml:space="preserve">, (11.10.2015)). </w:t>
      </w:r>
    </w:p>
    <w:p w14:paraId="3EF4C6B7" w14:textId="77777777" w:rsidR="00D968FB" w:rsidRPr="00CD35F1" w:rsidRDefault="00D968FB" w:rsidP="00D968FB">
      <w:pPr>
        <w:pStyle w:val="ListParagraph"/>
        <w:ind w:left="-58" w:firstLine="0"/>
        <w:rPr>
          <w:rtl/>
        </w:rPr>
      </w:pPr>
      <w:r w:rsidRPr="00CD35F1">
        <w:rPr>
          <w:rFonts w:hint="cs"/>
          <w:rtl/>
        </w:rPr>
        <w:t xml:space="preserve">כאן גם יוער כי עיינתי בפסיקה שאליה הפנו באי כוח הצדדים (וחלקה אף אוזכר קודם לכן), אולם עיון זה נעשה תוך ביצוע האבחנות המתבקשות. ממילא יצוין, כי נהיר לבית המשפט שקיימים מקרים שבהם נקבעו מתחמי ענישה מחמירים או מקלים מאלו שצוינו קודם לכן, והושתו עונשים החורגים, לכאן או לכאן, ממנעד העונשים שהוצג לעיל. הדבר אך טבעי הוא, שכן כידוע, הענישה היא לעולם אינדיווידואלית וכל מקרה צריך להיבחן לגופו ובנסיבותיו, ואין לגזור עונשו של נאשם על סמך הכותרות בלבד של העבירות (ראו והשוו </w:t>
      </w:r>
      <w:hyperlink r:id="rId39" w:history="1">
        <w:r w:rsidR="008F1590" w:rsidRPr="008F1590">
          <w:rPr>
            <w:rStyle w:val="Hyperlink"/>
            <w:rFonts w:hint="cs"/>
            <w:rtl/>
          </w:rPr>
          <w:t>ע</w:t>
        </w:r>
        <w:r w:rsidR="008F1590" w:rsidRPr="008F1590">
          <w:rPr>
            <w:rStyle w:val="Hyperlink"/>
            <w:rtl/>
          </w:rPr>
          <w:t>"</w:t>
        </w:r>
        <w:r w:rsidR="008F1590" w:rsidRPr="008F1590">
          <w:rPr>
            <w:rStyle w:val="Hyperlink"/>
            <w:rFonts w:hint="cs"/>
            <w:rtl/>
          </w:rPr>
          <w:t>פ</w:t>
        </w:r>
        <w:r w:rsidR="008F1590" w:rsidRPr="008F1590">
          <w:rPr>
            <w:rStyle w:val="Hyperlink"/>
            <w:rtl/>
          </w:rPr>
          <w:t xml:space="preserve"> 433/89 </w:t>
        </w:r>
        <w:r w:rsidR="008F1590" w:rsidRPr="008F1590">
          <w:rPr>
            <w:rStyle w:val="Hyperlink"/>
            <w:rFonts w:hint="cs"/>
            <w:rtl/>
          </w:rPr>
          <w:t>ג</w:t>
        </w:r>
        <w:r w:rsidR="008F1590" w:rsidRPr="008F1590">
          <w:rPr>
            <w:rStyle w:val="Hyperlink"/>
            <w:rtl/>
          </w:rPr>
          <w:t>'</w:t>
        </w:r>
        <w:r w:rsidR="008F1590" w:rsidRPr="008F1590">
          <w:rPr>
            <w:rStyle w:val="Hyperlink"/>
            <w:rFonts w:hint="cs"/>
            <w:rtl/>
          </w:rPr>
          <w:t>ורג</w:t>
        </w:r>
        <w:r w:rsidR="008F1590" w:rsidRPr="008F1590">
          <w:rPr>
            <w:rStyle w:val="Hyperlink"/>
            <w:rtl/>
          </w:rPr>
          <w:t xml:space="preserve">' </w:t>
        </w:r>
        <w:r w:rsidR="008F1590" w:rsidRPr="008F1590">
          <w:rPr>
            <w:rStyle w:val="Hyperlink"/>
            <w:rFonts w:hint="cs"/>
            <w:rtl/>
          </w:rPr>
          <w:t>אטיאס</w:t>
        </w:r>
        <w:r w:rsidR="008F1590" w:rsidRPr="008F1590">
          <w:rPr>
            <w:rStyle w:val="Hyperlink"/>
            <w:rtl/>
          </w:rPr>
          <w:t xml:space="preserve"> </w:t>
        </w:r>
        <w:r w:rsidR="008F1590" w:rsidRPr="008F1590">
          <w:rPr>
            <w:rStyle w:val="Hyperlink"/>
            <w:rFonts w:hint="cs"/>
            <w:rtl/>
          </w:rPr>
          <w:t>נ</w:t>
        </w:r>
        <w:r w:rsidR="008F1590" w:rsidRPr="008F1590">
          <w:rPr>
            <w:rStyle w:val="Hyperlink"/>
            <w:rtl/>
          </w:rPr>
          <w:t xml:space="preserve">' </w:t>
        </w:r>
        <w:r w:rsidR="008F1590" w:rsidRPr="008F1590">
          <w:rPr>
            <w:rStyle w:val="Hyperlink"/>
            <w:rFonts w:hint="cs"/>
            <w:rtl/>
          </w:rPr>
          <w:t>מדינת</w:t>
        </w:r>
        <w:r w:rsidR="008F1590" w:rsidRPr="008F1590">
          <w:rPr>
            <w:rStyle w:val="Hyperlink"/>
            <w:rtl/>
          </w:rPr>
          <w:t xml:space="preserve"> </w:t>
        </w:r>
        <w:r w:rsidR="008F1590" w:rsidRPr="008F1590">
          <w:rPr>
            <w:rStyle w:val="Hyperlink"/>
            <w:rFonts w:hint="cs"/>
            <w:rtl/>
          </w:rPr>
          <w:t>ישראל</w:t>
        </w:r>
        <w:r w:rsidR="008F1590" w:rsidRPr="008F1590">
          <w:rPr>
            <w:rStyle w:val="Hyperlink"/>
            <w:rtl/>
          </w:rPr>
          <w:t xml:space="preserve">, </w:t>
        </w:r>
        <w:r w:rsidR="008F1590" w:rsidRPr="008F1590">
          <w:rPr>
            <w:rStyle w:val="Hyperlink"/>
            <w:rFonts w:hint="cs"/>
            <w:rtl/>
          </w:rPr>
          <w:t>פ</w:t>
        </w:r>
        <w:r w:rsidR="008F1590" w:rsidRPr="008F1590">
          <w:rPr>
            <w:rStyle w:val="Hyperlink"/>
            <w:rtl/>
          </w:rPr>
          <w:t>"</w:t>
        </w:r>
        <w:r w:rsidR="008F1590" w:rsidRPr="008F1590">
          <w:rPr>
            <w:rStyle w:val="Hyperlink"/>
            <w:rFonts w:hint="cs"/>
            <w:rtl/>
          </w:rPr>
          <w:t>ד</w:t>
        </w:r>
        <w:r w:rsidR="008F1590" w:rsidRPr="008F1590">
          <w:rPr>
            <w:rStyle w:val="Hyperlink"/>
            <w:rtl/>
          </w:rPr>
          <w:t xml:space="preserve"> </w:t>
        </w:r>
        <w:r w:rsidR="008F1590" w:rsidRPr="008F1590">
          <w:rPr>
            <w:rStyle w:val="Hyperlink"/>
            <w:rFonts w:hint="cs"/>
            <w:rtl/>
          </w:rPr>
          <w:t>מג</w:t>
        </w:r>
      </w:hyperlink>
      <w:r w:rsidRPr="00CD35F1">
        <w:rPr>
          <w:rFonts w:hint="cs"/>
          <w:rtl/>
        </w:rPr>
        <w:t xml:space="preserve">(4) 170, (1989); </w:t>
      </w:r>
      <w:r w:rsidRPr="00CD35F1">
        <w:rPr>
          <w:rFonts w:hint="cs"/>
          <w:u w:val="single"/>
          <w:rtl/>
        </w:rPr>
        <w:t>ו</w:t>
      </w:r>
      <w:hyperlink r:id="rId40" w:history="1">
        <w:r w:rsidR="008F1590" w:rsidRPr="008F1590">
          <w:rPr>
            <w:rStyle w:val="Hyperlink"/>
            <w:rFonts w:hint="cs"/>
            <w:rtl/>
          </w:rPr>
          <w:t>רע</w:t>
        </w:r>
        <w:r w:rsidR="008F1590" w:rsidRPr="008F1590">
          <w:rPr>
            <w:rStyle w:val="Hyperlink"/>
            <w:rtl/>
          </w:rPr>
          <w:t>"</w:t>
        </w:r>
        <w:r w:rsidR="008F1590" w:rsidRPr="008F1590">
          <w:rPr>
            <w:rStyle w:val="Hyperlink"/>
            <w:rFonts w:hint="cs"/>
            <w:rtl/>
          </w:rPr>
          <w:t>פ</w:t>
        </w:r>
        <w:r w:rsidR="008F1590" w:rsidRPr="008F1590">
          <w:rPr>
            <w:rStyle w:val="Hyperlink"/>
            <w:rtl/>
          </w:rPr>
          <w:t xml:space="preserve"> 3173/09</w:t>
        </w:r>
      </w:hyperlink>
      <w:r w:rsidRPr="00CD35F1">
        <w:rPr>
          <w:rFonts w:hint="cs"/>
          <w:rtl/>
        </w:rPr>
        <w:t xml:space="preserve"> </w:t>
      </w:r>
      <w:r w:rsidRPr="00CD35F1">
        <w:rPr>
          <w:rFonts w:hint="cs"/>
          <w:b/>
          <w:bCs/>
          <w:rtl/>
        </w:rPr>
        <w:t>פראגין נ' מדינת ישראל</w:t>
      </w:r>
      <w:r w:rsidRPr="00CD35F1">
        <w:rPr>
          <w:rFonts w:hint="cs"/>
          <w:rtl/>
        </w:rPr>
        <w:t xml:space="preserve">, (05.05.2009)). כך, </w:t>
      </w:r>
      <w:r w:rsidRPr="00CD35F1">
        <w:rPr>
          <w:rFonts w:hint="cs"/>
          <w:b/>
          <w:bCs/>
          <w:rtl/>
        </w:rPr>
        <w:t>"אין עסקינן בשיטת ניקוד, או באריתמטיקה. ענישה היא מלאכת מחשבת – ולא מלאכת מחשב"</w:t>
      </w:r>
      <w:r w:rsidRPr="00CD35F1">
        <w:rPr>
          <w:rFonts w:hint="cs"/>
          <w:rtl/>
        </w:rPr>
        <w:t xml:space="preserve"> (</w:t>
      </w:r>
      <w:hyperlink r:id="rId41" w:history="1">
        <w:r w:rsidR="008F1590" w:rsidRPr="008F1590">
          <w:rPr>
            <w:rStyle w:val="Hyperlink"/>
            <w:rFonts w:hint="cs"/>
            <w:rtl/>
          </w:rPr>
          <w:t>ע</w:t>
        </w:r>
        <w:r w:rsidR="008F1590" w:rsidRPr="008F1590">
          <w:rPr>
            <w:rStyle w:val="Hyperlink"/>
            <w:rtl/>
          </w:rPr>
          <w:t>"</w:t>
        </w:r>
        <w:r w:rsidR="008F1590" w:rsidRPr="008F1590">
          <w:rPr>
            <w:rStyle w:val="Hyperlink"/>
            <w:rFonts w:hint="cs"/>
            <w:rtl/>
          </w:rPr>
          <w:t>פ</w:t>
        </w:r>
        <w:r w:rsidR="008F1590" w:rsidRPr="008F1590">
          <w:rPr>
            <w:rStyle w:val="Hyperlink"/>
            <w:rtl/>
          </w:rPr>
          <w:t xml:space="preserve"> 5768/10</w:t>
        </w:r>
      </w:hyperlink>
      <w:r w:rsidRPr="00CD35F1">
        <w:rPr>
          <w:rFonts w:hint="cs"/>
          <w:rtl/>
        </w:rPr>
        <w:t xml:space="preserve"> </w:t>
      </w:r>
      <w:r w:rsidRPr="00CD35F1">
        <w:rPr>
          <w:rFonts w:hint="cs"/>
          <w:b/>
          <w:bCs/>
          <w:rtl/>
        </w:rPr>
        <w:t>פלוני נ' מדינת ישראל</w:t>
      </w:r>
      <w:r w:rsidRPr="00CD35F1">
        <w:rPr>
          <w:rFonts w:hint="cs"/>
          <w:rtl/>
        </w:rPr>
        <w:t>, (08.06.2015)). כך למשל, ברי כי לא יהיה דומה מתחם העונש בעניינו של אדם שגידל שתיל קנבוס בודד למתחם שייקבע מקום בו דובר במי שגידל עשרות שתילי קנבוס, במשקל הנמדד בקילוגרמים; ואין דין המפריע לשוטר באופן בו הוא מסרב להזדהות כדין מי שמנסה להימלט ממעצר. בדומה, ובכל הנוגע לעונשים המושתים בכל מקרה ומקרה, הרי שאך נהיר שעונשו של נאשם בעל עבר פלילי מכביד, אשר אינו מקבל אחריות על מעשיו ונעדר כל אופק שיקומי, יהיה מחמיר מעונשו של נאשם נעדר עבר פלילי, אשר הודה בביצוע העבירות, הביע חרטה והשתתף בהליכים טיפוליים.</w:t>
      </w:r>
    </w:p>
    <w:p w14:paraId="4F784208" w14:textId="77777777" w:rsidR="00D968FB" w:rsidRPr="00CD35F1" w:rsidRDefault="00D968FB" w:rsidP="00D968FB">
      <w:pPr>
        <w:pStyle w:val="ListParagraph"/>
        <w:ind w:left="-58" w:firstLine="0"/>
      </w:pPr>
      <w:r w:rsidRPr="00CD35F1">
        <w:rPr>
          <w:rFonts w:hint="cs"/>
          <w:rtl/>
        </w:rPr>
        <w:t xml:space="preserve">כך או כך, וזאת ראוי להזכיר, השיקול של "מדיניות הענישה" הינו אך שיקול אחד מבין מכלול השיקולים אותם ישקול בית המשפט בטרם קביעת מתחם העונש ההולם וגזירת הדין (ראו בעניין זה </w:t>
      </w:r>
      <w:hyperlink r:id="rId42" w:history="1">
        <w:r w:rsidR="008F1590" w:rsidRPr="008F1590">
          <w:rPr>
            <w:rStyle w:val="Hyperlink"/>
            <w:rFonts w:hint="cs"/>
            <w:rtl/>
          </w:rPr>
          <w:t>ע</w:t>
        </w:r>
        <w:r w:rsidR="008F1590" w:rsidRPr="008F1590">
          <w:rPr>
            <w:rStyle w:val="Hyperlink"/>
            <w:rtl/>
          </w:rPr>
          <w:t>"</w:t>
        </w:r>
        <w:r w:rsidR="008F1590" w:rsidRPr="008F1590">
          <w:rPr>
            <w:rStyle w:val="Hyperlink"/>
            <w:rFonts w:hint="cs"/>
            <w:rtl/>
          </w:rPr>
          <w:t>פ</w:t>
        </w:r>
        <w:r w:rsidR="008F1590" w:rsidRPr="008F1590">
          <w:rPr>
            <w:rStyle w:val="Hyperlink"/>
            <w:rtl/>
          </w:rPr>
          <w:t xml:space="preserve"> 3877/16</w:t>
        </w:r>
      </w:hyperlink>
      <w:r w:rsidRPr="00CD35F1">
        <w:rPr>
          <w:rFonts w:hint="cs"/>
          <w:rtl/>
        </w:rPr>
        <w:t xml:space="preserve"> </w:t>
      </w:r>
      <w:r w:rsidRPr="00CD35F1">
        <w:rPr>
          <w:rFonts w:hint="cs"/>
          <w:b/>
          <w:bCs/>
          <w:rtl/>
        </w:rPr>
        <w:t>פאדי ג'באלי נ' מדינת ישראל</w:t>
      </w:r>
      <w:r w:rsidRPr="00CD35F1">
        <w:rPr>
          <w:rFonts w:hint="cs"/>
          <w:rtl/>
        </w:rPr>
        <w:t xml:space="preserve">, (17.11.2016); </w:t>
      </w:r>
      <w:r w:rsidRPr="00CD35F1">
        <w:rPr>
          <w:rFonts w:hint="cs"/>
          <w:u w:val="single"/>
          <w:rtl/>
        </w:rPr>
        <w:t>ו</w:t>
      </w:r>
      <w:hyperlink r:id="rId43" w:history="1">
        <w:r w:rsidR="008F1590" w:rsidRPr="008F1590">
          <w:rPr>
            <w:rStyle w:val="Hyperlink"/>
            <w:rFonts w:hint="cs"/>
            <w:rtl/>
          </w:rPr>
          <w:t>ע</w:t>
        </w:r>
        <w:r w:rsidR="008F1590" w:rsidRPr="008F1590">
          <w:rPr>
            <w:rStyle w:val="Hyperlink"/>
            <w:rtl/>
          </w:rPr>
          <w:t>"</w:t>
        </w:r>
        <w:r w:rsidR="008F1590" w:rsidRPr="008F1590">
          <w:rPr>
            <w:rStyle w:val="Hyperlink"/>
            <w:rFonts w:hint="cs"/>
            <w:rtl/>
          </w:rPr>
          <w:t>פ</w:t>
        </w:r>
        <w:r w:rsidR="008F1590" w:rsidRPr="008F1590">
          <w:rPr>
            <w:rStyle w:val="Hyperlink"/>
            <w:rtl/>
          </w:rPr>
          <w:t xml:space="preserve"> 1903/13</w:t>
        </w:r>
      </w:hyperlink>
      <w:r w:rsidRPr="00CD35F1">
        <w:rPr>
          <w:rFonts w:hint="cs"/>
          <w:rtl/>
        </w:rPr>
        <w:t xml:space="preserve"> </w:t>
      </w:r>
      <w:r w:rsidRPr="00CD35F1">
        <w:rPr>
          <w:rFonts w:hint="cs"/>
          <w:b/>
          <w:bCs/>
          <w:rtl/>
        </w:rPr>
        <w:t>חמודה עיאשה נ' מדינת ישראל</w:t>
      </w:r>
      <w:r w:rsidRPr="00CD35F1">
        <w:rPr>
          <w:rFonts w:hint="cs"/>
          <w:rtl/>
        </w:rPr>
        <w:t>, (25.06.2013)).</w:t>
      </w:r>
    </w:p>
    <w:p w14:paraId="538A1342" w14:textId="77777777" w:rsidR="00D968FB" w:rsidRPr="00CD35F1" w:rsidRDefault="00D968FB" w:rsidP="00D968FB">
      <w:pPr>
        <w:pStyle w:val="ListParagraph"/>
        <w:numPr>
          <w:ilvl w:val="0"/>
          <w:numId w:val="2"/>
        </w:numPr>
        <w:ind w:left="-58"/>
        <w:rPr>
          <w:b/>
          <w:bCs/>
          <w:rtl/>
        </w:rPr>
      </w:pPr>
      <w:r w:rsidRPr="00CD35F1">
        <w:rPr>
          <w:rFonts w:hint="cs"/>
          <w:rtl/>
        </w:rPr>
        <w:t>כלל של דברים, בשים לב לעיקרון המנחה בענישה, לערכים המוגנים שנפגעו ולמידת הפגיעה בהם, למדיניות הענישה הנוהגת ולנסיבות הקשורות בביצוע העבירה, ובייחוד לאחר שנתתי דעתי לכמות השתילים ולמשקלו של הסם שהנאשם גידל; לציוד הרב ששימוש אותו לצורך הגידול; ואופייה של עבירת ההפרעה לשוטר, הריני קובעת מתחמי ענישה כדלקמן:</w:t>
      </w:r>
    </w:p>
    <w:p w14:paraId="7311A975" w14:textId="77777777" w:rsidR="00D968FB" w:rsidRPr="00CD35F1" w:rsidRDefault="00D968FB" w:rsidP="00D968FB">
      <w:pPr>
        <w:pStyle w:val="ListParagraph"/>
        <w:ind w:left="-58" w:firstLine="0"/>
      </w:pPr>
      <w:r w:rsidRPr="00CD35F1">
        <w:rPr>
          <w:rFonts w:hint="cs"/>
          <w:b/>
          <w:bCs/>
          <w:rtl/>
        </w:rPr>
        <w:t>בתיק</w:t>
      </w:r>
      <w:r w:rsidRPr="00CD35F1">
        <w:rPr>
          <w:rFonts w:hint="cs"/>
          <w:rtl/>
        </w:rPr>
        <w:t xml:space="preserve"> </w:t>
      </w:r>
      <w:r w:rsidRPr="00CD35F1">
        <w:rPr>
          <w:rFonts w:hint="cs"/>
          <w:b/>
          <w:bCs/>
          <w:rtl/>
        </w:rPr>
        <w:t>הגידול</w:t>
      </w:r>
      <w:r w:rsidRPr="00CD35F1">
        <w:rPr>
          <w:rFonts w:hint="cs"/>
          <w:rtl/>
        </w:rPr>
        <w:t xml:space="preserve">, מצאתי לאמץ את המתחם לו עתרה המאשימה, ועל כן הוא ינוע </w:t>
      </w:r>
      <w:r w:rsidRPr="00CD35F1">
        <w:rPr>
          <w:rFonts w:hint="cs"/>
          <w:b/>
          <w:bCs/>
          <w:rtl/>
        </w:rPr>
        <w:t>בין 8 ל- 24 חודשי מאסר בפועל</w:t>
      </w:r>
      <w:r w:rsidRPr="00CD35F1">
        <w:rPr>
          <w:rFonts w:hint="cs"/>
          <w:rtl/>
        </w:rPr>
        <w:t>.</w:t>
      </w:r>
    </w:p>
    <w:p w14:paraId="079EEF95" w14:textId="77777777" w:rsidR="00D968FB" w:rsidRPr="00CD35F1" w:rsidRDefault="00D968FB" w:rsidP="00D968FB">
      <w:pPr>
        <w:pStyle w:val="ListParagraph"/>
        <w:ind w:left="-58" w:firstLine="0"/>
        <w:rPr>
          <w:rtl/>
        </w:rPr>
      </w:pPr>
      <w:r w:rsidRPr="00CD35F1">
        <w:rPr>
          <w:rFonts w:hint="cs"/>
          <w:b/>
          <w:bCs/>
          <w:rtl/>
        </w:rPr>
        <w:t>בתיק</w:t>
      </w:r>
      <w:r w:rsidRPr="00CD35F1">
        <w:rPr>
          <w:rFonts w:hint="cs"/>
          <w:rtl/>
        </w:rPr>
        <w:t xml:space="preserve"> </w:t>
      </w:r>
      <w:r w:rsidRPr="00CD35F1">
        <w:rPr>
          <w:rFonts w:hint="cs"/>
          <w:b/>
          <w:bCs/>
          <w:rtl/>
        </w:rPr>
        <w:t>ההפרעה</w:t>
      </w:r>
      <w:r w:rsidRPr="00CD35F1">
        <w:rPr>
          <w:rFonts w:hint="cs"/>
          <w:rtl/>
        </w:rPr>
        <w:t xml:space="preserve">, ומבלי להתעלם מהעונש המזערי הקבוע בצד עבירה זו, ינוע מתחם העונש ההולם </w:t>
      </w:r>
      <w:r w:rsidRPr="00CD35F1">
        <w:rPr>
          <w:rFonts w:hint="cs"/>
          <w:b/>
          <w:bCs/>
          <w:rtl/>
        </w:rPr>
        <w:t>בין מאסר מותנה לבין 8 חודשי מאסר בפועל</w:t>
      </w:r>
      <w:r w:rsidRPr="00CD35F1">
        <w:rPr>
          <w:rFonts w:hint="cs"/>
          <w:rtl/>
        </w:rPr>
        <w:t>.</w:t>
      </w:r>
    </w:p>
    <w:p w14:paraId="7759E731" w14:textId="77777777" w:rsidR="00D968FB" w:rsidRPr="00020E11" w:rsidRDefault="00D968FB" w:rsidP="00D968FB">
      <w:pPr>
        <w:pStyle w:val="1"/>
        <w:numPr>
          <w:ilvl w:val="0"/>
          <w:numId w:val="1"/>
        </w:numPr>
        <w:spacing w:line="360" w:lineRule="auto"/>
        <w:ind w:left="360"/>
        <w:jc w:val="both"/>
        <w:rPr>
          <w:rFonts w:cs="David"/>
          <w:b/>
          <w:bCs/>
          <w:color w:val="auto"/>
          <w:rtl/>
        </w:rPr>
      </w:pPr>
      <w:r w:rsidRPr="00020E11">
        <w:rPr>
          <w:rFonts w:cs="David" w:hint="cs"/>
          <w:b/>
          <w:bCs/>
          <w:color w:val="auto"/>
          <w:rtl/>
        </w:rPr>
        <w:t>גזירת העונש המתאים לנאשם</w:t>
      </w:r>
    </w:p>
    <w:p w14:paraId="4F072841" w14:textId="77777777" w:rsidR="00D968FB" w:rsidRPr="00CD35F1" w:rsidRDefault="00D968FB" w:rsidP="00D968FB">
      <w:pPr>
        <w:pStyle w:val="ListParagraph"/>
        <w:numPr>
          <w:ilvl w:val="0"/>
          <w:numId w:val="2"/>
        </w:numPr>
        <w:ind w:left="-58"/>
        <w:rPr>
          <w:rtl/>
        </w:rPr>
      </w:pPr>
      <w:r w:rsidRPr="00CD35F1">
        <w:rPr>
          <w:rFonts w:hint="cs"/>
          <w:rtl/>
        </w:rPr>
        <w:t xml:space="preserve">כאמור </w:t>
      </w:r>
      <w:hyperlink r:id="rId44" w:history="1">
        <w:r w:rsidR="002874B8" w:rsidRPr="002874B8">
          <w:rPr>
            <w:rFonts w:hint="cs"/>
            <w:color w:val="0000FF"/>
            <w:u w:val="single"/>
            <w:rtl/>
          </w:rPr>
          <w:t>בסעיף</w:t>
        </w:r>
        <w:r w:rsidR="002874B8" w:rsidRPr="002874B8">
          <w:rPr>
            <w:color w:val="0000FF"/>
            <w:u w:val="single"/>
            <w:rtl/>
          </w:rPr>
          <w:t xml:space="preserve"> 40</w:t>
        </w:r>
        <w:r w:rsidR="002874B8" w:rsidRPr="002874B8">
          <w:rPr>
            <w:rFonts w:hint="cs"/>
            <w:color w:val="0000FF"/>
            <w:u w:val="single"/>
            <w:rtl/>
          </w:rPr>
          <w:t>ג</w:t>
        </w:r>
        <w:r w:rsidR="002874B8" w:rsidRPr="002874B8">
          <w:rPr>
            <w:color w:val="0000FF"/>
            <w:u w:val="single"/>
            <w:rtl/>
          </w:rPr>
          <w:t>(</w:t>
        </w:r>
        <w:r w:rsidR="002874B8" w:rsidRPr="002874B8">
          <w:rPr>
            <w:rFonts w:hint="cs"/>
            <w:color w:val="0000FF"/>
            <w:u w:val="single"/>
            <w:rtl/>
          </w:rPr>
          <w:t>ב</w:t>
        </w:r>
        <w:r w:rsidR="002874B8" w:rsidRPr="002874B8">
          <w:rPr>
            <w:color w:val="0000FF"/>
            <w:u w:val="single"/>
            <w:rtl/>
          </w:rPr>
          <w:t>)</w:t>
        </w:r>
      </w:hyperlink>
      <w:r w:rsidRPr="00CD35F1">
        <w:rPr>
          <w:rFonts w:hint="cs"/>
          <w:rtl/>
        </w:rPr>
        <w:t xml:space="preserve"> ל</w:t>
      </w:r>
      <w:hyperlink r:id="rId45" w:history="1">
        <w:r w:rsidR="008F1590" w:rsidRPr="008F1590">
          <w:rPr>
            <w:rStyle w:val="Hyperlink"/>
            <w:rFonts w:hint="cs"/>
            <w:rtl/>
          </w:rPr>
          <w:t>חוק</w:t>
        </w:r>
        <w:r w:rsidR="008F1590" w:rsidRPr="008F1590">
          <w:rPr>
            <w:rStyle w:val="Hyperlink"/>
            <w:rtl/>
          </w:rPr>
          <w:t xml:space="preserve"> </w:t>
        </w:r>
        <w:r w:rsidR="008F1590" w:rsidRPr="008F1590">
          <w:rPr>
            <w:rStyle w:val="Hyperlink"/>
            <w:rFonts w:hint="cs"/>
            <w:rtl/>
          </w:rPr>
          <w:t>העונשין</w:t>
        </w:r>
      </w:hyperlink>
      <w:r w:rsidRPr="00CD35F1">
        <w:rPr>
          <w:rFonts w:hint="cs"/>
          <w:rtl/>
        </w:rPr>
        <w:t>, עובר לגזירת העונש המתאים לנאשם, בית המשפט ישקול את הנסיבות שאינן קשורות בביצוע העבירות.</w:t>
      </w:r>
    </w:p>
    <w:p w14:paraId="60A01D5A" w14:textId="77777777" w:rsidR="00D968FB" w:rsidRPr="00CD35F1" w:rsidRDefault="00D968FB" w:rsidP="00D968FB">
      <w:pPr>
        <w:pStyle w:val="ListParagraph"/>
        <w:numPr>
          <w:ilvl w:val="0"/>
          <w:numId w:val="2"/>
        </w:numPr>
        <w:ind w:left="-58"/>
      </w:pPr>
      <w:r w:rsidRPr="00CD35F1">
        <w:rPr>
          <w:rFonts w:hint="cs"/>
          <w:rtl/>
        </w:rPr>
        <w:t xml:space="preserve">בעניין זה, נתתי דעתי לעברו הפלילי הנקי של הנאשם ולעובדה שמאז מעשיו בשני התיקים, הוא לא הסתבך עוד בפלילים. כן נתתי דעתי לפגיעה שעלולה להיגרם לו אם יושת עליו עונש מאסר, וזאת בשים לב לכך שהלה טרם ריצה עונשי מאסר בעברו. כן בית המשפט זוקף לזכותו של הנאשם את העובדה שהוא הודה במיוחס לו, מה שהביא לחיסכון בזמן שיפוטי יקר. אם כי, כאן מצאתי להעיר שבית המשפט אינו מתעלם מהעובדה שהנאשם קיבל אחריות חלקית בלבד על מעשיו בתיק ההפרעה, והדברים באים לידי ביטוי בדבריו בשירות המבחן, שם הודה בכך שמסר את פרטי אחיו בצורה מילולית, אך הכחיש שהציג רישיון נהיגה עם פרטים אלו. מה גם, שלהתרשמותו של בית המשפט באופן בלתי אמצעי מדבריו של הנאשם בשלב הטיעונים לעונש, נדמה כי הלה הביע חרטה שאיננה כנה ושנובעת אך מתוך רצון לזכות בהקלה בעונש. עוד במסגרת זו, בית המשפט נותן דעתו לפרק הזמן שחלף מעת ביצוע העבירות, ואולם גם משקלו של שיקול זה מתקהה במידה רבה. שכן לנאשם עצמו – אשר ביקש פעם אחר פעם לדחות את הדיון בעניינו ולהפנותו שוב לשירות המבחן – חלק ניכר בהתמשכותם של ההליכים. עוד יצוין, כי בין העבירות שביצע הנאשם בשני התיקים מפריד פרק זמן של כמה חודשים, כך שעל אף עברו הפלילי הנקי, לא ניתן לומר שהלה מעד באופן חד פעמי בלבד. </w:t>
      </w:r>
    </w:p>
    <w:p w14:paraId="7992FA6E" w14:textId="77777777" w:rsidR="00D968FB" w:rsidRPr="00CD35F1" w:rsidRDefault="00D968FB" w:rsidP="00D968FB">
      <w:pPr>
        <w:pStyle w:val="ListParagraph"/>
        <w:ind w:left="-58" w:firstLine="0"/>
      </w:pPr>
      <w:r w:rsidRPr="00CD35F1">
        <w:rPr>
          <w:rFonts w:hint="cs"/>
          <w:rtl/>
        </w:rPr>
        <w:t xml:space="preserve">בנוסף, בית המשפט שוקל את העובדה שהנאשם היה עצור מאחורי סורג ובריח למשך כמה ימים ולאחר מכן, במשך פרק זמן לא מבוטל, שהה תחת תנאים מגבילים. ברי כי המעצר או הליך המעצר איננו "מקדמה על חשבון העונש", אולם מצאתי ליתן לכך משקל במסגרת </w:t>
      </w:r>
      <w:hyperlink r:id="rId46" w:history="1">
        <w:r w:rsidR="002874B8" w:rsidRPr="002874B8">
          <w:rPr>
            <w:rFonts w:hint="cs"/>
            <w:color w:val="0000FF"/>
            <w:u w:val="single"/>
            <w:rtl/>
          </w:rPr>
          <w:t>סעיף</w:t>
        </w:r>
        <w:r w:rsidR="002874B8" w:rsidRPr="002874B8">
          <w:rPr>
            <w:color w:val="0000FF"/>
            <w:u w:val="single"/>
            <w:rtl/>
          </w:rPr>
          <w:t xml:space="preserve"> 40</w:t>
        </w:r>
        <w:r w:rsidR="002874B8" w:rsidRPr="002874B8">
          <w:rPr>
            <w:rFonts w:hint="cs"/>
            <w:color w:val="0000FF"/>
            <w:u w:val="single"/>
            <w:rtl/>
          </w:rPr>
          <w:t>יא</w:t>
        </w:r>
        <w:r w:rsidR="002874B8" w:rsidRPr="002874B8">
          <w:rPr>
            <w:color w:val="0000FF"/>
            <w:u w:val="single"/>
            <w:rtl/>
          </w:rPr>
          <w:t>(3)</w:t>
        </w:r>
      </w:hyperlink>
      <w:r w:rsidRPr="00CD35F1">
        <w:rPr>
          <w:rFonts w:hint="cs"/>
          <w:rtl/>
        </w:rPr>
        <w:t xml:space="preserve"> ל</w:t>
      </w:r>
      <w:hyperlink r:id="rId47" w:history="1">
        <w:r w:rsidR="008F1590" w:rsidRPr="008F1590">
          <w:rPr>
            <w:rStyle w:val="Hyperlink"/>
            <w:rFonts w:hint="cs"/>
            <w:rtl/>
          </w:rPr>
          <w:t>חוק</w:t>
        </w:r>
        <w:r w:rsidR="008F1590" w:rsidRPr="008F1590">
          <w:rPr>
            <w:rStyle w:val="Hyperlink"/>
            <w:rtl/>
          </w:rPr>
          <w:t xml:space="preserve"> </w:t>
        </w:r>
        <w:r w:rsidR="008F1590" w:rsidRPr="008F1590">
          <w:rPr>
            <w:rStyle w:val="Hyperlink"/>
            <w:rFonts w:hint="cs"/>
            <w:rtl/>
          </w:rPr>
          <w:t>העונשין</w:t>
        </w:r>
      </w:hyperlink>
      <w:r w:rsidRPr="00CD35F1">
        <w:rPr>
          <w:rFonts w:hint="cs"/>
          <w:rtl/>
        </w:rPr>
        <w:t>. כך גם, ועל אף שהדברים לא הוכחו כדבעי, בית המשפט בכל זאת מוצא ליתן משקל לנסיבות חייו של הנאשם, אשר על פי הטענה התדרדר בפן הכלכלי תוך זמן קצר מאיגרא רמא לבירא עמיקתא, וכאשר נראה שהיו לנסיבות אלו השפעה על ביצוע העבירות.</w:t>
      </w:r>
    </w:p>
    <w:p w14:paraId="169E4E04" w14:textId="77777777" w:rsidR="00D968FB" w:rsidRPr="00CD35F1" w:rsidRDefault="00D968FB" w:rsidP="00D968FB">
      <w:pPr>
        <w:pStyle w:val="ListParagraph"/>
        <w:numPr>
          <w:ilvl w:val="0"/>
          <w:numId w:val="2"/>
        </w:numPr>
        <w:ind w:left="-58"/>
      </w:pPr>
      <w:r w:rsidRPr="00CD35F1">
        <w:rPr>
          <w:rFonts w:hint="cs"/>
          <w:rtl/>
        </w:rPr>
        <w:t>על אף שחלק מהנסיבות שנסקרו לעיל צריכות להיזקף לחובתו של הנאשם, ובשים לב בייחוד לעברו הפלילי הנקי והעובדה שמאז ביצוע העבירות שבגינן הוא נותן את הדין היום הוא לא הסתבך עוד בפלילים, נדמה שניתן בזו הפעם ללכת לקראתו ולהשית עליו עונש המצוי ברף התחתון של מתחמי הענישה שנקבעו על ידי לעיל.</w:t>
      </w:r>
    </w:p>
    <w:p w14:paraId="5223B343" w14:textId="77777777" w:rsidR="00D968FB" w:rsidRPr="00CD35F1" w:rsidRDefault="00D968FB" w:rsidP="00D968FB">
      <w:pPr>
        <w:pStyle w:val="ListParagraph"/>
        <w:numPr>
          <w:ilvl w:val="0"/>
          <w:numId w:val="2"/>
        </w:numPr>
        <w:ind w:left="-58"/>
      </w:pPr>
      <w:r w:rsidRPr="00CD35F1">
        <w:rPr>
          <w:rFonts w:hint="cs"/>
          <w:rtl/>
        </w:rPr>
        <w:t>ויוער, לא מצאתי שבעניינו של הנאשם מתקיימים שיקולי שיקום כבדי משקל שיהיה בהם כדי להצדיק סטייה לקולא ממתחמי הענישה. כך, והגם שכאמור הנאשם לא ביצע עבירות נוספות מאז הסתבכויותיו האחרונות, ולמרות טענותיו לפיהן השתקם באמצעות עיסוקו בבישול, עיסוק שבזכותו הפך לדמות מוכרת ברשתות החברתיות ואף התקבל לתכנית ריאליטי (וראו גזיר העיתון שהוגש לעיוני מטעם ההגנה) – עדיין לא ניתן להתעלם מכך שהוא בחר לדחות את היד שהושטה לו מאת שירות המבחן, ולא נותר לבית המשפט בעניין זה אלא להפנות לתסקיר האחרון (מיום 29.08.2017). שם, שירות המבחן מסר כי משהגיע הנאשם לסדנת הכנה והתאמה לטיפול, הוא התקשה לשמור על גבולות הקבוצה ולעמוד בכלליה; התקשה לשתף באופן פתוח בחייו ולקבל משוב מהאחר; לעיתים הגיב בתוקפנות והתקשה לראות זאת;</w:t>
      </w:r>
      <w:r>
        <w:rPr>
          <w:rFonts w:hint="cs"/>
          <w:rtl/>
        </w:rPr>
        <w:t xml:space="preserve"> </w:t>
      </w:r>
      <w:r w:rsidRPr="00CD35F1">
        <w:rPr>
          <w:rFonts w:hint="cs"/>
          <w:rtl/>
        </w:rPr>
        <w:t>לעיתים עלתה מצדו תחושת זלזול בהליך זה; והתקשה לשתף במניעיו הפנימיים לביצוע העבירה [ככל הנראה הכוונה היא לעבירת הגידול] וצמצם התייחסותו לגביה. לאור אלה, התרשם שירות המבחן שהנאשם מתנגד לבחון חלקיו המכשילים; מטיל אחריות על מצבו ושיקומו על גורמים חיצוניים; ומתקשה לערוך בחינה פנימית ולהיעזר בהליך טיפולי לצורך שינוי דפוסיו. אם לא די באלה, שירות המבחן אף התרשם שהנאשם עושה שימוש במניפולציות; מסתיר את מניעיו לביצוע העבירות; מפגין כוחניות ברגעים בהם חווה איום; ולמרות הצהרותיו המילוליות, אינו מביע רצון או אמון בכך שהוא זקוק להליך טיפולי. על כן, העריך שירות המבחן שהנאשם אינו מצוי כיום בשלב בו הוא חושב שיש לו צורך או יכולת להיעזר בהליך טיפולי לשם עריכת שינוי בחייו.</w:t>
      </w:r>
    </w:p>
    <w:p w14:paraId="3EA0F9F1" w14:textId="77777777" w:rsidR="00D968FB" w:rsidRPr="00CD35F1" w:rsidRDefault="00D968FB" w:rsidP="00D968FB">
      <w:pPr>
        <w:pStyle w:val="ListParagraph"/>
        <w:ind w:left="-58" w:firstLine="0"/>
      </w:pPr>
      <w:r w:rsidRPr="00CD35F1">
        <w:rPr>
          <w:rFonts w:hint="cs"/>
          <w:rtl/>
        </w:rPr>
        <w:t xml:space="preserve">כאן אף יצוין, כי לאורך כל הקשר עם שירות המבחן הנאשם נדרש למסור בדיקות שתן לגילוי שרידי סם. ואכן, הנאשם הגיע לחלק ניכר מהבדיקות, ואלו נמצאו נקיות משרידי סם. דא עקא, הנאשם לא ערך חלק מהבדיקות, לעיתים ללא סיבה מספקת ולעיתים מטעמים שלטענתו הם מוצדקים. כך למשל, באשר לבדיקה האחרונה, הלה מסר כי בעקבות הליך רפואי שעבר הוא אינו יכול ליתן שתן, ולדבריו הוא ביקש מהשירות שתיערך לו בדיקת דם חלף מכך (לא מיותר לציין, כי טענה בדבר אותו הליך רפואי לא גובתה בכל ראיה שהיא). בכל מקרה, אף אם אצא מנקודת הנחה שהנאשם אכן הפסיק להשתמש בסמים, מי לידינו יתקע שבהיעדר הליך טיפולי משמעותי, הנאשם לא ישוב לבצע עבירות אם חלילה שוב יורע מצבו הכלכלי? כך גם, אף אם הנאשם אכן חדל מלהשתמש בסמים, בכל זאת לא ניתן להתעלם מהתרשמויותיו שלעיל של שירות המבחן ומחוסר היענותו של הנאשם לשתף פעולה עם השירות ולהירתם כנדרש להליך טיפולי. עוד יצוין, כי גם לא אוכל לקבל את טענות ההגנה, לפיהן תסקירי שירות המבחן אינם עולים עם רוח והלך הדברים בפגישות שערך הנאשם פנים אל פנים עם קציני השירות. שכן, נדמה כי תסקירי שירות המבחן, כמו גם התרשמויותיו והערכותיו של השירות, נהירים וחד משמעיים הם. </w:t>
      </w:r>
    </w:p>
    <w:p w14:paraId="40A15BE8" w14:textId="77777777" w:rsidR="00D968FB" w:rsidRPr="00CD35F1" w:rsidRDefault="00D968FB" w:rsidP="00D968FB">
      <w:pPr>
        <w:pStyle w:val="ListParagraph"/>
        <w:ind w:left="-58" w:firstLine="0"/>
        <w:rPr>
          <w:rtl/>
        </w:rPr>
      </w:pPr>
      <w:r w:rsidRPr="00CD35F1">
        <w:rPr>
          <w:rFonts w:hint="cs"/>
          <w:rtl/>
        </w:rPr>
        <w:t>זאת ועוד, בית המשפט אינו מתעלם מכך שחל שינוי מסוים בעמדתו של שירות המבחן, ולא בכדי בא כוח הנאשם הפנה לתסקיר מאפריל 2017, שם הומלץ להשית על הנאשם ענישה בדמות צו של"צ, צו מבחן, קנס ומאסר מותנה. הגם שכך, ברי כי התסקיר האחרון הוא שרלוונטי בענייננו, ושם כזכור, הומלץ להשית על הנאשם ענישה מוחשית ומרתיעה. מה גם, שדווקא תסקיר אחרון זה, הוא שמבטא בצורה מהימנה יותר את התרשמויותיו של שירות המבחן מהנאשם לאורך כל תקופת הקשר בינם, והוא שמייצג בצורה נכונה יותר את התמונה בכללותה.</w:t>
      </w:r>
    </w:p>
    <w:p w14:paraId="094FA675" w14:textId="77777777" w:rsidR="00D968FB" w:rsidRPr="00CD35F1" w:rsidRDefault="00D968FB" w:rsidP="00D968FB">
      <w:pPr>
        <w:pStyle w:val="ListParagraph"/>
        <w:ind w:left="-58" w:firstLine="0"/>
        <w:rPr>
          <w:rtl/>
        </w:rPr>
      </w:pPr>
      <w:r w:rsidRPr="00CD35F1">
        <w:rPr>
          <w:rFonts w:hint="cs"/>
          <w:rtl/>
        </w:rPr>
        <w:t xml:space="preserve">ודוק, בנקודה זו חשוב להדגיש כי בכל אלה לא יהיה כדי להביא להחמרה בעונשו של הנאשם – שכן כאמור, בית המשפט יגזור את עונשו ברף התחתון של מתחמי הענישה – אלא שבהינתן התנהלותו זו אל מול שירות המבחן, לא מצאתי כי מתקיימים בעניינו אותם שיקולי שיקום כבדי משקל שיהיה בהם כדי להביא לידי כך שעונשו ייגזר תוך סטייה לקולא מהמתחמים שקבעתי. </w:t>
      </w:r>
    </w:p>
    <w:p w14:paraId="4FB17B71" w14:textId="77777777" w:rsidR="00D968FB" w:rsidRPr="00CD35F1" w:rsidRDefault="00D968FB" w:rsidP="00D968FB">
      <w:pPr>
        <w:pStyle w:val="ListParagraph"/>
        <w:numPr>
          <w:ilvl w:val="0"/>
          <w:numId w:val="2"/>
        </w:numPr>
        <w:ind w:left="-58"/>
        <w:rPr>
          <w:rtl/>
        </w:rPr>
      </w:pPr>
      <w:r w:rsidRPr="00CD35F1">
        <w:rPr>
          <w:rFonts w:hint="cs"/>
          <w:rtl/>
        </w:rPr>
        <w:t xml:space="preserve">כאן אף מצאתי להתייחס לבקשתו הנוספת של הנאשם להפנותו שוב לשירות המבחן, שנדחתה על ידי עובר להשמעת הטיעונים לעונש. בעניין זה אציין, כי בקשה זו נדחתה בשים לב להתנהלותו של הנאשם לאורכו של ההליך, עת פעם אחר פעם בית המשפט נעתר לבקשותיו והורה על קבלת תסקיר משלים, ואילו הוא לא השכיל לנצל את ההזדמנויות שניתנו לו. כך למשל, בתסקיר מספטמבר 2016, צוין כי הנאשם מתקשה להכיר במאפייניו הבעייתיים, נוקט בעמדה מטשטשת ובעל נטייה לגישה קורבנית ביחס לחייו. התרשמויות דומות הובאו גם בתסקיר מדצמבר 2016. בשים לב לאלה, ביקשה ההגנה להפנות את הנאשם פעם נוספת לשירות המבחן, ועל אף התנגדות המאשימה, בית המשפט נעתר לבקשה. אולם, גם בתסקיר השלישי, מינואר 2017, צוין בין היתר, כי הנאשם מתקשה להתייחס למאפייניו הבעייתיים והשירות העריך שיקשה לשלבו בהליך טיפולי. בדיון שהתקיים לאחר מכן, ההגנה שבה וביקשה להפנות את הנאשם לשירות המבחן, תוך שטענה כי תוכן התסקיר אינו הולם את הפגישה שנערכה בין הנאשם לבין קצין המבחן. ושוב, בית המשפט נעתר לבקשה. דא עקא, ולמרות המוטיבציה שהביע והגם שהדיון בעניינו נדחה פעם נוספת לצורך קבלת תסקיר נוסף, לבסוף הוגש התסקיר האחרון, השישי במספר, ואשר כאמור נשא אופי שלילי ובסופו הומלץ להשית על הנאשם ענישה מוחשית. </w:t>
      </w:r>
    </w:p>
    <w:p w14:paraId="66D98CF1" w14:textId="77777777" w:rsidR="00D968FB" w:rsidRPr="00CD35F1" w:rsidRDefault="00D968FB" w:rsidP="00D968FB">
      <w:pPr>
        <w:pStyle w:val="ListParagraph"/>
        <w:ind w:left="-58" w:firstLine="0"/>
      </w:pPr>
      <w:r w:rsidRPr="00CD35F1">
        <w:rPr>
          <w:rFonts w:hint="cs"/>
          <w:rtl/>
        </w:rPr>
        <w:t xml:space="preserve">בהינתן אלה, ולנוכח הדברים הנוקבים של שירות המבחן בתסקיר האחרון, בית המשפט הגיע בסופו של יום למסקנה לפיה הנאשם אינו מגלה רצון כן ואמתי להירתם להליך טיפולי וכי אין ממש מאחורי בקשותיו להפנותו פעם נוספת לשירות המבחן, באשר אלו לא נועדו אלא לסרבל ולהאריך את ההליכים. </w:t>
      </w:r>
    </w:p>
    <w:p w14:paraId="4300F329" w14:textId="77777777" w:rsidR="00D968FB" w:rsidRPr="00CD35F1" w:rsidRDefault="00D968FB" w:rsidP="00D968FB">
      <w:pPr>
        <w:pStyle w:val="ListParagraph"/>
        <w:ind w:left="-58" w:firstLine="0"/>
      </w:pPr>
      <w:r w:rsidRPr="00CD35F1">
        <w:rPr>
          <w:rFonts w:hint="cs"/>
          <w:rtl/>
        </w:rPr>
        <w:t xml:space="preserve">בכל הנוגע לבקשה ליתן לנאשם הזדמנות להשתלב בהליך טיפולי באופן פרטי, אציין כי זו הועלתה אך במועד אשר היה קבוע לטיעונים לעונש, ובחלוף כמעט שנתיים מאז ביצוע העבירה האחרונה מבחינת סדר כרונולוגי. לדידי, ככל שכוונותיו של הנאשם להשתלב בהליך טיפולי פרטי כנים הם, היה עליו לפעול בעניין עוד הרבה קודם לכן, ולהתרשמותי, גם בבקשה זו אין ממש, ועל כן מצאתי לדחותה. </w:t>
      </w:r>
    </w:p>
    <w:p w14:paraId="167D3E2B" w14:textId="77777777" w:rsidR="00D968FB" w:rsidRPr="00CD35F1" w:rsidRDefault="00D968FB" w:rsidP="00D968FB">
      <w:pPr>
        <w:pStyle w:val="ListParagraph"/>
        <w:numPr>
          <w:ilvl w:val="0"/>
          <w:numId w:val="2"/>
        </w:numPr>
        <w:ind w:left="-58"/>
      </w:pPr>
      <w:r w:rsidRPr="00CD35F1">
        <w:rPr>
          <w:rFonts w:hint="cs"/>
          <w:rtl/>
        </w:rPr>
        <w:t>בסופם של דברים, אציין כי בשים לב לעברו הפלילי הנקי ולנוכח העובדה שבכל בדיקות השתן שהנאשם מסר לא נמצאו שרידי סם, מצאתי לילך לקראתו ולהורות על פסילת רישיון נהיגה מותנית בלבד. אשר לקנס, בית המשפט ישקול לצורך כך, לצד חומרת העבירה, גם את הפגיעה הכלכלית המסוימת שנגרמה לנאשם כתוצאה משהייתו תחת תנאים מגבילים ואת נסיבות חייו. עוד יצוין, כי בשים לב למאפייניו החיוביים של הנאשם, כפי שאלה נסקרו קודם לכן, אף מצאתי להשית עליו עונש כולל אחד בגין שני האירועים שבהם הוא הורשע.</w:t>
      </w:r>
    </w:p>
    <w:p w14:paraId="5DC6BC07" w14:textId="77777777" w:rsidR="00D968FB" w:rsidRPr="00CD35F1" w:rsidRDefault="00D968FB" w:rsidP="00D968FB">
      <w:pPr>
        <w:pStyle w:val="ListParagraph"/>
        <w:numPr>
          <w:ilvl w:val="0"/>
          <w:numId w:val="2"/>
        </w:numPr>
        <w:ind w:left="-58"/>
        <w:rPr>
          <w:b/>
          <w:bCs/>
        </w:rPr>
      </w:pPr>
      <w:r w:rsidRPr="00CD35F1">
        <w:rPr>
          <w:rFonts w:hint="cs"/>
          <w:b/>
          <w:bCs/>
          <w:rtl/>
        </w:rPr>
        <w:t>מכל המקובץ לעיל, הריני גוזרת על הנאשם את העונשים הבאים:</w:t>
      </w:r>
    </w:p>
    <w:p w14:paraId="2C285287" w14:textId="77777777" w:rsidR="00D968FB" w:rsidRPr="00CD35F1" w:rsidRDefault="00D968FB" w:rsidP="00D968FB">
      <w:pPr>
        <w:pStyle w:val="ListParagraph"/>
        <w:numPr>
          <w:ilvl w:val="0"/>
          <w:numId w:val="3"/>
        </w:numPr>
        <w:ind w:left="226"/>
        <w:rPr>
          <w:b/>
          <w:bCs/>
        </w:rPr>
      </w:pPr>
      <w:r w:rsidRPr="00CD35F1">
        <w:rPr>
          <w:rFonts w:hint="cs"/>
          <w:b/>
          <w:bCs/>
          <w:rtl/>
        </w:rPr>
        <w:t xml:space="preserve">8 חודשי מאסר בפועל, </w:t>
      </w:r>
      <w:r w:rsidRPr="00CD35F1">
        <w:rPr>
          <w:rFonts w:hint="cs"/>
          <w:b/>
          <w:bCs/>
          <w:u w:val="single"/>
          <w:rtl/>
        </w:rPr>
        <w:t>בניכוי ימי מעצרו</w:t>
      </w:r>
      <w:r w:rsidRPr="00CD35F1">
        <w:rPr>
          <w:rFonts w:hint="cs"/>
          <w:b/>
          <w:bCs/>
          <w:rtl/>
        </w:rPr>
        <w:t>.</w:t>
      </w:r>
    </w:p>
    <w:p w14:paraId="21F2D3CB" w14:textId="77777777" w:rsidR="00D968FB" w:rsidRPr="00CD35F1" w:rsidRDefault="00D968FB" w:rsidP="00D968FB">
      <w:pPr>
        <w:pStyle w:val="ListParagraph"/>
        <w:numPr>
          <w:ilvl w:val="0"/>
          <w:numId w:val="3"/>
        </w:numPr>
        <w:ind w:left="226"/>
        <w:rPr>
          <w:b/>
          <w:bCs/>
        </w:rPr>
      </w:pPr>
      <w:r w:rsidRPr="00CD35F1">
        <w:rPr>
          <w:rFonts w:hint="cs"/>
          <w:b/>
          <w:bCs/>
          <w:rtl/>
        </w:rPr>
        <w:t>מאסר מותנה למשך 8 חודשים, אשר יופעל אם תוך תקופה של 3 שנים מהיום הנאשם יעבור עבירה לפי פקודת הסמים, מסוג פשע.</w:t>
      </w:r>
    </w:p>
    <w:p w14:paraId="7BB3E8E9" w14:textId="77777777" w:rsidR="00D968FB" w:rsidRPr="00CD35F1" w:rsidRDefault="00D968FB" w:rsidP="00D968FB">
      <w:pPr>
        <w:pStyle w:val="ListParagraph"/>
        <w:numPr>
          <w:ilvl w:val="0"/>
          <w:numId w:val="3"/>
        </w:numPr>
        <w:ind w:left="226"/>
        <w:rPr>
          <w:b/>
          <w:bCs/>
        </w:rPr>
      </w:pPr>
      <w:r w:rsidRPr="00CD35F1">
        <w:rPr>
          <w:rFonts w:hint="cs"/>
          <w:b/>
          <w:bCs/>
          <w:rtl/>
        </w:rPr>
        <w:t>מאסר מותנה למשך 4 חודשים, אשר יופעל אם תוך תקופה של 3 שנים מהיום הנאשם יעבור עבירה לפי פקודת הסמים, מסוג עוון או עבירה של הפרעה לשוטר.</w:t>
      </w:r>
    </w:p>
    <w:p w14:paraId="3FFB2E80" w14:textId="77777777" w:rsidR="00D968FB" w:rsidRPr="00CD35F1" w:rsidRDefault="00D968FB" w:rsidP="00D968FB">
      <w:pPr>
        <w:pStyle w:val="ListParagraph"/>
        <w:numPr>
          <w:ilvl w:val="0"/>
          <w:numId w:val="3"/>
        </w:numPr>
        <w:ind w:left="226"/>
        <w:rPr>
          <w:b/>
          <w:bCs/>
        </w:rPr>
      </w:pPr>
      <w:r w:rsidRPr="00CD35F1">
        <w:rPr>
          <w:rFonts w:hint="cs"/>
          <w:b/>
          <w:bCs/>
          <w:rtl/>
        </w:rPr>
        <w:t>קנס בסך 4,000 ₪ או 40 ימי מאסר תמורתו.</w:t>
      </w:r>
    </w:p>
    <w:p w14:paraId="2233C815" w14:textId="77777777" w:rsidR="00D968FB" w:rsidRPr="00CD35F1" w:rsidRDefault="00D968FB" w:rsidP="00D968FB">
      <w:pPr>
        <w:pStyle w:val="ListParagraph"/>
        <w:ind w:left="368" w:firstLine="0"/>
      </w:pPr>
      <w:r w:rsidRPr="00CD35F1">
        <w:rPr>
          <w:rFonts w:hint="cs"/>
          <w:rtl/>
        </w:rPr>
        <w:t xml:space="preserve">הקנס ישולם </w:t>
      </w:r>
      <w:r>
        <w:rPr>
          <w:rFonts w:hint="cs"/>
          <w:rtl/>
        </w:rPr>
        <w:t xml:space="preserve">תוך 120 יום מהיום. </w:t>
      </w:r>
    </w:p>
    <w:p w14:paraId="378F9077" w14:textId="77777777" w:rsidR="00D968FB" w:rsidRPr="00CD35F1" w:rsidRDefault="00D968FB" w:rsidP="00D968FB">
      <w:pPr>
        <w:pStyle w:val="ListParagraph"/>
        <w:numPr>
          <w:ilvl w:val="0"/>
          <w:numId w:val="3"/>
        </w:numPr>
        <w:ind w:left="226"/>
        <w:rPr>
          <w:b/>
          <w:bCs/>
        </w:rPr>
      </w:pPr>
      <w:r w:rsidRPr="00CD35F1">
        <w:rPr>
          <w:rFonts w:hint="cs"/>
          <w:b/>
          <w:bCs/>
          <w:rtl/>
        </w:rPr>
        <w:t>אני פוסלת את הנאשם מלקבל או מלהחזיק רישיון נהיגה למשך 10 חודשים, וזאת על תנאי שלא יעבור כל עבירה בניגוד ל</w:t>
      </w:r>
      <w:hyperlink r:id="rId48" w:history="1">
        <w:r w:rsidR="008F1590" w:rsidRPr="008F1590">
          <w:rPr>
            <w:rStyle w:val="Hyperlink"/>
            <w:rFonts w:hint="cs"/>
            <w:b/>
            <w:bCs/>
            <w:rtl/>
          </w:rPr>
          <w:t>פקודת</w:t>
        </w:r>
        <w:r w:rsidR="008F1590" w:rsidRPr="008F1590">
          <w:rPr>
            <w:rStyle w:val="Hyperlink"/>
            <w:b/>
            <w:bCs/>
            <w:rtl/>
          </w:rPr>
          <w:t xml:space="preserve"> </w:t>
        </w:r>
        <w:r w:rsidR="008F1590" w:rsidRPr="008F1590">
          <w:rPr>
            <w:rStyle w:val="Hyperlink"/>
            <w:rFonts w:hint="cs"/>
            <w:b/>
            <w:bCs/>
            <w:rtl/>
          </w:rPr>
          <w:t>הסמים</w:t>
        </w:r>
        <w:r w:rsidR="008F1590" w:rsidRPr="008F1590">
          <w:rPr>
            <w:rStyle w:val="Hyperlink"/>
            <w:b/>
            <w:bCs/>
            <w:rtl/>
          </w:rPr>
          <w:t xml:space="preserve"> </w:t>
        </w:r>
        <w:r w:rsidR="008F1590" w:rsidRPr="008F1590">
          <w:rPr>
            <w:rStyle w:val="Hyperlink"/>
            <w:rFonts w:hint="cs"/>
            <w:b/>
            <w:bCs/>
            <w:rtl/>
          </w:rPr>
          <w:t>המסוכנים</w:t>
        </w:r>
      </w:hyperlink>
      <w:r w:rsidRPr="00CD35F1">
        <w:rPr>
          <w:rFonts w:hint="cs"/>
          <w:b/>
          <w:bCs/>
          <w:rtl/>
        </w:rPr>
        <w:t xml:space="preserve"> במשך שנתיים מהיום.</w:t>
      </w:r>
    </w:p>
    <w:p w14:paraId="19A5FFF9" w14:textId="77777777" w:rsidR="00D968FB" w:rsidRPr="00CD35F1" w:rsidRDefault="00D968FB" w:rsidP="00D968FB">
      <w:pPr>
        <w:pStyle w:val="ListParagraph"/>
        <w:numPr>
          <w:ilvl w:val="0"/>
          <w:numId w:val="3"/>
        </w:numPr>
        <w:ind w:left="226"/>
        <w:rPr>
          <w:b/>
          <w:bCs/>
        </w:rPr>
      </w:pPr>
      <w:r w:rsidRPr="00CD35F1">
        <w:rPr>
          <w:rFonts w:eastAsia="Times New Roman" w:hint="cs"/>
          <w:b/>
          <w:bCs/>
          <w:rtl/>
        </w:rPr>
        <w:t xml:space="preserve">הנאשם יחתום על התחייבות כספית על סך 10,000 ₪ שלא לעבור כל עבירת בניגוד לפקודת הסמים, וזאת לתקופה של שלוש שנים מהיום. </w:t>
      </w:r>
    </w:p>
    <w:p w14:paraId="1059A5AA" w14:textId="77777777" w:rsidR="00D968FB" w:rsidRPr="00CD35F1" w:rsidRDefault="00D968FB" w:rsidP="00D968FB">
      <w:pPr>
        <w:pStyle w:val="ListParagraph"/>
        <w:ind w:left="226" w:firstLine="0"/>
        <w:rPr>
          <w:rFonts w:eastAsia="Times New Roman"/>
        </w:rPr>
      </w:pPr>
      <w:r w:rsidRPr="00CD35F1">
        <w:rPr>
          <w:rFonts w:eastAsia="Times New Roman" w:hint="cs"/>
          <w:rtl/>
        </w:rPr>
        <w:t>ככל שלא תיחתם ההתחייבות תוך 7 ימים, ייאסר הנאשם למשך 10 ימים.</w:t>
      </w:r>
    </w:p>
    <w:p w14:paraId="5A3512B1" w14:textId="77777777" w:rsidR="00D968FB" w:rsidRDefault="00D968FB" w:rsidP="00D968FB">
      <w:pPr>
        <w:spacing w:line="360" w:lineRule="auto"/>
        <w:rPr>
          <w:rFonts w:ascii="Calibri" w:hAnsi="Calibri"/>
          <w:rtl/>
        </w:rPr>
      </w:pPr>
    </w:p>
    <w:p w14:paraId="411B0963" w14:textId="77777777" w:rsidR="00D968FB" w:rsidRDefault="00D968FB" w:rsidP="00D968FB">
      <w:pPr>
        <w:spacing w:line="360" w:lineRule="auto"/>
        <w:rPr>
          <w:rtl/>
        </w:rPr>
      </w:pPr>
      <w:r w:rsidRPr="00406EED">
        <w:rPr>
          <w:rFonts w:ascii="Calibri" w:hAnsi="Calibri" w:hint="cs"/>
          <w:rtl/>
        </w:rPr>
        <w:t xml:space="preserve">מורה על השמדת המוצגים – </w:t>
      </w:r>
      <w:r>
        <w:rPr>
          <w:rFonts w:ascii="Calibri" w:hAnsi="Calibri" w:hint="cs"/>
          <w:rtl/>
        </w:rPr>
        <w:t>סמים וכלים</w:t>
      </w:r>
      <w:r w:rsidRPr="00406EED">
        <w:rPr>
          <w:rFonts w:ascii="Calibri" w:hAnsi="Calibri" w:hint="cs"/>
          <w:rtl/>
        </w:rPr>
        <w:t xml:space="preserve">, בכפוף </w:t>
      </w:r>
      <w:r w:rsidRPr="00CD35F1">
        <w:rPr>
          <w:rFonts w:hint="cs"/>
          <w:rtl/>
        </w:rPr>
        <w:t>לחלוף תקופת הערעור.</w:t>
      </w:r>
    </w:p>
    <w:p w14:paraId="4543E2D2" w14:textId="77777777" w:rsidR="00D968FB" w:rsidRDefault="00D968FB" w:rsidP="00D968FB">
      <w:pPr>
        <w:spacing w:line="360" w:lineRule="auto"/>
        <w:rPr>
          <w:b/>
          <w:bCs/>
          <w:rtl/>
        </w:rPr>
      </w:pPr>
    </w:p>
    <w:p w14:paraId="5861738B" w14:textId="77777777" w:rsidR="00D968FB" w:rsidRPr="00020E11" w:rsidRDefault="00D968FB" w:rsidP="00D968FB">
      <w:pPr>
        <w:spacing w:line="360" w:lineRule="auto"/>
      </w:pPr>
      <w:r w:rsidRPr="00020E11">
        <w:rPr>
          <w:rFonts w:hint="cs"/>
          <w:b/>
          <w:bCs/>
          <w:rtl/>
        </w:rPr>
        <w:t>זכות ערעור כחוק.</w:t>
      </w:r>
    </w:p>
    <w:p w14:paraId="2D9A92DC" w14:textId="77777777" w:rsidR="00D968FB" w:rsidRPr="00CD35F1" w:rsidRDefault="00D968FB" w:rsidP="00D968FB">
      <w:pPr>
        <w:spacing w:line="360" w:lineRule="auto"/>
        <w:jc w:val="both"/>
        <w:rPr>
          <w:rFonts w:ascii="Arial" w:hAnsi="Arial"/>
          <w:noProof w:val="0"/>
          <w:rtl/>
        </w:rPr>
      </w:pPr>
    </w:p>
    <w:p w14:paraId="1E00C2F6" w14:textId="77777777" w:rsidR="00D968FB" w:rsidRPr="00CD35F1" w:rsidRDefault="00D968FB" w:rsidP="00D968FB">
      <w:pPr>
        <w:spacing w:line="360" w:lineRule="auto"/>
        <w:jc w:val="both"/>
        <w:rPr>
          <w:rFonts w:ascii="Arial" w:hAnsi="Arial"/>
          <w:b/>
          <w:bCs/>
          <w:noProof w:val="0"/>
          <w:rtl/>
        </w:rPr>
      </w:pPr>
      <w:r w:rsidRPr="00CD35F1">
        <w:rPr>
          <w:rFonts w:ascii="Arial" w:hAnsi="Arial"/>
          <w:b/>
          <w:bCs/>
          <w:noProof w:val="0"/>
          <w:rtl/>
        </w:rPr>
        <w:t>נית</w:t>
      </w:r>
      <w:r>
        <w:rPr>
          <w:rFonts w:ascii="Arial" w:hAnsi="Arial" w:hint="cs"/>
          <w:b/>
          <w:bCs/>
          <w:noProof w:val="0"/>
          <w:rtl/>
        </w:rPr>
        <w:t>ן</w:t>
      </w:r>
      <w:r w:rsidRPr="00CD35F1">
        <w:rPr>
          <w:rFonts w:ascii="Arial" w:hAnsi="Arial"/>
          <w:b/>
          <w:bCs/>
          <w:noProof w:val="0"/>
          <w:rtl/>
        </w:rPr>
        <w:t xml:space="preserve"> היום,  </w:t>
      </w:r>
      <w:r>
        <w:rPr>
          <w:rFonts w:ascii="Arial" w:hAnsi="Arial"/>
          <w:b/>
          <w:bCs/>
          <w:noProof w:val="0"/>
          <w:rtl/>
        </w:rPr>
        <w:t>כ"ו תשרי תשע"ח</w:t>
      </w:r>
      <w:r w:rsidRPr="00CD35F1">
        <w:rPr>
          <w:rFonts w:ascii="Arial" w:hAnsi="Arial"/>
          <w:b/>
          <w:bCs/>
          <w:noProof w:val="0"/>
          <w:rtl/>
        </w:rPr>
        <w:t xml:space="preserve">, </w:t>
      </w:r>
      <w:r>
        <w:rPr>
          <w:rFonts w:ascii="Arial" w:hAnsi="Arial"/>
          <w:b/>
          <w:bCs/>
          <w:noProof w:val="0"/>
          <w:rtl/>
        </w:rPr>
        <w:t>16 אוקטובר 2017, ב</w:t>
      </w:r>
      <w:r>
        <w:rPr>
          <w:rFonts w:ascii="Arial" w:hAnsi="Arial" w:hint="cs"/>
          <w:b/>
          <w:bCs/>
          <w:noProof w:val="0"/>
          <w:rtl/>
        </w:rPr>
        <w:t xml:space="preserve">מעמד הצדדים דלעיל. </w:t>
      </w:r>
    </w:p>
    <w:p w14:paraId="1E442452" w14:textId="77777777" w:rsidR="00D968FB" w:rsidRPr="00CD35F1" w:rsidRDefault="00D968FB" w:rsidP="00D968FB">
      <w:pPr>
        <w:spacing w:line="360" w:lineRule="auto"/>
        <w:jc w:val="both"/>
        <w:rPr>
          <w:rFonts w:ascii="Arial" w:hAnsi="Arial"/>
          <w:noProof w:val="0"/>
          <w:rtl/>
        </w:rPr>
      </w:pPr>
    </w:p>
    <w:p w14:paraId="3732262C" w14:textId="77777777" w:rsidR="00D968FB" w:rsidRPr="00CD35F1" w:rsidRDefault="00D968FB" w:rsidP="00D968FB">
      <w:pPr>
        <w:spacing w:line="360" w:lineRule="auto"/>
        <w:ind w:left="3600" w:firstLine="720"/>
        <w:jc w:val="both"/>
      </w:pPr>
      <w:r>
        <w:rPr>
          <w:rtl/>
        </w:rPr>
        <w:t xml:space="preserve">     </w:t>
      </w:r>
    </w:p>
    <w:p w14:paraId="19EF2B4C" w14:textId="77777777" w:rsidR="00D968FB" w:rsidRPr="00CD35F1" w:rsidRDefault="00D968FB" w:rsidP="00D968FB">
      <w:pPr>
        <w:spacing w:line="360" w:lineRule="auto"/>
        <w:ind w:left="3600" w:firstLine="720"/>
        <w:jc w:val="both"/>
        <w:rPr>
          <w:rFonts w:ascii="Arial" w:hAnsi="Arial"/>
          <w:noProof w:val="0"/>
          <w:rtl/>
        </w:rPr>
      </w:pPr>
    </w:p>
    <w:p w14:paraId="075CB6C3" w14:textId="77777777" w:rsidR="00D968FB" w:rsidRPr="00CD35F1" w:rsidRDefault="00D968FB" w:rsidP="00D968FB">
      <w:pPr>
        <w:spacing w:line="360" w:lineRule="auto"/>
        <w:jc w:val="both"/>
        <w:rPr>
          <w:rFonts w:ascii="Arial" w:hAnsi="Arial"/>
          <w:noProof w:val="0"/>
          <w:rtl/>
        </w:rPr>
      </w:pPr>
    </w:p>
    <w:p w14:paraId="0ADC1A81" w14:textId="77777777" w:rsidR="00D968FB" w:rsidRPr="00CD35F1" w:rsidRDefault="00D968FB" w:rsidP="00D968FB">
      <w:pPr>
        <w:spacing w:line="360" w:lineRule="auto"/>
        <w:jc w:val="both"/>
        <w:rPr>
          <w:rFonts w:ascii="Arial" w:hAnsi="Arial"/>
          <w:noProof w:val="0"/>
          <w:rtl/>
        </w:rPr>
      </w:pPr>
    </w:p>
    <w:p w14:paraId="38F17B2A" w14:textId="77777777" w:rsidR="00D968FB" w:rsidRPr="00CD35F1" w:rsidRDefault="00D968FB" w:rsidP="00D968FB">
      <w:pPr>
        <w:spacing w:line="360" w:lineRule="auto"/>
        <w:jc w:val="both"/>
        <w:rPr>
          <w:rFonts w:ascii="Arial" w:hAnsi="Arial"/>
          <w:noProof w:val="0"/>
          <w:rtl/>
        </w:rPr>
      </w:pPr>
    </w:p>
    <w:p w14:paraId="230ECBDB" w14:textId="77777777" w:rsidR="00D968FB" w:rsidRDefault="00D968FB" w:rsidP="00D968FB">
      <w:pPr>
        <w:spacing w:line="360" w:lineRule="auto"/>
        <w:rPr>
          <w:b/>
          <w:bCs/>
          <w:u w:val="single"/>
          <w:rtl/>
        </w:rPr>
      </w:pPr>
      <w:r>
        <w:rPr>
          <w:rFonts w:hint="cs"/>
          <w:b/>
          <w:bCs/>
          <w:u w:val="single"/>
          <w:rtl/>
        </w:rPr>
        <w:t>ב"כ הנאשם:</w:t>
      </w:r>
    </w:p>
    <w:p w14:paraId="09AF62FC" w14:textId="77777777" w:rsidR="00D968FB" w:rsidRDefault="00D968FB" w:rsidP="00D968FB">
      <w:pPr>
        <w:spacing w:line="360" w:lineRule="auto"/>
        <w:rPr>
          <w:rtl/>
        </w:rPr>
      </w:pPr>
      <w:r>
        <w:rPr>
          <w:rFonts w:hint="cs"/>
          <w:rtl/>
        </w:rPr>
        <w:t>אבקש עיכוב ביצוע עונש המאסר בפועל למשך 45 ימים, לצורך שקילת הגשת ערעור לביהמ"ש המחוזי. ככל שתתקבל החלטה כי לא יוגש ערעור, אודיע לביהמ"ש.</w:t>
      </w:r>
    </w:p>
    <w:p w14:paraId="28750988" w14:textId="77777777" w:rsidR="00D968FB" w:rsidRDefault="00D968FB" w:rsidP="00D968FB">
      <w:pPr>
        <w:spacing w:line="360" w:lineRule="auto"/>
        <w:rPr>
          <w:rtl/>
        </w:rPr>
      </w:pPr>
    </w:p>
    <w:p w14:paraId="2CFB71C9" w14:textId="77777777" w:rsidR="00D968FB" w:rsidRDefault="00D968FB" w:rsidP="00D968FB">
      <w:pPr>
        <w:spacing w:line="360" w:lineRule="auto"/>
        <w:rPr>
          <w:b/>
          <w:bCs/>
          <w:u w:val="single"/>
          <w:rtl/>
        </w:rPr>
      </w:pPr>
      <w:r>
        <w:rPr>
          <w:rFonts w:hint="cs"/>
          <w:b/>
          <w:bCs/>
          <w:u w:val="single"/>
          <w:rtl/>
        </w:rPr>
        <w:t>באת כח המאשימה:</w:t>
      </w:r>
    </w:p>
    <w:p w14:paraId="4548FB85" w14:textId="77777777" w:rsidR="00D968FB" w:rsidRPr="00406EED" w:rsidRDefault="00D968FB" w:rsidP="00D968FB">
      <w:pPr>
        <w:spacing w:line="360" w:lineRule="auto"/>
        <w:rPr>
          <w:rtl/>
        </w:rPr>
      </w:pPr>
      <w:r>
        <w:rPr>
          <w:rFonts w:hint="cs"/>
          <w:rtl/>
        </w:rPr>
        <w:t xml:space="preserve">משאירה לשיקול דעת ביהמ"ש. </w:t>
      </w:r>
    </w:p>
    <w:p w14:paraId="1BE5EC71" w14:textId="77777777" w:rsidR="00D968FB" w:rsidRDefault="00D968FB" w:rsidP="00D968FB">
      <w:pPr>
        <w:suppressLineNumbers/>
        <w:spacing w:line="360" w:lineRule="auto"/>
        <w:rPr>
          <w:b/>
          <w:bCs/>
          <w:sz w:val="6"/>
          <w:szCs w:val="6"/>
          <w:rtl/>
        </w:rPr>
      </w:pPr>
      <w:r>
        <w:rPr>
          <w:rFonts w:hint="cs"/>
          <w:b/>
          <w:bCs/>
          <w:sz w:val="6"/>
          <w:szCs w:val="6"/>
          <w:rtl/>
        </w:rPr>
        <w:t>&lt;#7#&gt;</w:t>
      </w:r>
    </w:p>
    <w:p w14:paraId="5EAC7DB2" w14:textId="77777777" w:rsidR="00D968FB" w:rsidRDefault="00D968FB" w:rsidP="00D968FB">
      <w:pPr>
        <w:spacing w:line="360" w:lineRule="auto"/>
        <w:jc w:val="center"/>
        <w:rPr>
          <w:rFonts w:ascii="Arial" w:hAnsi="Arial"/>
          <w:b/>
          <w:bCs/>
          <w:sz w:val="28"/>
          <w:szCs w:val="28"/>
          <w:u w:val="single"/>
          <w:rtl/>
        </w:rPr>
      </w:pPr>
      <w:r>
        <w:rPr>
          <w:rFonts w:ascii="Arial" w:hAnsi="Arial" w:hint="cs"/>
          <w:b/>
          <w:bCs/>
          <w:sz w:val="28"/>
          <w:szCs w:val="28"/>
          <w:u w:val="single"/>
          <w:rtl/>
        </w:rPr>
        <w:t>החלטה</w:t>
      </w:r>
    </w:p>
    <w:p w14:paraId="1A5EFCEB" w14:textId="77777777" w:rsidR="00D968FB" w:rsidRDefault="00D968FB" w:rsidP="00D968FB">
      <w:pPr>
        <w:suppressLineNumbers/>
        <w:spacing w:line="360" w:lineRule="auto"/>
        <w:jc w:val="both"/>
        <w:rPr>
          <w:rtl/>
        </w:rPr>
      </w:pPr>
      <w:r>
        <w:rPr>
          <w:rFonts w:hint="cs"/>
          <w:rtl/>
        </w:rPr>
        <w:t xml:space="preserve">על מנת לאפשר לב"כ הנאשם להגיש ערעור על רכיב עונש המאסר, ועל מנת שלא להעמיד את ערכאת הערעור בפני עובדה מוגמרת, הנני מורה על עיכוב ביצוע עונש עבודות השירות למשך 45 יום. </w:t>
      </w:r>
    </w:p>
    <w:p w14:paraId="49198263" w14:textId="77777777" w:rsidR="00D968FB" w:rsidRDefault="00D968FB" w:rsidP="00D968FB">
      <w:pPr>
        <w:suppressLineNumbers/>
        <w:spacing w:line="360" w:lineRule="auto"/>
        <w:jc w:val="both"/>
        <w:rPr>
          <w:rtl/>
        </w:rPr>
      </w:pPr>
    </w:p>
    <w:p w14:paraId="72ABE096" w14:textId="77777777" w:rsidR="00D968FB" w:rsidRDefault="00D968FB" w:rsidP="00D968FB">
      <w:pPr>
        <w:suppressLineNumbers/>
        <w:spacing w:line="360" w:lineRule="auto"/>
        <w:jc w:val="both"/>
        <w:rPr>
          <w:rtl/>
        </w:rPr>
      </w:pPr>
      <w:r>
        <w:rPr>
          <w:rFonts w:hint="cs"/>
          <w:rtl/>
        </w:rPr>
        <w:t xml:space="preserve">אם לאחר עיון נוסף, יחליט ב"כ הנאשם שלא לערער על גזר הדין, תודיע על כך מידית לב"כ המאשימה ולביהמ"ש. </w:t>
      </w:r>
    </w:p>
    <w:p w14:paraId="46D3C56A" w14:textId="77777777" w:rsidR="00D968FB" w:rsidRDefault="00D968FB" w:rsidP="00D968FB">
      <w:pPr>
        <w:spacing w:line="360" w:lineRule="auto"/>
        <w:jc w:val="both"/>
        <w:rPr>
          <w:rFonts w:ascii="Calibri" w:hAnsi="Calibri"/>
          <w:rtl/>
        </w:rPr>
      </w:pPr>
    </w:p>
    <w:p w14:paraId="45495524" w14:textId="77777777" w:rsidR="00D968FB" w:rsidRPr="00CD35F1" w:rsidRDefault="00D968FB" w:rsidP="00D968FB">
      <w:pPr>
        <w:spacing w:line="360" w:lineRule="auto"/>
        <w:jc w:val="both"/>
      </w:pPr>
      <w:r w:rsidRPr="00406EED">
        <w:rPr>
          <w:rFonts w:ascii="Calibri" w:hAnsi="Calibri" w:hint="cs"/>
          <w:rtl/>
        </w:rPr>
        <w:t>בהעדר החלטה אחרת, הנאשם יתייצב לתחילת ריצוי עונשו, ביום 29/11/17 עד לשעה: 10:00 בבית הסוהר "דקל", או על פי החלטת שב"ס, כשברשותו תעודת זהות</w:t>
      </w:r>
      <w:r w:rsidRPr="00CD35F1">
        <w:rPr>
          <w:rFonts w:hint="cs"/>
          <w:rtl/>
        </w:rPr>
        <w:t>.</w:t>
      </w:r>
    </w:p>
    <w:p w14:paraId="2954138E" w14:textId="77777777" w:rsidR="00D968FB" w:rsidRPr="00406EED" w:rsidRDefault="00D968FB" w:rsidP="00D968FB">
      <w:pPr>
        <w:spacing w:line="360" w:lineRule="auto"/>
        <w:jc w:val="both"/>
        <w:rPr>
          <w:rFonts w:ascii="Calibri" w:hAnsi="Calibri"/>
          <w:rtl/>
        </w:rPr>
      </w:pPr>
      <w:r w:rsidRPr="00CD35F1">
        <w:rPr>
          <w:rFonts w:hint="cs"/>
          <w:rtl/>
        </w:rPr>
        <w:t xml:space="preserve">על הנאשם לתאם את </w:t>
      </w:r>
      <w:r w:rsidRPr="00406EED">
        <w:rPr>
          <w:rFonts w:ascii="Calibri" w:hAnsi="Calibri" w:hint="cs"/>
          <w:rtl/>
        </w:rPr>
        <w:t>הכניסה למאסר, כולל אפשרות למיון מוקדם, עם ענף אבחון ומיון של שב"ס, בטלפון שמספרו: 08-9787336.</w:t>
      </w:r>
    </w:p>
    <w:p w14:paraId="197F0162" w14:textId="77777777" w:rsidR="00D968FB" w:rsidRDefault="00D968FB" w:rsidP="00D968FB">
      <w:pPr>
        <w:spacing w:line="360" w:lineRule="auto"/>
        <w:rPr>
          <w:rFonts w:ascii="Calibri" w:hAnsi="Calibri"/>
          <w:b/>
          <w:bCs/>
          <w:u w:val="single"/>
          <w:rtl/>
        </w:rPr>
      </w:pPr>
    </w:p>
    <w:p w14:paraId="3864DB6D" w14:textId="77777777" w:rsidR="00D968FB" w:rsidRPr="00406EED" w:rsidRDefault="00D968FB" w:rsidP="00D968FB">
      <w:pPr>
        <w:spacing w:line="360" w:lineRule="auto"/>
        <w:rPr>
          <w:b/>
          <w:bCs/>
          <w:u w:val="single"/>
          <w:rtl/>
        </w:rPr>
      </w:pPr>
      <w:r w:rsidRPr="00406EED">
        <w:rPr>
          <w:rFonts w:ascii="Calibri" w:hAnsi="Calibri" w:hint="cs"/>
          <w:b/>
          <w:bCs/>
          <w:u w:val="single"/>
          <w:rtl/>
        </w:rPr>
        <w:t>העתק ההחלטה בדחיפות לשב"ס</w:t>
      </w:r>
      <w:r w:rsidRPr="00406EED">
        <w:rPr>
          <w:rFonts w:hint="cs"/>
          <w:b/>
          <w:bCs/>
          <w:u w:val="single"/>
          <w:rtl/>
        </w:rPr>
        <w:t>.</w:t>
      </w:r>
    </w:p>
    <w:p w14:paraId="1042C1BD" w14:textId="77777777" w:rsidR="00D968FB" w:rsidRPr="00D968FB" w:rsidRDefault="00D968FB" w:rsidP="00D968FB">
      <w:pPr>
        <w:spacing w:line="360" w:lineRule="auto"/>
        <w:rPr>
          <w:rFonts w:ascii="Calibri" w:hAnsi="Calibri"/>
          <w:b/>
          <w:bCs/>
          <w:u w:val="single"/>
          <w:rtl/>
        </w:rPr>
      </w:pPr>
      <w:r w:rsidRPr="00406EED">
        <w:rPr>
          <w:rFonts w:ascii="Calibri" w:hAnsi="Calibri" w:hint="cs"/>
          <w:b/>
          <w:bCs/>
          <w:u w:val="single"/>
          <w:rtl/>
        </w:rPr>
        <w:t xml:space="preserve">ניתן בזאת צו עיכוב יציאה מהארץ. </w:t>
      </w:r>
    </w:p>
    <w:p w14:paraId="6C0F1AAB" w14:textId="77777777" w:rsidR="00D968FB" w:rsidRDefault="00D968FB" w:rsidP="00D968FB">
      <w:pPr>
        <w:spacing w:line="360" w:lineRule="auto"/>
        <w:rPr>
          <w:sz w:val="6"/>
          <w:szCs w:val="6"/>
          <w:rtl/>
        </w:rPr>
      </w:pPr>
      <w:r>
        <w:rPr>
          <w:rFonts w:hint="cs"/>
          <w:sz w:val="6"/>
          <w:szCs w:val="6"/>
          <w:rtl/>
        </w:rPr>
        <w:t>&lt;#10#&gt;</w:t>
      </w:r>
    </w:p>
    <w:p w14:paraId="1A7EF601" w14:textId="77777777" w:rsidR="00D968FB" w:rsidRDefault="00D968FB" w:rsidP="00D968FB">
      <w:pPr>
        <w:spacing w:line="360" w:lineRule="auto"/>
        <w:jc w:val="right"/>
        <w:rPr>
          <w:szCs w:val="26"/>
          <w:rtl/>
        </w:rPr>
      </w:pPr>
    </w:p>
    <w:p w14:paraId="13B03CCA" w14:textId="77777777" w:rsidR="00D968FB" w:rsidRDefault="008F1590" w:rsidP="00D968FB">
      <w:pPr>
        <w:spacing w:line="360" w:lineRule="auto"/>
        <w:ind w:left="5760"/>
        <w:jc w:val="center"/>
        <w:rPr>
          <w:rtl/>
        </w:rPr>
      </w:pPr>
      <w:r w:rsidRPr="008F1590">
        <w:rPr>
          <w:b/>
          <w:bCs/>
          <w:color w:val="FFFFFF"/>
          <w:sz w:val="2"/>
          <w:szCs w:val="2"/>
          <w:rtl/>
        </w:rPr>
        <w:t>5129371</w:t>
      </w:r>
      <w:r>
        <w:rPr>
          <w:b/>
          <w:bCs/>
          <w:rtl/>
        </w:rPr>
        <w:t xml:space="preserve">ניתנה והודעה היום כ"ו תשרי תשע"ח, 16/10/2017 במעמד הנוכחים. </w:t>
      </w:r>
    </w:p>
    <w:tbl>
      <w:tblPr>
        <w:bidiVisual/>
        <w:tblW w:w="3936" w:type="dxa"/>
        <w:tblInd w:w="5760" w:type="dxa"/>
        <w:tblBorders>
          <w:insideH w:val="single" w:sz="4" w:space="0" w:color="auto"/>
          <w:insideV w:val="single" w:sz="4" w:space="0" w:color="auto"/>
        </w:tblBorders>
        <w:tblLook w:val="01E0" w:firstRow="1" w:lastRow="1" w:firstColumn="1" w:lastColumn="1" w:noHBand="0" w:noVBand="0"/>
      </w:tblPr>
      <w:tblGrid>
        <w:gridCol w:w="3936"/>
      </w:tblGrid>
      <w:tr w:rsidR="00D968FB" w14:paraId="2EFA6C78" w14:textId="77777777" w:rsidTr="00D968FB">
        <w:trPr>
          <w:trHeight w:val="316"/>
        </w:trPr>
        <w:tc>
          <w:tcPr>
            <w:tcW w:w="3936" w:type="dxa"/>
            <w:tcBorders>
              <w:top w:val="nil"/>
              <w:left w:val="nil"/>
              <w:bottom w:val="single" w:sz="4" w:space="0" w:color="auto"/>
              <w:right w:val="nil"/>
            </w:tcBorders>
            <w:shd w:val="clear" w:color="auto" w:fill="auto"/>
          </w:tcPr>
          <w:p w14:paraId="6B18BC3D" w14:textId="77777777" w:rsidR="00D968FB" w:rsidRPr="008F1590" w:rsidRDefault="008F1590" w:rsidP="00D968FB">
            <w:pPr>
              <w:spacing w:line="360" w:lineRule="auto"/>
              <w:jc w:val="center"/>
              <w:rPr>
                <w:color w:val="FFFFFF"/>
                <w:sz w:val="2"/>
                <w:szCs w:val="2"/>
              </w:rPr>
            </w:pPr>
            <w:r w:rsidRPr="008F1590">
              <w:rPr>
                <w:rFonts w:cs="Times New Roman"/>
                <w:color w:val="FFFFFF"/>
                <w:sz w:val="2"/>
                <w:szCs w:val="2"/>
                <w:rtl/>
              </w:rPr>
              <w:t>54678313</w:t>
            </w:r>
            <w:r w:rsidR="00D968FB" w:rsidRPr="008F1590">
              <w:rPr>
                <w:rFonts w:cs="Times New Roman"/>
                <w:color w:val="FFFFFF"/>
                <w:sz w:val="2"/>
                <w:szCs w:val="2"/>
                <w:rtl/>
              </w:rPr>
              <w:t xml:space="preserve">     </w:t>
            </w:r>
          </w:p>
        </w:tc>
      </w:tr>
      <w:tr w:rsidR="00D968FB" w14:paraId="244734C4" w14:textId="77777777" w:rsidTr="00D968FB">
        <w:trPr>
          <w:trHeight w:val="361"/>
        </w:trPr>
        <w:tc>
          <w:tcPr>
            <w:tcW w:w="3936" w:type="dxa"/>
            <w:tcBorders>
              <w:top w:val="single" w:sz="4" w:space="0" w:color="auto"/>
              <w:left w:val="nil"/>
              <w:bottom w:val="nil"/>
              <w:right w:val="nil"/>
            </w:tcBorders>
            <w:shd w:val="clear" w:color="auto" w:fill="auto"/>
          </w:tcPr>
          <w:p w14:paraId="581FF841" w14:textId="77777777" w:rsidR="00D968FB" w:rsidRPr="00D968FB" w:rsidRDefault="00D968FB" w:rsidP="00D968FB">
            <w:pPr>
              <w:spacing w:line="360" w:lineRule="auto"/>
              <w:jc w:val="center"/>
              <w:rPr>
                <w:b/>
                <w:bCs/>
                <w:rtl/>
              </w:rPr>
            </w:pPr>
            <w:r w:rsidRPr="00D968FB">
              <w:rPr>
                <w:rFonts w:hint="cs"/>
                <w:b/>
                <w:bCs/>
                <w:rtl/>
              </w:rPr>
              <w:t xml:space="preserve">ד"ר נגה שמואלי </w:t>
            </w:r>
            <w:r w:rsidRPr="00D968FB">
              <w:rPr>
                <w:rFonts w:hint="cs"/>
                <w:b/>
                <w:bCs/>
                <w:vertAlign w:val="superscript"/>
                <w:rtl/>
              </w:rPr>
              <w:t>–</w:t>
            </w:r>
            <w:r w:rsidRPr="00D968FB">
              <w:rPr>
                <w:rFonts w:hint="cs"/>
                <w:b/>
                <w:bCs/>
                <w:rtl/>
              </w:rPr>
              <w:t xml:space="preserve"> מאייר, שופטת </w:t>
            </w:r>
          </w:p>
          <w:p w14:paraId="5D83CC73" w14:textId="77777777" w:rsidR="00D968FB" w:rsidRPr="00D968FB" w:rsidRDefault="00D968FB" w:rsidP="00D968FB">
            <w:pPr>
              <w:spacing w:line="360" w:lineRule="auto"/>
              <w:jc w:val="center"/>
              <w:rPr>
                <w:b/>
                <w:bCs/>
                <w:rtl/>
              </w:rPr>
            </w:pPr>
            <w:r w:rsidRPr="00D968FB">
              <w:rPr>
                <w:rFonts w:hint="cs"/>
                <w:b/>
                <w:bCs/>
                <w:rtl/>
              </w:rPr>
              <w:t>סגנית נשיאה</w:t>
            </w:r>
          </w:p>
        </w:tc>
      </w:tr>
    </w:tbl>
    <w:p w14:paraId="5AC006A3" w14:textId="77777777" w:rsidR="00D968FB" w:rsidRPr="00CD35F1" w:rsidRDefault="00D968FB" w:rsidP="00D968FB">
      <w:pPr>
        <w:spacing w:line="360" w:lineRule="auto"/>
        <w:jc w:val="both"/>
        <w:rPr>
          <w:rFonts w:ascii="Arial" w:hAnsi="Arial"/>
          <w:noProof w:val="0"/>
          <w:rtl/>
        </w:rPr>
      </w:pPr>
    </w:p>
    <w:p w14:paraId="13CB8757" w14:textId="77777777" w:rsidR="008F1590" w:rsidRPr="008F1590" w:rsidRDefault="008F1590" w:rsidP="008F1590">
      <w:pPr>
        <w:keepNext/>
        <w:rPr>
          <w:rFonts w:ascii="David" w:hAnsi="David"/>
          <w:color w:val="000000"/>
          <w:sz w:val="22"/>
          <w:szCs w:val="22"/>
          <w:rtl/>
        </w:rPr>
      </w:pPr>
    </w:p>
    <w:p w14:paraId="0213CC35" w14:textId="77777777" w:rsidR="008F1590" w:rsidRPr="008F1590" w:rsidRDefault="008F1590" w:rsidP="008F1590">
      <w:pPr>
        <w:keepNext/>
        <w:rPr>
          <w:rFonts w:ascii="David" w:hAnsi="David"/>
          <w:color w:val="000000"/>
          <w:sz w:val="22"/>
          <w:szCs w:val="22"/>
          <w:rtl/>
        </w:rPr>
      </w:pPr>
      <w:r w:rsidRPr="008F1590">
        <w:rPr>
          <w:rFonts w:ascii="David" w:hAnsi="David"/>
          <w:color w:val="000000"/>
          <w:sz w:val="22"/>
          <w:szCs w:val="22"/>
          <w:rtl/>
        </w:rPr>
        <w:t>הה ד''ר נגה שמואלי מאייר 54678313</w:t>
      </w:r>
    </w:p>
    <w:p w14:paraId="4C8DB830" w14:textId="77777777" w:rsidR="008F1590" w:rsidRDefault="008F1590" w:rsidP="008F1590">
      <w:pPr>
        <w:rPr>
          <w:color w:val="000000"/>
          <w:rtl/>
        </w:rPr>
      </w:pPr>
      <w:r w:rsidRPr="008F1590">
        <w:rPr>
          <w:color w:val="000000"/>
          <w:rtl/>
        </w:rPr>
        <w:t>נוסח מסמך זה כפוף לשינויי ניסוח ועריכה</w:t>
      </w:r>
    </w:p>
    <w:p w14:paraId="73DFE659" w14:textId="77777777" w:rsidR="008F1590" w:rsidRDefault="008F1590" w:rsidP="008F1590">
      <w:pPr>
        <w:rPr>
          <w:rtl/>
        </w:rPr>
      </w:pPr>
    </w:p>
    <w:p w14:paraId="6F94DE2A" w14:textId="77777777" w:rsidR="008F1590" w:rsidRDefault="008F1590" w:rsidP="008F1590">
      <w:pPr>
        <w:jc w:val="center"/>
        <w:rPr>
          <w:color w:val="0000FF"/>
          <w:u w:val="single"/>
          <w:rtl/>
        </w:rPr>
      </w:pPr>
      <w:hyperlink r:id="rId49" w:history="1">
        <w:r>
          <w:rPr>
            <w:rStyle w:val="Hyperlink"/>
            <w:rtl/>
          </w:rPr>
          <w:t>בעניין עריכה ושינויים במסמכי פסיקה, חקיקה ועוד באתר נבו – הקש כאן</w:t>
        </w:r>
      </w:hyperlink>
      <w:r w:rsidR="00C464C7">
        <w:rPr>
          <w:rFonts w:hint="cs"/>
          <w:color w:val="0000FF"/>
          <w:u w:val="single"/>
          <w:rtl/>
        </w:rPr>
        <w:t xml:space="preserve"> </w:t>
      </w:r>
    </w:p>
    <w:p w14:paraId="3D1BD896" w14:textId="77777777" w:rsidR="002D7B2F" w:rsidRPr="008F1590" w:rsidRDefault="002D7B2F" w:rsidP="008F1590">
      <w:pPr>
        <w:jc w:val="center"/>
        <w:rPr>
          <w:color w:val="0000FF"/>
          <w:u w:val="single"/>
        </w:rPr>
      </w:pPr>
    </w:p>
    <w:sectPr w:rsidR="002D7B2F" w:rsidRPr="008F1590" w:rsidSect="008F1590">
      <w:headerReference w:type="even" r:id="rId50"/>
      <w:headerReference w:type="default" r:id="rId51"/>
      <w:footerReference w:type="even" r:id="rId52"/>
      <w:footerReference w:type="default" r:id="rId53"/>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12CCE" w14:textId="77777777" w:rsidR="00A07F83" w:rsidRDefault="00A07F83">
      <w:r>
        <w:separator/>
      </w:r>
    </w:p>
  </w:endnote>
  <w:endnote w:type="continuationSeparator" w:id="0">
    <w:p w14:paraId="6FC15D7E" w14:textId="77777777" w:rsidR="00A07F83" w:rsidRDefault="00A0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699F0" w14:textId="77777777" w:rsidR="00864403" w:rsidRDefault="00864403" w:rsidP="008F15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43C78D5" w14:textId="77777777" w:rsidR="00864403" w:rsidRPr="008F1590" w:rsidRDefault="00864403" w:rsidP="008F1590">
    <w:pPr>
      <w:pStyle w:val="a5"/>
      <w:pBdr>
        <w:top w:val="single" w:sz="4" w:space="1" w:color="auto"/>
        <w:between w:val="single" w:sz="4" w:space="0" w:color="auto"/>
      </w:pBdr>
      <w:spacing w:after="60"/>
      <w:jc w:val="center"/>
      <w:rPr>
        <w:rFonts w:ascii="FrankRuehl" w:hAnsi="FrankRuehl" w:cs="FrankRuehl"/>
        <w:color w:val="000000"/>
      </w:rPr>
    </w:pPr>
    <w:r w:rsidRPr="008F15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6A5EE" w14:textId="77777777" w:rsidR="00864403" w:rsidRDefault="00864403" w:rsidP="008F1590">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rPr>
      <w:instrText>PAGE</w:instrText>
    </w:r>
    <w:r>
      <w:rPr>
        <w:rStyle w:val="a8"/>
        <w:rFonts w:ascii="FrankRuehl" w:hAnsi="FrankRuehl" w:cs="FrankRuehl"/>
        <w:rtl/>
      </w:rPr>
      <w:instrText xml:space="preserve">  \* </w:instrText>
    </w:r>
    <w:r>
      <w:rPr>
        <w:rStyle w:val="a8"/>
        <w:rFonts w:ascii="FrankRuehl" w:hAnsi="FrankRuehl" w:cs="FrankRuehl"/>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637F6">
      <w:rPr>
        <w:rStyle w:val="a8"/>
        <w:rFonts w:ascii="FrankRuehl" w:hAnsi="FrankRuehl" w:cs="FrankRuehl"/>
        <w:rtl/>
      </w:rPr>
      <w:t>1</w:t>
    </w:r>
    <w:r>
      <w:rPr>
        <w:rStyle w:val="a8"/>
        <w:rFonts w:ascii="FrankRuehl" w:hAnsi="FrankRuehl" w:cs="FrankRuehl"/>
        <w:rtl/>
      </w:rPr>
      <w:fldChar w:fldCharType="end"/>
    </w:r>
  </w:p>
  <w:p w14:paraId="22A854A2" w14:textId="77777777" w:rsidR="00864403" w:rsidRPr="008F1590" w:rsidRDefault="00864403" w:rsidP="008F1590">
    <w:pPr>
      <w:pStyle w:val="a5"/>
      <w:pBdr>
        <w:top w:val="single" w:sz="4" w:space="1" w:color="auto"/>
        <w:between w:val="single" w:sz="4" w:space="0" w:color="auto"/>
      </w:pBdr>
      <w:spacing w:after="60"/>
      <w:jc w:val="center"/>
      <w:rPr>
        <w:rStyle w:val="a8"/>
        <w:rFonts w:ascii="FrankRuehl" w:hAnsi="FrankRuehl" w:cs="FrankRuehl"/>
        <w:color w:val="000000"/>
      </w:rPr>
    </w:pPr>
    <w:r w:rsidRPr="008F1590">
      <w:rPr>
        <w:rStyle w:val="a8"/>
        <w:rFonts w:ascii="FrankRuehl" w:hAnsi="FrankRuehl" w:cs="FrankRuehl"/>
        <w:color w:val="000000"/>
      </w:rPr>
      <w:pict w14:anchorId="4F0C8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4CCB1" w14:textId="77777777" w:rsidR="00A07F83" w:rsidRDefault="00A07F83">
      <w:r>
        <w:separator/>
      </w:r>
    </w:p>
  </w:footnote>
  <w:footnote w:type="continuationSeparator" w:id="0">
    <w:p w14:paraId="26C5AB79" w14:textId="77777777" w:rsidR="00A07F83" w:rsidRDefault="00A07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286D1" w14:textId="77777777" w:rsidR="00864403" w:rsidRPr="008F1590" w:rsidRDefault="00864403" w:rsidP="008F15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44250-12-15</w:t>
    </w:r>
    <w:r>
      <w:rPr>
        <w:rFonts w:ascii="David" w:hAnsi="David"/>
        <w:color w:val="000000"/>
        <w:sz w:val="22"/>
        <w:szCs w:val="22"/>
        <w:rtl/>
      </w:rPr>
      <w:tab/>
      <w:t xml:space="preserve"> מדינת ישראל נ' תומר פיטוסי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54614" w14:textId="77777777" w:rsidR="00864403" w:rsidRPr="008F1590" w:rsidRDefault="00864403" w:rsidP="008F15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44250-12-15</w:t>
    </w:r>
    <w:r>
      <w:rPr>
        <w:rFonts w:ascii="David" w:hAnsi="David"/>
        <w:color w:val="000000"/>
        <w:sz w:val="22"/>
        <w:szCs w:val="22"/>
        <w:rtl/>
      </w:rPr>
      <w:tab/>
      <w:t xml:space="preserve"> מדינת ישראל נ' תומר פיטוסי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56522"/>
    <w:multiLevelType w:val="hybridMultilevel"/>
    <w:tmpl w:val="E438F598"/>
    <w:lvl w:ilvl="0" w:tplc="75189890">
      <w:start w:val="1"/>
      <w:numFmt w:val="decimal"/>
      <w:lvlText w:val="%1."/>
      <w:lvlJc w:val="left"/>
      <w:pPr>
        <w:ind w:left="720" w:hanging="360"/>
      </w:pPr>
      <w:rPr>
        <w:b w:val="0"/>
        <w:bCs w:val="0"/>
        <w:color w:val="auto"/>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124E5A"/>
    <w:multiLevelType w:val="hybridMultilevel"/>
    <w:tmpl w:val="ABAC6172"/>
    <w:lvl w:ilvl="0" w:tplc="D70C7376">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33E1DE5"/>
    <w:multiLevelType w:val="hybridMultilevel"/>
    <w:tmpl w:val="8FF04BD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86421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1289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2732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68FB"/>
    <w:rsid w:val="0023000A"/>
    <w:rsid w:val="002874B8"/>
    <w:rsid w:val="002D7B2F"/>
    <w:rsid w:val="003A477E"/>
    <w:rsid w:val="007637F6"/>
    <w:rsid w:val="00864403"/>
    <w:rsid w:val="008F1590"/>
    <w:rsid w:val="00A07F83"/>
    <w:rsid w:val="00BA16A0"/>
    <w:rsid w:val="00C464C7"/>
    <w:rsid w:val="00C71CF8"/>
    <w:rsid w:val="00CD426D"/>
    <w:rsid w:val="00CD5D97"/>
    <w:rsid w:val="00D968FB"/>
    <w:rsid w:val="00F96EB7"/>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7255455"/>
  <w15:chartTrackingRefBased/>
  <w15:docId w15:val="{7ED7ED40-4454-400B-BD96-756E8B9A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68FB"/>
    <w:pPr>
      <w:bidi/>
    </w:pPr>
    <w:rPr>
      <w:rFonts w:ascii="Times New Roman" w:eastAsia="Times New Roman" w:hAnsi="Times New Roman" w:cs="David"/>
      <w:noProof/>
      <w:sz w:val="24"/>
      <w:szCs w:val="24"/>
    </w:rPr>
  </w:style>
  <w:style w:type="paragraph" w:styleId="1">
    <w:name w:val="heading 1"/>
    <w:basedOn w:val="a"/>
    <w:next w:val="a"/>
    <w:link w:val="10"/>
    <w:qFormat/>
    <w:rsid w:val="00D968FB"/>
    <w:pPr>
      <w:keepNext/>
      <w:keepLines/>
      <w:spacing w:before="240"/>
      <w:outlineLvl w:val="0"/>
    </w:pPr>
    <w:rPr>
      <w:rFonts w:ascii="Cambria" w:hAnsi="Cambria" w:cs="Times New Roman"/>
      <w:color w:val="365F91"/>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כותרת 1 תו"/>
    <w:link w:val="1"/>
    <w:rsid w:val="00D968FB"/>
    <w:rPr>
      <w:rFonts w:ascii="Cambria" w:eastAsia="Times New Roman" w:hAnsi="Cambria" w:cs="Times New Roman"/>
      <w:noProof/>
      <w:color w:val="365F91"/>
      <w:sz w:val="32"/>
      <w:szCs w:val="32"/>
    </w:rPr>
  </w:style>
  <w:style w:type="paragraph" w:styleId="a3">
    <w:name w:val="header"/>
    <w:basedOn w:val="a"/>
    <w:link w:val="a4"/>
    <w:rsid w:val="00D968FB"/>
    <w:pPr>
      <w:tabs>
        <w:tab w:val="center" w:pos="4153"/>
        <w:tab w:val="right" w:pos="8306"/>
      </w:tabs>
    </w:pPr>
  </w:style>
  <w:style w:type="character" w:customStyle="1" w:styleId="a4">
    <w:name w:val="כותרת עליונה תו"/>
    <w:link w:val="a3"/>
    <w:rsid w:val="00D968FB"/>
    <w:rPr>
      <w:rFonts w:ascii="Times New Roman" w:eastAsia="Times New Roman" w:hAnsi="Times New Roman" w:cs="David"/>
      <w:noProof/>
      <w:sz w:val="24"/>
      <w:szCs w:val="24"/>
    </w:rPr>
  </w:style>
  <w:style w:type="paragraph" w:styleId="a5">
    <w:name w:val="footer"/>
    <w:basedOn w:val="a"/>
    <w:link w:val="a6"/>
    <w:rsid w:val="00D968FB"/>
    <w:pPr>
      <w:tabs>
        <w:tab w:val="center" w:pos="4153"/>
        <w:tab w:val="right" w:pos="8306"/>
      </w:tabs>
    </w:pPr>
  </w:style>
  <w:style w:type="character" w:customStyle="1" w:styleId="a6">
    <w:name w:val="כותרת תחתונה תו"/>
    <w:link w:val="a5"/>
    <w:rsid w:val="00D968FB"/>
    <w:rPr>
      <w:rFonts w:ascii="Times New Roman" w:eastAsia="Times New Roman" w:hAnsi="Times New Roman" w:cs="David"/>
      <w:noProof/>
      <w:sz w:val="24"/>
      <w:szCs w:val="24"/>
    </w:rPr>
  </w:style>
  <w:style w:type="table" w:styleId="a7">
    <w:name w:val="Table Grid"/>
    <w:basedOn w:val="a1"/>
    <w:rsid w:val="00D968F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968FB"/>
  </w:style>
  <w:style w:type="paragraph" w:customStyle="1" w:styleId="ListParagraph">
    <w:name w:val="List Paragraph"/>
    <w:basedOn w:val="a"/>
    <w:rsid w:val="00D968FB"/>
    <w:pPr>
      <w:spacing w:after="160" w:line="360" w:lineRule="auto"/>
      <w:ind w:left="720" w:hanging="357"/>
      <w:contextualSpacing/>
      <w:jc w:val="both"/>
    </w:pPr>
    <w:rPr>
      <w:rFonts w:ascii="Calibri" w:eastAsia="Calibri" w:hAnsi="Calibri"/>
      <w:noProof w:val="0"/>
    </w:rPr>
  </w:style>
  <w:style w:type="character" w:styleId="Hyperlink">
    <w:name w:val="Hyperlink"/>
    <w:rsid w:val="008F15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4813397" TargetMode="External"/><Relationship Id="rId39" Type="http://schemas.openxmlformats.org/officeDocument/2006/relationships/hyperlink" Target="http://www.nevo.co.il/case/17941073" TargetMode="External"/><Relationship Id="rId21" Type="http://schemas.openxmlformats.org/officeDocument/2006/relationships/hyperlink" Target="http://www.nevo.co.il/case/5573417" TargetMode="External"/><Relationship Id="rId34" Type="http://schemas.openxmlformats.org/officeDocument/2006/relationships/hyperlink" Target="http://www.nevo.co.il/case/4813397" TargetMode="External"/><Relationship Id="rId42" Type="http://schemas.openxmlformats.org/officeDocument/2006/relationships/hyperlink" Target="http://www.nevo.co.il/case/21474168" TargetMode="External"/><Relationship Id="rId47" Type="http://schemas.openxmlformats.org/officeDocument/2006/relationships/hyperlink" Target="http://www.nevo.co.il/law/70301"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2505600"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0462735" TargetMode="External"/><Relationship Id="rId37" Type="http://schemas.openxmlformats.org/officeDocument/2006/relationships/hyperlink" Target="http://www.nevo.co.il/case/20044439" TargetMode="External"/><Relationship Id="rId40" Type="http://schemas.openxmlformats.org/officeDocument/2006/relationships/hyperlink" Target="http://www.nevo.co.il/case/5880417" TargetMode="External"/><Relationship Id="rId45" Type="http://schemas.openxmlformats.org/officeDocument/2006/relationships/hyperlink" Target="http://www.nevo.co.il/law/70301"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0459111" TargetMode="External"/><Relationship Id="rId44" Type="http://schemas.openxmlformats.org/officeDocument/2006/relationships/hyperlink" Target="http://www.nevo.co.il/law/70301/40c.b"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9.a" TargetMode="External"/><Relationship Id="rId14" Type="http://schemas.openxmlformats.org/officeDocument/2006/relationships/hyperlink" Target="http://www.nevo.co.il/law/70301/40ja.3"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20881083" TargetMode="External"/><Relationship Id="rId30" Type="http://schemas.openxmlformats.org/officeDocument/2006/relationships/hyperlink" Target="http://www.nevo.co.il/case/20685141" TargetMode="External"/><Relationship Id="rId35" Type="http://schemas.openxmlformats.org/officeDocument/2006/relationships/hyperlink" Target="http://www.nevo.co.il/case/6556697" TargetMode="External"/><Relationship Id="rId43" Type="http://schemas.openxmlformats.org/officeDocument/2006/relationships/hyperlink" Target="http://www.nevo.co.il/case/6824952" TargetMode="External"/><Relationship Id="rId48" Type="http://schemas.openxmlformats.org/officeDocument/2006/relationships/hyperlink" Target="http://www.nevo.co.il/law/4216" TargetMode="External"/><Relationship Id="rId8" Type="http://schemas.openxmlformats.org/officeDocument/2006/relationships/hyperlink" Target="http://www.nevo.co.il/law/4216/6"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4216/9.a" TargetMode="External"/><Relationship Id="rId25" Type="http://schemas.openxmlformats.org/officeDocument/2006/relationships/hyperlink" Target="http://www.nevo.co.il/case/18119161" TargetMode="External"/><Relationship Id="rId33" Type="http://schemas.openxmlformats.org/officeDocument/2006/relationships/hyperlink" Target="http://www.nevo.co.il/case/20992814" TargetMode="External"/><Relationship Id="rId38" Type="http://schemas.openxmlformats.org/officeDocument/2006/relationships/hyperlink" Target="http://www.nevo.co.il/case/18055940" TargetMode="External"/><Relationship Id="rId46" Type="http://schemas.openxmlformats.org/officeDocument/2006/relationships/hyperlink" Target="http://www.nevo.co.il/law/70301/40ja.3"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6032057"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883490" TargetMode="External"/><Relationship Id="rId36" Type="http://schemas.openxmlformats.org/officeDocument/2006/relationships/hyperlink" Target="http://www.nevo.co.il/case/20713880"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3865</Words>
  <Characters>19325</Characters>
  <Application>Microsoft Office Word</Application>
  <DocSecurity>0</DocSecurity>
  <Lines>161</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23144</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8257637</vt:i4>
      </vt:variant>
      <vt:variant>
        <vt:i4>123</vt:i4>
      </vt:variant>
      <vt:variant>
        <vt:i4>0</vt:i4>
      </vt:variant>
      <vt:variant>
        <vt:i4>5</vt:i4>
      </vt:variant>
      <vt:variant>
        <vt:lpwstr>http://www.nevo.co.il/law/4216</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3604517</vt:i4>
      </vt:variant>
      <vt:variant>
        <vt:i4>117</vt:i4>
      </vt:variant>
      <vt:variant>
        <vt:i4>0</vt:i4>
      </vt:variant>
      <vt:variant>
        <vt:i4>5</vt:i4>
      </vt:variant>
      <vt:variant>
        <vt:lpwstr>http://www.nevo.co.il/law/70301/40ja.3</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4915202</vt:i4>
      </vt:variant>
      <vt:variant>
        <vt:i4>111</vt:i4>
      </vt:variant>
      <vt:variant>
        <vt:i4>0</vt:i4>
      </vt:variant>
      <vt:variant>
        <vt:i4>5</vt:i4>
      </vt:variant>
      <vt:variant>
        <vt:lpwstr>http://www.nevo.co.il/law/70301/40c.b</vt:lpwstr>
      </vt:variant>
      <vt:variant>
        <vt:lpwstr/>
      </vt:variant>
      <vt:variant>
        <vt:i4>4128893</vt:i4>
      </vt:variant>
      <vt:variant>
        <vt:i4>108</vt:i4>
      </vt:variant>
      <vt:variant>
        <vt:i4>0</vt:i4>
      </vt:variant>
      <vt:variant>
        <vt:i4>5</vt:i4>
      </vt:variant>
      <vt:variant>
        <vt:lpwstr>http://www.nevo.co.il/case/6824952</vt:lpwstr>
      </vt:variant>
      <vt:variant>
        <vt:lpwstr/>
      </vt:variant>
      <vt:variant>
        <vt:i4>3407987</vt:i4>
      </vt:variant>
      <vt:variant>
        <vt:i4>105</vt:i4>
      </vt:variant>
      <vt:variant>
        <vt:i4>0</vt:i4>
      </vt:variant>
      <vt:variant>
        <vt:i4>5</vt:i4>
      </vt:variant>
      <vt:variant>
        <vt:lpwstr>http://www.nevo.co.il/case/21474168</vt:lpwstr>
      </vt:variant>
      <vt:variant>
        <vt:lpwstr/>
      </vt:variant>
      <vt:variant>
        <vt:i4>3276915</vt:i4>
      </vt:variant>
      <vt:variant>
        <vt:i4>102</vt:i4>
      </vt:variant>
      <vt:variant>
        <vt:i4>0</vt:i4>
      </vt:variant>
      <vt:variant>
        <vt:i4>5</vt:i4>
      </vt:variant>
      <vt:variant>
        <vt:lpwstr>http://www.nevo.co.il/case/6032057</vt:lpwstr>
      </vt:variant>
      <vt:variant>
        <vt:lpwstr/>
      </vt:variant>
      <vt:variant>
        <vt:i4>4063357</vt:i4>
      </vt:variant>
      <vt:variant>
        <vt:i4>99</vt:i4>
      </vt:variant>
      <vt:variant>
        <vt:i4>0</vt:i4>
      </vt:variant>
      <vt:variant>
        <vt:i4>5</vt:i4>
      </vt:variant>
      <vt:variant>
        <vt:lpwstr>http://www.nevo.co.il/case/5880417</vt:lpwstr>
      </vt:variant>
      <vt:variant>
        <vt:lpwstr/>
      </vt:variant>
      <vt:variant>
        <vt:i4>4063351</vt:i4>
      </vt:variant>
      <vt:variant>
        <vt:i4>96</vt:i4>
      </vt:variant>
      <vt:variant>
        <vt:i4>0</vt:i4>
      </vt:variant>
      <vt:variant>
        <vt:i4>5</vt:i4>
      </vt:variant>
      <vt:variant>
        <vt:lpwstr>http://www.nevo.co.il/case/17941073</vt:lpwstr>
      </vt:variant>
      <vt:variant>
        <vt:lpwstr/>
      </vt:variant>
      <vt:variant>
        <vt:i4>3145840</vt:i4>
      </vt:variant>
      <vt:variant>
        <vt:i4>93</vt:i4>
      </vt:variant>
      <vt:variant>
        <vt:i4>0</vt:i4>
      </vt:variant>
      <vt:variant>
        <vt:i4>5</vt:i4>
      </vt:variant>
      <vt:variant>
        <vt:lpwstr>http://www.nevo.co.il/case/18055940</vt:lpwstr>
      </vt:variant>
      <vt:variant>
        <vt:lpwstr/>
      </vt:variant>
      <vt:variant>
        <vt:i4>3473524</vt:i4>
      </vt:variant>
      <vt:variant>
        <vt:i4>90</vt:i4>
      </vt:variant>
      <vt:variant>
        <vt:i4>0</vt:i4>
      </vt:variant>
      <vt:variant>
        <vt:i4>5</vt:i4>
      </vt:variant>
      <vt:variant>
        <vt:lpwstr>http://www.nevo.co.il/case/20044439</vt:lpwstr>
      </vt:variant>
      <vt:variant>
        <vt:lpwstr/>
      </vt:variant>
      <vt:variant>
        <vt:i4>4063357</vt:i4>
      </vt:variant>
      <vt:variant>
        <vt:i4>87</vt:i4>
      </vt:variant>
      <vt:variant>
        <vt:i4>0</vt:i4>
      </vt:variant>
      <vt:variant>
        <vt:i4>5</vt:i4>
      </vt:variant>
      <vt:variant>
        <vt:lpwstr>http://www.nevo.co.il/case/20713880</vt:lpwstr>
      </vt:variant>
      <vt:variant>
        <vt:lpwstr/>
      </vt:variant>
      <vt:variant>
        <vt:i4>3276926</vt:i4>
      </vt:variant>
      <vt:variant>
        <vt:i4>84</vt:i4>
      </vt:variant>
      <vt:variant>
        <vt:i4>0</vt:i4>
      </vt:variant>
      <vt:variant>
        <vt:i4>5</vt:i4>
      </vt:variant>
      <vt:variant>
        <vt:lpwstr>http://www.nevo.co.il/case/6556697</vt:lpwstr>
      </vt:variant>
      <vt:variant>
        <vt:lpwstr/>
      </vt:variant>
      <vt:variant>
        <vt:i4>3211382</vt:i4>
      </vt:variant>
      <vt:variant>
        <vt:i4>81</vt:i4>
      </vt:variant>
      <vt:variant>
        <vt:i4>0</vt:i4>
      </vt:variant>
      <vt:variant>
        <vt:i4>5</vt:i4>
      </vt:variant>
      <vt:variant>
        <vt:lpwstr>http://www.nevo.co.il/case/4813397</vt:lpwstr>
      </vt:variant>
      <vt:variant>
        <vt:lpwstr/>
      </vt:variant>
      <vt:variant>
        <vt:i4>3670133</vt:i4>
      </vt:variant>
      <vt:variant>
        <vt:i4>78</vt:i4>
      </vt:variant>
      <vt:variant>
        <vt:i4>0</vt:i4>
      </vt:variant>
      <vt:variant>
        <vt:i4>5</vt:i4>
      </vt:variant>
      <vt:variant>
        <vt:lpwstr>http://www.nevo.co.il/case/20992814</vt:lpwstr>
      </vt:variant>
      <vt:variant>
        <vt:lpwstr/>
      </vt:variant>
      <vt:variant>
        <vt:i4>3604597</vt:i4>
      </vt:variant>
      <vt:variant>
        <vt:i4>75</vt:i4>
      </vt:variant>
      <vt:variant>
        <vt:i4>0</vt:i4>
      </vt:variant>
      <vt:variant>
        <vt:i4>5</vt:i4>
      </vt:variant>
      <vt:variant>
        <vt:lpwstr>http://www.nevo.co.il/case/20462735</vt:lpwstr>
      </vt:variant>
      <vt:variant>
        <vt:lpwstr/>
      </vt:variant>
      <vt:variant>
        <vt:i4>3997808</vt:i4>
      </vt:variant>
      <vt:variant>
        <vt:i4>72</vt:i4>
      </vt:variant>
      <vt:variant>
        <vt:i4>0</vt:i4>
      </vt:variant>
      <vt:variant>
        <vt:i4>5</vt:i4>
      </vt:variant>
      <vt:variant>
        <vt:lpwstr>http://www.nevo.co.il/case/10459111</vt:lpwstr>
      </vt:variant>
      <vt:variant>
        <vt:lpwstr/>
      </vt:variant>
      <vt:variant>
        <vt:i4>3473533</vt:i4>
      </vt:variant>
      <vt:variant>
        <vt:i4>69</vt:i4>
      </vt:variant>
      <vt:variant>
        <vt:i4>0</vt:i4>
      </vt:variant>
      <vt:variant>
        <vt:i4>5</vt:i4>
      </vt:variant>
      <vt:variant>
        <vt:lpwstr>http://www.nevo.co.il/case/20685141</vt:lpwstr>
      </vt:variant>
      <vt:variant>
        <vt:lpwstr/>
      </vt:variant>
      <vt:variant>
        <vt:i4>3276912</vt:i4>
      </vt:variant>
      <vt:variant>
        <vt:i4>66</vt:i4>
      </vt:variant>
      <vt:variant>
        <vt:i4>0</vt:i4>
      </vt:variant>
      <vt:variant>
        <vt:i4>5</vt:i4>
      </vt:variant>
      <vt:variant>
        <vt:lpwstr>http://www.nevo.co.il/case/22505600</vt:lpwstr>
      </vt:variant>
      <vt:variant>
        <vt:lpwstr/>
      </vt:variant>
      <vt:variant>
        <vt:i4>3735670</vt:i4>
      </vt:variant>
      <vt:variant>
        <vt:i4>63</vt:i4>
      </vt:variant>
      <vt:variant>
        <vt:i4>0</vt:i4>
      </vt:variant>
      <vt:variant>
        <vt:i4>5</vt:i4>
      </vt:variant>
      <vt:variant>
        <vt:lpwstr>http://www.nevo.co.il/case/5883490</vt:lpwstr>
      </vt:variant>
      <vt:variant>
        <vt:lpwstr/>
      </vt:variant>
      <vt:variant>
        <vt:i4>3342460</vt:i4>
      </vt:variant>
      <vt:variant>
        <vt:i4>60</vt:i4>
      </vt:variant>
      <vt:variant>
        <vt:i4>0</vt:i4>
      </vt:variant>
      <vt:variant>
        <vt:i4>5</vt:i4>
      </vt:variant>
      <vt:variant>
        <vt:lpwstr>http://www.nevo.co.il/case/20881083</vt:lpwstr>
      </vt:variant>
      <vt:variant>
        <vt:lpwstr/>
      </vt:variant>
      <vt:variant>
        <vt:i4>3211382</vt:i4>
      </vt:variant>
      <vt:variant>
        <vt:i4>57</vt:i4>
      </vt:variant>
      <vt:variant>
        <vt:i4>0</vt:i4>
      </vt:variant>
      <vt:variant>
        <vt:i4>5</vt:i4>
      </vt:variant>
      <vt:variant>
        <vt:lpwstr>http://www.nevo.co.il/case/4813397</vt:lpwstr>
      </vt:variant>
      <vt:variant>
        <vt:lpwstr/>
      </vt:variant>
      <vt:variant>
        <vt:i4>4128892</vt:i4>
      </vt:variant>
      <vt:variant>
        <vt:i4>54</vt:i4>
      </vt:variant>
      <vt:variant>
        <vt:i4>0</vt:i4>
      </vt:variant>
      <vt:variant>
        <vt:i4>5</vt:i4>
      </vt:variant>
      <vt:variant>
        <vt:lpwstr>http://www.nevo.co.il/case/18119161</vt:lpwstr>
      </vt:variant>
      <vt:variant>
        <vt:lpwstr/>
      </vt:variant>
      <vt:variant>
        <vt:i4>8257637</vt:i4>
      </vt:variant>
      <vt:variant>
        <vt:i4>51</vt:i4>
      </vt:variant>
      <vt:variant>
        <vt:i4>0</vt:i4>
      </vt:variant>
      <vt:variant>
        <vt:i4>5</vt:i4>
      </vt:variant>
      <vt:variant>
        <vt:lpwstr>http://www.nevo.co.il/law/4216</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3211379</vt:i4>
      </vt:variant>
      <vt:variant>
        <vt:i4>42</vt:i4>
      </vt:variant>
      <vt:variant>
        <vt:i4>0</vt:i4>
      </vt:variant>
      <vt:variant>
        <vt:i4>5</vt:i4>
      </vt:variant>
      <vt:variant>
        <vt:lpwstr>http://www.nevo.co.il/case/5573417</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2490468</vt:i4>
      </vt:variant>
      <vt:variant>
        <vt:i4>30</vt:i4>
      </vt:variant>
      <vt:variant>
        <vt:i4>0</vt:i4>
      </vt:variant>
      <vt:variant>
        <vt:i4>5</vt:i4>
      </vt:variant>
      <vt:variant>
        <vt:lpwstr>http://www.nevo.co.il/law/4216/9.a</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3604517</vt:i4>
      </vt:variant>
      <vt:variant>
        <vt:i4>21</vt:i4>
      </vt:variant>
      <vt:variant>
        <vt:i4>0</vt:i4>
      </vt:variant>
      <vt:variant>
        <vt:i4>5</vt:i4>
      </vt:variant>
      <vt:variant>
        <vt:lpwstr>http://www.nevo.co.il/law/70301/40ja.3</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2490468</vt:i4>
      </vt:variant>
      <vt:variant>
        <vt:i4>6</vt:i4>
      </vt:variant>
      <vt:variant>
        <vt:i4>0</vt:i4>
      </vt:variant>
      <vt:variant>
        <vt:i4>5</vt:i4>
      </vt:variant>
      <vt:variant>
        <vt:lpwstr>http://www.nevo.co.il/law/4216/9.a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2025-04-22T22:57:00Z</dcterms:created>
  <dcterms:modified xsi:type="dcterms:W3CDTF">2025-04-22T22:57:00Z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44250;21321</vt:lpwstr>
  </property>
  <property fmtid="{D5CDD505-2E9C-101B-9397-08002B2CF9AE}" pid="6" name="NEWPARTB">
    <vt:lpwstr>12;05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תומר פיטוסי</vt:lpwstr>
  </property>
  <property fmtid="{D5CDD505-2E9C-101B-9397-08002B2CF9AE}" pid="10" name="LAWYER">
    <vt:lpwstr>לירן פרג';מאיר לחן</vt:lpwstr>
  </property>
  <property fmtid="{D5CDD505-2E9C-101B-9397-08002B2CF9AE}" pid="11" name="JUDGE">
    <vt:lpwstr>ד''ר נגה שמואלי מאייר</vt:lpwstr>
  </property>
  <property fmtid="{D5CDD505-2E9C-101B-9397-08002B2CF9AE}" pid="12" name="CITY">
    <vt:lpwstr>ק"ג</vt:lpwstr>
  </property>
  <property fmtid="{D5CDD505-2E9C-101B-9397-08002B2CF9AE}" pid="13" name="DATE">
    <vt:lpwstr>20171016</vt:lpwstr>
  </property>
  <property fmtid="{D5CDD505-2E9C-101B-9397-08002B2CF9AE}" pid="14" name="TYPE_N_DATE">
    <vt:lpwstr>38020171016</vt:lpwstr>
  </property>
  <property fmtid="{D5CDD505-2E9C-101B-9397-08002B2CF9AE}" pid="15" name="WORDNUMPAGES">
    <vt:lpwstr>9</vt:lpwstr>
  </property>
  <property fmtid="{D5CDD505-2E9C-101B-9397-08002B2CF9AE}" pid="16" name="TYPE_ABS_DATE">
    <vt:lpwstr>380020171016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5573417;18119161;4813397:2;20881083;5883490;22505600;20685141;10459111;20462735;20992814;6556697;20713880;20044439;18055940;17941073;5880417;6032057;21474168;6824952</vt:lpwstr>
  </property>
  <property fmtid="{D5CDD505-2E9C-101B-9397-08002B2CF9AE}" pid="36" name="LAWLISTTMP1">
    <vt:lpwstr>4216/006;009.a</vt:lpwstr>
  </property>
  <property fmtid="{D5CDD505-2E9C-101B-9397-08002B2CF9AE}" pid="37" name="LAWLISTTMP2">
    <vt:lpwstr>70301/275;040c.a;040c.b;40ja.3</vt:lpwstr>
  </property>
</Properties>
</file>