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E22EB" w:rsidRPr="00D75E47" w14:paraId="7757CC66" w14:textId="77777777" w:rsidTr="00E27563">
        <w:trPr>
          <w:trHeight w:hRule="exact" w:val="418"/>
          <w:jc w:val="center"/>
        </w:trPr>
        <w:tc>
          <w:tcPr>
            <w:tcW w:w="8721" w:type="dxa"/>
            <w:gridSpan w:val="2"/>
          </w:tcPr>
          <w:p w14:paraId="4CD736A2" w14:textId="77777777" w:rsidR="007E22EB" w:rsidRPr="00D75E47" w:rsidRDefault="007E22EB" w:rsidP="00D44917">
            <w:pPr>
              <w:pStyle w:val="a3"/>
              <w:jc w:val="center"/>
              <w:rPr>
                <w:rFonts w:ascii="FrankRuehl" w:hAnsi="FrankRuehl" w:cs="FrankRuehl"/>
                <w:b/>
                <w:bCs/>
                <w:color w:val="000080"/>
                <w:sz w:val="28"/>
                <w:szCs w:val="28"/>
                <w:rtl/>
              </w:rPr>
            </w:pPr>
            <w:bookmarkStart w:id="0" w:name="LastJudge"/>
            <w:r w:rsidRPr="00D75E47">
              <w:rPr>
                <w:rFonts w:ascii="FrankRuehl" w:hAnsi="FrankRuehl" w:cs="FrankRuehl"/>
                <w:b/>
                <w:bCs/>
                <w:color w:val="000080"/>
                <w:sz w:val="28"/>
                <w:szCs w:val="28"/>
                <w:rtl/>
              </w:rPr>
              <w:t>בית משפט השלום בירושלים</w:t>
            </w:r>
          </w:p>
        </w:tc>
      </w:tr>
      <w:tr w:rsidR="007E22EB" w:rsidRPr="00D75E47" w14:paraId="4E93727D" w14:textId="77777777" w:rsidTr="00E27563">
        <w:trPr>
          <w:trHeight w:val="337"/>
          <w:jc w:val="center"/>
        </w:trPr>
        <w:tc>
          <w:tcPr>
            <w:tcW w:w="5054" w:type="dxa"/>
          </w:tcPr>
          <w:p w14:paraId="7E49664D" w14:textId="77777777" w:rsidR="007E22EB" w:rsidRPr="00D75E47" w:rsidRDefault="007E22EB" w:rsidP="00D44917">
            <w:pPr>
              <w:rPr>
                <w:rFonts w:ascii="FrankRuehl" w:hAnsi="FrankRuehl" w:cs="FrankRuehl"/>
                <w:b/>
                <w:bCs/>
                <w:sz w:val="28"/>
                <w:szCs w:val="28"/>
                <w:rtl/>
              </w:rPr>
            </w:pPr>
            <w:r w:rsidRPr="00D75E47">
              <w:rPr>
                <w:rFonts w:ascii="FrankRuehl" w:hAnsi="FrankRuehl" w:cs="FrankRuehl"/>
                <w:b/>
                <w:bCs/>
                <w:sz w:val="28"/>
                <w:szCs w:val="28"/>
                <w:rtl/>
              </w:rPr>
              <w:t>ת"פ 46460-12-15 מדינת ישראל נ' בן ברוך</w:t>
            </w:r>
          </w:p>
          <w:p w14:paraId="60E6A4E9" w14:textId="77777777" w:rsidR="007E22EB" w:rsidRPr="00D75E47" w:rsidRDefault="007E22EB" w:rsidP="00D44917">
            <w:pPr>
              <w:pStyle w:val="a3"/>
              <w:rPr>
                <w:rFonts w:ascii="FrankRuehl" w:hAnsi="FrankRuehl" w:cs="FrankRuehl"/>
                <w:b/>
                <w:bCs/>
                <w:sz w:val="28"/>
                <w:szCs w:val="28"/>
                <w:rtl/>
              </w:rPr>
            </w:pPr>
          </w:p>
        </w:tc>
        <w:tc>
          <w:tcPr>
            <w:tcW w:w="3667" w:type="dxa"/>
          </w:tcPr>
          <w:p w14:paraId="0B51721D" w14:textId="77777777" w:rsidR="007E22EB" w:rsidRPr="00D75E47" w:rsidRDefault="007E22EB" w:rsidP="00D44917">
            <w:pPr>
              <w:pStyle w:val="a3"/>
              <w:jc w:val="right"/>
              <w:rPr>
                <w:rFonts w:ascii="FrankRuehl" w:hAnsi="FrankRuehl" w:cs="FrankRuehl"/>
                <w:b/>
                <w:bCs/>
                <w:sz w:val="28"/>
                <w:szCs w:val="28"/>
                <w:rtl/>
              </w:rPr>
            </w:pPr>
          </w:p>
        </w:tc>
      </w:tr>
    </w:tbl>
    <w:p w14:paraId="099C08D8" w14:textId="77777777" w:rsidR="007E22EB" w:rsidRPr="00D75E47" w:rsidRDefault="007E22EB" w:rsidP="007E22EB">
      <w:pPr>
        <w:pStyle w:val="a3"/>
        <w:rPr>
          <w:rFonts w:ascii="FrankRuehl" w:hAnsi="FrankRuehl" w:cs="FrankRuehl"/>
          <w:b/>
          <w:bCs/>
          <w:sz w:val="28"/>
          <w:szCs w:val="28"/>
          <w:rtl/>
        </w:rPr>
      </w:pPr>
      <w:r w:rsidRPr="00D75E47">
        <w:rPr>
          <w:rFonts w:ascii="FrankRuehl" w:hAnsi="FrankRuehl" w:cs="FrankRuehl"/>
          <w:b/>
          <w:bCs/>
          <w:sz w:val="28"/>
          <w:szCs w:val="28"/>
          <w:rtl/>
        </w:rPr>
        <w:t xml:space="preserve"> </w:t>
      </w:r>
    </w:p>
    <w:p w14:paraId="420BFB5E" w14:textId="77777777" w:rsidR="007E22EB" w:rsidRPr="00D75E47" w:rsidRDefault="007E22EB" w:rsidP="007E22EB">
      <w:pPr>
        <w:rPr>
          <w:rtl/>
        </w:rPr>
      </w:pPr>
    </w:p>
    <w:p w14:paraId="60B72821" w14:textId="77777777" w:rsidR="007E22EB" w:rsidRPr="00D75E47" w:rsidRDefault="007E22EB" w:rsidP="007E22E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22EB" w:rsidRPr="00D75E47" w14:paraId="1D9DBDB5" w14:textId="77777777" w:rsidTr="007E22EB">
        <w:trPr>
          <w:trHeight w:val="295"/>
          <w:jc w:val="center"/>
        </w:trPr>
        <w:tc>
          <w:tcPr>
            <w:tcW w:w="923" w:type="dxa"/>
            <w:tcBorders>
              <w:top w:val="nil"/>
              <w:left w:val="nil"/>
              <w:bottom w:val="nil"/>
              <w:right w:val="nil"/>
            </w:tcBorders>
            <w:shd w:val="clear" w:color="auto" w:fill="auto"/>
          </w:tcPr>
          <w:p w14:paraId="6D8B51CD" w14:textId="77777777" w:rsidR="007E22EB" w:rsidRPr="00D75E47" w:rsidRDefault="007E22EB" w:rsidP="007E22EB">
            <w:pPr>
              <w:jc w:val="both"/>
              <w:rPr>
                <w:rFonts w:ascii="FrankRuehl" w:hAnsi="FrankRuehl" w:cs="FrankRuehl"/>
                <w:b/>
                <w:bCs/>
                <w:sz w:val="28"/>
                <w:szCs w:val="28"/>
              </w:rPr>
            </w:pPr>
            <w:r w:rsidRPr="00D75E47">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14CE212F" w14:textId="77777777" w:rsidR="007E22EB" w:rsidRPr="00D75E47" w:rsidRDefault="007E22EB" w:rsidP="00D44917">
            <w:pPr>
              <w:rPr>
                <w:rFonts w:ascii="FrankRuehl" w:hAnsi="FrankRuehl" w:cs="FrankRuehl"/>
                <w:b/>
                <w:bCs/>
                <w:sz w:val="28"/>
                <w:szCs w:val="28"/>
                <w:rtl/>
              </w:rPr>
            </w:pPr>
            <w:r w:rsidRPr="00D75E47">
              <w:rPr>
                <w:rFonts w:ascii="FrankRuehl" w:hAnsi="FrankRuehl" w:cs="FrankRuehl"/>
                <w:b/>
                <w:bCs/>
                <w:sz w:val="28"/>
                <w:szCs w:val="28"/>
                <w:rtl/>
              </w:rPr>
              <w:t>כבוד השופט  דוד שאול גבאי ריכטר</w:t>
            </w:r>
          </w:p>
          <w:p w14:paraId="42DBB75B" w14:textId="77777777" w:rsidR="007E22EB" w:rsidRPr="00D75E47" w:rsidRDefault="007E22EB" w:rsidP="00D44917">
            <w:pPr>
              <w:rPr>
                <w:rFonts w:ascii="FrankRuehl" w:hAnsi="FrankRuehl" w:cs="FrankRuehl"/>
                <w:b/>
                <w:bCs/>
                <w:sz w:val="28"/>
                <w:szCs w:val="28"/>
                <w:rtl/>
              </w:rPr>
            </w:pPr>
          </w:p>
          <w:p w14:paraId="0215E924" w14:textId="77777777" w:rsidR="007E22EB" w:rsidRPr="00D75E47" w:rsidRDefault="007E22EB" w:rsidP="007E22EB">
            <w:pPr>
              <w:jc w:val="both"/>
              <w:rPr>
                <w:rFonts w:ascii="FrankRuehl" w:hAnsi="FrankRuehl" w:cs="FrankRuehl"/>
                <w:b/>
                <w:bCs/>
                <w:sz w:val="28"/>
                <w:szCs w:val="28"/>
              </w:rPr>
            </w:pPr>
          </w:p>
        </w:tc>
      </w:tr>
      <w:tr w:rsidR="007E22EB" w:rsidRPr="00D75E47" w14:paraId="59D2DCCC" w14:textId="77777777" w:rsidTr="007E22EB">
        <w:trPr>
          <w:trHeight w:val="355"/>
          <w:jc w:val="center"/>
        </w:trPr>
        <w:tc>
          <w:tcPr>
            <w:tcW w:w="923" w:type="dxa"/>
            <w:tcBorders>
              <w:top w:val="nil"/>
              <w:left w:val="nil"/>
              <w:bottom w:val="nil"/>
              <w:right w:val="nil"/>
            </w:tcBorders>
            <w:shd w:val="clear" w:color="auto" w:fill="auto"/>
          </w:tcPr>
          <w:p w14:paraId="47838200" w14:textId="77777777" w:rsidR="007E22EB" w:rsidRPr="00D75E47" w:rsidRDefault="007E22EB" w:rsidP="007E22EB">
            <w:pPr>
              <w:jc w:val="both"/>
              <w:rPr>
                <w:rFonts w:ascii="FrankRuehl" w:hAnsi="FrankRuehl" w:cs="FrankRuehl"/>
                <w:b/>
                <w:bCs/>
                <w:sz w:val="28"/>
                <w:szCs w:val="28"/>
              </w:rPr>
            </w:pPr>
            <w:bookmarkStart w:id="1" w:name="FirstAppellant"/>
            <w:r w:rsidRPr="00D75E47">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1B1F2227" w14:textId="77777777" w:rsidR="007E22EB" w:rsidRPr="00D75E47" w:rsidRDefault="007E22EB" w:rsidP="00D44917">
            <w:pPr>
              <w:rPr>
                <w:rFonts w:ascii="FrankRuehl" w:hAnsi="FrankRuehl" w:cs="FrankRuehl"/>
                <w:b/>
                <w:bCs/>
                <w:sz w:val="28"/>
                <w:szCs w:val="28"/>
              </w:rPr>
            </w:pPr>
            <w:r w:rsidRPr="00D75E47">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146DF814" w14:textId="77777777" w:rsidR="007E22EB" w:rsidRPr="00D75E47" w:rsidRDefault="007E22EB" w:rsidP="007E22EB">
            <w:pPr>
              <w:jc w:val="both"/>
              <w:rPr>
                <w:rFonts w:ascii="FrankRuehl" w:hAnsi="FrankRuehl" w:cs="FrankRuehl"/>
                <w:b/>
                <w:bCs/>
                <w:sz w:val="28"/>
                <w:szCs w:val="28"/>
              </w:rPr>
            </w:pPr>
          </w:p>
        </w:tc>
      </w:tr>
      <w:bookmarkEnd w:id="1"/>
      <w:tr w:rsidR="007E22EB" w:rsidRPr="00D75E47" w14:paraId="092905BF" w14:textId="77777777" w:rsidTr="007E22EB">
        <w:trPr>
          <w:trHeight w:val="355"/>
          <w:jc w:val="center"/>
        </w:trPr>
        <w:tc>
          <w:tcPr>
            <w:tcW w:w="923" w:type="dxa"/>
            <w:tcBorders>
              <w:top w:val="nil"/>
              <w:left w:val="nil"/>
              <w:bottom w:val="nil"/>
              <w:right w:val="nil"/>
            </w:tcBorders>
            <w:shd w:val="clear" w:color="auto" w:fill="auto"/>
          </w:tcPr>
          <w:p w14:paraId="096D6D88" w14:textId="77777777" w:rsidR="007E22EB" w:rsidRPr="00D75E47" w:rsidRDefault="007E22EB" w:rsidP="007E22EB">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60FB1B4" w14:textId="77777777" w:rsidR="007E22EB" w:rsidRPr="00D75E47" w:rsidRDefault="007E22EB" w:rsidP="007E22EB">
            <w:pPr>
              <w:jc w:val="both"/>
              <w:rPr>
                <w:rFonts w:ascii="FrankRuehl" w:hAnsi="FrankRuehl" w:cs="FrankRuehl"/>
                <w:b/>
                <w:bCs/>
                <w:sz w:val="28"/>
                <w:szCs w:val="28"/>
                <w:rtl/>
              </w:rPr>
            </w:pPr>
            <w:r w:rsidRPr="00D75E47">
              <w:rPr>
                <w:rFonts w:ascii="FrankRuehl" w:hAnsi="FrankRuehl" w:cs="FrankRuehl" w:hint="cs"/>
                <w:b/>
                <w:bCs/>
                <w:sz w:val="28"/>
                <w:szCs w:val="28"/>
                <w:rtl/>
              </w:rPr>
              <w:t>תביעות ירושלים</w:t>
            </w:r>
          </w:p>
        </w:tc>
        <w:tc>
          <w:tcPr>
            <w:tcW w:w="3771" w:type="dxa"/>
            <w:tcBorders>
              <w:top w:val="nil"/>
              <w:left w:val="nil"/>
              <w:bottom w:val="nil"/>
              <w:right w:val="nil"/>
            </w:tcBorders>
            <w:shd w:val="clear" w:color="auto" w:fill="auto"/>
          </w:tcPr>
          <w:p w14:paraId="6321222D" w14:textId="77777777" w:rsidR="007E22EB" w:rsidRPr="00D75E47" w:rsidRDefault="007E22EB" w:rsidP="007E22EB">
            <w:pPr>
              <w:jc w:val="right"/>
              <w:rPr>
                <w:rFonts w:ascii="FrankRuehl" w:hAnsi="FrankRuehl" w:cs="FrankRuehl"/>
                <w:b/>
                <w:bCs/>
                <w:sz w:val="28"/>
                <w:szCs w:val="28"/>
                <w:rtl/>
              </w:rPr>
            </w:pPr>
            <w:r w:rsidRPr="00D75E47">
              <w:rPr>
                <w:rFonts w:ascii="FrankRuehl" w:hAnsi="FrankRuehl" w:cs="FrankRuehl"/>
                <w:b/>
                <w:bCs/>
                <w:sz w:val="28"/>
                <w:szCs w:val="28"/>
                <w:rtl/>
              </w:rPr>
              <w:t>המאשימה</w:t>
            </w:r>
          </w:p>
        </w:tc>
      </w:tr>
      <w:tr w:rsidR="007E22EB" w:rsidRPr="00D75E47" w14:paraId="0701A207" w14:textId="77777777" w:rsidTr="007E22EB">
        <w:trPr>
          <w:trHeight w:val="355"/>
          <w:jc w:val="center"/>
        </w:trPr>
        <w:tc>
          <w:tcPr>
            <w:tcW w:w="923" w:type="dxa"/>
            <w:tcBorders>
              <w:top w:val="nil"/>
              <w:left w:val="nil"/>
              <w:bottom w:val="nil"/>
              <w:right w:val="nil"/>
            </w:tcBorders>
            <w:shd w:val="clear" w:color="auto" w:fill="auto"/>
          </w:tcPr>
          <w:p w14:paraId="05CE2B5C" w14:textId="77777777" w:rsidR="007E22EB" w:rsidRPr="00D75E47" w:rsidRDefault="007E22EB" w:rsidP="007E22EB">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1621A06" w14:textId="77777777" w:rsidR="007E22EB" w:rsidRPr="00D75E47" w:rsidRDefault="007E22EB" w:rsidP="007E22EB">
            <w:pPr>
              <w:jc w:val="center"/>
              <w:rPr>
                <w:rFonts w:ascii="FrankRuehl" w:hAnsi="FrankRuehl" w:cs="FrankRuehl"/>
                <w:b/>
                <w:bCs/>
                <w:sz w:val="28"/>
                <w:szCs w:val="28"/>
                <w:rtl/>
              </w:rPr>
            </w:pPr>
          </w:p>
          <w:p w14:paraId="3B8D3B76" w14:textId="77777777" w:rsidR="007E22EB" w:rsidRPr="00D75E47" w:rsidRDefault="007E22EB" w:rsidP="007E22EB">
            <w:pPr>
              <w:jc w:val="center"/>
              <w:rPr>
                <w:rFonts w:ascii="FrankRuehl" w:hAnsi="FrankRuehl" w:cs="FrankRuehl"/>
                <w:b/>
                <w:bCs/>
                <w:sz w:val="28"/>
                <w:szCs w:val="28"/>
                <w:rtl/>
              </w:rPr>
            </w:pPr>
            <w:r w:rsidRPr="00D75E47">
              <w:rPr>
                <w:rFonts w:ascii="FrankRuehl" w:hAnsi="FrankRuehl" w:cs="FrankRuehl"/>
                <w:b/>
                <w:bCs/>
                <w:sz w:val="28"/>
                <w:szCs w:val="28"/>
                <w:rtl/>
              </w:rPr>
              <w:t>נגד</w:t>
            </w:r>
          </w:p>
          <w:p w14:paraId="342EEB32" w14:textId="77777777" w:rsidR="007E22EB" w:rsidRPr="00D75E47" w:rsidRDefault="007E22EB" w:rsidP="007E22EB">
            <w:pPr>
              <w:jc w:val="both"/>
              <w:rPr>
                <w:rFonts w:ascii="FrankRuehl" w:hAnsi="FrankRuehl" w:cs="FrankRuehl"/>
                <w:b/>
                <w:bCs/>
                <w:sz w:val="28"/>
                <w:szCs w:val="28"/>
              </w:rPr>
            </w:pPr>
          </w:p>
        </w:tc>
      </w:tr>
      <w:tr w:rsidR="007E22EB" w:rsidRPr="00D75E47" w14:paraId="42108E32" w14:textId="77777777" w:rsidTr="007E22EB">
        <w:trPr>
          <w:trHeight w:val="355"/>
          <w:jc w:val="center"/>
        </w:trPr>
        <w:tc>
          <w:tcPr>
            <w:tcW w:w="923" w:type="dxa"/>
            <w:tcBorders>
              <w:top w:val="nil"/>
              <w:left w:val="nil"/>
              <w:bottom w:val="nil"/>
              <w:right w:val="nil"/>
            </w:tcBorders>
            <w:shd w:val="clear" w:color="auto" w:fill="auto"/>
          </w:tcPr>
          <w:p w14:paraId="64B1973F" w14:textId="77777777" w:rsidR="007E22EB" w:rsidRPr="00D75E47" w:rsidRDefault="007E22EB" w:rsidP="00D44917">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C042847" w14:textId="77777777" w:rsidR="007E22EB" w:rsidRPr="00D75E47" w:rsidRDefault="007E22EB" w:rsidP="00D44917">
            <w:pPr>
              <w:rPr>
                <w:rFonts w:ascii="FrankRuehl" w:hAnsi="FrankRuehl" w:cs="FrankRuehl"/>
                <w:b/>
                <w:bCs/>
                <w:sz w:val="28"/>
                <w:szCs w:val="28"/>
                <w:rtl/>
              </w:rPr>
            </w:pPr>
            <w:r w:rsidRPr="00D75E47">
              <w:rPr>
                <w:rFonts w:ascii="FrankRuehl" w:hAnsi="FrankRuehl" w:cs="FrankRuehl"/>
                <w:b/>
                <w:bCs/>
                <w:sz w:val="28"/>
                <w:szCs w:val="28"/>
                <w:rtl/>
              </w:rPr>
              <w:t>שמואל עמרם בן ברוך</w:t>
            </w:r>
          </w:p>
        </w:tc>
        <w:tc>
          <w:tcPr>
            <w:tcW w:w="3771" w:type="dxa"/>
            <w:tcBorders>
              <w:top w:val="nil"/>
              <w:left w:val="nil"/>
              <w:bottom w:val="nil"/>
              <w:right w:val="nil"/>
            </w:tcBorders>
            <w:shd w:val="clear" w:color="auto" w:fill="auto"/>
          </w:tcPr>
          <w:p w14:paraId="1689DDD9" w14:textId="77777777" w:rsidR="007E22EB" w:rsidRPr="00D75E47" w:rsidRDefault="007E22EB" w:rsidP="007E22EB">
            <w:pPr>
              <w:jc w:val="right"/>
              <w:rPr>
                <w:rFonts w:ascii="FrankRuehl" w:hAnsi="FrankRuehl" w:cs="FrankRuehl"/>
                <w:b/>
                <w:bCs/>
                <w:sz w:val="28"/>
                <w:szCs w:val="28"/>
              </w:rPr>
            </w:pPr>
          </w:p>
        </w:tc>
      </w:tr>
      <w:tr w:rsidR="007E22EB" w:rsidRPr="00D75E47" w14:paraId="61455CA9" w14:textId="77777777" w:rsidTr="007E22EB">
        <w:trPr>
          <w:trHeight w:val="355"/>
          <w:jc w:val="center"/>
        </w:trPr>
        <w:tc>
          <w:tcPr>
            <w:tcW w:w="923" w:type="dxa"/>
            <w:tcBorders>
              <w:top w:val="nil"/>
              <w:left w:val="nil"/>
              <w:bottom w:val="nil"/>
              <w:right w:val="nil"/>
            </w:tcBorders>
            <w:shd w:val="clear" w:color="auto" w:fill="auto"/>
          </w:tcPr>
          <w:p w14:paraId="102BEF21" w14:textId="77777777" w:rsidR="007E22EB" w:rsidRPr="00D75E47" w:rsidRDefault="007E22EB" w:rsidP="007E22EB">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00818C19" w14:textId="77777777" w:rsidR="007E22EB" w:rsidRPr="00D75E47" w:rsidRDefault="007E22EB" w:rsidP="007E22EB">
            <w:pPr>
              <w:jc w:val="both"/>
              <w:rPr>
                <w:rFonts w:ascii="FrankRuehl" w:hAnsi="FrankRuehl" w:cs="FrankRuehl"/>
                <w:b/>
                <w:bCs/>
                <w:sz w:val="28"/>
                <w:szCs w:val="28"/>
                <w:rtl/>
              </w:rPr>
            </w:pPr>
            <w:r w:rsidRPr="00D75E47">
              <w:rPr>
                <w:rFonts w:ascii="FrankRuehl" w:hAnsi="FrankRuehl" w:cs="FrankRuehl" w:hint="cs"/>
                <w:b/>
                <w:bCs/>
                <w:sz w:val="28"/>
                <w:szCs w:val="28"/>
                <w:rtl/>
              </w:rPr>
              <w:t>ע"י ב"כ עו"ד מוריה ששון</w:t>
            </w:r>
          </w:p>
        </w:tc>
        <w:tc>
          <w:tcPr>
            <w:tcW w:w="3771" w:type="dxa"/>
            <w:tcBorders>
              <w:top w:val="nil"/>
              <w:left w:val="nil"/>
              <w:bottom w:val="nil"/>
              <w:right w:val="nil"/>
            </w:tcBorders>
            <w:shd w:val="clear" w:color="auto" w:fill="auto"/>
          </w:tcPr>
          <w:p w14:paraId="04E85D06" w14:textId="77777777" w:rsidR="007E22EB" w:rsidRPr="00D75E47" w:rsidRDefault="007E22EB" w:rsidP="007E22EB">
            <w:pPr>
              <w:jc w:val="right"/>
              <w:rPr>
                <w:rFonts w:ascii="FrankRuehl" w:hAnsi="FrankRuehl" w:cs="FrankRuehl"/>
                <w:b/>
                <w:bCs/>
                <w:sz w:val="28"/>
                <w:szCs w:val="28"/>
              </w:rPr>
            </w:pPr>
            <w:r w:rsidRPr="00D75E47">
              <w:rPr>
                <w:rFonts w:ascii="FrankRuehl" w:hAnsi="FrankRuehl" w:cs="FrankRuehl"/>
                <w:b/>
                <w:bCs/>
                <w:sz w:val="28"/>
                <w:szCs w:val="28"/>
                <w:rtl/>
              </w:rPr>
              <w:t>הנאשם</w:t>
            </w:r>
          </w:p>
        </w:tc>
      </w:tr>
      <w:bookmarkEnd w:id="2"/>
    </w:tbl>
    <w:p w14:paraId="3D00AE8C" w14:textId="77777777" w:rsidR="00D75E47" w:rsidRPr="00D75E47" w:rsidRDefault="00D75E47" w:rsidP="00D75E47">
      <w:pPr>
        <w:spacing w:before="120" w:after="120" w:line="240" w:lineRule="exact"/>
        <w:ind w:left="283" w:hanging="283"/>
        <w:jc w:val="both"/>
        <w:rPr>
          <w:rFonts w:ascii="FrankRuehl" w:hAnsi="FrankRuehl" w:cs="FrankRuehl"/>
          <w:rtl/>
        </w:rPr>
      </w:pPr>
    </w:p>
    <w:p w14:paraId="5E3501B5" w14:textId="77777777" w:rsidR="00E27563" w:rsidRPr="00E27563" w:rsidRDefault="00E27563" w:rsidP="00E27563">
      <w:pPr>
        <w:spacing w:before="120" w:after="120" w:line="240" w:lineRule="exact"/>
        <w:ind w:left="283" w:hanging="283"/>
        <w:jc w:val="both"/>
        <w:rPr>
          <w:rFonts w:ascii="FrankRuehl" w:hAnsi="FrankRuehl" w:cs="FrankRuehl"/>
          <w:rtl/>
        </w:rPr>
      </w:pPr>
      <w:bookmarkStart w:id="3" w:name="LawTable"/>
      <w:bookmarkEnd w:id="3"/>
    </w:p>
    <w:p w14:paraId="328F5638" w14:textId="77777777" w:rsidR="00E27563" w:rsidRPr="00E27563" w:rsidRDefault="00E27563" w:rsidP="00E27563">
      <w:pPr>
        <w:spacing w:before="120" w:after="120" w:line="240" w:lineRule="exact"/>
        <w:ind w:left="283" w:hanging="283"/>
        <w:jc w:val="both"/>
        <w:rPr>
          <w:rFonts w:ascii="FrankRuehl" w:hAnsi="FrankRuehl" w:cs="FrankRuehl"/>
          <w:rtl/>
        </w:rPr>
      </w:pPr>
      <w:r w:rsidRPr="00E27563">
        <w:rPr>
          <w:rFonts w:ascii="FrankRuehl" w:hAnsi="FrankRuehl" w:cs="FrankRuehl"/>
          <w:rtl/>
        </w:rPr>
        <w:t xml:space="preserve">חקיקה שאוזכרה: </w:t>
      </w:r>
    </w:p>
    <w:p w14:paraId="3FEB778A" w14:textId="77777777" w:rsidR="00E27563" w:rsidRPr="00E27563" w:rsidRDefault="00E27563" w:rsidP="00E27563">
      <w:pPr>
        <w:spacing w:before="120" w:after="120" w:line="240" w:lineRule="exact"/>
        <w:ind w:left="283" w:hanging="283"/>
        <w:jc w:val="both"/>
        <w:rPr>
          <w:rFonts w:ascii="FrankRuehl" w:hAnsi="FrankRuehl" w:cs="FrankRuehl"/>
          <w:color w:val="0000FF"/>
          <w:u w:val="single"/>
          <w:rtl/>
        </w:rPr>
      </w:pPr>
      <w:hyperlink r:id="rId7" w:history="1">
        <w:r w:rsidRPr="00E27563">
          <w:rPr>
            <w:rStyle w:val="Hyperlink"/>
            <w:rFonts w:ascii="FrankRuehl" w:hAnsi="FrankRuehl" w:cs="FrankRuehl"/>
            <w:rtl/>
          </w:rPr>
          <w:t>פקודת הסמים המסוכנים [נוסח חדש], תשל"ג-1973</w:t>
        </w:r>
      </w:hyperlink>
      <w:r w:rsidRPr="00E27563">
        <w:rPr>
          <w:rFonts w:ascii="FrankRuehl" w:hAnsi="FrankRuehl" w:cs="FrankRuehl"/>
          <w:color w:val="0000FF"/>
          <w:u w:val="single"/>
          <w:rtl/>
        </w:rPr>
        <w:t xml:space="preserve">: סע'  </w:t>
      </w:r>
      <w:hyperlink r:id="rId8" w:history="1">
        <w:r w:rsidRPr="00E27563">
          <w:rPr>
            <w:rStyle w:val="Hyperlink"/>
            <w:rFonts w:ascii="FrankRuehl" w:hAnsi="FrankRuehl" w:cs="FrankRuehl"/>
          </w:rPr>
          <w:t>7.</w:t>
        </w:r>
        <w:r w:rsidRPr="00E27563">
          <w:rPr>
            <w:rStyle w:val="Hyperlink"/>
            <w:rFonts w:ascii="FrankRuehl" w:hAnsi="FrankRuehl" w:cs="FrankRuehl"/>
            <w:rtl/>
          </w:rPr>
          <w:t>א</w:t>
        </w:r>
        <w:r w:rsidRPr="00E27563">
          <w:rPr>
            <w:rStyle w:val="Hyperlink"/>
            <w:rFonts w:ascii="FrankRuehl" w:hAnsi="FrankRuehl" w:cs="FrankRuehl"/>
          </w:rPr>
          <w:t>.</w:t>
        </w:r>
      </w:hyperlink>
      <w:r w:rsidRPr="00E27563">
        <w:rPr>
          <w:rFonts w:ascii="FrankRuehl" w:hAnsi="FrankRuehl" w:cs="FrankRuehl"/>
          <w:color w:val="0000FF"/>
          <w:u w:val="single"/>
          <w:rtl/>
        </w:rPr>
        <w:t xml:space="preserve">, </w:t>
      </w:r>
      <w:hyperlink r:id="rId9" w:history="1">
        <w:r w:rsidRPr="00E27563">
          <w:rPr>
            <w:rStyle w:val="Hyperlink"/>
            <w:rFonts w:ascii="FrankRuehl" w:hAnsi="FrankRuehl" w:cs="FrankRuehl"/>
          </w:rPr>
          <w:t>7.</w:t>
        </w:r>
        <w:r w:rsidRPr="00E27563">
          <w:rPr>
            <w:rStyle w:val="Hyperlink"/>
            <w:rFonts w:ascii="FrankRuehl" w:hAnsi="FrankRuehl" w:cs="FrankRuehl"/>
            <w:rtl/>
          </w:rPr>
          <w:t>ג</w:t>
        </w:r>
      </w:hyperlink>
    </w:p>
    <w:p w14:paraId="4755B0C4" w14:textId="77777777" w:rsidR="00E27563" w:rsidRPr="00E27563" w:rsidRDefault="00E27563" w:rsidP="00E27563">
      <w:pPr>
        <w:spacing w:before="120" w:after="120" w:line="240" w:lineRule="exact"/>
        <w:ind w:left="283" w:hanging="283"/>
        <w:jc w:val="both"/>
        <w:rPr>
          <w:rFonts w:ascii="FrankRuehl" w:hAnsi="FrankRuehl" w:cs="FrankRuehl"/>
          <w:color w:val="0000FF"/>
          <w:u w:val="single"/>
          <w:rtl/>
        </w:rPr>
      </w:pPr>
      <w:hyperlink r:id="rId10" w:history="1">
        <w:r w:rsidRPr="00E27563">
          <w:rPr>
            <w:rStyle w:val="Hyperlink"/>
            <w:rFonts w:ascii="FrankRuehl" w:hAnsi="FrankRuehl" w:cs="FrankRuehl"/>
            <w:rtl/>
          </w:rPr>
          <w:t>חוק העונשין, תשל"ז-1977</w:t>
        </w:r>
      </w:hyperlink>
      <w:r w:rsidRPr="00E27563">
        <w:rPr>
          <w:rFonts w:ascii="FrankRuehl" w:hAnsi="FrankRuehl" w:cs="FrankRuehl"/>
          <w:color w:val="0000FF"/>
          <w:u w:val="single"/>
          <w:rtl/>
        </w:rPr>
        <w:t xml:space="preserve">: סע'  </w:t>
      </w:r>
      <w:hyperlink r:id="rId11" w:history="1">
        <w:r w:rsidRPr="00E27563">
          <w:rPr>
            <w:rStyle w:val="Hyperlink"/>
            <w:rFonts w:ascii="FrankRuehl" w:hAnsi="FrankRuehl" w:cs="FrankRuehl"/>
          </w:rPr>
          <w:t>40</w:t>
        </w:r>
        <w:r w:rsidRPr="00E27563">
          <w:rPr>
            <w:rStyle w:val="Hyperlink"/>
            <w:rFonts w:ascii="FrankRuehl" w:hAnsi="FrankRuehl" w:cs="FrankRuehl"/>
            <w:rtl/>
          </w:rPr>
          <w:t>ט</w:t>
        </w:r>
        <w:r w:rsidRPr="00E27563">
          <w:rPr>
            <w:rStyle w:val="Hyperlink"/>
            <w:rFonts w:ascii="FrankRuehl" w:hAnsi="FrankRuehl" w:cs="FrankRuehl"/>
          </w:rPr>
          <w:t>'</w:t>
        </w:r>
      </w:hyperlink>
      <w:r w:rsidRPr="00E27563">
        <w:rPr>
          <w:rFonts w:ascii="FrankRuehl" w:hAnsi="FrankRuehl" w:cs="FrankRuehl"/>
          <w:color w:val="0000FF"/>
          <w:u w:val="single"/>
          <w:rtl/>
        </w:rPr>
        <w:t xml:space="preserve">, </w:t>
      </w:r>
      <w:hyperlink r:id="rId12" w:history="1">
        <w:r w:rsidRPr="00E27563">
          <w:rPr>
            <w:rStyle w:val="Hyperlink"/>
            <w:rFonts w:ascii="FrankRuehl" w:hAnsi="FrankRuehl" w:cs="FrankRuehl"/>
          </w:rPr>
          <w:t>40</w:t>
        </w:r>
        <w:r w:rsidRPr="00E27563">
          <w:rPr>
            <w:rStyle w:val="Hyperlink"/>
            <w:rFonts w:ascii="FrankRuehl" w:hAnsi="FrankRuehl" w:cs="FrankRuehl"/>
            <w:rtl/>
          </w:rPr>
          <w:t>יא</w:t>
        </w:r>
      </w:hyperlink>
    </w:p>
    <w:p w14:paraId="3D6B1B8E" w14:textId="77777777" w:rsidR="007E22EB" w:rsidRDefault="007E22EB" w:rsidP="00E27563">
      <w:pPr>
        <w:rPr>
          <w:rFonts w:hint="cs"/>
          <w:rtl/>
        </w:rPr>
      </w:pPr>
      <w:bookmarkStart w:id="4" w:name="LawTable_End"/>
      <w:bookmarkEnd w:id="4"/>
    </w:p>
    <w:p w14:paraId="510CF3F2" w14:textId="77777777" w:rsidR="00E27563" w:rsidRDefault="00E27563" w:rsidP="00E27563">
      <w:pPr>
        <w:rPr>
          <w:rFonts w:hint="cs"/>
          <w:rtl/>
        </w:rPr>
      </w:pPr>
    </w:p>
    <w:p w14:paraId="78F77130" w14:textId="77777777" w:rsidR="00E27563" w:rsidRDefault="00E27563" w:rsidP="00E27563">
      <w:pPr>
        <w:rPr>
          <w:rFonts w:hint="cs"/>
          <w:rtl/>
        </w:rPr>
      </w:pPr>
    </w:p>
    <w:p w14:paraId="47BE3C51" w14:textId="77777777" w:rsidR="00E27563" w:rsidRDefault="00E27563" w:rsidP="00E27563">
      <w:pPr>
        <w:rPr>
          <w:rFonts w:hint="cs"/>
          <w:rtl/>
        </w:rPr>
      </w:pPr>
    </w:p>
    <w:p w14:paraId="681CCF42" w14:textId="77777777" w:rsidR="00E27563" w:rsidRDefault="00E27563" w:rsidP="00E27563">
      <w:pPr>
        <w:rPr>
          <w:rFonts w:hint="cs"/>
          <w:rtl/>
        </w:rPr>
      </w:pPr>
    </w:p>
    <w:p w14:paraId="3447FD08" w14:textId="77777777" w:rsidR="00E27563" w:rsidRDefault="00E27563" w:rsidP="00E27563">
      <w:pPr>
        <w:rPr>
          <w:rFonts w:hint="cs"/>
          <w:rtl/>
        </w:rPr>
      </w:pPr>
    </w:p>
    <w:p w14:paraId="48C2DE84" w14:textId="77777777" w:rsidR="00E27563" w:rsidRPr="00E27563" w:rsidRDefault="00E27563" w:rsidP="00E2756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22EB" w14:paraId="13FD218D" w14:textId="77777777" w:rsidTr="007E22EB">
        <w:trPr>
          <w:trHeight w:val="355"/>
          <w:jc w:val="center"/>
        </w:trPr>
        <w:tc>
          <w:tcPr>
            <w:tcW w:w="8820" w:type="dxa"/>
            <w:tcBorders>
              <w:top w:val="nil"/>
              <w:left w:val="nil"/>
              <w:bottom w:val="nil"/>
              <w:right w:val="nil"/>
            </w:tcBorders>
            <w:shd w:val="clear" w:color="auto" w:fill="auto"/>
          </w:tcPr>
          <w:p w14:paraId="76DF5A26" w14:textId="77777777" w:rsidR="00D75E47" w:rsidRPr="00D75E47" w:rsidRDefault="00D75E47" w:rsidP="00D75E47">
            <w:pPr>
              <w:jc w:val="center"/>
              <w:rPr>
                <w:rFonts w:ascii="Arial" w:hAnsi="Arial" w:cs="FrankRuehl"/>
                <w:b/>
                <w:bCs/>
                <w:sz w:val="32"/>
                <w:szCs w:val="32"/>
                <w:u w:val="single"/>
                <w:rtl/>
              </w:rPr>
            </w:pPr>
            <w:bookmarkStart w:id="5" w:name="PsakDin" w:colFirst="0" w:colLast="0"/>
            <w:bookmarkEnd w:id="0"/>
            <w:r w:rsidRPr="00D75E47">
              <w:rPr>
                <w:rFonts w:ascii="Arial" w:hAnsi="Arial" w:cs="FrankRuehl"/>
                <w:b/>
                <w:bCs/>
                <w:sz w:val="32"/>
                <w:szCs w:val="32"/>
                <w:u w:val="single"/>
                <w:rtl/>
              </w:rPr>
              <w:t>גזר דין</w:t>
            </w:r>
          </w:p>
          <w:p w14:paraId="719248BB" w14:textId="77777777" w:rsidR="007E22EB" w:rsidRPr="00D75E47" w:rsidRDefault="007E22EB" w:rsidP="00D75E47">
            <w:pPr>
              <w:jc w:val="center"/>
              <w:rPr>
                <w:rFonts w:ascii="Arial" w:hAnsi="Arial" w:cs="FrankRuehl"/>
                <w:bCs/>
                <w:sz w:val="32"/>
                <w:szCs w:val="32"/>
                <w:u w:val="single"/>
                <w:rtl/>
              </w:rPr>
            </w:pPr>
          </w:p>
        </w:tc>
      </w:tr>
      <w:bookmarkEnd w:id="5"/>
    </w:tbl>
    <w:p w14:paraId="70FCDC30" w14:textId="77777777" w:rsidR="007E22EB" w:rsidRPr="00B05847" w:rsidRDefault="007E22EB" w:rsidP="007E22EB">
      <w:pPr>
        <w:rPr>
          <w:rFonts w:ascii="Arial" w:hAnsi="Arial"/>
          <w:rtl/>
        </w:rPr>
      </w:pPr>
    </w:p>
    <w:p w14:paraId="2F97FF98" w14:textId="77777777" w:rsidR="007E22EB" w:rsidRPr="00B05847" w:rsidRDefault="007E22EB" w:rsidP="007E22EB">
      <w:pPr>
        <w:rPr>
          <w:rFonts w:ascii="Arial" w:hAnsi="Arial"/>
          <w:rtl/>
        </w:rPr>
      </w:pPr>
    </w:p>
    <w:p w14:paraId="75354242" w14:textId="77777777" w:rsidR="007E22EB" w:rsidRPr="00B05847" w:rsidRDefault="007E22EB" w:rsidP="007E22EB">
      <w:pPr>
        <w:spacing w:line="360" w:lineRule="auto"/>
        <w:rPr>
          <w:rtl/>
        </w:rPr>
      </w:pPr>
    </w:p>
    <w:p w14:paraId="173BC83A" w14:textId="77777777" w:rsidR="007E22EB" w:rsidRDefault="007E22EB" w:rsidP="007E22EB">
      <w:pPr>
        <w:spacing w:line="360" w:lineRule="auto"/>
        <w:rPr>
          <w:rFonts w:cs="FrankRuehl"/>
          <w:b/>
          <w:bCs/>
          <w:sz w:val="26"/>
          <w:szCs w:val="26"/>
          <w:u w:val="single"/>
        </w:rPr>
      </w:pPr>
      <w:r>
        <w:rPr>
          <w:rFonts w:cs="FrankRuehl" w:hint="cs"/>
          <w:b/>
          <w:bCs/>
          <w:sz w:val="26"/>
          <w:szCs w:val="26"/>
          <w:u w:val="single"/>
          <w:rtl/>
        </w:rPr>
        <w:t>כתב האישום</w:t>
      </w:r>
    </w:p>
    <w:p w14:paraId="6B7D226C" w14:textId="77777777" w:rsidR="007E22EB" w:rsidRDefault="007E22EB" w:rsidP="007E22EB">
      <w:pPr>
        <w:spacing w:line="360" w:lineRule="auto"/>
        <w:jc w:val="both"/>
        <w:rPr>
          <w:rFonts w:cs="FrankRuehl"/>
          <w:sz w:val="26"/>
          <w:szCs w:val="26"/>
        </w:rPr>
      </w:pPr>
      <w:bookmarkStart w:id="6" w:name="ABSTRACT_START"/>
      <w:bookmarkEnd w:id="6"/>
      <w:r>
        <w:rPr>
          <w:rFonts w:cs="FrankRuehl" w:hint="cs"/>
          <w:sz w:val="26"/>
          <w:szCs w:val="26"/>
          <w:rtl/>
        </w:rPr>
        <w:t xml:space="preserve">הנאשם הורשע על פי הודאתו בביצוע עבירה של החזקת סם לצריכתו העצמית, לפי סעיפים </w:t>
      </w:r>
      <w:hyperlink r:id="rId13" w:history="1">
        <w:r w:rsidR="00E27563" w:rsidRPr="00E27563">
          <w:rPr>
            <w:rStyle w:val="Hyperlink"/>
            <w:rFonts w:cs="FrankRuehl"/>
            <w:color w:val="0000FF"/>
            <w:sz w:val="26"/>
            <w:szCs w:val="26"/>
            <w:rtl/>
          </w:rPr>
          <w:t>7(א) ו-(ג)</w:t>
        </w:r>
      </w:hyperlink>
      <w:r>
        <w:rPr>
          <w:rFonts w:cs="FrankRuehl" w:hint="cs"/>
          <w:sz w:val="26"/>
          <w:szCs w:val="26"/>
          <w:rtl/>
        </w:rPr>
        <w:t xml:space="preserve"> סיפא ל</w:t>
      </w:r>
      <w:hyperlink r:id="rId14" w:history="1">
        <w:r w:rsidR="00D75E47" w:rsidRPr="00D75E47">
          <w:rPr>
            <w:rFonts w:cs="FrankRuehl"/>
            <w:color w:val="0000FF"/>
            <w:sz w:val="26"/>
            <w:szCs w:val="26"/>
            <w:u w:val="single"/>
            <w:rtl/>
          </w:rPr>
          <w:t>פקודת הסמים המסוכנים</w:t>
        </w:r>
      </w:hyperlink>
      <w:r>
        <w:rPr>
          <w:rFonts w:cs="FrankRuehl" w:hint="cs"/>
          <w:sz w:val="26"/>
          <w:szCs w:val="26"/>
          <w:rtl/>
        </w:rPr>
        <w:t>, בכך שביום 20.7.2015, החזיק הנאשם 0.3370 גרם חשיש.</w:t>
      </w:r>
    </w:p>
    <w:p w14:paraId="3A9E82C5" w14:textId="77777777" w:rsidR="007E22EB" w:rsidRDefault="007E22EB" w:rsidP="007E22EB">
      <w:pPr>
        <w:spacing w:line="360" w:lineRule="auto"/>
        <w:jc w:val="both"/>
        <w:rPr>
          <w:rFonts w:cs="FrankRuehl" w:hint="cs"/>
          <w:b/>
          <w:bCs/>
          <w:sz w:val="26"/>
          <w:szCs w:val="26"/>
          <w:u w:val="single"/>
          <w:rtl/>
        </w:rPr>
      </w:pPr>
    </w:p>
    <w:p w14:paraId="6E0B8B04" w14:textId="77777777" w:rsidR="00E27563" w:rsidRDefault="00E27563" w:rsidP="007E22EB">
      <w:pPr>
        <w:spacing w:line="360" w:lineRule="auto"/>
        <w:jc w:val="both"/>
        <w:rPr>
          <w:rFonts w:cs="FrankRuehl" w:hint="cs"/>
          <w:b/>
          <w:bCs/>
          <w:sz w:val="26"/>
          <w:szCs w:val="26"/>
          <w:u w:val="single"/>
          <w:rtl/>
        </w:rPr>
      </w:pPr>
    </w:p>
    <w:p w14:paraId="4BE11549" w14:textId="77777777" w:rsidR="00E27563" w:rsidRDefault="00E27563" w:rsidP="007E22EB">
      <w:pPr>
        <w:spacing w:line="360" w:lineRule="auto"/>
        <w:jc w:val="both"/>
        <w:rPr>
          <w:rFonts w:cs="FrankRuehl" w:hint="cs"/>
          <w:b/>
          <w:bCs/>
          <w:sz w:val="26"/>
          <w:szCs w:val="26"/>
          <w:u w:val="single"/>
          <w:rtl/>
        </w:rPr>
      </w:pPr>
    </w:p>
    <w:p w14:paraId="14FA5CAD" w14:textId="77777777" w:rsidR="00E27563" w:rsidRPr="005D173A" w:rsidRDefault="00E27563" w:rsidP="007E22EB">
      <w:pPr>
        <w:spacing w:line="360" w:lineRule="auto"/>
        <w:jc w:val="both"/>
        <w:rPr>
          <w:rFonts w:cs="FrankRuehl" w:hint="cs"/>
          <w:b/>
          <w:bCs/>
          <w:sz w:val="26"/>
          <w:szCs w:val="26"/>
          <w:u w:val="single"/>
        </w:rPr>
      </w:pPr>
    </w:p>
    <w:p w14:paraId="63C21371" w14:textId="77777777" w:rsidR="007E22EB" w:rsidRDefault="007E22EB" w:rsidP="007E22EB">
      <w:pPr>
        <w:spacing w:line="360" w:lineRule="auto"/>
        <w:jc w:val="both"/>
        <w:rPr>
          <w:rFonts w:cs="FrankRuehl"/>
          <w:b/>
          <w:bCs/>
          <w:sz w:val="26"/>
          <w:szCs w:val="26"/>
          <w:u w:val="single"/>
        </w:rPr>
      </w:pPr>
      <w:r>
        <w:rPr>
          <w:rFonts w:cs="FrankRuehl" w:hint="cs"/>
          <w:b/>
          <w:bCs/>
          <w:sz w:val="26"/>
          <w:szCs w:val="26"/>
          <w:u w:val="single"/>
          <w:rtl/>
        </w:rPr>
        <w:lastRenderedPageBreak/>
        <w:t>מהלך הדיון</w:t>
      </w:r>
    </w:p>
    <w:p w14:paraId="2770B18A" w14:textId="77777777" w:rsidR="007E22EB" w:rsidRDefault="007E22EB" w:rsidP="007E22EB">
      <w:pPr>
        <w:spacing w:line="360" w:lineRule="auto"/>
        <w:jc w:val="both"/>
        <w:rPr>
          <w:rFonts w:cs="FrankRuehl"/>
          <w:sz w:val="26"/>
          <w:szCs w:val="26"/>
          <w:rtl/>
        </w:rPr>
      </w:pPr>
      <w:r>
        <w:rPr>
          <w:rFonts w:cs="FrankRuehl" w:hint="cs"/>
          <w:sz w:val="26"/>
          <w:szCs w:val="26"/>
          <w:rtl/>
        </w:rPr>
        <w:t>נדמה, כי הסיבה שבגינה מתנהל ההליך שלפניי, הוא קיומו של עבר פלילי ומאסר מותנה בר-הפעלה ביחס לנאשם. אלא שהליך זה, התארך שלא לצורך, בשל נסיבותיו האישיות של הנאשם, הקושי שלו להתייצב לדיונים, והקושי שלו אל מול שירות המבחן.</w:t>
      </w:r>
    </w:p>
    <w:p w14:paraId="2957CCA8" w14:textId="77777777" w:rsidR="007E22EB" w:rsidRDefault="007E22EB" w:rsidP="007E22EB">
      <w:pPr>
        <w:spacing w:line="360" w:lineRule="auto"/>
        <w:jc w:val="both"/>
        <w:rPr>
          <w:rFonts w:cs="FrankRuehl"/>
          <w:sz w:val="26"/>
          <w:szCs w:val="26"/>
          <w:rtl/>
        </w:rPr>
      </w:pPr>
    </w:p>
    <w:p w14:paraId="2853147C" w14:textId="77777777" w:rsidR="007E22EB" w:rsidRPr="00AC4A91" w:rsidRDefault="007E22EB" w:rsidP="007E22EB">
      <w:pPr>
        <w:spacing w:line="360" w:lineRule="auto"/>
        <w:jc w:val="both"/>
        <w:rPr>
          <w:rFonts w:cs="FrankRuehl"/>
          <w:b/>
          <w:bCs/>
          <w:sz w:val="26"/>
          <w:szCs w:val="26"/>
          <w:u w:val="single"/>
          <w:rtl/>
        </w:rPr>
      </w:pPr>
      <w:bookmarkStart w:id="7" w:name="ABSTRACT_END"/>
      <w:bookmarkEnd w:id="7"/>
      <w:r w:rsidRPr="00AC4A91">
        <w:rPr>
          <w:rFonts w:cs="FrankRuehl" w:hint="cs"/>
          <w:b/>
          <w:bCs/>
          <w:sz w:val="26"/>
          <w:szCs w:val="26"/>
          <w:u w:val="single"/>
          <w:rtl/>
        </w:rPr>
        <w:t>רישום פלילי והמאסר המותנה</w:t>
      </w:r>
    </w:p>
    <w:p w14:paraId="1645AF84" w14:textId="77777777" w:rsidR="007E22EB" w:rsidRPr="00AC4A91" w:rsidRDefault="007E22EB" w:rsidP="007E22EB">
      <w:pPr>
        <w:spacing w:line="360" w:lineRule="auto"/>
        <w:jc w:val="both"/>
        <w:rPr>
          <w:rFonts w:cs="FrankRuehl"/>
          <w:sz w:val="26"/>
          <w:szCs w:val="26"/>
          <w:rtl/>
        </w:rPr>
      </w:pPr>
      <w:r w:rsidRPr="00AC4A91">
        <w:rPr>
          <w:rFonts w:cs="FrankRuehl" w:hint="cs"/>
          <w:sz w:val="26"/>
          <w:szCs w:val="26"/>
          <w:rtl/>
        </w:rPr>
        <w:t>לחובת הנאשם 4 הרשעות קודמות בגין עבירות סמים, רכוש ואלימות</w:t>
      </w:r>
      <w:r>
        <w:rPr>
          <w:rFonts w:cs="FrankRuehl" w:hint="cs"/>
          <w:sz w:val="26"/>
          <w:szCs w:val="26"/>
          <w:rtl/>
        </w:rPr>
        <w:t>, והוא אף ריצה תקופה מצטברת של 18 חודשי מאסר לאורך השנים</w:t>
      </w:r>
      <w:r w:rsidRPr="00AC4A91">
        <w:rPr>
          <w:rFonts w:cs="FrankRuehl" w:hint="cs"/>
          <w:sz w:val="26"/>
          <w:szCs w:val="26"/>
          <w:rtl/>
        </w:rPr>
        <w:t>.</w:t>
      </w:r>
      <w:r>
        <w:rPr>
          <w:rFonts w:cs="FrankRuehl" w:hint="cs"/>
          <w:sz w:val="26"/>
          <w:szCs w:val="26"/>
          <w:rtl/>
        </w:rPr>
        <w:t xml:space="preserve"> לצד זאת, העבירות האחרונות שביצע הנאשם הן משנת 2012. ביום 24.2.2014 הטיל בית משפט זה (כב' הנשיאה דותן כתוארה אז) עונש מאסר לריצוי בעבודות שירות (שהופקע למאסר בפועל בהמשך), וכן חודשיים מאסר על-תנאי בעבירות שימוש עצמי </w:t>
      </w:r>
      <w:r>
        <w:rPr>
          <w:rFonts w:cs="FrankRuehl"/>
          <w:sz w:val="26"/>
          <w:szCs w:val="26"/>
          <w:rtl/>
        </w:rPr>
        <w:br/>
      </w:r>
      <w:r>
        <w:rPr>
          <w:rFonts w:cs="FrankRuehl" w:hint="cs"/>
          <w:sz w:val="26"/>
          <w:szCs w:val="26"/>
          <w:rtl/>
        </w:rPr>
        <w:t>(</w:t>
      </w:r>
      <w:hyperlink r:id="rId15" w:history="1">
        <w:r w:rsidR="00D75E47" w:rsidRPr="00D75E47">
          <w:rPr>
            <w:rFonts w:cs="FrankRuehl"/>
            <w:color w:val="0000FF"/>
            <w:sz w:val="26"/>
            <w:szCs w:val="26"/>
            <w:u w:val="single"/>
            <w:rtl/>
          </w:rPr>
          <w:t>ת"פ 43375-10-12</w:t>
        </w:r>
      </w:hyperlink>
      <w:r>
        <w:rPr>
          <w:rFonts w:cs="FrankRuehl" w:hint="cs"/>
          <w:sz w:val="26"/>
          <w:szCs w:val="26"/>
          <w:rtl/>
        </w:rPr>
        <w:t xml:space="preserve">, להלן </w:t>
      </w:r>
      <w:r>
        <w:rPr>
          <w:rFonts w:cs="FrankRuehl"/>
          <w:sz w:val="26"/>
          <w:szCs w:val="26"/>
          <w:rtl/>
        </w:rPr>
        <w:t>–</w:t>
      </w:r>
      <w:r>
        <w:rPr>
          <w:rFonts w:cs="FrankRuehl" w:hint="cs"/>
          <w:sz w:val="26"/>
          <w:szCs w:val="26"/>
          <w:rtl/>
        </w:rPr>
        <w:t xml:space="preserve"> </w:t>
      </w:r>
      <w:r w:rsidRPr="00AC4A91">
        <w:rPr>
          <w:rFonts w:cs="FrankRuehl" w:hint="cs"/>
          <w:b/>
          <w:bCs/>
          <w:sz w:val="26"/>
          <w:szCs w:val="26"/>
          <w:rtl/>
        </w:rPr>
        <w:t>תיק התנאי</w:t>
      </w:r>
      <w:r>
        <w:rPr>
          <w:rFonts w:cs="FrankRuehl" w:hint="cs"/>
          <w:sz w:val="26"/>
          <w:szCs w:val="26"/>
          <w:rtl/>
        </w:rPr>
        <w:t>, ו-</w:t>
      </w:r>
      <w:r w:rsidRPr="00AC4A91">
        <w:rPr>
          <w:rFonts w:cs="FrankRuehl" w:hint="cs"/>
          <w:b/>
          <w:bCs/>
          <w:sz w:val="26"/>
          <w:szCs w:val="26"/>
          <w:rtl/>
        </w:rPr>
        <w:t>המאסר המותנה)</w:t>
      </w:r>
      <w:r>
        <w:rPr>
          <w:rFonts w:cs="FrankRuehl" w:hint="cs"/>
          <w:sz w:val="26"/>
          <w:szCs w:val="26"/>
          <w:rtl/>
        </w:rPr>
        <w:t>.</w:t>
      </w:r>
    </w:p>
    <w:p w14:paraId="0A6B25F6" w14:textId="77777777" w:rsidR="007E22EB" w:rsidRDefault="007E22EB" w:rsidP="007E22EB">
      <w:pPr>
        <w:spacing w:line="360" w:lineRule="auto"/>
        <w:jc w:val="both"/>
        <w:rPr>
          <w:rFonts w:cs="FrankRuehl"/>
          <w:b/>
          <w:bCs/>
          <w:sz w:val="26"/>
          <w:szCs w:val="26"/>
          <w:u w:val="single"/>
          <w:rtl/>
        </w:rPr>
      </w:pPr>
    </w:p>
    <w:p w14:paraId="4B9BFB06" w14:textId="77777777" w:rsidR="007E22EB" w:rsidRDefault="007E22EB" w:rsidP="007E22EB">
      <w:pPr>
        <w:spacing w:line="360" w:lineRule="auto"/>
        <w:jc w:val="both"/>
        <w:rPr>
          <w:rFonts w:cs="FrankRuehl"/>
          <w:b/>
          <w:bCs/>
          <w:sz w:val="26"/>
          <w:szCs w:val="26"/>
          <w:u w:val="single"/>
          <w:rtl/>
        </w:rPr>
      </w:pPr>
    </w:p>
    <w:p w14:paraId="39F9F8E9" w14:textId="77777777" w:rsidR="007E22EB" w:rsidRDefault="007E22EB" w:rsidP="007E22EB">
      <w:pPr>
        <w:spacing w:line="360" w:lineRule="auto"/>
        <w:jc w:val="both"/>
        <w:rPr>
          <w:rFonts w:cs="FrankRuehl"/>
          <w:b/>
          <w:bCs/>
          <w:sz w:val="26"/>
          <w:szCs w:val="26"/>
          <w:u w:val="single"/>
          <w:rtl/>
        </w:rPr>
      </w:pPr>
    </w:p>
    <w:p w14:paraId="45CED36B" w14:textId="77777777" w:rsidR="007E22EB" w:rsidRDefault="007E22EB" w:rsidP="007E22EB">
      <w:pPr>
        <w:spacing w:line="360" w:lineRule="auto"/>
        <w:jc w:val="both"/>
        <w:rPr>
          <w:rFonts w:cs="FrankRuehl"/>
          <w:b/>
          <w:bCs/>
          <w:sz w:val="26"/>
          <w:szCs w:val="26"/>
          <w:u w:val="single"/>
          <w:rtl/>
        </w:rPr>
      </w:pPr>
      <w:r>
        <w:rPr>
          <w:rFonts w:cs="FrankRuehl" w:hint="cs"/>
          <w:b/>
          <w:bCs/>
          <w:sz w:val="26"/>
          <w:szCs w:val="26"/>
          <w:u w:val="single"/>
          <w:rtl/>
        </w:rPr>
        <w:t>תסקירי שירות המבחן</w:t>
      </w:r>
    </w:p>
    <w:p w14:paraId="2A91825E" w14:textId="77777777" w:rsidR="007E22EB" w:rsidRDefault="007E22EB" w:rsidP="007E22EB">
      <w:pPr>
        <w:spacing w:line="360" w:lineRule="auto"/>
        <w:jc w:val="both"/>
        <w:rPr>
          <w:rFonts w:cs="FrankRuehl"/>
          <w:sz w:val="26"/>
          <w:szCs w:val="26"/>
        </w:rPr>
      </w:pPr>
      <w:r>
        <w:rPr>
          <w:rFonts w:cs="FrankRuehl" w:hint="cs"/>
          <w:sz w:val="26"/>
          <w:szCs w:val="26"/>
          <w:rtl/>
        </w:rPr>
        <w:t>בתיק זה הוגשו מספר תסקירים, כאשר הרקע להגשתם היה הניסיונות החוזרים ונשנים של בית המשפט לגייס את הנאשם לטיפול. אלא שהנאשם לא התייצב לשירות המבחן ברוב הפעמים, לא מסר בדיקות שתן כלל, ובסופו של דבר טען, כי אינו מסוגל לחדול משימוש בסמים אותם הוא צורך מגיל 15. הוא אינו רואה פסול בהמשך צריכת הסמים. הנאשם כבן 29, מצוי כיום בזוגיות, ועובד לאורך שנים באופן יציב יחסי. לטענתו, אחת הסיבות שלא התייצב לשירות המבחן הייתה מחויבותו לעבודה והיעדר זמן פנוי. בסופו של יום, שירות המבחן לא יכול היה לבוא בהמלצה טיפולית, ולמעשה סבר, כי אין לו כל יכולת להציע לנאשם תועלת כלשהי, בשל עמדות הנאשם וחוסר שיתוף הפעולה שלו.</w:t>
      </w:r>
    </w:p>
    <w:p w14:paraId="2B432977" w14:textId="77777777" w:rsidR="007E22EB" w:rsidRDefault="007E22EB" w:rsidP="007E22EB">
      <w:pPr>
        <w:spacing w:line="360" w:lineRule="auto"/>
        <w:jc w:val="both"/>
        <w:rPr>
          <w:rFonts w:cs="FrankRuehl"/>
          <w:b/>
          <w:bCs/>
          <w:sz w:val="26"/>
          <w:szCs w:val="26"/>
          <w:u w:val="single"/>
          <w:rtl/>
        </w:rPr>
      </w:pPr>
    </w:p>
    <w:p w14:paraId="4A9A817D" w14:textId="77777777" w:rsidR="007E22EB" w:rsidRDefault="007E22EB" w:rsidP="007E22EB">
      <w:pPr>
        <w:spacing w:line="360" w:lineRule="auto"/>
        <w:jc w:val="both"/>
        <w:rPr>
          <w:rFonts w:cs="FrankRuehl"/>
          <w:b/>
          <w:bCs/>
          <w:sz w:val="26"/>
          <w:szCs w:val="26"/>
          <w:u w:val="single"/>
          <w:rtl/>
        </w:rPr>
      </w:pPr>
      <w:r>
        <w:rPr>
          <w:rFonts w:cs="FrankRuehl" w:hint="cs"/>
          <w:b/>
          <w:bCs/>
          <w:sz w:val="26"/>
          <w:szCs w:val="26"/>
          <w:u w:val="single"/>
          <w:rtl/>
        </w:rPr>
        <w:t>טיעונים לעונש</w:t>
      </w:r>
    </w:p>
    <w:p w14:paraId="24666849" w14:textId="77777777" w:rsidR="007E22EB" w:rsidRDefault="007E22EB" w:rsidP="007E22EB">
      <w:pPr>
        <w:spacing w:line="360" w:lineRule="auto"/>
        <w:jc w:val="both"/>
        <w:rPr>
          <w:rFonts w:cs="FrankRuehl"/>
          <w:sz w:val="26"/>
          <w:szCs w:val="26"/>
          <w:rtl/>
        </w:rPr>
      </w:pPr>
      <w:r>
        <w:rPr>
          <w:rFonts w:cs="FrankRuehl" w:hint="cs"/>
          <w:sz w:val="26"/>
          <w:szCs w:val="26"/>
          <w:rtl/>
        </w:rPr>
        <w:t xml:space="preserve">הצדדים לא הגיעו להסכמה עונשית. </w:t>
      </w:r>
    </w:p>
    <w:p w14:paraId="07BB8420" w14:textId="77777777" w:rsidR="007E22EB" w:rsidRDefault="007E22EB" w:rsidP="007E22EB">
      <w:pPr>
        <w:spacing w:line="360" w:lineRule="auto"/>
        <w:jc w:val="both"/>
        <w:rPr>
          <w:rFonts w:cs="FrankRuehl"/>
          <w:sz w:val="26"/>
          <w:szCs w:val="26"/>
          <w:rtl/>
        </w:rPr>
      </w:pPr>
      <w:r>
        <w:rPr>
          <w:rFonts w:cs="FrankRuehl" w:hint="cs"/>
          <w:sz w:val="26"/>
          <w:szCs w:val="26"/>
          <w:rtl/>
        </w:rPr>
        <w:t>מחד, המאשימה סברה, כי לאחר שניתנו לנאשם הזדמנויות אין ספור לעלות על דרך השיקום, אך הוא לא פסע באותן דרכים, יש מקום לסיים את ההליכים לאחר זמן כה רב, ולהפעיל את המאסר המותנה מאחורי סורג ובריח יחד עם ענישה נלווית.</w:t>
      </w:r>
    </w:p>
    <w:p w14:paraId="3FC87DAA" w14:textId="77777777" w:rsidR="007E22EB" w:rsidRDefault="007E22EB" w:rsidP="007E22EB">
      <w:pPr>
        <w:spacing w:line="360" w:lineRule="auto"/>
        <w:jc w:val="both"/>
        <w:rPr>
          <w:rFonts w:cs="FrankRuehl"/>
          <w:sz w:val="26"/>
          <w:szCs w:val="26"/>
          <w:rtl/>
        </w:rPr>
      </w:pPr>
      <w:r>
        <w:rPr>
          <w:rFonts w:cs="FrankRuehl" w:hint="cs"/>
          <w:sz w:val="26"/>
          <w:szCs w:val="26"/>
          <w:rtl/>
        </w:rPr>
        <w:t xml:space="preserve">מאידך, הסניגורית טענה, כי לא יהא זה צודק להפעיל מאסר מותנה שהוטל בשנת 2014, על מי שחדל לבצע עבירות לאורך השנים האחרונות, התייצב, באופן יחסי, וחיי את חייו כאחד האדם. </w:t>
      </w:r>
    </w:p>
    <w:p w14:paraId="0989CBE3" w14:textId="77777777" w:rsidR="007E22EB" w:rsidRDefault="007E22EB" w:rsidP="007E22EB">
      <w:pPr>
        <w:spacing w:line="360" w:lineRule="auto"/>
        <w:jc w:val="both"/>
        <w:rPr>
          <w:rFonts w:cs="FrankRuehl"/>
          <w:sz w:val="26"/>
          <w:szCs w:val="26"/>
        </w:rPr>
      </w:pPr>
      <w:r>
        <w:rPr>
          <w:rFonts w:cs="FrankRuehl" w:hint="cs"/>
          <w:sz w:val="26"/>
          <w:szCs w:val="26"/>
          <w:rtl/>
        </w:rPr>
        <w:t xml:space="preserve">במסגרת ראיות לעונש, שמעתי את מעסיקו של הנאשם, מר טל, שדיבר עליו במונחים של "כמו בני", והרעיף שבחים על תפקודו החיובי לאורך שנים במקום העבודה, נאמנותו וחריצותו. </w:t>
      </w:r>
    </w:p>
    <w:p w14:paraId="065F70E0" w14:textId="77777777" w:rsidR="007E22EB" w:rsidRDefault="007E22EB" w:rsidP="007E22EB">
      <w:pPr>
        <w:spacing w:line="360" w:lineRule="auto"/>
        <w:jc w:val="both"/>
        <w:rPr>
          <w:rFonts w:cs="FrankRuehl"/>
          <w:b/>
          <w:bCs/>
          <w:sz w:val="26"/>
          <w:szCs w:val="26"/>
          <w:u w:val="single"/>
          <w:rtl/>
        </w:rPr>
      </w:pPr>
    </w:p>
    <w:p w14:paraId="1679F7B3" w14:textId="77777777" w:rsidR="007E22EB" w:rsidRDefault="007E22EB" w:rsidP="007E22EB">
      <w:pPr>
        <w:spacing w:line="360" w:lineRule="auto"/>
        <w:jc w:val="both"/>
        <w:rPr>
          <w:rFonts w:cs="FrankRuehl"/>
          <w:b/>
          <w:bCs/>
          <w:sz w:val="26"/>
          <w:szCs w:val="26"/>
          <w:u w:val="single"/>
          <w:rtl/>
        </w:rPr>
      </w:pPr>
      <w:r>
        <w:rPr>
          <w:rFonts w:cs="FrankRuehl" w:hint="cs"/>
          <w:b/>
          <w:bCs/>
          <w:sz w:val="26"/>
          <w:szCs w:val="26"/>
          <w:u w:val="single"/>
          <w:rtl/>
        </w:rPr>
        <w:t xml:space="preserve">קביעת מתחם הענישה </w:t>
      </w:r>
      <w:r>
        <w:rPr>
          <w:rFonts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0205BF3" w14:textId="77777777" w:rsidR="007E22EB" w:rsidRDefault="007E22EB" w:rsidP="007E22EB">
      <w:pPr>
        <w:spacing w:line="360" w:lineRule="auto"/>
        <w:jc w:val="both"/>
        <w:rPr>
          <w:rFonts w:cs="FrankRuehl"/>
          <w:b/>
          <w:bCs/>
          <w:sz w:val="26"/>
          <w:szCs w:val="26"/>
          <w:u w:val="single"/>
          <w:rtl/>
        </w:rPr>
      </w:pPr>
    </w:p>
    <w:p w14:paraId="547475E2" w14:textId="77777777" w:rsidR="007E22EB" w:rsidRDefault="007E22EB" w:rsidP="007E22EB">
      <w:pPr>
        <w:spacing w:line="360" w:lineRule="auto"/>
        <w:jc w:val="both"/>
        <w:rPr>
          <w:rFonts w:cs="FrankRuehl"/>
          <w:sz w:val="26"/>
          <w:szCs w:val="26"/>
          <w:rtl/>
        </w:rPr>
      </w:pPr>
      <w:r>
        <w:rPr>
          <w:rFonts w:cs="FrankRuehl" w:hint="cs"/>
          <w:b/>
          <w:bCs/>
          <w:sz w:val="26"/>
          <w:szCs w:val="26"/>
          <w:u w:val="single"/>
          <w:rtl/>
        </w:rPr>
        <w:t xml:space="preserve">אשר לערך המוגן </w:t>
      </w:r>
      <w:r>
        <w:rPr>
          <w:rFonts w:cs="FrankRuehl" w:hint="cs"/>
          <w:sz w:val="26"/>
          <w:szCs w:val="26"/>
          <w:rtl/>
        </w:rPr>
        <w:t>– עבירות סמים פגיעתן קשה במשתמשים ובכלל החברה. בנסיבות המקרה, מדובר בשימוש עצמי בסם "קל" יחסית, שכיום יש לגביו אסדרה שאיננה פלילית, בשלביה הראשונים. מכאן שמידת הפגיעה בערכים המוגנים נמוכה מאוד.</w:t>
      </w:r>
    </w:p>
    <w:p w14:paraId="12DB3B91" w14:textId="77777777" w:rsidR="007E22EB" w:rsidRDefault="007E22EB" w:rsidP="007E22EB">
      <w:pPr>
        <w:spacing w:line="360" w:lineRule="auto"/>
        <w:jc w:val="both"/>
        <w:rPr>
          <w:rFonts w:cs="FrankRuehl"/>
          <w:sz w:val="26"/>
          <w:szCs w:val="26"/>
        </w:rPr>
      </w:pPr>
    </w:p>
    <w:p w14:paraId="7F88E2B1" w14:textId="77777777" w:rsidR="007E22EB" w:rsidRDefault="007E22EB" w:rsidP="007E22EB">
      <w:pPr>
        <w:spacing w:line="360" w:lineRule="auto"/>
        <w:jc w:val="both"/>
        <w:rPr>
          <w:rFonts w:cs="FrankRuehl"/>
          <w:sz w:val="26"/>
          <w:szCs w:val="26"/>
        </w:rPr>
      </w:pPr>
      <w:r>
        <w:rPr>
          <w:rFonts w:cs="FrankRuehl" w:hint="cs"/>
          <w:b/>
          <w:bCs/>
          <w:sz w:val="26"/>
          <w:szCs w:val="26"/>
          <w:u w:val="single"/>
          <w:rtl/>
        </w:rPr>
        <w:t xml:space="preserve">נסיבות הקשורות בביצוע העבירה, לפי </w:t>
      </w:r>
      <w:hyperlink r:id="rId16" w:history="1">
        <w:r w:rsidR="00E27563" w:rsidRPr="00E27563">
          <w:rPr>
            <w:rStyle w:val="Hyperlink"/>
            <w:rFonts w:cs="FrankRuehl" w:hint="eastAsia"/>
            <w:b/>
            <w:bCs/>
            <w:color w:val="0000FF"/>
            <w:sz w:val="26"/>
            <w:szCs w:val="26"/>
            <w:rtl/>
          </w:rPr>
          <w:t>סעיף</w:t>
        </w:r>
        <w:r w:rsidR="00E27563" w:rsidRPr="00E27563">
          <w:rPr>
            <w:rStyle w:val="Hyperlink"/>
            <w:rFonts w:cs="FrankRuehl"/>
            <w:b/>
            <w:bCs/>
            <w:color w:val="0000FF"/>
            <w:sz w:val="26"/>
            <w:szCs w:val="26"/>
            <w:rtl/>
          </w:rPr>
          <w:t xml:space="preserve"> 40ט'</w:t>
        </w:r>
      </w:hyperlink>
      <w:r>
        <w:rPr>
          <w:rFonts w:cs="FrankRuehl" w:hint="cs"/>
          <w:b/>
          <w:bCs/>
          <w:sz w:val="26"/>
          <w:szCs w:val="26"/>
          <w:u w:val="single"/>
          <w:rtl/>
        </w:rPr>
        <w:t xml:space="preserve"> ל</w:t>
      </w:r>
      <w:hyperlink r:id="rId17" w:history="1">
        <w:r w:rsidR="00D75E47" w:rsidRPr="00D75E47">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בין הנסיבות הקשורות בביצוע העבירה יש לשקול את אלה, לעניין קביעת המתחם: מדובר בהחזקת סם לשימוש עצמי בכמות מזערית, ככל הנראה על רקע שימוש מתמשך בסמים, כך שבמובן הפורמלי מדובר בעבירה מתוכננת שהיא תוצאה של התנהלות הנאשם לאורך שנים; הנזק הוא בעיקר לנאשם.</w:t>
      </w:r>
    </w:p>
    <w:p w14:paraId="416DA945" w14:textId="77777777" w:rsidR="007E22EB" w:rsidRDefault="007E22EB" w:rsidP="007E22EB">
      <w:pPr>
        <w:spacing w:line="360" w:lineRule="auto"/>
        <w:jc w:val="both"/>
        <w:rPr>
          <w:rFonts w:cs="FrankRuehl"/>
          <w:b/>
          <w:bCs/>
          <w:sz w:val="26"/>
          <w:szCs w:val="26"/>
          <w:u w:val="single"/>
          <w:rtl/>
        </w:rPr>
      </w:pPr>
    </w:p>
    <w:p w14:paraId="27039768" w14:textId="77777777" w:rsidR="007E22EB" w:rsidRDefault="007E22EB" w:rsidP="007E22EB">
      <w:pPr>
        <w:spacing w:line="360" w:lineRule="auto"/>
        <w:jc w:val="both"/>
        <w:rPr>
          <w:rFonts w:cs="FrankRuehl"/>
          <w:sz w:val="26"/>
          <w:szCs w:val="26"/>
          <w:rtl/>
        </w:rPr>
      </w:pPr>
      <w:r>
        <w:rPr>
          <w:rFonts w:cs="FrankRuehl" w:hint="cs"/>
          <w:b/>
          <w:bCs/>
          <w:sz w:val="26"/>
          <w:szCs w:val="26"/>
          <w:u w:val="single"/>
          <w:rtl/>
        </w:rPr>
        <w:t>מדיניות הענישה הנוהגת</w:t>
      </w:r>
      <w:r>
        <w:rPr>
          <w:rFonts w:cs="FrankRuehl" w:hint="cs"/>
          <w:b/>
          <w:bCs/>
          <w:sz w:val="26"/>
          <w:szCs w:val="26"/>
          <w:rtl/>
        </w:rPr>
        <w:t xml:space="preserve"> – </w:t>
      </w:r>
      <w:r>
        <w:rPr>
          <w:rFonts w:cs="FrankRuehl" w:hint="cs"/>
          <w:sz w:val="26"/>
          <w:szCs w:val="26"/>
          <w:rtl/>
        </w:rPr>
        <w:t xml:space="preserve">עבירה של שימוש עצמי בוודאי בסוג סם זה ובכמות המתוארת, דינה להסתיים בענישה מינימלית של היעדר הרשעה ושל"ץ או של מאסר על תנאי וענישה כספית ועד חודשיים מאסר. </w:t>
      </w:r>
    </w:p>
    <w:p w14:paraId="4FD4345E" w14:textId="77777777" w:rsidR="007E22EB" w:rsidRDefault="007E22EB" w:rsidP="007E22EB">
      <w:pPr>
        <w:spacing w:line="360" w:lineRule="auto"/>
        <w:jc w:val="both"/>
        <w:rPr>
          <w:rFonts w:cs="FrankRuehl"/>
          <w:b/>
          <w:bCs/>
          <w:sz w:val="26"/>
          <w:szCs w:val="26"/>
          <w:u w:val="single"/>
          <w:rtl/>
        </w:rPr>
      </w:pPr>
    </w:p>
    <w:p w14:paraId="1AE9CDD9" w14:textId="77777777" w:rsidR="007E22EB" w:rsidRDefault="007E22EB" w:rsidP="007E22EB">
      <w:pPr>
        <w:spacing w:line="360" w:lineRule="auto"/>
        <w:jc w:val="both"/>
        <w:rPr>
          <w:rFonts w:cs="FrankRuehl"/>
          <w:sz w:val="26"/>
          <w:szCs w:val="26"/>
          <w:rtl/>
        </w:rPr>
      </w:pPr>
      <w:r>
        <w:rPr>
          <w:rFonts w:cs="FrankRuehl" w:hint="cs"/>
          <w:b/>
          <w:bCs/>
          <w:sz w:val="26"/>
          <w:szCs w:val="26"/>
          <w:u w:val="single"/>
          <w:rtl/>
        </w:rPr>
        <w:t>מתחם הענישה</w:t>
      </w:r>
      <w:r>
        <w:rPr>
          <w:rFonts w:cs="FrankRuehl" w:hint="cs"/>
          <w:sz w:val="26"/>
          <w:szCs w:val="26"/>
          <w:rtl/>
        </w:rPr>
        <w:t xml:space="preserve"> – לפיכך, מתחם הענישה צריך לעמוד על של"ץ ומאסר על תנאי וקנס ועד חודשיים מאסר בפועל. </w:t>
      </w:r>
    </w:p>
    <w:p w14:paraId="168AAD31" w14:textId="77777777" w:rsidR="007E22EB" w:rsidRDefault="007E22EB" w:rsidP="007E22EB">
      <w:pPr>
        <w:spacing w:line="360" w:lineRule="auto"/>
        <w:jc w:val="both"/>
        <w:rPr>
          <w:rFonts w:cs="FrankRuehl"/>
          <w:b/>
          <w:bCs/>
          <w:sz w:val="26"/>
          <w:szCs w:val="26"/>
          <w:rtl/>
        </w:rPr>
      </w:pPr>
    </w:p>
    <w:p w14:paraId="6122DC7B" w14:textId="77777777" w:rsidR="007E22EB" w:rsidRDefault="007E22EB" w:rsidP="007E22EB">
      <w:pPr>
        <w:spacing w:line="360" w:lineRule="auto"/>
        <w:jc w:val="both"/>
        <w:rPr>
          <w:rFonts w:cs="FrankRuehl"/>
          <w:sz w:val="26"/>
          <w:szCs w:val="26"/>
          <w:rtl/>
        </w:rPr>
      </w:pPr>
      <w:r>
        <w:rPr>
          <w:rFonts w:cs="FrankRuehl" w:hint="cs"/>
          <w:b/>
          <w:bCs/>
          <w:sz w:val="26"/>
          <w:szCs w:val="26"/>
          <w:u w:val="single"/>
          <w:rtl/>
        </w:rPr>
        <w:t xml:space="preserve">נסיבות שאינן קשורות בביצוע העבירה לפי </w:t>
      </w:r>
      <w:hyperlink r:id="rId18" w:history="1">
        <w:r w:rsidR="00E27563" w:rsidRPr="00E27563">
          <w:rPr>
            <w:rStyle w:val="Hyperlink"/>
            <w:rFonts w:cs="FrankRuehl" w:hint="eastAsia"/>
            <w:b/>
            <w:bCs/>
            <w:color w:val="0000FF"/>
            <w:sz w:val="26"/>
            <w:szCs w:val="26"/>
            <w:rtl/>
          </w:rPr>
          <w:t>סעיף</w:t>
        </w:r>
        <w:r w:rsidR="00E27563" w:rsidRPr="00E27563">
          <w:rPr>
            <w:rStyle w:val="Hyperlink"/>
            <w:rFonts w:cs="FrankRuehl"/>
            <w:b/>
            <w:bCs/>
            <w:color w:val="0000FF"/>
            <w:sz w:val="26"/>
            <w:szCs w:val="26"/>
            <w:rtl/>
          </w:rPr>
          <w:t xml:space="preserve"> 40י"א</w:t>
        </w:r>
      </w:hyperlink>
      <w:r>
        <w:rPr>
          <w:rFonts w:cs="FrankRuehl" w:hint="cs"/>
          <w:b/>
          <w:bCs/>
          <w:sz w:val="26"/>
          <w:szCs w:val="26"/>
          <w:u w:val="single"/>
          <w:rtl/>
        </w:rPr>
        <w:t xml:space="preserve"> ל</w:t>
      </w:r>
      <w:hyperlink r:id="rId19" w:history="1">
        <w:r w:rsidR="00D75E47" w:rsidRPr="00D75E47">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ניתן  לתת משקל לנסיבות הבאות שאינן קשורות בביצוע העבירה, במסגרת גזירת העונש בתוך המתחם: </w:t>
      </w:r>
    </w:p>
    <w:p w14:paraId="117156EB" w14:textId="77777777" w:rsidR="007E22EB" w:rsidRDefault="007E22EB" w:rsidP="007E22EB">
      <w:pPr>
        <w:spacing w:line="360" w:lineRule="auto"/>
        <w:jc w:val="both"/>
        <w:rPr>
          <w:rFonts w:cs="FrankRuehl"/>
          <w:sz w:val="26"/>
          <w:szCs w:val="26"/>
          <w:rtl/>
        </w:rPr>
      </w:pPr>
      <w:r>
        <w:rPr>
          <w:rFonts w:cs="FrankRuehl" w:hint="cs"/>
          <w:sz w:val="26"/>
          <w:szCs w:val="26"/>
          <w:rtl/>
        </w:rPr>
        <w:t xml:space="preserve">מצד אחד, התנהלותו של הנאשם במקרנו איננה חיובית </w:t>
      </w:r>
      <w:r>
        <w:rPr>
          <w:rFonts w:cs="FrankRuehl"/>
          <w:sz w:val="26"/>
          <w:szCs w:val="26"/>
          <w:rtl/>
        </w:rPr>
        <w:t>–</w:t>
      </w:r>
      <w:r>
        <w:rPr>
          <w:rFonts w:cs="FrankRuehl" w:hint="cs"/>
          <w:sz w:val="26"/>
          <w:szCs w:val="26"/>
          <w:rtl/>
        </w:rPr>
        <w:t xml:space="preserve"> למרות הניסיונות לגייסו למהלך טיפולי  בתחום הסמים הדבר לא צלח, והנאשם אף הצהיר בפניי שלא יחדל לעשן, שכן הוא משתמש בסמים מגיל 15 ומבחינתו, הסם מהווה "את התרופה שלו". אכן, מדובר בהתנהגות עוברת חוק מצד הנאשם שיש לו עבר פלילי בתחום, ולכאורה מדובר בהתנהגות מתריסה שאינה מכבדת את החוק ואת בית המשפט, תוך דחיית היד המושטת לו. גם חלוף הזמן אינו מסייע לנאשם, שכן חלוף הזמן במקרנו, רובץ לפתחו של הנאשם ובאחריותו הבלעדית. </w:t>
      </w:r>
    </w:p>
    <w:p w14:paraId="44202EFE" w14:textId="77777777" w:rsidR="007E22EB" w:rsidRDefault="007E22EB" w:rsidP="007E22EB">
      <w:pPr>
        <w:spacing w:line="360" w:lineRule="auto"/>
        <w:jc w:val="both"/>
        <w:rPr>
          <w:rFonts w:cs="FrankRuehl"/>
          <w:sz w:val="26"/>
          <w:szCs w:val="26"/>
          <w:rtl/>
        </w:rPr>
      </w:pPr>
      <w:r>
        <w:rPr>
          <w:rFonts w:cs="FrankRuehl" w:hint="cs"/>
          <w:sz w:val="26"/>
          <w:szCs w:val="26"/>
          <w:rtl/>
        </w:rPr>
        <w:t xml:space="preserve">אלא שמצד שני, מדובר באדם בוגר, שחי את חייו ובשנים האחרונות אינו מבצע עבירות ומבקש שיעזבוהו לנפשו, תוך שהוא מתפקד לאורך זמן במקום עבודה המעריך אותו, כשהמעסיק מתייחס אליו בהבנה ובאהבה. לכן, שליחתו של הנאשם למאסר בנסיבות הנוכחיות מעוררת קושי ממשי, אליו מצטרפות נסיבות המקרה </w:t>
      </w:r>
      <w:r>
        <w:rPr>
          <w:rFonts w:cs="FrankRuehl"/>
          <w:sz w:val="26"/>
          <w:szCs w:val="26"/>
          <w:rtl/>
        </w:rPr>
        <w:t>–</w:t>
      </w:r>
      <w:r>
        <w:rPr>
          <w:rFonts w:cs="FrankRuehl" w:hint="cs"/>
          <w:sz w:val="26"/>
          <w:szCs w:val="26"/>
          <w:rtl/>
        </w:rPr>
        <w:t xml:space="preserve"> כמות מזערית של סם שלגביו קיימת היום אסדרה מינהלית שאינה פלילית, בשלביה הראשונים (הגם שברור כי הנאשם אינו עומד בקריטריונים לנוכח פער הזמנים שבין רישומו הפלילי האחרון לבין מועד ביצוע העבירה). על-כן, יש לשאול מהו האינטרס הציבורי בשליחתו של הנאשם לכלא, מלבד העמידה על קוצו של יוד ומיצוי הדין. ערכים אחרונים אלו, אינם חזות הכל, וספק אם בנסיבות המקרה הם מתיישבים עם עקרון ההלימה, שהוא העקרון הבולט לאחר תיקון 113.</w:t>
      </w:r>
    </w:p>
    <w:p w14:paraId="21B793E7" w14:textId="77777777" w:rsidR="007E22EB" w:rsidRDefault="007E22EB" w:rsidP="007E22EB">
      <w:pPr>
        <w:spacing w:line="360" w:lineRule="auto"/>
        <w:jc w:val="both"/>
        <w:rPr>
          <w:rFonts w:cs="FrankRuehl"/>
          <w:sz w:val="26"/>
          <w:szCs w:val="26"/>
          <w:rtl/>
        </w:rPr>
      </w:pPr>
    </w:p>
    <w:p w14:paraId="1AB1BF4A" w14:textId="77777777" w:rsidR="007E22EB" w:rsidRDefault="007E22EB" w:rsidP="007E22EB">
      <w:pPr>
        <w:spacing w:line="360" w:lineRule="auto"/>
        <w:jc w:val="both"/>
        <w:rPr>
          <w:rFonts w:cs="FrankRuehl"/>
          <w:sz w:val="26"/>
          <w:szCs w:val="26"/>
          <w:rtl/>
        </w:rPr>
      </w:pPr>
      <w:r w:rsidRPr="000B621F">
        <w:rPr>
          <w:rFonts w:cs="FrankRuehl" w:hint="cs"/>
          <w:b/>
          <w:bCs/>
          <w:sz w:val="26"/>
          <w:szCs w:val="26"/>
          <w:u w:val="single"/>
          <w:rtl/>
        </w:rPr>
        <w:t xml:space="preserve">שאלת הארכת המאסר המותנה </w:t>
      </w:r>
      <w:r>
        <w:rPr>
          <w:rFonts w:cs="FrankRuehl"/>
          <w:sz w:val="26"/>
          <w:szCs w:val="26"/>
          <w:rtl/>
        </w:rPr>
        <w:t>–</w:t>
      </w:r>
      <w:r>
        <w:rPr>
          <w:rFonts w:cs="FrankRuehl" w:hint="cs"/>
          <w:sz w:val="26"/>
          <w:szCs w:val="26"/>
          <w:rtl/>
        </w:rPr>
        <w:t xml:space="preserve"> בבואו של בית המשפט לבחון שאלה של הארכת מאסר מותנה, עליו לשאול את עצמו האם במקרה שמונח לפניו, יהא זה נכון וצודק להאריך עונש זה. לטעמי, ולמרות שאינני מסכים עם הדרך שבה הנאשם בחר לנהל את חייו, ולמרות שאני סבור שיש מידה של כפיות טובה בדרך שבה התנהל בתיק זה, קשה לי להלום תוצאה של הטלת חודשיים מאסר מאחורי סורג ובריח, אך בשל צריכת חשיש במשקל מזערי, לצריכה עצמית. הממד של חלוף הזמן (הגם שצריך לפעול לחובתו של הנאשם), מוסיף לתוצאה זו נופך של אבסורד ותחושת חוסר צדק משווע. לכך יש להוסיף, כאמור, את המדיניות הנוכחית בשאלת אסדרת צריכת קנביס וחשיש והגישה הסלחנית שהיא מגלמת כלפי צורכי סם זה. לא זו אף זו. הארכת המאסר המותנה, בנסיבות הנוכחיות, היא חבר פיפיות של ממש מעל ראשו של הנאשם, שכן לא תהיה אפשרות להאריך את המאסר המותנה, אם הנאשם ימשיך בהתנהלותו הנוכחית, אלא אם כן יירתם לתהליך טיפולי שיקומי משמעותי בתחום הסמים, שכעת הוא חושב שאינו זקוק לו. מכאן, שהארכת המאסר המותנה, רק תגביר את אחריות של הנאשם לעתידו, על כל המשתמע מכך.</w:t>
      </w:r>
    </w:p>
    <w:p w14:paraId="30044077" w14:textId="77777777" w:rsidR="007E22EB" w:rsidRDefault="007E22EB" w:rsidP="007E22EB">
      <w:pPr>
        <w:spacing w:line="360" w:lineRule="auto"/>
        <w:jc w:val="both"/>
        <w:rPr>
          <w:rFonts w:cs="FrankRuehl"/>
          <w:sz w:val="26"/>
          <w:szCs w:val="26"/>
          <w:rtl/>
        </w:rPr>
      </w:pPr>
    </w:p>
    <w:p w14:paraId="2E29F31E" w14:textId="77777777" w:rsidR="007E22EB" w:rsidRDefault="007E22EB" w:rsidP="007E22EB">
      <w:pPr>
        <w:spacing w:line="360" w:lineRule="auto"/>
        <w:jc w:val="both"/>
        <w:rPr>
          <w:rFonts w:cs="FrankRuehl"/>
          <w:sz w:val="26"/>
          <w:szCs w:val="26"/>
          <w:rtl/>
        </w:rPr>
      </w:pPr>
      <w:r>
        <w:rPr>
          <w:rFonts w:cs="FrankRuehl" w:hint="cs"/>
          <w:b/>
          <w:bCs/>
          <w:sz w:val="26"/>
          <w:szCs w:val="26"/>
          <w:u w:val="single"/>
          <w:rtl/>
        </w:rPr>
        <w:t>המיקום במתחם</w:t>
      </w:r>
      <w:r>
        <w:rPr>
          <w:rFonts w:cs="FrankRuehl" w:hint="cs"/>
          <w:sz w:val="26"/>
          <w:szCs w:val="26"/>
          <w:rtl/>
        </w:rPr>
        <w:t xml:space="preserve"> </w:t>
      </w:r>
      <w:r>
        <w:rPr>
          <w:rFonts w:cs="FrankRuehl"/>
          <w:sz w:val="26"/>
          <w:szCs w:val="26"/>
          <w:rtl/>
        </w:rPr>
        <w:t>–</w:t>
      </w:r>
      <w:r>
        <w:rPr>
          <w:rFonts w:cs="FrankRuehl" w:hint="cs"/>
          <w:sz w:val="26"/>
          <w:szCs w:val="26"/>
          <w:rtl/>
        </w:rPr>
        <w:t xml:space="preserve"> לפיכך, במכלול הנסיבות שציינתי, יש מקום להותיר את הנאשם בתחתית מתחם הענישה, ולחדש את המאסר המותנה שנגזר עליו.</w:t>
      </w:r>
    </w:p>
    <w:p w14:paraId="1A60903B" w14:textId="77777777" w:rsidR="007E22EB" w:rsidRDefault="007E22EB" w:rsidP="007E22EB">
      <w:pPr>
        <w:spacing w:line="360" w:lineRule="auto"/>
        <w:jc w:val="both"/>
        <w:rPr>
          <w:rFonts w:cs="FrankRuehl"/>
          <w:b/>
          <w:bCs/>
          <w:sz w:val="26"/>
          <w:szCs w:val="26"/>
          <w:u w:val="single"/>
          <w:rtl/>
        </w:rPr>
      </w:pPr>
    </w:p>
    <w:p w14:paraId="0589E21B" w14:textId="77777777" w:rsidR="007E22EB" w:rsidRDefault="007E22EB" w:rsidP="007E22EB">
      <w:pPr>
        <w:spacing w:line="360" w:lineRule="auto"/>
        <w:jc w:val="both"/>
        <w:rPr>
          <w:rFonts w:cs="FrankRuehl"/>
          <w:b/>
          <w:bCs/>
          <w:sz w:val="26"/>
          <w:szCs w:val="26"/>
          <w:u w:val="single"/>
          <w:rtl/>
        </w:rPr>
      </w:pPr>
      <w:r>
        <w:rPr>
          <w:rFonts w:cs="FrankRuehl" w:hint="cs"/>
          <w:b/>
          <w:bCs/>
          <w:sz w:val="26"/>
          <w:szCs w:val="26"/>
          <w:u w:val="single"/>
          <w:rtl/>
        </w:rPr>
        <w:t>גזירת הדין</w:t>
      </w:r>
    </w:p>
    <w:p w14:paraId="15B3E1E7" w14:textId="77777777" w:rsidR="007E22EB" w:rsidRDefault="007E22EB" w:rsidP="007E22EB">
      <w:pPr>
        <w:spacing w:line="360" w:lineRule="auto"/>
        <w:jc w:val="both"/>
        <w:rPr>
          <w:rFonts w:cs="FrankRuehl"/>
          <w:sz w:val="26"/>
          <w:szCs w:val="26"/>
          <w:rtl/>
        </w:rPr>
      </w:pPr>
      <w:r>
        <w:rPr>
          <w:rFonts w:cs="FrankRuehl" w:hint="cs"/>
          <w:sz w:val="26"/>
          <w:szCs w:val="26"/>
          <w:rtl/>
        </w:rPr>
        <w:t>לפיכך, אני מחליט לגזור על הנאשם את העונשים הבאים:</w:t>
      </w:r>
    </w:p>
    <w:p w14:paraId="30EE2852" w14:textId="77777777" w:rsidR="007E22EB" w:rsidRDefault="007E22EB" w:rsidP="007E22EB">
      <w:pPr>
        <w:numPr>
          <w:ilvl w:val="0"/>
          <w:numId w:val="1"/>
        </w:numPr>
        <w:spacing w:after="160" w:line="360" w:lineRule="auto"/>
        <w:contextualSpacing/>
        <w:jc w:val="both"/>
        <w:rPr>
          <w:rFonts w:cs="FrankRuehl"/>
          <w:sz w:val="26"/>
          <w:szCs w:val="26"/>
        </w:rPr>
      </w:pPr>
      <w:r>
        <w:rPr>
          <w:rFonts w:cs="FrankRuehl" w:hint="cs"/>
          <w:sz w:val="26"/>
          <w:szCs w:val="26"/>
          <w:rtl/>
        </w:rPr>
        <w:t xml:space="preserve">מחדש את המאסר המותנה שנגזר על הנאשם בתיק התנאי וקובע, כי נגד הנאשם עומד מאסר על-תנאי של 60 יום, שלא יעבור בתוך שנתיים מהיום כל עבירה של צריכה עצמית של סמים או החזקת כלים לצריכה עצמית; </w:t>
      </w:r>
    </w:p>
    <w:p w14:paraId="3B8D9D9E" w14:textId="77777777" w:rsidR="007E22EB" w:rsidRDefault="007E22EB" w:rsidP="007E22EB">
      <w:pPr>
        <w:numPr>
          <w:ilvl w:val="0"/>
          <w:numId w:val="1"/>
        </w:numPr>
        <w:spacing w:after="160" w:line="360" w:lineRule="auto"/>
        <w:contextualSpacing/>
        <w:jc w:val="both"/>
        <w:rPr>
          <w:rFonts w:cs="FrankRuehl"/>
          <w:sz w:val="26"/>
          <w:szCs w:val="26"/>
        </w:rPr>
      </w:pPr>
      <w:r>
        <w:rPr>
          <w:rFonts w:cs="FrankRuehl" w:hint="cs"/>
          <w:sz w:val="26"/>
          <w:szCs w:val="26"/>
          <w:rtl/>
        </w:rPr>
        <w:t>קנס בסך 750  ₪, אשר יקוזז מהפיקדון שבתיק על אף כל הוראת עיקול. ככל שלא קיימת יתרת זכות לטובת הנאשם הקנס ישולם עד ליום 1.4.2020, ולא, ייאסר הנאשם למשך ארבעה ימים.</w:t>
      </w:r>
    </w:p>
    <w:p w14:paraId="42E48958" w14:textId="77777777" w:rsidR="007E22EB" w:rsidRDefault="007E22EB" w:rsidP="007E22EB">
      <w:pPr>
        <w:spacing w:line="360" w:lineRule="auto"/>
        <w:rPr>
          <w:rFonts w:ascii="FrankRuehl" w:hAnsi="FrankRuehl" w:cs="FrankRuehl"/>
          <w:sz w:val="26"/>
          <w:szCs w:val="26"/>
          <w:rtl/>
        </w:rPr>
      </w:pPr>
    </w:p>
    <w:p w14:paraId="5475D1BB" w14:textId="77777777" w:rsidR="007E22EB" w:rsidRDefault="007E22EB" w:rsidP="007E22EB">
      <w:pPr>
        <w:spacing w:line="360" w:lineRule="auto"/>
        <w:rPr>
          <w:rFonts w:ascii="FrankRuehl" w:hAnsi="FrankRuehl" w:cs="FrankRuehl"/>
          <w:sz w:val="26"/>
          <w:szCs w:val="26"/>
          <w:rtl/>
        </w:rPr>
      </w:pPr>
      <w:r>
        <w:rPr>
          <w:rFonts w:ascii="FrankRuehl" w:hAnsi="FrankRuehl" w:cs="FrankRuehl" w:hint="cs"/>
          <w:sz w:val="26"/>
          <w:szCs w:val="26"/>
          <w:rtl/>
        </w:rPr>
        <w:t>יש לשלוח לשירות המבחן.</w:t>
      </w:r>
    </w:p>
    <w:p w14:paraId="46FBC7D4" w14:textId="77777777" w:rsidR="007E22EB" w:rsidRDefault="007E22EB" w:rsidP="007E22EB">
      <w:pPr>
        <w:rPr>
          <w:rFonts w:ascii="FrankRuehl" w:hAnsi="FrankRuehl" w:cs="FrankRuehl"/>
          <w:sz w:val="26"/>
          <w:szCs w:val="26"/>
          <w:rtl/>
        </w:rPr>
      </w:pPr>
    </w:p>
    <w:p w14:paraId="442DE223" w14:textId="77777777" w:rsidR="007E22EB" w:rsidRDefault="007E22EB" w:rsidP="007E22EB">
      <w:pPr>
        <w:rPr>
          <w:rFonts w:ascii="FrankRuehl" w:hAnsi="FrankRuehl" w:cs="FrankRuehl"/>
          <w:sz w:val="26"/>
          <w:szCs w:val="26"/>
        </w:rPr>
      </w:pPr>
      <w:r>
        <w:rPr>
          <w:rFonts w:ascii="FrankRuehl" w:hAnsi="FrankRuehl" w:cs="FrankRuehl" w:hint="cs"/>
          <w:sz w:val="26"/>
          <w:szCs w:val="26"/>
          <w:rtl/>
        </w:rPr>
        <w:t>זכות ערעור כחוק לבית המשפט המחוזי בירושלים בתוך 45 יום מהיום.</w:t>
      </w:r>
    </w:p>
    <w:p w14:paraId="2F49358D" w14:textId="77777777" w:rsidR="007E22EB" w:rsidRPr="00D75E47" w:rsidRDefault="00D75E47" w:rsidP="007E22EB">
      <w:pPr>
        <w:rPr>
          <w:color w:val="FFFFFF"/>
          <w:sz w:val="2"/>
          <w:szCs w:val="2"/>
        </w:rPr>
      </w:pPr>
      <w:r w:rsidRPr="00D75E47">
        <w:rPr>
          <w:color w:val="FFFFFF"/>
          <w:sz w:val="2"/>
          <w:szCs w:val="2"/>
          <w:rtl/>
        </w:rPr>
        <w:t>5129371</w:t>
      </w:r>
    </w:p>
    <w:p w14:paraId="26983E16" w14:textId="77777777" w:rsidR="007E22EB" w:rsidRDefault="00D75E47" w:rsidP="007E22EB">
      <w:pPr>
        <w:rPr>
          <w:rFonts w:cs="FrankRuehl"/>
          <w:sz w:val="28"/>
          <w:szCs w:val="28"/>
          <w:rtl/>
        </w:rPr>
      </w:pPr>
      <w:bookmarkStart w:id="8" w:name="Nitan"/>
      <w:r w:rsidRPr="00D75E47">
        <w:rPr>
          <w:rFonts w:ascii="Arial" w:hAnsi="Arial"/>
          <w:color w:val="FFFFFF"/>
          <w:sz w:val="2"/>
          <w:szCs w:val="2"/>
          <w:rtl/>
        </w:rPr>
        <w:t>54678313</w:t>
      </w:r>
      <w:r>
        <w:rPr>
          <w:rFonts w:ascii="Arial" w:hAnsi="Arial"/>
          <w:rtl/>
        </w:rPr>
        <w:t xml:space="preserve">ניתן היום,  כ"ח שבט תש"פ, 23 פברואר 2020, במעמד הצדדים. </w:t>
      </w:r>
      <w:bookmarkEnd w:id="8"/>
    </w:p>
    <w:p w14:paraId="39929FFE" w14:textId="77777777" w:rsidR="007E22EB" w:rsidRDefault="007E22EB" w:rsidP="00D75E4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910B07C" w14:textId="77777777" w:rsidR="007E22EB" w:rsidRDefault="007E22EB" w:rsidP="007E22EB">
      <w:pPr>
        <w:jc w:val="center"/>
        <w:rPr>
          <w:rFonts w:ascii="Arial" w:hAnsi="Arial" w:cs="FrankRuehl"/>
          <w:sz w:val="28"/>
          <w:szCs w:val="28"/>
          <w:rtl/>
        </w:rPr>
      </w:pPr>
    </w:p>
    <w:p w14:paraId="204F5D64" w14:textId="77777777" w:rsidR="007E22EB" w:rsidRDefault="007E22EB" w:rsidP="007E22EB">
      <w:pPr>
        <w:rPr>
          <w:rFonts w:cs="FrankRuehl"/>
          <w:sz w:val="28"/>
          <w:szCs w:val="28"/>
          <w:rtl/>
        </w:rPr>
      </w:pPr>
    </w:p>
    <w:p w14:paraId="1FBE7EBA" w14:textId="77777777" w:rsidR="007E22EB" w:rsidRDefault="007E22EB" w:rsidP="007E22EB">
      <w:pPr>
        <w:pStyle w:val="a3"/>
        <w:jc w:val="center"/>
        <w:rPr>
          <w:rtl/>
        </w:rPr>
      </w:pPr>
    </w:p>
    <w:p w14:paraId="6A105E4A" w14:textId="77777777" w:rsidR="007F259D" w:rsidRPr="00D75E47" w:rsidRDefault="007F259D" w:rsidP="00D75E47">
      <w:pPr>
        <w:keepNext/>
        <w:rPr>
          <w:rFonts w:ascii="David" w:hAnsi="David"/>
          <w:color w:val="000000"/>
          <w:sz w:val="22"/>
          <w:szCs w:val="22"/>
          <w:rtl/>
        </w:rPr>
      </w:pPr>
    </w:p>
    <w:p w14:paraId="10FE29FB" w14:textId="77777777" w:rsidR="00D75E47" w:rsidRPr="00D75E47" w:rsidRDefault="00D75E47" w:rsidP="00D75E47">
      <w:pPr>
        <w:keepNext/>
        <w:rPr>
          <w:rFonts w:ascii="David" w:hAnsi="David"/>
          <w:color w:val="000000"/>
          <w:sz w:val="22"/>
          <w:szCs w:val="22"/>
          <w:rtl/>
        </w:rPr>
      </w:pPr>
      <w:r w:rsidRPr="00D75E47">
        <w:rPr>
          <w:rFonts w:ascii="David" w:hAnsi="David"/>
          <w:color w:val="000000"/>
          <w:sz w:val="22"/>
          <w:szCs w:val="22"/>
          <w:rtl/>
        </w:rPr>
        <w:t>דוד שאול גבאי ריכטר 54678313</w:t>
      </w:r>
    </w:p>
    <w:p w14:paraId="019D47A5" w14:textId="77777777" w:rsidR="00D75E47" w:rsidRDefault="00D75E47" w:rsidP="00D75E47">
      <w:r w:rsidRPr="00D75E47">
        <w:rPr>
          <w:color w:val="000000"/>
          <w:rtl/>
        </w:rPr>
        <w:t>נוסח מסמך זה כפוף לשינויי ניסוח ועריכה</w:t>
      </w:r>
    </w:p>
    <w:p w14:paraId="09D24708" w14:textId="77777777" w:rsidR="00D75E47" w:rsidRDefault="00D75E47" w:rsidP="00D75E47">
      <w:pPr>
        <w:rPr>
          <w:rtl/>
        </w:rPr>
      </w:pPr>
    </w:p>
    <w:p w14:paraId="62FBB953" w14:textId="77777777" w:rsidR="00D75E47" w:rsidRDefault="00D75E47" w:rsidP="00D75E47">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E018C10" w14:textId="77777777" w:rsidR="00D75E47" w:rsidRPr="00D75E47" w:rsidRDefault="00D75E47" w:rsidP="00D75E47">
      <w:pPr>
        <w:jc w:val="center"/>
        <w:rPr>
          <w:color w:val="0000FF"/>
          <w:u w:val="single"/>
        </w:rPr>
      </w:pPr>
    </w:p>
    <w:sectPr w:rsidR="00D75E47" w:rsidRPr="00D75E47" w:rsidSect="00D75E47">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06E4A" w14:textId="77777777" w:rsidR="00C8689C" w:rsidRDefault="00C8689C" w:rsidP="00D35B51">
      <w:r>
        <w:separator/>
      </w:r>
    </w:p>
  </w:endnote>
  <w:endnote w:type="continuationSeparator" w:id="0">
    <w:p w14:paraId="32DAFBE9" w14:textId="77777777" w:rsidR="00C8689C" w:rsidRDefault="00C8689C" w:rsidP="00D3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2EA66" w14:textId="77777777" w:rsidR="00D75E47" w:rsidRDefault="00D75E47" w:rsidP="00D75E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371982" w14:textId="77777777" w:rsidR="00D44917" w:rsidRPr="00D75E47" w:rsidRDefault="00D75E47" w:rsidP="00D75E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B64C" w14:textId="77777777" w:rsidR="00D75E47" w:rsidRDefault="00D75E47" w:rsidP="00D75E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75A">
      <w:rPr>
        <w:rFonts w:ascii="FrankRuehl" w:hAnsi="FrankRuehl" w:cs="FrankRuehl"/>
        <w:noProof/>
        <w:rtl/>
      </w:rPr>
      <w:t>1</w:t>
    </w:r>
    <w:r>
      <w:rPr>
        <w:rFonts w:ascii="FrankRuehl" w:hAnsi="FrankRuehl" w:cs="FrankRuehl"/>
        <w:rtl/>
      </w:rPr>
      <w:fldChar w:fldCharType="end"/>
    </w:r>
  </w:p>
  <w:p w14:paraId="34833D41" w14:textId="77777777" w:rsidR="00D44917" w:rsidRPr="00D75E47" w:rsidRDefault="00D75E47" w:rsidP="00D75E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D69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28671" w14:textId="77777777" w:rsidR="00C8689C" w:rsidRDefault="00C8689C" w:rsidP="00D35B51">
      <w:r>
        <w:separator/>
      </w:r>
    </w:p>
  </w:footnote>
  <w:footnote w:type="continuationSeparator" w:id="0">
    <w:p w14:paraId="57EEA7A2" w14:textId="77777777" w:rsidR="00C8689C" w:rsidRDefault="00C8689C" w:rsidP="00D35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272A1" w14:textId="77777777" w:rsidR="00D75E47" w:rsidRPr="00D75E47" w:rsidRDefault="00D75E47" w:rsidP="00D75E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46460-12-15</w:t>
    </w:r>
    <w:r>
      <w:rPr>
        <w:rFonts w:ascii="David" w:hAnsi="David"/>
        <w:color w:val="000000"/>
        <w:sz w:val="22"/>
        <w:szCs w:val="22"/>
        <w:rtl/>
      </w:rPr>
      <w:tab/>
      <w:t xml:space="preserve"> מדינת ישראל נ' שמואל עמרם בן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0F564" w14:textId="77777777" w:rsidR="00D75E47" w:rsidRPr="00D75E47" w:rsidRDefault="00D75E47" w:rsidP="00D75E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46460-12-15</w:t>
    </w:r>
    <w:r>
      <w:rPr>
        <w:rFonts w:ascii="David" w:hAnsi="David"/>
        <w:color w:val="000000"/>
        <w:sz w:val="22"/>
        <w:szCs w:val="22"/>
        <w:rtl/>
      </w:rPr>
      <w:tab/>
      <w:t xml:space="preserve"> מדינת ישראל נ' שמואל עמרם בן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32615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22EB"/>
    <w:rsid w:val="00707063"/>
    <w:rsid w:val="007173E4"/>
    <w:rsid w:val="007E22EB"/>
    <w:rsid w:val="007F259D"/>
    <w:rsid w:val="00C501AB"/>
    <w:rsid w:val="00C8689C"/>
    <w:rsid w:val="00CF075A"/>
    <w:rsid w:val="00D35B51"/>
    <w:rsid w:val="00D44917"/>
    <w:rsid w:val="00D75E47"/>
    <w:rsid w:val="00E275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519F0B"/>
  <w15:chartTrackingRefBased/>
  <w15:docId w15:val="{AC26714D-62C2-4C9A-81A2-3A690109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22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22EB"/>
    <w:pPr>
      <w:tabs>
        <w:tab w:val="center" w:pos="4153"/>
        <w:tab w:val="right" w:pos="8306"/>
      </w:tabs>
    </w:pPr>
  </w:style>
  <w:style w:type="character" w:customStyle="1" w:styleId="a4">
    <w:name w:val="כותרת עליונה תו"/>
    <w:link w:val="a3"/>
    <w:rsid w:val="007E22EB"/>
    <w:rPr>
      <w:rFonts w:ascii="Times New Roman" w:eastAsia="Times New Roman" w:hAnsi="Times New Roman" w:cs="David"/>
      <w:sz w:val="24"/>
      <w:szCs w:val="24"/>
    </w:rPr>
  </w:style>
  <w:style w:type="paragraph" w:styleId="a5">
    <w:name w:val="footer"/>
    <w:basedOn w:val="a"/>
    <w:link w:val="a6"/>
    <w:rsid w:val="007E22EB"/>
    <w:pPr>
      <w:tabs>
        <w:tab w:val="center" w:pos="4153"/>
        <w:tab w:val="right" w:pos="8306"/>
      </w:tabs>
    </w:pPr>
  </w:style>
  <w:style w:type="character" w:customStyle="1" w:styleId="a6">
    <w:name w:val="כותרת תחתונה תו"/>
    <w:link w:val="a5"/>
    <w:rsid w:val="007E22EB"/>
    <w:rPr>
      <w:rFonts w:ascii="Times New Roman" w:eastAsia="Times New Roman" w:hAnsi="Times New Roman" w:cs="David"/>
      <w:sz w:val="24"/>
      <w:szCs w:val="24"/>
    </w:rPr>
  </w:style>
  <w:style w:type="table" w:styleId="a7">
    <w:name w:val="Table Grid"/>
    <w:basedOn w:val="a1"/>
    <w:rsid w:val="007E22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22EB"/>
  </w:style>
  <w:style w:type="character" w:styleId="Hyperlink">
    <w:name w:val="Hyperlink"/>
    <w:rsid w:val="00D75E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40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4001574"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5963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7141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3473522</vt:i4>
      </vt:variant>
      <vt:variant>
        <vt:i4>24</vt:i4>
      </vt:variant>
      <vt:variant>
        <vt:i4>0</vt:i4>
      </vt:variant>
      <vt:variant>
        <vt:i4>5</vt:i4>
      </vt:variant>
      <vt:variant>
        <vt:lpwstr>http://www.nevo.co.il/case/4001574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46460</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שמואל עמרם בן ברוך</vt:lpwstr>
  </property>
  <property fmtid="{D5CDD505-2E9C-101B-9397-08002B2CF9AE}" pid="10" name="LAWYER">
    <vt:lpwstr>מוריה ששון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20200223</vt:lpwstr>
  </property>
  <property fmtid="{D5CDD505-2E9C-101B-9397-08002B2CF9AE}" pid="14" name="TYPE_N_DATE">
    <vt:lpwstr>38020200223</vt:lpwstr>
  </property>
  <property fmtid="{D5CDD505-2E9C-101B-9397-08002B2CF9AE}" pid="15" name="CASESLISTTMP1">
    <vt:lpwstr>4001574</vt:lpwstr>
  </property>
  <property fmtid="{D5CDD505-2E9C-101B-9397-08002B2CF9AE}" pid="16" name="WORDNUMPAGES">
    <vt:lpwstr>5</vt:lpwstr>
  </property>
  <property fmtid="{D5CDD505-2E9C-101B-9397-08002B2CF9AE}" pid="17" name="TYPE_ABS_DATE">
    <vt:lpwstr>380020200223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70301/040i;40ja</vt:lpwstr>
  </property>
</Properties>
</file>