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254F5" w:rsidRPr="00C41C4E" w14:paraId="0991C3DE" w14:textId="77777777" w:rsidTr="00275464">
        <w:trPr>
          <w:trHeight w:hRule="exact" w:val="418"/>
          <w:jc w:val="center"/>
        </w:trPr>
        <w:tc>
          <w:tcPr>
            <w:tcW w:w="8721" w:type="dxa"/>
            <w:gridSpan w:val="2"/>
          </w:tcPr>
          <w:p w14:paraId="0F59F828" w14:textId="77777777" w:rsidR="00D254F5" w:rsidRPr="00C41C4E" w:rsidRDefault="00D254F5" w:rsidP="003B1F88">
            <w:pPr>
              <w:pStyle w:val="a3"/>
              <w:jc w:val="center"/>
              <w:rPr>
                <w:rFonts w:ascii="FrankRuehl" w:hAnsi="FrankRuehl" w:cs="FrankRuehl"/>
                <w:color w:val="000080"/>
                <w:rtl/>
              </w:rPr>
            </w:pPr>
            <w:bookmarkStart w:id="0" w:name="LastJudge"/>
            <w:r w:rsidRPr="00C41C4E">
              <w:rPr>
                <w:rFonts w:ascii="FrankRuehl" w:hAnsi="FrankRuehl" w:cs="FrankRuehl"/>
                <w:b/>
                <w:bCs/>
                <w:color w:val="000080"/>
                <w:sz w:val="28"/>
                <w:szCs w:val="28"/>
                <w:rtl/>
              </w:rPr>
              <w:t>בית משפט השלום בירושלים</w:t>
            </w:r>
          </w:p>
        </w:tc>
      </w:tr>
      <w:tr w:rsidR="00D254F5" w:rsidRPr="00C41C4E" w14:paraId="2D98B5A6" w14:textId="77777777" w:rsidTr="00275464">
        <w:trPr>
          <w:trHeight w:val="337"/>
          <w:jc w:val="center"/>
        </w:trPr>
        <w:tc>
          <w:tcPr>
            <w:tcW w:w="5054" w:type="dxa"/>
          </w:tcPr>
          <w:p w14:paraId="3813CB01" w14:textId="77777777" w:rsidR="00D254F5" w:rsidRPr="00C41C4E" w:rsidRDefault="00D254F5" w:rsidP="003B1F88">
            <w:pPr>
              <w:rPr>
                <w:rFonts w:ascii="FrankRuehl" w:hAnsi="FrankRuehl" w:cs="FrankRuehl"/>
                <w:b/>
                <w:bCs/>
                <w:sz w:val="26"/>
                <w:szCs w:val="26"/>
                <w:rtl/>
              </w:rPr>
            </w:pPr>
            <w:r w:rsidRPr="00C41C4E">
              <w:rPr>
                <w:rFonts w:ascii="FrankRuehl" w:hAnsi="FrankRuehl" w:cs="FrankRuehl"/>
                <w:b/>
                <w:bCs/>
                <w:sz w:val="26"/>
                <w:szCs w:val="26"/>
                <w:rtl/>
              </w:rPr>
              <w:t>ת"פ 47400-12-15 מדינת ישראל נ' שחאדה</w:t>
            </w:r>
            <w:r w:rsidRPr="00C41C4E">
              <w:rPr>
                <w:rFonts w:ascii="FrankRuehl" w:hAnsi="FrankRuehl" w:cs="FrankRuehl"/>
                <w:b/>
                <w:bCs/>
                <w:sz w:val="26"/>
                <w:szCs w:val="26"/>
                <w:rtl/>
              </w:rPr>
              <w:br/>
              <w:t>ת"פ 28572-08-15 מדינת ישראל נ' שחאדה</w:t>
            </w:r>
          </w:p>
          <w:p w14:paraId="6A5FB768" w14:textId="77777777" w:rsidR="00D254F5" w:rsidRPr="00C41C4E" w:rsidRDefault="00D254F5" w:rsidP="003B1F88">
            <w:pPr>
              <w:rPr>
                <w:rFonts w:ascii="FrankRuehl" w:hAnsi="FrankRuehl" w:cs="FrankRuehl"/>
                <w:b/>
                <w:bCs/>
                <w:sz w:val="26"/>
                <w:szCs w:val="26"/>
                <w:rtl/>
              </w:rPr>
            </w:pPr>
            <w:r w:rsidRPr="00C41C4E">
              <w:rPr>
                <w:rFonts w:ascii="FrankRuehl" w:hAnsi="FrankRuehl" w:cs="FrankRuehl"/>
                <w:b/>
                <w:bCs/>
                <w:sz w:val="26"/>
                <w:szCs w:val="26"/>
                <w:rtl/>
              </w:rPr>
              <w:t>ת"פ 9543-03-17 מדינת ישראל נ' שחאדה</w:t>
            </w:r>
          </w:p>
          <w:p w14:paraId="750C0D02" w14:textId="77777777" w:rsidR="00D254F5" w:rsidRPr="00C41C4E" w:rsidRDefault="00D254F5" w:rsidP="003B1F88">
            <w:pPr>
              <w:rPr>
                <w:rFonts w:ascii="FrankRuehl" w:hAnsi="FrankRuehl" w:cs="FrankRuehl"/>
                <w:b/>
                <w:bCs/>
                <w:sz w:val="26"/>
                <w:szCs w:val="26"/>
                <w:rtl/>
              </w:rPr>
            </w:pPr>
            <w:r w:rsidRPr="00C41C4E">
              <w:rPr>
                <w:rFonts w:ascii="FrankRuehl" w:hAnsi="FrankRuehl" w:cs="FrankRuehl"/>
                <w:b/>
                <w:bCs/>
                <w:sz w:val="26"/>
                <w:szCs w:val="26"/>
                <w:rtl/>
              </w:rPr>
              <w:t>ת"פ 31151-12-15 מדינת ישראל נ' שחאדה ואח'</w:t>
            </w:r>
            <w:r w:rsidRPr="00C41C4E">
              <w:rPr>
                <w:rFonts w:ascii="FrankRuehl" w:hAnsi="FrankRuehl" w:cs="FrankRuehl"/>
                <w:b/>
                <w:bCs/>
                <w:sz w:val="26"/>
                <w:szCs w:val="26"/>
                <w:rtl/>
              </w:rPr>
              <w:br/>
              <w:t>ת"פ 2373-12-15 מדינת ישראל נ' שחאדה</w:t>
            </w:r>
          </w:p>
          <w:p w14:paraId="6A5C0C12" w14:textId="77777777" w:rsidR="00D254F5" w:rsidRPr="00C41C4E" w:rsidRDefault="00D254F5" w:rsidP="003B1F88">
            <w:pPr>
              <w:pStyle w:val="a3"/>
              <w:rPr>
                <w:rFonts w:ascii="FrankRuehl" w:hAnsi="FrankRuehl" w:cs="FrankRuehl"/>
                <w:b/>
                <w:bCs/>
                <w:sz w:val="26"/>
                <w:szCs w:val="26"/>
                <w:rtl/>
              </w:rPr>
            </w:pPr>
          </w:p>
        </w:tc>
        <w:tc>
          <w:tcPr>
            <w:tcW w:w="3667" w:type="dxa"/>
          </w:tcPr>
          <w:p w14:paraId="6848029A" w14:textId="77777777" w:rsidR="00D254F5" w:rsidRPr="00C41C4E" w:rsidRDefault="00D254F5" w:rsidP="003B1F88">
            <w:pPr>
              <w:pStyle w:val="a3"/>
              <w:jc w:val="right"/>
              <w:rPr>
                <w:rFonts w:ascii="FrankRuehl" w:hAnsi="FrankRuehl" w:cs="FrankRuehl"/>
                <w:b/>
                <w:bCs/>
                <w:sz w:val="26"/>
                <w:szCs w:val="26"/>
                <w:rtl/>
              </w:rPr>
            </w:pPr>
          </w:p>
        </w:tc>
      </w:tr>
    </w:tbl>
    <w:p w14:paraId="567D63C4" w14:textId="77777777" w:rsidR="00D254F5" w:rsidRPr="00C41C4E" w:rsidRDefault="00D254F5" w:rsidP="00D254F5">
      <w:pPr>
        <w:pStyle w:val="a3"/>
        <w:rPr>
          <w:rtl/>
        </w:rPr>
      </w:pPr>
      <w:r w:rsidRPr="00C41C4E">
        <w:rPr>
          <w:rFonts w:hint="cs"/>
          <w:rtl/>
        </w:rPr>
        <w:t xml:space="preserve"> </w:t>
      </w:r>
    </w:p>
    <w:p w14:paraId="23693477" w14:textId="77777777" w:rsidR="00D254F5" w:rsidRPr="00C41C4E" w:rsidRDefault="00D254F5" w:rsidP="00D254F5">
      <w:pPr>
        <w:rPr>
          <w:rtl/>
        </w:rPr>
      </w:pPr>
    </w:p>
    <w:p w14:paraId="160E800A" w14:textId="77777777" w:rsidR="00D254F5" w:rsidRPr="00C41C4E" w:rsidRDefault="00D254F5" w:rsidP="00D254F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254F5" w:rsidRPr="00C41C4E" w14:paraId="2FA0F282" w14:textId="77777777" w:rsidTr="00D254F5">
        <w:trPr>
          <w:trHeight w:val="295"/>
          <w:jc w:val="center"/>
        </w:trPr>
        <w:tc>
          <w:tcPr>
            <w:tcW w:w="923" w:type="dxa"/>
            <w:tcBorders>
              <w:top w:val="nil"/>
              <w:left w:val="nil"/>
              <w:bottom w:val="nil"/>
              <w:right w:val="nil"/>
            </w:tcBorders>
            <w:shd w:val="clear" w:color="auto" w:fill="auto"/>
          </w:tcPr>
          <w:p w14:paraId="4552CC0F" w14:textId="77777777" w:rsidR="00D254F5" w:rsidRPr="00C41C4E" w:rsidRDefault="00D254F5" w:rsidP="00D254F5">
            <w:pPr>
              <w:jc w:val="both"/>
              <w:rPr>
                <w:rFonts w:ascii="FrankRuehl" w:hAnsi="FrankRuehl" w:cs="FrankRuehl"/>
                <w:b/>
                <w:bCs/>
                <w:sz w:val="28"/>
                <w:szCs w:val="28"/>
              </w:rPr>
            </w:pPr>
            <w:r w:rsidRPr="00C41C4E">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146B3FC8" w14:textId="77777777" w:rsidR="00D254F5" w:rsidRPr="00C41C4E" w:rsidRDefault="00D254F5" w:rsidP="003B1F88">
            <w:pPr>
              <w:rPr>
                <w:rFonts w:ascii="FrankRuehl" w:hAnsi="FrankRuehl" w:cs="FrankRuehl"/>
                <w:b/>
                <w:bCs/>
                <w:sz w:val="28"/>
                <w:szCs w:val="28"/>
                <w:rtl/>
              </w:rPr>
            </w:pPr>
            <w:r w:rsidRPr="00C41C4E">
              <w:rPr>
                <w:rFonts w:ascii="FrankRuehl" w:hAnsi="FrankRuehl" w:cs="FrankRuehl"/>
                <w:b/>
                <w:bCs/>
                <w:sz w:val="28"/>
                <w:szCs w:val="28"/>
                <w:rtl/>
              </w:rPr>
              <w:t>כבוד השופט  דוד שאול גבאי ריכטר</w:t>
            </w:r>
          </w:p>
          <w:p w14:paraId="717A9772" w14:textId="77777777" w:rsidR="00D254F5" w:rsidRPr="00C41C4E" w:rsidRDefault="00D254F5" w:rsidP="003B1F88">
            <w:pPr>
              <w:rPr>
                <w:rFonts w:ascii="FrankRuehl" w:hAnsi="FrankRuehl" w:cs="FrankRuehl"/>
                <w:b/>
                <w:bCs/>
                <w:sz w:val="28"/>
                <w:szCs w:val="28"/>
                <w:rtl/>
              </w:rPr>
            </w:pPr>
          </w:p>
          <w:p w14:paraId="0710EEAC" w14:textId="77777777" w:rsidR="00D254F5" w:rsidRPr="00C41C4E" w:rsidRDefault="00D254F5" w:rsidP="00D254F5">
            <w:pPr>
              <w:jc w:val="both"/>
              <w:rPr>
                <w:rFonts w:ascii="FrankRuehl" w:hAnsi="FrankRuehl" w:cs="FrankRuehl"/>
                <w:b/>
                <w:bCs/>
                <w:sz w:val="28"/>
                <w:szCs w:val="28"/>
              </w:rPr>
            </w:pPr>
          </w:p>
        </w:tc>
      </w:tr>
      <w:tr w:rsidR="00D254F5" w:rsidRPr="00C41C4E" w14:paraId="2E60CB15" w14:textId="77777777" w:rsidTr="00D254F5">
        <w:trPr>
          <w:trHeight w:val="355"/>
          <w:jc w:val="center"/>
        </w:trPr>
        <w:tc>
          <w:tcPr>
            <w:tcW w:w="923" w:type="dxa"/>
            <w:tcBorders>
              <w:top w:val="nil"/>
              <w:left w:val="nil"/>
              <w:bottom w:val="nil"/>
              <w:right w:val="nil"/>
            </w:tcBorders>
            <w:shd w:val="clear" w:color="auto" w:fill="auto"/>
          </w:tcPr>
          <w:p w14:paraId="4C843DA4" w14:textId="77777777" w:rsidR="00D254F5" w:rsidRPr="00C41C4E" w:rsidRDefault="00D254F5" w:rsidP="00D254F5">
            <w:pPr>
              <w:jc w:val="both"/>
              <w:rPr>
                <w:rFonts w:ascii="FrankRuehl" w:hAnsi="FrankRuehl" w:cs="FrankRuehl"/>
                <w:b/>
                <w:bCs/>
                <w:sz w:val="28"/>
                <w:szCs w:val="28"/>
              </w:rPr>
            </w:pPr>
            <w:bookmarkStart w:id="1" w:name="FirstAppellant"/>
            <w:r w:rsidRPr="00C41C4E">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083DA34F" w14:textId="77777777" w:rsidR="00D254F5" w:rsidRPr="00C41C4E" w:rsidRDefault="00D254F5" w:rsidP="003B1F88">
            <w:pPr>
              <w:rPr>
                <w:rFonts w:ascii="FrankRuehl" w:hAnsi="FrankRuehl" w:cs="FrankRuehl"/>
                <w:b/>
                <w:bCs/>
                <w:sz w:val="28"/>
                <w:szCs w:val="28"/>
              </w:rPr>
            </w:pPr>
            <w:r w:rsidRPr="00C41C4E">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3FAEC24D" w14:textId="77777777" w:rsidR="00D254F5" w:rsidRPr="00C41C4E" w:rsidRDefault="00D254F5" w:rsidP="00D254F5">
            <w:pPr>
              <w:jc w:val="both"/>
              <w:rPr>
                <w:rFonts w:ascii="FrankRuehl" w:hAnsi="FrankRuehl" w:cs="FrankRuehl"/>
                <w:b/>
                <w:bCs/>
                <w:sz w:val="28"/>
                <w:szCs w:val="28"/>
              </w:rPr>
            </w:pPr>
          </w:p>
        </w:tc>
      </w:tr>
      <w:bookmarkEnd w:id="1"/>
      <w:tr w:rsidR="00D254F5" w:rsidRPr="00C41C4E" w14:paraId="1F95C344" w14:textId="77777777" w:rsidTr="00D254F5">
        <w:trPr>
          <w:trHeight w:val="355"/>
          <w:jc w:val="center"/>
        </w:trPr>
        <w:tc>
          <w:tcPr>
            <w:tcW w:w="923" w:type="dxa"/>
            <w:tcBorders>
              <w:top w:val="nil"/>
              <w:left w:val="nil"/>
              <w:bottom w:val="nil"/>
              <w:right w:val="nil"/>
            </w:tcBorders>
            <w:shd w:val="clear" w:color="auto" w:fill="auto"/>
          </w:tcPr>
          <w:p w14:paraId="525BA691" w14:textId="77777777" w:rsidR="00D254F5" w:rsidRPr="00C41C4E" w:rsidRDefault="00D254F5" w:rsidP="00D254F5">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111DC86" w14:textId="77777777" w:rsidR="00D254F5" w:rsidRPr="00C41C4E" w:rsidRDefault="00D254F5" w:rsidP="00D254F5">
            <w:pPr>
              <w:jc w:val="both"/>
              <w:rPr>
                <w:rFonts w:ascii="FrankRuehl" w:hAnsi="FrankRuehl" w:cs="FrankRuehl"/>
                <w:b/>
                <w:bCs/>
                <w:sz w:val="28"/>
                <w:szCs w:val="28"/>
                <w:rtl/>
              </w:rPr>
            </w:pPr>
            <w:r w:rsidRPr="00C41C4E">
              <w:rPr>
                <w:rFonts w:ascii="FrankRuehl" w:hAnsi="FrankRuehl" w:cs="FrankRuehl" w:hint="cs"/>
                <w:b/>
                <w:bCs/>
                <w:sz w:val="28"/>
                <w:szCs w:val="28"/>
                <w:rtl/>
              </w:rPr>
              <w:t>תביעות ירושלים</w:t>
            </w:r>
          </w:p>
        </w:tc>
        <w:tc>
          <w:tcPr>
            <w:tcW w:w="3771" w:type="dxa"/>
            <w:tcBorders>
              <w:top w:val="nil"/>
              <w:left w:val="nil"/>
              <w:bottom w:val="nil"/>
              <w:right w:val="nil"/>
            </w:tcBorders>
            <w:shd w:val="clear" w:color="auto" w:fill="auto"/>
          </w:tcPr>
          <w:p w14:paraId="4545BDF9" w14:textId="77777777" w:rsidR="00D254F5" w:rsidRPr="00C41C4E" w:rsidRDefault="00D254F5" w:rsidP="00D254F5">
            <w:pPr>
              <w:jc w:val="right"/>
              <w:rPr>
                <w:rFonts w:ascii="FrankRuehl" w:hAnsi="FrankRuehl" w:cs="FrankRuehl"/>
                <w:b/>
                <w:bCs/>
                <w:sz w:val="28"/>
                <w:szCs w:val="28"/>
                <w:rtl/>
              </w:rPr>
            </w:pPr>
            <w:r w:rsidRPr="00C41C4E">
              <w:rPr>
                <w:rFonts w:ascii="FrankRuehl" w:hAnsi="FrankRuehl" w:cs="FrankRuehl"/>
                <w:b/>
                <w:bCs/>
                <w:sz w:val="28"/>
                <w:szCs w:val="28"/>
                <w:rtl/>
              </w:rPr>
              <w:t>המאשימה</w:t>
            </w:r>
          </w:p>
        </w:tc>
      </w:tr>
      <w:tr w:rsidR="00D254F5" w:rsidRPr="00C41C4E" w14:paraId="06687477" w14:textId="77777777" w:rsidTr="00D254F5">
        <w:trPr>
          <w:trHeight w:val="355"/>
          <w:jc w:val="center"/>
        </w:trPr>
        <w:tc>
          <w:tcPr>
            <w:tcW w:w="923" w:type="dxa"/>
            <w:tcBorders>
              <w:top w:val="nil"/>
              <w:left w:val="nil"/>
              <w:bottom w:val="nil"/>
              <w:right w:val="nil"/>
            </w:tcBorders>
            <w:shd w:val="clear" w:color="auto" w:fill="auto"/>
          </w:tcPr>
          <w:p w14:paraId="4F70B7F5" w14:textId="77777777" w:rsidR="00D254F5" w:rsidRPr="00C41C4E" w:rsidRDefault="00D254F5" w:rsidP="00D254F5">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324E0AF2" w14:textId="77777777" w:rsidR="00D254F5" w:rsidRPr="00C41C4E" w:rsidRDefault="00D254F5" w:rsidP="00D254F5">
            <w:pPr>
              <w:jc w:val="center"/>
              <w:rPr>
                <w:rFonts w:ascii="FrankRuehl" w:hAnsi="FrankRuehl" w:cs="FrankRuehl"/>
                <w:b/>
                <w:bCs/>
                <w:sz w:val="28"/>
                <w:szCs w:val="28"/>
                <w:rtl/>
              </w:rPr>
            </w:pPr>
          </w:p>
          <w:p w14:paraId="7706B0B1" w14:textId="77777777" w:rsidR="00D254F5" w:rsidRPr="00C41C4E" w:rsidRDefault="00D254F5" w:rsidP="00D254F5">
            <w:pPr>
              <w:jc w:val="center"/>
              <w:rPr>
                <w:rFonts w:ascii="FrankRuehl" w:hAnsi="FrankRuehl" w:cs="FrankRuehl"/>
                <w:b/>
                <w:bCs/>
                <w:sz w:val="28"/>
                <w:szCs w:val="28"/>
                <w:rtl/>
              </w:rPr>
            </w:pPr>
            <w:r w:rsidRPr="00C41C4E">
              <w:rPr>
                <w:rFonts w:ascii="FrankRuehl" w:hAnsi="FrankRuehl" w:cs="FrankRuehl"/>
                <w:b/>
                <w:bCs/>
                <w:sz w:val="28"/>
                <w:szCs w:val="28"/>
                <w:rtl/>
              </w:rPr>
              <w:t>נגד</w:t>
            </w:r>
          </w:p>
          <w:p w14:paraId="56B55AC7" w14:textId="77777777" w:rsidR="00D254F5" w:rsidRPr="00C41C4E" w:rsidRDefault="00D254F5" w:rsidP="00D254F5">
            <w:pPr>
              <w:jc w:val="both"/>
              <w:rPr>
                <w:rFonts w:ascii="FrankRuehl" w:hAnsi="FrankRuehl" w:cs="FrankRuehl"/>
                <w:b/>
                <w:bCs/>
                <w:sz w:val="28"/>
                <w:szCs w:val="28"/>
              </w:rPr>
            </w:pPr>
          </w:p>
        </w:tc>
      </w:tr>
      <w:tr w:rsidR="00D254F5" w:rsidRPr="00C41C4E" w14:paraId="15E66A4A" w14:textId="77777777" w:rsidTr="00D254F5">
        <w:trPr>
          <w:trHeight w:val="355"/>
          <w:jc w:val="center"/>
        </w:trPr>
        <w:tc>
          <w:tcPr>
            <w:tcW w:w="923" w:type="dxa"/>
            <w:tcBorders>
              <w:top w:val="nil"/>
              <w:left w:val="nil"/>
              <w:bottom w:val="nil"/>
              <w:right w:val="nil"/>
            </w:tcBorders>
            <w:shd w:val="clear" w:color="auto" w:fill="auto"/>
          </w:tcPr>
          <w:p w14:paraId="7048A97B" w14:textId="77777777" w:rsidR="00D254F5" w:rsidRPr="00C41C4E" w:rsidRDefault="00D254F5" w:rsidP="003B1F88">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E9AD2FD" w14:textId="77777777" w:rsidR="00D254F5" w:rsidRPr="00C41C4E" w:rsidRDefault="00D254F5" w:rsidP="003B1F88">
            <w:pPr>
              <w:rPr>
                <w:rFonts w:ascii="FrankRuehl" w:hAnsi="FrankRuehl" w:cs="FrankRuehl"/>
                <w:b/>
                <w:bCs/>
                <w:sz w:val="28"/>
                <w:szCs w:val="28"/>
                <w:rtl/>
              </w:rPr>
            </w:pPr>
            <w:r w:rsidRPr="00C41C4E">
              <w:rPr>
                <w:rFonts w:ascii="FrankRuehl" w:hAnsi="FrankRuehl" w:cs="FrankRuehl"/>
                <w:b/>
                <w:bCs/>
                <w:sz w:val="28"/>
                <w:szCs w:val="28"/>
                <w:rtl/>
              </w:rPr>
              <w:t>שאדי שחאדה</w:t>
            </w:r>
          </w:p>
        </w:tc>
        <w:tc>
          <w:tcPr>
            <w:tcW w:w="3771" w:type="dxa"/>
            <w:tcBorders>
              <w:top w:val="nil"/>
              <w:left w:val="nil"/>
              <w:bottom w:val="nil"/>
              <w:right w:val="nil"/>
            </w:tcBorders>
            <w:shd w:val="clear" w:color="auto" w:fill="auto"/>
          </w:tcPr>
          <w:p w14:paraId="049CFEC4" w14:textId="77777777" w:rsidR="00D254F5" w:rsidRPr="00C41C4E" w:rsidRDefault="00D254F5" w:rsidP="00D254F5">
            <w:pPr>
              <w:jc w:val="right"/>
              <w:rPr>
                <w:rFonts w:ascii="FrankRuehl" w:hAnsi="FrankRuehl" w:cs="FrankRuehl"/>
                <w:b/>
                <w:bCs/>
                <w:sz w:val="28"/>
                <w:szCs w:val="28"/>
              </w:rPr>
            </w:pPr>
          </w:p>
        </w:tc>
      </w:tr>
      <w:tr w:rsidR="00D254F5" w:rsidRPr="00C41C4E" w14:paraId="01766A78" w14:textId="77777777" w:rsidTr="00D254F5">
        <w:trPr>
          <w:trHeight w:val="355"/>
          <w:jc w:val="center"/>
        </w:trPr>
        <w:tc>
          <w:tcPr>
            <w:tcW w:w="923" w:type="dxa"/>
            <w:tcBorders>
              <w:top w:val="nil"/>
              <w:left w:val="nil"/>
              <w:bottom w:val="nil"/>
              <w:right w:val="nil"/>
            </w:tcBorders>
            <w:shd w:val="clear" w:color="auto" w:fill="auto"/>
          </w:tcPr>
          <w:p w14:paraId="43885E7E" w14:textId="77777777" w:rsidR="00D254F5" w:rsidRPr="00C41C4E" w:rsidRDefault="00D254F5" w:rsidP="00D254F5">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619DD7CC" w14:textId="77777777" w:rsidR="00D254F5" w:rsidRPr="00C41C4E" w:rsidRDefault="00D254F5" w:rsidP="00D254F5">
            <w:pPr>
              <w:jc w:val="both"/>
              <w:rPr>
                <w:rFonts w:ascii="FrankRuehl" w:hAnsi="FrankRuehl" w:cs="FrankRuehl"/>
                <w:b/>
                <w:bCs/>
                <w:sz w:val="28"/>
                <w:szCs w:val="28"/>
                <w:rtl/>
              </w:rPr>
            </w:pPr>
            <w:r w:rsidRPr="00C41C4E">
              <w:rPr>
                <w:rFonts w:ascii="FrankRuehl" w:hAnsi="FrankRuehl" w:cs="FrankRuehl" w:hint="cs"/>
                <w:b/>
                <w:bCs/>
                <w:sz w:val="28"/>
                <w:szCs w:val="28"/>
                <w:rtl/>
              </w:rPr>
              <w:t>ע"י ב"כ עו"ד עאטף פרחאת</w:t>
            </w:r>
          </w:p>
        </w:tc>
        <w:tc>
          <w:tcPr>
            <w:tcW w:w="3771" w:type="dxa"/>
            <w:tcBorders>
              <w:top w:val="nil"/>
              <w:left w:val="nil"/>
              <w:bottom w:val="nil"/>
              <w:right w:val="nil"/>
            </w:tcBorders>
            <w:shd w:val="clear" w:color="auto" w:fill="auto"/>
          </w:tcPr>
          <w:p w14:paraId="7F6C86A5" w14:textId="77777777" w:rsidR="00D254F5" w:rsidRPr="00C41C4E" w:rsidRDefault="00D254F5" w:rsidP="00D254F5">
            <w:pPr>
              <w:jc w:val="right"/>
              <w:rPr>
                <w:rFonts w:ascii="FrankRuehl" w:hAnsi="FrankRuehl" w:cs="FrankRuehl"/>
                <w:b/>
                <w:bCs/>
                <w:sz w:val="28"/>
                <w:szCs w:val="28"/>
              </w:rPr>
            </w:pPr>
            <w:r w:rsidRPr="00C41C4E">
              <w:rPr>
                <w:rFonts w:ascii="FrankRuehl" w:hAnsi="FrankRuehl" w:cs="FrankRuehl"/>
                <w:b/>
                <w:bCs/>
                <w:sz w:val="28"/>
                <w:szCs w:val="28"/>
                <w:rtl/>
              </w:rPr>
              <w:t>הנאשם</w:t>
            </w:r>
          </w:p>
        </w:tc>
      </w:tr>
    </w:tbl>
    <w:p w14:paraId="36DF4141" w14:textId="77777777" w:rsidR="00275464" w:rsidRPr="00275464" w:rsidRDefault="00275464" w:rsidP="00275464">
      <w:pPr>
        <w:spacing w:before="120" w:after="120" w:line="240" w:lineRule="exact"/>
        <w:ind w:left="283" w:hanging="283"/>
        <w:jc w:val="both"/>
        <w:rPr>
          <w:rFonts w:ascii="FrankRuehl" w:hAnsi="FrankRuehl" w:cs="FrankRuehl"/>
          <w:rtl/>
        </w:rPr>
      </w:pPr>
      <w:bookmarkStart w:id="3" w:name="LawTable"/>
      <w:bookmarkEnd w:id="2"/>
      <w:bookmarkEnd w:id="3"/>
      <w:r w:rsidRPr="00275464">
        <w:rPr>
          <w:rFonts w:ascii="FrankRuehl" w:hAnsi="FrankRuehl" w:cs="FrankRuehl"/>
          <w:rtl/>
        </w:rPr>
        <w:t xml:space="preserve">חקיקה שאוזכרה: </w:t>
      </w:r>
    </w:p>
    <w:p w14:paraId="2DD73547" w14:textId="77777777" w:rsidR="00275464" w:rsidRPr="00275464" w:rsidRDefault="00275464" w:rsidP="00275464">
      <w:pPr>
        <w:spacing w:before="120" w:after="120" w:line="240" w:lineRule="exact"/>
        <w:ind w:left="283" w:hanging="283"/>
        <w:jc w:val="both"/>
        <w:rPr>
          <w:rFonts w:ascii="FrankRuehl" w:hAnsi="FrankRuehl" w:cs="FrankRuehl"/>
          <w:color w:val="0000FF"/>
          <w:u w:val="single"/>
          <w:rtl/>
        </w:rPr>
      </w:pPr>
      <w:hyperlink r:id="rId7" w:history="1">
        <w:r w:rsidRPr="00275464">
          <w:rPr>
            <w:rStyle w:val="Hyperlink"/>
            <w:rFonts w:ascii="FrankRuehl" w:hAnsi="FrankRuehl" w:cs="FrankRuehl"/>
            <w:rtl/>
          </w:rPr>
          <w:t>חוק העונשין, תשל"ז-1977</w:t>
        </w:r>
      </w:hyperlink>
      <w:r w:rsidRPr="00275464">
        <w:rPr>
          <w:rFonts w:ascii="FrankRuehl" w:hAnsi="FrankRuehl" w:cs="FrankRuehl"/>
          <w:color w:val="0000FF"/>
          <w:u w:val="single"/>
          <w:rtl/>
        </w:rPr>
        <w:t xml:space="preserve">: סע'  </w:t>
      </w:r>
      <w:hyperlink r:id="rId8" w:history="1">
        <w:r w:rsidRPr="00275464">
          <w:rPr>
            <w:rStyle w:val="Hyperlink"/>
            <w:rFonts w:ascii="FrankRuehl" w:hAnsi="FrankRuehl" w:cs="FrankRuehl"/>
          </w:rPr>
          <w:t>7.</w:t>
        </w:r>
        <w:r w:rsidRPr="00275464">
          <w:rPr>
            <w:rStyle w:val="Hyperlink"/>
            <w:rFonts w:ascii="FrankRuehl" w:hAnsi="FrankRuehl" w:cs="FrankRuehl"/>
            <w:rtl/>
          </w:rPr>
          <w:t>א</w:t>
        </w:r>
        <w:r w:rsidRPr="00275464">
          <w:rPr>
            <w:rStyle w:val="Hyperlink"/>
            <w:rFonts w:ascii="FrankRuehl" w:hAnsi="FrankRuehl" w:cs="FrankRuehl"/>
          </w:rPr>
          <w:t>.</w:t>
        </w:r>
      </w:hyperlink>
      <w:r w:rsidRPr="00275464">
        <w:rPr>
          <w:rFonts w:ascii="FrankRuehl" w:hAnsi="FrankRuehl" w:cs="FrankRuehl"/>
          <w:color w:val="0000FF"/>
          <w:u w:val="single"/>
          <w:rtl/>
        </w:rPr>
        <w:t xml:space="preserve">, </w:t>
      </w:r>
      <w:hyperlink r:id="rId9" w:history="1">
        <w:r w:rsidRPr="00275464">
          <w:rPr>
            <w:rStyle w:val="Hyperlink"/>
            <w:rFonts w:ascii="FrankRuehl" w:hAnsi="FrankRuehl" w:cs="FrankRuehl"/>
          </w:rPr>
          <w:t>7.</w:t>
        </w:r>
        <w:r w:rsidRPr="00275464">
          <w:rPr>
            <w:rStyle w:val="Hyperlink"/>
            <w:rFonts w:ascii="FrankRuehl" w:hAnsi="FrankRuehl" w:cs="FrankRuehl"/>
            <w:rtl/>
          </w:rPr>
          <w:t>ג</w:t>
        </w:r>
      </w:hyperlink>
      <w:r w:rsidRPr="00275464">
        <w:rPr>
          <w:rFonts w:ascii="FrankRuehl" w:hAnsi="FrankRuehl" w:cs="FrankRuehl"/>
          <w:color w:val="0000FF"/>
          <w:u w:val="single"/>
          <w:rtl/>
        </w:rPr>
        <w:t xml:space="preserve">, </w:t>
      </w:r>
      <w:hyperlink r:id="rId10" w:history="1">
        <w:r w:rsidRPr="00275464">
          <w:rPr>
            <w:rStyle w:val="Hyperlink"/>
            <w:rFonts w:ascii="FrankRuehl" w:hAnsi="FrankRuehl" w:cs="FrankRuehl"/>
          </w:rPr>
          <w:t>40</w:t>
        </w:r>
        <w:r w:rsidRPr="00275464">
          <w:rPr>
            <w:rStyle w:val="Hyperlink"/>
            <w:rFonts w:ascii="FrankRuehl" w:hAnsi="FrankRuehl" w:cs="FrankRuehl"/>
            <w:rtl/>
          </w:rPr>
          <w:t>ד</w:t>
        </w:r>
        <w:r w:rsidRPr="00275464">
          <w:rPr>
            <w:rStyle w:val="Hyperlink"/>
            <w:rFonts w:ascii="FrankRuehl" w:hAnsi="FrankRuehl" w:cs="FrankRuehl"/>
          </w:rPr>
          <w:t>'</w:t>
        </w:r>
      </w:hyperlink>
      <w:r w:rsidRPr="00275464">
        <w:rPr>
          <w:rFonts w:ascii="FrankRuehl" w:hAnsi="FrankRuehl" w:cs="FrankRuehl"/>
          <w:color w:val="0000FF"/>
          <w:u w:val="single"/>
          <w:rtl/>
        </w:rPr>
        <w:t xml:space="preserve">, </w:t>
      </w:r>
      <w:hyperlink r:id="rId11" w:history="1">
        <w:r w:rsidRPr="00275464">
          <w:rPr>
            <w:rStyle w:val="Hyperlink"/>
            <w:rFonts w:ascii="FrankRuehl" w:hAnsi="FrankRuehl" w:cs="FrankRuehl"/>
          </w:rPr>
          <w:t>40</w:t>
        </w:r>
        <w:r w:rsidRPr="00275464">
          <w:rPr>
            <w:rStyle w:val="Hyperlink"/>
            <w:rFonts w:ascii="FrankRuehl" w:hAnsi="FrankRuehl" w:cs="FrankRuehl"/>
            <w:rtl/>
          </w:rPr>
          <w:t>ט</w:t>
        </w:r>
        <w:r w:rsidRPr="00275464">
          <w:rPr>
            <w:rStyle w:val="Hyperlink"/>
            <w:rFonts w:ascii="FrankRuehl" w:hAnsi="FrankRuehl" w:cs="FrankRuehl"/>
          </w:rPr>
          <w:t>'</w:t>
        </w:r>
      </w:hyperlink>
      <w:r w:rsidRPr="00275464">
        <w:rPr>
          <w:rFonts w:ascii="FrankRuehl" w:hAnsi="FrankRuehl" w:cs="FrankRuehl"/>
          <w:color w:val="0000FF"/>
          <w:u w:val="single"/>
          <w:rtl/>
        </w:rPr>
        <w:t xml:space="preserve">, </w:t>
      </w:r>
      <w:hyperlink r:id="rId12" w:history="1">
        <w:r w:rsidRPr="00275464">
          <w:rPr>
            <w:rStyle w:val="Hyperlink"/>
            <w:rFonts w:ascii="FrankRuehl" w:hAnsi="FrankRuehl" w:cs="FrankRuehl"/>
          </w:rPr>
          <w:t>384</w:t>
        </w:r>
      </w:hyperlink>
      <w:r w:rsidRPr="00275464">
        <w:rPr>
          <w:rFonts w:ascii="FrankRuehl" w:hAnsi="FrankRuehl" w:cs="FrankRuehl"/>
          <w:color w:val="0000FF"/>
          <w:u w:val="single"/>
          <w:rtl/>
        </w:rPr>
        <w:t xml:space="preserve">, </w:t>
      </w:r>
      <w:hyperlink r:id="rId13" w:history="1">
        <w:r w:rsidRPr="00275464">
          <w:rPr>
            <w:rStyle w:val="Hyperlink"/>
            <w:rFonts w:ascii="FrankRuehl" w:hAnsi="FrankRuehl" w:cs="FrankRuehl"/>
          </w:rPr>
          <w:t>40</w:t>
        </w:r>
        <w:r w:rsidRPr="00275464">
          <w:rPr>
            <w:rStyle w:val="Hyperlink"/>
            <w:rFonts w:ascii="FrankRuehl" w:hAnsi="FrankRuehl" w:cs="FrankRuehl"/>
            <w:rtl/>
          </w:rPr>
          <w:t>יא</w:t>
        </w:r>
      </w:hyperlink>
    </w:p>
    <w:p w14:paraId="3423C1DB" w14:textId="77777777" w:rsidR="00275464" w:rsidRPr="00275464" w:rsidRDefault="00275464" w:rsidP="00275464">
      <w:pPr>
        <w:spacing w:before="120" w:after="120" w:line="240" w:lineRule="exact"/>
        <w:ind w:left="283" w:hanging="283"/>
        <w:jc w:val="both"/>
        <w:rPr>
          <w:rFonts w:ascii="FrankRuehl" w:hAnsi="FrankRuehl" w:cs="FrankRuehl"/>
          <w:color w:val="0000FF"/>
          <w:u w:val="single"/>
          <w:rtl/>
        </w:rPr>
      </w:pPr>
      <w:hyperlink r:id="rId14" w:history="1">
        <w:r w:rsidRPr="00275464">
          <w:rPr>
            <w:rStyle w:val="Hyperlink"/>
            <w:rFonts w:ascii="FrankRuehl" w:hAnsi="FrankRuehl" w:cs="FrankRuehl"/>
            <w:rtl/>
          </w:rPr>
          <w:t>פקודת הסמים המסוכנים [נוסח חדש], תשל"ג-1973</w:t>
        </w:r>
      </w:hyperlink>
    </w:p>
    <w:p w14:paraId="5AD0B8F6" w14:textId="77777777" w:rsidR="00D254F5" w:rsidRPr="00275464" w:rsidRDefault="00D254F5" w:rsidP="0027546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4F5" w14:paraId="057A4BD4" w14:textId="77777777" w:rsidTr="00D254F5">
        <w:trPr>
          <w:trHeight w:val="355"/>
          <w:jc w:val="center"/>
        </w:trPr>
        <w:tc>
          <w:tcPr>
            <w:tcW w:w="8820" w:type="dxa"/>
            <w:tcBorders>
              <w:top w:val="nil"/>
              <w:left w:val="nil"/>
              <w:bottom w:val="nil"/>
              <w:right w:val="nil"/>
            </w:tcBorders>
            <w:shd w:val="clear" w:color="auto" w:fill="auto"/>
          </w:tcPr>
          <w:p w14:paraId="14549D5F" w14:textId="77777777" w:rsidR="00C41C4E" w:rsidRPr="00C41C4E" w:rsidRDefault="00C41C4E" w:rsidP="00C41C4E">
            <w:pPr>
              <w:jc w:val="center"/>
              <w:rPr>
                <w:rFonts w:ascii="Arial" w:hAnsi="Arial" w:cs="FrankRuehl"/>
                <w:b/>
                <w:bCs/>
                <w:sz w:val="32"/>
                <w:szCs w:val="32"/>
                <w:u w:val="single"/>
                <w:rtl/>
              </w:rPr>
            </w:pPr>
            <w:bookmarkStart w:id="5" w:name="PsakDin" w:colFirst="0" w:colLast="0"/>
            <w:bookmarkEnd w:id="0"/>
            <w:r w:rsidRPr="00C41C4E">
              <w:rPr>
                <w:rFonts w:ascii="Arial" w:hAnsi="Arial" w:cs="FrankRuehl"/>
                <w:b/>
                <w:bCs/>
                <w:sz w:val="32"/>
                <w:szCs w:val="32"/>
                <w:u w:val="single"/>
                <w:rtl/>
              </w:rPr>
              <w:t>גזר דין</w:t>
            </w:r>
          </w:p>
          <w:p w14:paraId="0D25FD7D" w14:textId="77777777" w:rsidR="00D254F5" w:rsidRPr="00C41C4E" w:rsidRDefault="00D254F5" w:rsidP="00C41C4E">
            <w:pPr>
              <w:jc w:val="center"/>
              <w:rPr>
                <w:rFonts w:ascii="Arial" w:hAnsi="Arial" w:cs="FrankRuehl"/>
                <w:bCs/>
                <w:sz w:val="32"/>
                <w:szCs w:val="32"/>
                <w:u w:val="single"/>
                <w:rtl/>
              </w:rPr>
            </w:pPr>
          </w:p>
        </w:tc>
      </w:tr>
      <w:bookmarkEnd w:id="5"/>
    </w:tbl>
    <w:p w14:paraId="3FBBA5F5" w14:textId="77777777" w:rsidR="00D254F5" w:rsidRPr="00B05847" w:rsidRDefault="00D254F5" w:rsidP="00D254F5">
      <w:pPr>
        <w:rPr>
          <w:rFonts w:ascii="Arial" w:hAnsi="Arial"/>
          <w:rtl/>
        </w:rPr>
      </w:pPr>
    </w:p>
    <w:p w14:paraId="1CDA8CB6" w14:textId="77777777" w:rsidR="00D254F5" w:rsidRPr="00D412B5" w:rsidRDefault="00D254F5" w:rsidP="00D254F5">
      <w:pPr>
        <w:spacing w:line="360" w:lineRule="auto"/>
        <w:jc w:val="both"/>
        <w:rPr>
          <w:rFonts w:ascii="FrankRuehl" w:hAnsi="FrankRuehl" w:cs="FrankRuehl"/>
          <w:b/>
          <w:bCs/>
          <w:sz w:val="28"/>
          <w:szCs w:val="28"/>
          <w:u w:val="single"/>
          <w:rtl/>
        </w:rPr>
      </w:pPr>
      <w:r w:rsidRPr="00D412B5">
        <w:rPr>
          <w:rFonts w:ascii="FrankRuehl" w:hAnsi="FrankRuehl" w:cs="FrankRuehl"/>
          <w:b/>
          <w:bCs/>
          <w:sz w:val="28"/>
          <w:szCs w:val="28"/>
          <w:u w:val="single"/>
          <w:rtl/>
        </w:rPr>
        <w:t>כתבי האישום</w:t>
      </w:r>
    </w:p>
    <w:p w14:paraId="0754DA64" w14:textId="77777777" w:rsidR="00D254F5" w:rsidRPr="00D412B5" w:rsidRDefault="00D254F5" w:rsidP="00D254F5">
      <w:pPr>
        <w:spacing w:line="360" w:lineRule="auto"/>
        <w:jc w:val="both"/>
        <w:rPr>
          <w:rFonts w:ascii="FrankRuehl" w:hAnsi="FrankRuehl" w:cs="FrankRuehl"/>
          <w:sz w:val="28"/>
          <w:szCs w:val="28"/>
          <w:rtl/>
        </w:rPr>
      </w:pPr>
      <w:bookmarkStart w:id="6" w:name="ABSTRACT_START"/>
      <w:bookmarkEnd w:id="6"/>
      <w:r w:rsidRPr="00D412B5">
        <w:rPr>
          <w:rFonts w:ascii="FrankRuehl" w:hAnsi="FrankRuehl" w:cs="FrankRuehl"/>
          <w:sz w:val="28"/>
          <w:szCs w:val="28"/>
          <w:rtl/>
        </w:rPr>
        <w:t>הנאשם הורשע על-פי הודאתו, במספר כתבי אישום, חלקם מתוקנים, וזאת במסגרת הסדר טיעון שלא כלל הסכמה עונשית. להלן פרטי האישומים השונים:</w:t>
      </w:r>
    </w:p>
    <w:p w14:paraId="5D4AF19D" w14:textId="77777777" w:rsidR="00D254F5" w:rsidRPr="00D412B5" w:rsidRDefault="00D254F5" w:rsidP="00D254F5">
      <w:pPr>
        <w:spacing w:line="360" w:lineRule="auto"/>
        <w:jc w:val="both"/>
        <w:rPr>
          <w:rFonts w:ascii="FrankRuehl" w:hAnsi="FrankRuehl" w:cs="FrankRuehl"/>
          <w:sz w:val="28"/>
          <w:szCs w:val="28"/>
          <w:rtl/>
        </w:rPr>
      </w:pPr>
    </w:p>
    <w:p w14:paraId="1F23F239" w14:textId="77777777" w:rsidR="00D254F5" w:rsidRPr="00D412B5" w:rsidRDefault="00C41C4E" w:rsidP="00D254F5">
      <w:pPr>
        <w:spacing w:line="360" w:lineRule="auto"/>
        <w:jc w:val="both"/>
        <w:rPr>
          <w:rFonts w:ascii="FrankRuehl" w:hAnsi="FrankRuehl" w:cs="FrankRuehl"/>
          <w:sz w:val="28"/>
          <w:szCs w:val="28"/>
          <w:rtl/>
        </w:rPr>
      </w:pPr>
      <w:hyperlink r:id="rId15" w:history="1">
        <w:r w:rsidRPr="00C41C4E">
          <w:rPr>
            <w:rFonts w:ascii="FrankRuehl" w:hAnsi="FrankRuehl" w:cs="FrankRuehl"/>
            <w:color w:val="0000FF"/>
            <w:sz w:val="28"/>
            <w:szCs w:val="28"/>
            <w:u w:val="single"/>
            <w:rtl/>
          </w:rPr>
          <w:t>ת"פ 28572-08-15</w:t>
        </w:r>
      </w:hyperlink>
      <w:r w:rsidR="00D254F5" w:rsidRPr="00D412B5">
        <w:rPr>
          <w:rFonts w:ascii="FrankRuehl" w:hAnsi="FrankRuehl" w:cs="FrankRuehl"/>
          <w:sz w:val="28"/>
          <w:szCs w:val="28"/>
          <w:rtl/>
        </w:rPr>
        <w:t xml:space="preserve"> – ביום 10.10.2013 גנב הנאשם מחנות מכולת 50 בקבוקי שמפו. בגין כך הודה והורשע בביצוע עבירת גניבה, לפי </w:t>
      </w:r>
      <w:hyperlink r:id="rId16" w:history="1">
        <w:r w:rsidR="00275464" w:rsidRPr="00275464">
          <w:rPr>
            <w:rStyle w:val="Hyperlink"/>
            <w:rFonts w:ascii="FrankRuehl" w:hAnsi="FrankRuehl" w:cs="FrankRuehl"/>
            <w:color w:val="0000FF"/>
            <w:sz w:val="28"/>
            <w:szCs w:val="28"/>
            <w:rtl/>
          </w:rPr>
          <w:t>סעיף 384</w:t>
        </w:r>
      </w:hyperlink>
      <w:r w:rsidR="00D254F5" w:rsidRPr="00D412B5">
        <w:rPr>
          <w:rFonts w:ascii="FrankRuehl" w:hAnsi="FrankRuehl" w:cs="FrankRuehl"/>
          <w:sz w:val="28"/>
          <w:szCs w:val="28"/>
          <w:rtl/>
        </w:rPr>
        <w:t xml:space="preserve"> ל</w:t>
      </w:r>
      <w:hyperlink r:id="rId17" w:history="1">
        <w:r w:rsidRPr="00C41C4E">
          <w:rPr>
            <w:rFonts w:ascii="FrankRuehl" w:hAnsi="FrankRuehl" w:cs="FrankRuehl"/>
            <w:color w:val="0000FF"/>
            <w:sz w:val="28"/>
            <w:szCs w:val="28"/>
            <w:u w:val="single"/>
            <w:rtl/>
          </w:rPr>
          <w:t>חוק העונשין</w:t>
        </w:r>
      </w:hyperlink>
      <w:r w:rsidR="00D254F5" w:rsidRPr="00D412B5">
        <w:rPr>
          <w:rFonts w:ascii="FrankRuehl" w:hAnsi="FrankRuehl" w:cs="FrankRuehl"/>
          <w:sz w:val="28"/>
          <w:szCs w:val="28"/>
          <w:rtl/>
        </w:rPr>
        <w:t xml:space="preserve">, התשל"ז-1977 (להלן – </w:t>
      </w:r>
      <w:r w:rsidR="00D254F5" w:rsidRPr="00D412B5">
        <w:rPr>
          <w:rFonts w:ascii="FrankRuehl" w:hAnsi="FrankRuehl" w:cs="FrankRuehl"/>
          <w:b/>
          <w:bCs/>
          <w:sz w:val="28"/>
          <w:szCs w:val="28"/>
          <w:rtl/>
        </w:rPr>
        <w:t>החוק</w:t>
      </w:r>
      <w:r w:rsidR="00D254F5" w:rsidRPr="00D412B5">
        <w:rPr>
          <w:rFonts w:ascii="FrankRuehl" w:hAnsi="FrankRuehl" w:cs="FrankRuehl"/>
          <w:sz w:val="28"/>
          <w:szCs w:val="28"/>
          <w:rtl/>
        </w:rPr>
        <w:t xml:space="preserve">); ביום 3.5.2014 השתמש הנאשם בהירואין במשקל 0.58 גרם לצריכתו העצמית, ובגין כך הורשע בביצוע עבירה של שימוש עצמי בסמים, לפי </w:t>
      </w:r>
      <w:hyperlink r:id="rId18" w:history="1">
        <w:r w:rsidR="00275464" w:rsidRPr="00275464">
          <w:rPr>
            <w:rStyle w:val="Hyperlink"/>
            <w:rFonts w:ascii="FrankRuehl" w:hAnsi="FrankRuehl" w:cs="FrankRuehl"/>
            <w:color w:val="0000FF"/>
            <w:sz w:val="28"/>
            <w:szCs w:val="28"/>
            <w:rtl/>
          </w:rPr>
          <w:t>סעיפים 7(א)+(ג)</w:t>
        </w:r>
      </w:hyperlink>
      <w:r w:rsidR="00D254F5" w:rsidRPr="00D412B5">
        <w:rPr>
          <w:rFonts w:ascii="FrankRuehl" w:hAnsi="FrankRuehl" w:cs="FrankRuehl"/>
          <w:sz w:val="28"/>
          <w:szCs w:val="28"/>
          <w:rtl/>
        </w:rPr>
        <w:t xml:space="preserve"> סיפא ל</w:t>
      </w:r>
      <w:hyperlink r:id="rId19" w:history="1">
        <w:r w:rsidRPr="00C41C4E">
          <w:rPr>
            <w:rFonts w:ascii="FrankRuehl" w:hAnsi="FrankRuehl" w:cs="FrankRuehl"/>
            <w:color w:val="0000FF"/>
            <w:sz w:val="28"/>
            <w:szCs w:val="28"/>
            <w:u w:val="single"/>
            <w:rtl/>
          </w:rPr>
          <w:t>פקודת הסמים המסוכנים</w:t>
        </w:r>
      </w:hyperlink>
      <w:r w:rsidR="00D254F5" w:rsidRPr="00D412B5">
        <w:rPr>
          <w:rFonts w:ascii="FrankRuehl" w:hAnsi="FrankRuehl" w:cs="FrankRuehl" w:hint="cs"/>
          <w:sz w:val="28"/>
          <w:szCs w:val="28"/>
          <w:rtl/>
        </w:rPr>
        <w:t xml:space="preserve"> (להלן </w:t>
      </w:r>
      <w:r w:rsidR="00D254F5" w:rsidRPr="00D412B5">
        <w:rPr>
          <w:rFonts w:ascii="FrankRuehl" w:hAnsi="FrankRuehl" w:cs="FrankRuehl"/>
          <w:sz w:val="28"/>
          <w:szCs w:val="28"/>
          <w:rtl/>
        </w:rPr>
        <w:t>–</w:t>
      </w:r>
      <w:r w:rsidR="00D254F5" w:rsidRPr="00D412B5">
        <w:rPr>
          <w:rFonts w:ascii="FrankRuehl" w:hAnsi="FrankRuehl" w:cs="FrankRuehl" w:hint="cs"/>
          <w:sz w:val="28"/>
          <w:szCs w:val="28"/>
          <w:rtl/>
        </w:rPr>
        <w:t xml:space="preserve"> </w:t>
      </w:r>
      <w:r w:rsidR="00D254F5" w:rsidRPr="00D412B5">
        <w:rPr>
          <w:rFonts w:ascii="FrankRuehl" w:hAnsi="FrankRuehl" w:cs="FrankRuehl" w:hint="cs"/>
          <w:b/>
          <w:bCs/>
          <w:sz w:val="28"/>
          <w:szCs w:val="28"/>
          <w:rtl/>
        </w:rPr>
        <w:t>פקודת הסמים</w:t>
      </w:r>
      <w:r w:rsidR="00D254F5" w:rsidRPr="00D412B5">
        <w:rPr>
          <w:rFonts w:ascii="FrankRuehl" w:hAnsi="FrankRuehl" w:cs="FrankRuehl" w:hint="cs"/>
          <w:sz w:val="28"/>
          <w:szCs w:val="28"/>
          <w:rtl/>
        </w:rPr>
        <w:t>)</w:t>
      </w:r>
      <w:r w:rsidR="00D254F5" w:rsidRPr="00D412B5">
        <w:rPr>
          <w:rFonts w:ascii="FrankRuehl" w:hAnsi="FrankRuehl" w:cs="FrankRuehl"/>
          <w:sz w:val="28"/>
          <w:szCs w:val="28"/>
          <w:rtl/>
        </w:rPr>
        <w:t>.</w:t>
      </w:r>
    </w:p>
    <w:p w14:paraId="4110348C" w14:textId="77777777" w:rsidR="00D254F5" w:rsidRPr="00D412B5" w:rsidRDefault="00D254F5" w:rsidP="00D254F5">
      <w:pPr>
        <w:spacing w:line="360" w:lineRule="auto"/>
        <w:jc w:val="both"/>
        <w:rPr>
          <w:rFonts w:ascii="FrankRuehl" w:hAnsi="FrankRuehl" w:cs="FrankRuehl"/>
          <w:sz w:val="28"/>
          <w:szCs w:val="28"/>
          <w:rtl/>
        </w:rPr>
      </w:pPr>
      <w:bookmarkStart w:id="7" w:name="ABSTRACT_END"/>
      <w:bookmarkEnd w:id="7"/>
    </w:p>
    <w:p w14:paraId="25BCAF69" w14:textId="77777777" w:rsidR="00D254F5" w:rsidRPr="00D412B5" w:rsidRDefault="00C41C4E" w:rsidP="00D254F5">
      <w:pPr>
        <w:spacing w:line="360" w:lineRule="auto"/>
        <w:jc w:val="both"/>
        <w:rPr>
          <w:rFonts w:ascii="FrankRuehl" w:hAnsi="FrankRuehl" w:cs="FrankRuehl"/>
          <w:sz w:val="28"/>
          <w:szCs w:val="28"/>
          <w:rtl/>
        </w:rPr>
      </w:pPr>
      <w:hyperlink r:id="rId20" w:history="1">
        <w:r w:rsidRPr="00C41C4E">
          <w:rPr>
            <w:rFonts w:ascii="FrankRuehl" w:hAnsi="FrankRuehl" w:cs="FrankRuehl"/>
            <w:color w:val="0000FF"/>
            <w:sz w:val="28"/>
            <w:szCs w:val="28"/>
            <w:u w:val="single"/>
            <w:rtl/>
          </w:rPr>
          <w:t>ת"פ 31151-12-15</w:t>
        </w:r>
      </w:hyperlink>
      <w:r w:rsidR="00D254F5" w:rsidRPr="00D412B5">
        <w:rPr>
          <w:rFonts w:ascii="FrankRuehl" w:hAnsi="FrankRuehl" w:cs="FrankRuehl" w:hint="cs"/>
          <w:sz w:val="28"/>
          <w:szCs w:val="28"/>
          <w:rtl/>
        </w:rPr>
        <w:t xml:space="preserve"> </w:t>
      </w:r>
      <w:r w:rsidR="00D254F5" w:rsidRPr="00D412B5">
        <w:rPr>
          <w:rFonts w:ascii="FrankRuehl" w:hAnsi="FrankRuehl" w:cs="FrankRuehl"/>
          <w:sz w:val="28"/>
          <w:szCs w:val="28"/>
          <w:rtl/>
        </w:rPr>
        <w:t>–</w:t>
      </w:r>
      <w:r w:rsidR="00D254F5" w:rsidRPr="00D412B5">
        <w:rPr>
          <w:rFonts w:ascii="FrankRuehl" w:hAnsi="FrankRuehl" w:cs="FrankRuehl" w:hint="cs"/>
          <w:sz w:val="28"/>
          <w:szCs w:val="28"/>
          <w:rtl/>
        </w:rPr>
        <w:t xml:space="preserve"> ביום 1.2.2015 החזיק הנאשם בנעליו הירואין במשקל 1.7782 גרם נטו, לצריכתו העצמית, כשהסם היה מחולק לשתי שקיות. בגין כך הודה והרשע בהחזקת סם לצריכה עצמית, לפי </w:t>
      </w:r>
      <w:hyperlink r:id="rId21" w:history="1">
        <w:r w:rsidR="00275464" w:rsidRPr="00275464">
          <w:rPr>
            <w:rStyle w:val="Hyperlink"/>
            <w:rFonts w:ascii="FrankRuehl" w:hAnsi="FrankRuehl" w:cs="FrankRuehl" w:hint="eastAsia"/>
            <w:color w:val="0000FF"/>
            <w:sz w:val="28"/>
            <w:szCs w:val="28"/>
            <w:rtl/>
          </w:rPr>
          <w:t>סעיפים</w:t>
        </w:r>
        <w:r w:rsidR="00275464" w:rsidRPr="00275464">
          <w:rPr>
            <w:rStyle w:val="Hyperlink"/>
            <w:rFonts w:ascii="FrankRuehl" w:hAnsi="FrankRuehl" w:cs="FrankRuehl"/>
            <w:color w:val="0000FF"/>
            <w:sz w:val="28"/>
            <w:szCs w:val="28"/>
            <w:rtl/>
          </w:rPr>
          <w:t xml:space="preserve"> 7(א)+(ג)</w:t>
        </w:r>
      </w:hyperlink>
      <w:r w:rsidR="00D254F5" w:rsidRPr="00D412B5">
        <w:rPr>
          <w:rFonts w:ascii="FrankRuehl" w:hAnsi="FrankRuehl" w:cs="FrankRuehl" w:hint="cs"/>
          <w:sz w:val="28"/>
          <w:szCs w:val="28"/>
          <w:rtl/>
        </w:rPr>
        <w:t xml:space="preserve"> סיפא לפקודת הסמים.</w:t>
      </w:r>
    </w:p>
    <w:p w14:paraId="52A20CBC" w14:textId="77777777" w:rsidR="00D254F5" w:rsidRPr="00D412B5" w:rsidRDefault="00D254F5" w:rsidP="00D254F5">
      <w:pPr>
        <w:spacing w:line="360" w:lineRule="auto"/>
        <w:jc w:val="both"/>
        <w:rPr>
          <w:rFonts w:ascii="FrankRuehl" w:hAnsi="FrankRuehl" w:cs="FrankRuehl"/>
          <w:sz w:val="28"/>
          <w:szCs w:val="28"/>
          <w:rtl/>
        </w:rPr>
      </w:pPr>
    </w:p>
    <w:p w14:paraId="2DCF6DFA" w14:textId="77777777" w:rsidR="00D254F5" w:rsidRPr="00D412B5" w:rsidRDefault="00C41C4E" w:rsidP="00D254F5">
      <w:pPr>
        <w:spacing w:line="360" w:lineRule="auto"/>
        <w:jc w:val="both"/>
        <w:rPr>
          <w:rFonts w:ascii="FrankRuehl" w:hAnsi="FrankRuehl" w:cs="FrankRuehl"/>
          <w:sz w:val="28"/>
          <w:szCs w:val="28"/>
          <w:rtl/>
        </w:rPr>
      </w:pPr>
      <w:hyperlink r:id="rId22" w:history="1">
        <w:r w:rsidRPr="00C41C4E">
          <w:rPr>
            <w:rFonts w:ascii="FrankRuehl" w:hAnsi="FrankRuehl" w:cs="FrankRuehl"/>
            <w:color w:val="0000FF"/>
            <w:sz w:val="28"/>
            <w:szCs w:val="28"/>
            <w:u w:val="single"/>
            <w:rtl/>
          </w:rPr>
          <w:t>ת"פ 2373-12-15</w:t>
        </w:r>
      </w:hyperlink>
      <w:r w:rsidR="00D254F5" w:rsidRPr="00D412B5">
        <w:rPr>
          <w:rFonts w:ascii="FrankRuehl" w:hAnsi="FrankRuehl" w:cs="FrankRuehl" w:hint="cs"/>
          <w:sz w:val="28"/>
          <w:szCs w:val="28"/>
          <w:rtl/>
        </w:rPr>
        <w:t xml:space="preserve"> </w:t>
      </w:r>
      <w:r w:rsidR="00D254F5" w:rsidRPr="00D412B5">
        <w:rPr>
          <w:rFonts w:ascii="FrankRuehl" w:hAnsi="FrankRuehl" w:cs="FrankRuehl"/>
          <w:sz w:val="28"/>
          <w:szCs w:val="28"/>
          <w:rtl/>
        </w:rPr>
        <w:t>–</w:t>
      </w:r>
      <w:r w:rsidR="00D254F5" w:rsidRPr="00D412B5">
        <w:rPr>
          <w:rFonts w:ascii="FrankRuehl" w:hAnsi="FrankRuehl" w:cs="FrankRuehl" w:hint="cs"/>
          <w:sz w:val="28"/>
          <w:szCs w:val="28"/>
          <w:rtl/>
        </w:rPr>
        <w:t xml:space="preserve"> ביום 2.4.2015 גנב הנאשם מסופרמרקט ציוד ואוכל לתינוקות ושם ברכבו של חברו ולאחר מכן חזר לסופר וגנב מוצרים נוספים בשווי 1,470 ₪. כשהקב"ט במקום התעמת עמו, דחף אותו. בגין מעשים אלו הורשע בביצוע עבירת גניבה, לפי </w:t>
      </w:r>
      <w:hyperlink r:id="rId23" w:history="1">
        <w:r w:rsidR="00275464" w:rsidRPr="00275464">
          <w:rPr>
            <w:rStyle w:val="Hyperlink"/>
            <w:rFonts w:ascii="FrankRuehl" w:hAnsi="FrankRuehl" w:cs="FrankRuehl" w:hint="eastAsia"/>
            <w:color w:val="0000FF"/>
            <w:sz w:val="28"/>
            <w:szCs w:val="28"/>
            <w:rtl/>
          </w:rPr>
          <w:t>סעיף</w:t>
        </w:r>
        <w:r w:rsidR="00275464" w:rsidRPr="00275464">
          <w:rPr>
            <w:rStyle w:val="Hyperlink"/>
            <w:rFonts w:ascii="FrankRuehl" w:hAnsi="FrankRuehl" w:cs="FrankRuehl"/>
            <w:color w:val="0000FF"/>
            <w:sz w:val="28"/>
            <w:szCs w:val="28"/>
            <w:rtl/>
          </w:rPr>
          <w:t xml:space="preserve"> 384</w:t>
        </w:r>
      </w:hyperlink>
      <w:r w:rsidR="00D254F5" w:rsidRPr="00D412B5">
        <w:rPr>
          <w:rFonts w:ascii="FrankRuehl" w:hAnsi="FrankRuehl" w:cs="FrankRuehl" w:hint="cs"/>
          <w:sz w:val="28"/>
          <w:szCs w:val="28"/>
          <w:rtl/>
        </w:rPr>
        <w:t xml:space="preserve"> לחוק. יצוין כי המוצרים הוחזרו, כעולה מדיון הטיעונים לעונש.</w:t>
      </w:r>
    </w:p>
    <w:p w14:paraId="09BAD5F5" w14:textId="77777777" w:rsidR="00D254F5" w:rsidRPr="00D412B5" w:rsidRDefault="00D254F5" w:rsidP="00D254F5">
      <w:pPr>
        <w:spacing w:line="360" w:lineRule="auto"/>
        <w:jc w:val="both"/>
        <w:rPr>
          <w:rFonts w:ascii="FrankRuehl" w:hAnsi="FrankRuehl" w:cs="FrankRuehl"/>
          <w:sz w:val="28"/>
          <w:szCs w:val="28"/>
          <w:rtl/>
        </w:rPr>
      </w:pPr>
    </w:p>
    <w:p w14:paraId="5FAECC14" w14:textId="77777777" w:rsidR="00D254F5" w:rsidRPr="00D412B5" w:rsidRDefault="00C41C4E" w:rsidP="00D254F5">
      <w:pPr>
        <w:spacing w:line="360" w:lineRule="auto"/>
        <w:jc w:val="both"/>
        <w:rPr>
          <w:rFonts w:ascii="FrankRuehl" w:hAnsi="FrankRuehl" w:cs="FrankRuehl"/>
          <w:sz w:val="28"/>
          <w:szCs w:val="28"/>
          <w:rtl/>
        </w:rPr>
      </w:pPr>
      <w:hyperlink r:id="rId24" w:history="1">
        <w:r w:rsidRPr="00C41C4E">
          <w:rPr>
            <w:rFonts w:ascii="FrankRuehl" w:hAnsi="FrankRuehl" w:cs="FrankRuehl"/>
            <w:color w:val="0000FF"/>
            <w:sz w:val="28"/>
            <w:szCs w:val="28"/>
            <w:u w:val="single"/>
            <w:rtl/>
          </w:rPr>
          <w:t>ת"פ 9543-03-17</w:t>
        </w:r>
      </w:hyperlink>
      <w:r w:rsidR="00D254F5" w:rsidRPr="00D412B5">
        <w:rPr>
          <w:rFonts w:ascii="FrankRuehl" w:hAnsi="FrankRuehl" w:cs="FrankRuehl" w:hint="cs"/>
          <w:sz w:val="28"/>
          <w:szCs w:val="28"/>
          <w:rtl/>
        </w:rPr>
        <w:t xml:space="preserve"> </w:t>
      </w:r>
      <w:r w:rsidR="00D254F5" w:rsidRPr="00D412B5">
        <w:rPr>
          <w:rFonts w:ascii="FrankRuehl" w:hAnsi="FrankRuehl" w:cs="FrankRuehl"/>
          <w:sz w:val="28"/>
          <w:szCs w:val="28"/>
          <w:rtl/>
        </w:rPr>
        <w:t>–</w:t>
      </w:r>
      <w:r w:rsidR="00D254F5" w:rsidRPr="00D412B5">
        <w:rPr>
          <w:rFonts w:ascii="FrankRuehl" w:hAnsi="FrankRuehl" w:cs="FrankRuehl" w:hint="cs"/>
          <w:sz w:val="28"/>
          <w:szCs w:val="28"/>
          <w:rtl/>
        </w:rPr>
        <w:t xml:space="preserve"> ביום 10.9.2015 גנב הנאשם מסופרמרקט מוצרים בשווי 905 ₪. ביום 27.9.2015 גנב הנאשם מסופר מרקט אחר מוצרים בשווי מעל 1,000 ₪, וביום 31.5.2015 גנב הנאשם מוצרים בשווי כ-1,799 ₪ מסופר מרקט אחר. בגין כל אלה הורשע בביצוע שלוש עבירות של גניבה, בניגוד </w:t>
      </w:r>
      <w:hyperlink r:id="rId25" w:history="1">
        <w:r w:rsidR="00275464" w:rsidRPr="00275464">
          <w:rPr>
            <w:rStyle w:val="Hyperlink"/>
            <w:rFonts w:ascii="FrankRuehl" w:hAnsi="FrankRuehl" w:cs="FrankRuehl" w:hint="eastAsia"/>
            <w:color w:val="0000FF"/>
            <w:sz w:val="28"/>
            <w:szCs w:val="28"/>
            <w:rtl/>
          </w:rPr>
          <w:t>לסעיף</w:t>
        </w:r>
        <w:r w:rsidR="00275464" w:rsidRPr="00275464">
          <w:rPr>
            <w:rStyle w:val="Hyperlink"/>
            <w:rFonts w:ascii="FrankRuehl" w:hAnsi="FrankRuehl" w:cs="FrankRuehl"/>
            <w:color w:val="0000FF"/>
            <w:sz w:val="28"/>
            <w:szCs w:val="28"/>
            <w:rtl/>
          </w:rPr>
          <w:t xml:space="preserve"> 384</w:t>
        </w:r>
      </w:hyperlink>
      <w:r w:rsidR="00D254F5" w:rsidRPr="00D412B5">
        <w:rPr>
          <w:rFonts w:ascii="FrankRuehl" w:hAnsi="FrankRuehl" w:cs="FrankRuehl" w:hint="cs"/>
          <w:sz w:val="28"/>
          <w:szCs w:val="28"/>
          <w:rtl/>
        </w:rPr>
        <w:t xml:space="preserve"> לחוק. יצוין, כי המוצרים הוחזרו.</w:t>
      </w:r>
    </w:p>
    <w:p w14:paraId="4FD7FE52" w14:textId="77777777" w:rsidR="00D254F5" w:rsidRPr="00D412B5" w:rsidRDefault="00D254F5" w:rsidP="00D254F5">
      <w:pPr>
        <w:spacing w:line="360" w:lineRule="auto"/>
        <w:jc w:val="both"/>
        <w:rPr>
          <w:rFonts w:ascii="FrankRuehl" w:hAnsi="FrankRuehl" w:cs="FrankRuehl"/>
          <w:sz w:val="28"/>
          <w:szCs w:val="28"/>
          <w:rtl/>
        </w:rPr>
      </w:pPr>
    </w:p>
    <w:p w14:paraId="2C446E93" w14:textId="77777777" w:rsidR="00D254F5" w:rsidRPr="00D412B5" w:rsidRDefault="00C41C4E" w:rsidP="00D254F5">
      <w:pPr>
        <w:spacing w:line="360" w:lineRule="auto"/>
        <w:jc w:val="both"/>
        <w:rPr>
          <w:rFonts w:ascii="FrankRuehl" w:hAnsi="FrankRuehl" w:cs="FrankRuehl"/>
          <w:sz w:val="28"/>
          <w:szCs w:val="28"/>
          <w:rtl/>
        </w:rPr>
      </w:pPr>
      <w:hyperlink r:id="rId26" w:history="1">
        <w:r w:rsidRPr="00C41C4E">
          <w:rPr>
            <w:rFonts w:ascii="FrankRuehl" w:hAnsi="FrankRuehl" w:cs="FrankRuehl"/>
            <w:color w:val="0000FF"/>
            <w:sz w:val="28"/>
            <w:szCs w:val="28"/>
            <w:u w:val="single"/>
            <w:rtl/>
          </w:rPr>
          <w:t>ת"פ 47400-12-15</w:t>
        </w:r>
      </w:hyperlink>
      <w:r w:rsidR="00D254F5" w:rsidRPr="00D412B5">
        <w:rPr>
          <w:rFonts w:ascii="FrankRuehl" w:hAnsi="FrankRuehl" w:cs="FrankRuehl" w:hint="cs"/>
          <w:sz w:val="28"/>
          <w:szCs w:val="28"/>
          <w:rtl/>
        </w:rPr>
        <w:t xml:space="preserve"> </w:t>
      </w:r>
      <w:r w:rsidR="00D254F5" w:rsidRPr="00D412B5">
        <w:rPr>
          <w:rFonts w:ascii="FrankRuehl" w:hAnsi="FrankRuehl" w:cs="FrankRuehl"/>
          <w:sz w:val="28"/>
          <w:szCs w:val="28"/>
          <w:rtl/>
        </w:rPr>
        <w:t>–</w:t>
      </w:r>
      <w:r w:rsidR="00D254F5" w:rsidRPr="00D412B5">
        <w:rPr>
          <w:rFonts w:ascii="FrankRuehl" w:hAnsi="FrankRuehl" w:cs="FrankRuehl" w:hint="cs"/>
          <w:sz w:val="28"/>
          <w:szCs w:val="28"/>
          <w:rtl/>
        </w:rPr>
        <w:t xml:space="preserve"> ביום 28.1.2015 גנב הנאשם מוצרים מסופרמרקט בשווי 1,898 ₪. בגין כך הורשע בביצוע עבירת גניבה, לפי </w:t>
      </w:r>
      <w:hyperlink r:id="rId27" w:history="1">
        <w:r w:rsidR="00275464" w:rsidRPr="00275464">
          <w:rPr>
            <w:rStyle w:val="Hyperlink"/>
            <w:rFonts w:ascii="FrankRuehl" w:hAnsi="FrankRuehl" w:cs="FrankRuehl" w:hint="eastAsia"/>
            <w:color w:val="0000FF"/>
            <w:sz w:val="28"/>
            <w:szCs w:val="28"/>
            <w:rtl/>
          </w:rPr>
          <w:t>סעיף</w:t>
        </w:r>
        <w:r w:rsidR="00275464" w:rsidRPr="00275464">
          <w:rPr>
            <w:rStyle w:val="Hyperlink"/>
            <w:rFonts w:ascii="FrankRuehl" w:hAnsi="FrankRuehl" w:cs="FrankRuehl"/>
            <w:color w:val="0000FF"/>
            <w:sz w:val="28"/>
            <w:szCs w:val="28"/>
            <w:rtl/>
          </w:rPr>
          <w:t xml:space="preserve"> 384</w:t>
        </w:r>
      </w:hyperlink>
      <w:r w:rsidR="00D254F5" w:rsidRPr="00D412B5">
        <w:rPr>
          <w:rFonts w:ascii="FrankRuehl" w:hAnsi="FrankRuehl" w:cs="FrankRuehl" w:hint="cs"/>
          <w:sz w:val="28"/>
          <w:szCs w:val="28"/>
          <w:rtl/>
        </w:rPr>
        <w:t xml:space="preserve"> לחוק. המוצרים הוחזרו.</w:t>
      </w:r>
    </w:p>
    <w:p w14:paraId="5852CEA0" w14:textId="77777777" w:rsidR="00D254F5" w:rsidRPr="00D412B5" w:rsidRDefault="00D254F5" w:rsidP="00D254F5">
      <w:pPr>
        <w:spacing w:line="360" w:lineRule="auto"/>
        <w:jc w:val="both"/>
        <w:rPr>
          <w:rFonts w:ascii="FrankRuehl" w:hAnsi="FrankRuehl" w:cs="FrankRuehl"/>
          <w:sz w:val="28"/>
          <w:szCs w:val="28"/>
          <w:rtl/>
        </w:rPr>
      </w:pPr>
    </w:p>
    <w:p w14:paraId="7BCDA610" w14:textId="77777777" w:rsidR="00D254F5" w:rsidRPr="00D412B5" w:rsidRDefault="00D254F5" w:rsidP="00D254F5">
      <w:pPr>
        <w:spacing w:line="360" w:lineRule="auto"/>
        <w:jc w:val="both"/>
        <w:rPr>
          <w:rFonts w:ascii="FrankRuehl" w:hAnsi="FrankRuehl" w:cs="FrankRuehl"/>
          <w:b/>
          <w:bCs/>
          <w:sz w:val="28"/>
          <w:szCs w:val="28"/>
          <w:u w:val="single"/>
          <w:rtl/>
        </w:rPr>
      </w:pPr>
      <w:r w:rsidRPr="00D412B5">
        <w:rPr>
          <w:rFonts w:ascii="FrankRuehl" w:hAnsi="FrankRuehl" w:cs="FrankRuehl" w:hint="cs"/>
          <w:b/>
          <w:bCs/>
          <w:sz w:val="28"/>
          <w:szCs w:val="28"/>
          <w:u w:val="single"/>
          <w:rtl/>
        </w:rPr>
        <w:t>תסקירי שירות המבחן</w:t>
      </w:r>
    </w:p>
    <w:p w14:paraId="1B68C121" w14:textId="77777777" w:rsidR="00D254F5" w:rsidRPr="00D412B5" w:rsidRDefault="00D254F5" w:rsidP="00D254F5">
      <w:pPr>
        <w:spacing w:line="360" w:lineRule="auto"/>
        <w:jc w:val="both"/>
        <w:rPr>
          <w:rFonts w:ascii="FrankRuehl" w:hAnsi="FrankRuehl" w:cs="FrankRuehl"/>
          <w:sz w:val="28"/>
          <w:szCs w:val="28"/>
          <w:rtl/>
        </w:rPr>
      </w:pPr>
      <w:r w:rsidRPr="00D412B5">
        <w:rPr>
          <w:rFonts w:ascii="FrankRuehl" w:hAnsi="FrankRuehl" w:cs="FrankRuehl" w:hint="cs"/>
          <w:sz w:val="28"/>
          <w:szCs w:val="28"/>
          <w:rtl/>
        </w:rPr>
        <w:t xml:space="preserve">בעניינו של הנאשם הוגשו מספר תסקירים. מהתסקירים עולה, כי הנאשם בשנות הארבעים לחייו, נישא פעמיים, ולו חמישה ילדים, ארבעה מנישואיו הקודמים וילדה פעוטה מנישואיו השניים. הוא סיים 12 שנות לימוד ויצא לעבוד. אלא שהוא סבל ממחלת אפילפסיה, והחל להשתמש בהירואין לשיכוך מכאוביו ממחלה זו. התמכרותו הפעילה נמשכה כ-15 שנים, כאשר על רקע התמכרות זו, התגרש מאשתו הראשונה. לטענתו, אשתו השניה נישאה לו למרות מצבו, משום שביקשה לסייע לו. הוא פנה לטיפול עצמאי ברמאללה, כשבתקופה מסוימת איבד את תושבותו הישראלית ולא יכול היה להיעזר בקופת החולים ובביטוח הלאומי, מצב שהשתנה בשנה האחרונה, עת הושבה לו תושבותו. בהמשך פנה למרכז מתדון ירושלים כדי להיות מטופל בתחליף סם, וטיפולו שם ידע עליות ומורדות. שירות המבחן עמד על כך שהנאשם נטל אחריות מלאה למעשיו והסבירם בהתמכרותו הקשה להירואין. הנאשם עושה מאמצים לעמוד בהסדרת חובותיו ובפרנסת משפחתו, ובמקביל הוא שומר תקופה ארוכה על ניקיון מסמי רחוב, בעוד הוא ממשיך להשתמש במתדון, כתחליף סם. בשל התמדה זו, והמשאבים שהיא נוטלת מן הנאשם, </w:t>
      </w:r>
      <w:r w:rsidRPr="00D412B5">
        <w:rPr>
          <w:rFonts w:ascii="FrankRuehl" w:hAnsi="FrankRuehl" w:cs="FrankRuehl" w:hint="cs"/>
          <w:sz w:val="28"/>
          <w:szCs w:val="28"/>
          <w:rtl/>
        </w:rPr>
        <w:lastRenderedPageBreak/>
        <w:t xml:space="preserve">ובשל משאביו המדולדלים כפי שהתרשם שירות המבחן, המליץ השירות על סיום ההליכים בדרך של הטלת מאסר מותנה, התחייבות וצו מבחן. לדעת שירות המבחן, עונש מוחשי אחר, ולו כשל"ץ, יעמוד לנאשם לרועץ בשל כוחותיו המוגבלים וההשקעה שהוא משקיע בתהליך השיקום שלו. יצוין, כי הנאשם נעדר כל עבר פלילי. </w:t>
      </w:r>
    </w:p>
    <w:p w14:paraId="1CC5D8A5" w14:textId="77777777" w:rsidR="00D254F5" w:rsidRPr="00D412B5" w:rsidRDefault="00D254F5" w:rsidP="00D254F5">
      <w:pPr>
        <w:spacing w:line="360" w:lineRule="auto"/>
        <w:jc w:val="both"/>
        <w:rPr>
          <w:rFonts w:ascii="FrankRuehl" w:hAnsi="FrankRuehl" w:cs="FrankRuehl"/>
          <w:sz w:val="28"/>
          <w:szCs w:val="28"/>
          <w:rtl/>
        </w:rPr>
      </w:pPr>
    </w:p>
    <w:p w14:paraId="6D14FA9F" w14:textId="77777777" w:rsidR="00D254F5" w:rsidRPr="00D412B5" w:rsidRDefault="00D254F5" w:rsidP="00D254F5">
      <w:pPr>
        <w:spacing w:line="360" w:lineRule="auto"/>
        <w:jc w:val="both"/>
        <w:rPr>
          <w:rFonts w:cs="FrankRuehl"/>
          <w:b/>
          <w:bCs/>
          <w:sz w:val="28"/>
          <w:szCs w:val="28"/>
          <w:u w:val="single"/>
          <w:rtl/>
        </w:rPr>
      </w:pPr>
      <w:r w:rsidRPr="00D412B5">
        <w:rPr>
          <w:rFonts w:cs="FrankRuehl" w:hint="cs"/>
          <w:b/>
          <w:bCs/>
          <w:sz w:val="28"/>
          <w:szCs w:val="28"/>
          <w:u w:val="single"/>
          <w:rtl/>
        </w:rPr>
        <w:t>חוות דעת של הממונה על עבודות השירות</w:t>
      </w:r>
    </w:p>
    <w:p w14:paraId="58DF86F1" w14:textId="77777777" w:rsidR="00D254F5" w:rsidRPr="00D412B5" w:rsidRDefault="00D254F5" w:rsidP="00D254F5">
      <w:pPr>
        <w:spacing w:line="360" w:lineRule="auto"/>
        <w:jc w:val="both"/>
        <w:rPr>
          <w:rFonts w:cs="FrankRuehl"/>
          <w:sz w:val="28"/>
          <w:szCs w:val="28"/>
          <w:rtl/>
        </w:rPr>
      </w:pPr>
      <w:r w:rsidRPr="00D412B5">
        <w:rPr>
          <w:rFonts w:cs="FrankRuehl" w:hint="cs"/>
          <w:sz w:val="28"/>
          <w:szCs w:val="28"/>
          <w:rtl/>
        </w:rPr>
        <w:t>משתי חוות דעת שהוגשו ע"י הממונה לבקשת בית המשפט עולה, כי הנאשם אינו כשיר לבצע עבודות שירות בשל תחלואיו המשמעותיים ובעיקר מחלת האפילפסיה הפעילה ממנה סובל.</w:t>
      </w:r>
    </w:p>
    <w:p w14:paraId="1248BC05" w14:textId="77777777" w:rsidR="00D254F5" w:rsidRPr="00D412B5" w:rsidRDefault="00D254F5" w:rsidP="00D254F5">
      <w:pPr>
        <w:spacing w:line="360" w:lineRule="auto"/>
        <w:jc w:val="both"/>
        <w:rPr>
          <w:rFonts w:cs="FrankRuehl"/>
          <w:sz w:val="28"/>
          <w:szCs w:val="28"/>
          <w:rtl/>
        </w:rPr>
      </w:pPr>
    </w:p>
    <w:p w14:paraId="0B61D7F2" w14:textId="77777777" w:rsidR="00D254F5" w:rsidRPr="00D412B5" w:rsidRDefault="00D254F5" w:rsidP="00D254F5">
      <w:pPr>
        <w:spacing w:line="360" w:lineRule="auto"/>
        <w:jc w:val="both"/>
        <w:rPr>
          <w:rFonts w:cs="FrankRuehl"/>
          <w:b/>
          <w:bCs/>
          <w:sz w:val="28"/>
          <w:szCs w:val="28"/>
          <w:u w:val="single"/>
          <w:rtl/>
        </w:rPr>
      </w:pPr>
      <w:r w:rsidRPr="00D412B5">
        <w:rPr>
          <w:rFonts w:cs="FrankRuehl" w:hint="cs"/>
          <w:b/>
          <w:bCs/>
          <w:sz w:val="28"/>
          <w:szCs w:val="28"/>
          <w:u w:val="single"/>
          <w:rtl/>
        </w:rPr>
        <w:t>טיעונים לעונש</w:t>
      </w:r>
    </w:p>
    <w:p w14:paraId="43A6275F" w14:textId="77777777" w:rsidR="00D254F5" w:rsidRPr="00D412B5" w:rsidRDefault="00D254F5" w:rsidP="00D254F5">
      <w:pPr>
        <w:spacing w:line="360" w:lineRule="auto"/>
        <w:jc w:val="both"/>
        <w:rPr>
          <w:rFonts w:cs="FrankRuehl"/>
          <w:sz w:val="28"/>
          <w:szCs w:val="28"/>
          <w:rtl/>
        </w:rPr>
      </w:pPr>
      <w:r w:rsidRPr="00D412B5">
        <w:rPr>
          <w:rFonts w:cs="FrankRuehl" w:hint="cs"/>
          <w:sz w:val="28"/>
          <w:szCs w:val="28"/>
          <w:rtl/>
        </w:rPr>
        <w:t xml:space="preserve">הצדדים לא הגיעו להסכמה עונשית. </w:t>
      </w:r>
    </w:p>
    <w:p w14:paraId="584133CA" w14:textId="77777777" w:rsidR="00D254F5" w:rsidRPr="00D412B5" w:rsidRDefault="00D254F5" w:rsidP="00D254F5">
      <w:pPr>
        <w:spacing w:line="360" w:lineRule="auto"/>
        <w:jc w:val="both"/>
        <w:rPr>
          <w:rFonts w:cs="FrankRuehl"/>
          <w:sz w:val="28"/>
          <w:szCs w:val="28"/>
          <w:rtl/>
        </w:rPr>
      </w:pPr>
      <w:r w:rsidRPr="00D412B5">
        <w:rPr>
          <w:rFonts w:cs="FrankRuehl" w:hint="cs"/>
          <w:sz w:val="28"/>
          <w:szCs w:val="28"/>
          <w:rtl/>
        </w:rPr>
        <w:t xml:space="preserve">מחד, המאשימה טוענת כי יש להטיל על הנאשם עונש כולל של 9 חודשי מאסר לריצוי בעבודות שירות, על בסיס מתחם שבין 9 ל-20 חודשי מאסר למכלול האישומים נגדו. המאשימה הדגישה את חומרת המעשים על רקע התמכרות לסמים וסברה, כי בשל שיקולי השיקום, ניתן לסיים את התיק בדרך של עבודות שירות. </w:t>
      </w:r>
    </w:p>
    <w:p w14:paraId="586CA2C6" w14:textId="77777777" w:rsidR="00D254F5" w:rsidRPr="00D412B5" w:rsidRDefault="00D254F5" w:rsidP="00D254F5">
      <w:pPr>
        <w:spacing w:line="360" w:lineRule="auto"/>
        <w:jc w:val="both"/>
        <w:rPr>
          <w:rFonts w:cs="FrankRuehl"/>
          <w:sz w:val="28"/>
          <w:szCs w:val="28"/>
          <w:rtl/>
        </w:rPr>
      </w:pPr>
      <w:r w:rsidRPr="00D412B5">
        <w:rPr>
          <w:rFonts w:cs="FrankRuehl" w:hint="cs"/>
          <w:sz w:val="28"/>
          <w:szCs w:val="28"/>
          <w:rtl/>
        </w:rPr>
        <w:t xml:space="preserve">מאידך, הסניגור עותר לאמץ את המלצת שירות המבחן לנוכח נסיבותיו האישיות והרפואיות של הנאשם. </w:t>
      </w:r>
    </w:p>
    <w:p w14:paraId="5AAD7054" w14:textId="77777777" w:rsidR="00D254F5" w:rsidRPr="00D412B5" w:rsidRDefault="00D254F5" w:rsidP="00D254F5">
      <w:pPr>
        <w:spacing w:line="360" w:lineRule="auto"/>
        <w:jc w:val="both"/>
        <w:rPr>
          <w:rFonts w:cs="FrankRuehl"/>
          <w:b/>
          <w:bCs/>
          <w:sz w:val="28"/>
          <w:szCs w:val="28"/>
          <w:u w:val="single"/>
          <w:rtl/>
        </w:rPr>
      </w:pPr>
    </w:p>
    <w:p w14:paraId="4ABB1DA8" w14:textId="77777777" w:rsidR="00D254F5" w:rsidRPr="00D412B5" w:rsidRDefault="00D254F5" w:rsidP="00D254F5">
      <w:pPr>
        <w:spacing w:line="360" w:lineRule="auto"/>
        <w:jc w:val="both"/>
        <w:rPr>
          <w:rFonts w:cs="FrankRuehl"/>
          <w:b/>
          <w:bCs/>
          <w:sz w:val="28"/>
          <w:szCs w:val="28"/>
          <w:u w:val="single"/>
          <w:rtl/>
        </w:rPr>
      </w:pPr>
      <w:r w:rsidRPr="00D412B5">
        <w:rPr>
          <w:rFonts w:cs="FrankRuehl" w:hint="cs"/>
          <w:b/>
          <w:bCs/>
          <w:sz w:val="28"/>
          <w:szCs w:val="28"/>
          <w:u w:val="single"/>
          <w:rtl/>
        </w:rPr>
        <w:t xml:space="preserve">קביעת מתחם הענישה </w:t>
      </w:r>
      <w:r w:rsidRPr="00D412B5">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76D9964" w14:textId="77777777" w:rsidR="00D254F5" w:rsidRPr="00D412B5" w:rsidRDefault="00D254F5" w:rsidP="00D254F5">
      <w:pPr>
        <w:spacing w:line="360" w:lineRule="auto"/>
        <w:jc w:val="both"/>
        <w:rPr>
          <w:rFonts w:cs="FrankRuehl"/>
          <w:b/>
          <w:bCs/>
          <w:sz w:val="28"/>
          <w:szCs w:val="28"/>
          <w:u w:val="single"/>
          <w:rtl/>
        </w:rPr>
      </w:pPr>
    </w:p>
    <w:p w14:paraId="12A23F43" w14:textId="77777777" w:rsidR="00D254F5" w:rsidRPr="00D412B5" w:rsidRDefault="00D254F5" w:rsidP="00D254F5">
      <w:pPr>
        <w:spacing w:line="360" w:lineRule="auto"/>
        <w:jc w:val="both"/>
        <w:rPr>
          <w:rFonts w:cs="FrankRuehl"/>
          <w:sz w:val="28"/>
          <w:szCs w:val="28"/>
          <w:rtl/>
        </w:rPr>
      </w:pPr>
      <w:r w:rsidRPr="00D412B5">
        <w:rPr>
          <w:rFonts w:cs="FrankRuehl" w:hint="cs"/>
          <w:b/>
          <w:bCs/>
          <w:sz w:val="28"/>
          <w:szCs w:val="28"/>
          <w:u w:val="single"/>
          <w:rtl/>
        </w:rPr>
        <w:t xml:space="preserve">אשר לערך המוגן </w:t>
      </w:r>
      <w:r w:rsidRPr="00D412B5">
        <w:rPr>
          <w:rFonts w:cs="FrankRuehl" w:hint="cs"/>
          <w:sz w:val="28"/>
          <w:szCs w:val="28"/>
          <w:rtl/>
        </w:rPr>
        <w:t>– העבירות אותן עבר הנאשם פוגעות בערך המוגן של קניינו של האדם, ויש בהם אף לפגוע בחיי המסחר התקינים, לנוכח הישנות העבירות ואופן ביצוען. עם זאת, בשל החזרת חלק מהציוד שנגנב, מידת הפגיעה בערך המוגן בשל עבירות הגניבה בינוני</w:t>
      </w:r>
      <w:r>
        <w:rPr>
          <w:rFonts w:cs="FrankRuehl" w:hint="cs"/>
          <w:sz w:val="28"/>
          <w:szCs w:val="28"/>
          <w:rtl/>
        </w:rPr>
        <w:t>ת</w:t>
      </w:r>
      <w:r w:rsidRPr="00D412B5">
        <w:rPr>
          <w:rFonts w:cs="FrankRuehl" w:hint="cs"/>
          <w:sz w:val="28"/>
          <w:szCs w:val="28"/>
          <w:rtl/>
        </w:rPr>
        <w:t xml:space="preserve">. אשר לעבירות הסמים </w:t>
      </w:r>
      <w:r w:rsidRPr="00D412B5">
        <w:rPr>
          <w:rFonts w:cs="FrankRuehl"/>
          <w:sz w:val="28"/>
          <w:szCs w:val="28"/>
          <w:rtl/>
        </w:rPr>
        <w:t>–</w:t>
      </w:r>
      <w:r w:rsidRPr="00D412B5">
        <w:rPr>
          <w:rFonts w:cs="FrankRuehl" w:hint="cs"/>
          <w:sz w:val="28"/>
          <w:szCs w:val="28"/>
          <w:rtl/>
        </w:rPr>
        <w:t xml:space="preserve"> הירואין הוא סם קשה ביותר, ופגיעתו בבריאות המשתמשים קשה ביותר. פגיעתו העקיפה בציבור, בשל הצורך של המכורים לממן את הסם בדרך של ביצוע עבירות רכוש, גם היא פגיעה קשה. הואיל ומדובר בשימוש עצמי, מדובר במידת פגיעה נמוכה בערכים המוגנים.  </w:t>
      </w:r>
    </w:p>
    <w:p w14:paraId="7561AE13" w14:textId="77777777" w:rsidR="00D254F5" w:rsidRPr="00D412B5" w:rsidRDefault="00D254F5" w:rsidP="00D254F5">
      <w:pPr>
        <w:spacing w:line="360" w:lineRule="auto"/>
        <w:jc w:val="both"/>
        <w:rPr>
          <w:rFonts w:cs="FrankRuehl"/>
          <w:b/>
          <w:bCs/>
          <w:sz w:val="28"/>
          <w:szCs w:val="28"/>
          <w:rtl/>
        </w:rPr>
      </w:pPr>
    </w:p>
    <w:p w14:paraId="3F600CB5" w14:textId="77777777" w:rsidR="00D254F5" w:rsidRPr="00D412B5" w:rsidRDefault="00D254F5" w:rsidP="00D254F5">
      <w:pPr>
        <w:spacing w:line="360" w:lineRule="auto"/>
        <w:jc w:val="both"/>
        <w:rPr>
          <w:rFonts w:cs="FrankRuehl"/>
          <w:sz w:val="28"/>
          <w:szCs w:val="28"/>
        </w:rPr>
      </w:pPr>
    </w:p>
    <w:p w14:paraId="62D454B1" w14:textId="77777777" w:rsidR="00D254F5" w:rsidRPr="00D412B5" w:rsidRDefault="00D254F5" w:rsidP="00D254F5">
      <w:pPr>
        <w:spacing w:line="360" w:lineRule="auto"/>
        <w:jc w:val="both"/>
        <w:rPr>
          <w:rFonts w:cs="FrankRuehl"/>
          <w:sz w:val="28"/>
          <w:szCs w:val="28"/>
        </w:rPr>
      </w:pPr>
      <w:r w:rsidRPr="00D412B5">
        <w:rPr>
          <w:rFonts w:cs="FrankRuehl" w:hint="cs"/>
          <w:b/>
          <w:bCs/>
          <w:sz w:val="28"/>
          <w:szCs w:val="28"/>
          <w:u w:val="single"/>
          <w:rtl/>
        </w:rPr>
        <w:t xml:space="preserve">נסיבות הקשורות בביצוע העבירה, לפי </w:t>
      </w:r>
      <w:hyperlink r:id="rId28" w:history="1">
        <w:r w:rsidR="00275464" w:rsidRPr="00275464">
          <w:rPr>
            <w:rStyle w:val="Hyperlink"/>
            <w:rFonts w:cs="FrankRuehl" w:hint="eastAsia"/>
            <w:b/>
            <w:bCs/>
            <w:color w:val="0000FF"/>
            <w:sz w:val="28"/>
            <w:szCs w:val="28"/>
            <w:rtl/>
          </w:rPr>
          <w:t>סעיף</w:t>
        </w:r>
        <w:r w:rsidR="00275464" w:rsidRPr="00275464">
          <w:rPr>
            <w:rStyle w:val="Hyperlink"/>
            <w:rFonts w:cs="FrankRuehl"/>
            <w:b/>
            <w:bCs/>
            <w:color w:val="0000FF"/>
            <w:sz w:val="28"/>
            <w:szCs w:val="28"/>
            <w:rtl/>
          </w:rPr>
          <w:t xml:space="preserve"> 40ט'</w:t>
        </w:r>
      </w:hyperlink>
      <w:r w:rsidRPr="00D412B5">
        <w:rPr>
          <w:rFonts w:cs="FrankRuehl" w:hint="cs"/>
          <w:b/>
          <w:bCs/>
          <w:sz w:val="28"/>
          <w:szCs w:val="28"/>
          <w:u w:val="single"/>
          <w:rtl/>
        </w:rPr>
        <w:t xml:space="preserve"> ל</w:t>
      </w:r>
      <w:hyperlink r:id="rId29" w:history="1">
        <w:r w:rsidR="00C41C4E" w:rsidRPr="00C41C4E">
          <w:rPr>
            <w:rFonts w:cs="FrankRuehl"/>
            <w:b/>
            <w:bCs/>
            <w:color w:val="0000FF"/>
            <w:sz w:val="28"/>
            <w:szCs w:val="28"/>
            <w:u w:val="single"/>
            <w:rtl/>
          </w:rPr>
          <w:t>חוק העונשין</w:t>
        </w:r>
      </w:hyperlink>
      <w:r w:rsidRPr="00D412B5">
        <w:rPr>
          <w:rFonts w:cs="FrankRuehl" w:hint="cs"/>
          <w:b/>
          <w:bCs/>
          <w:sz w:val="28"/>
          <w:szCs w:val="28"/>
          <w:rtl/>
        </w:rPr>
        <w:t xml:space="preserve"> – </w:t>
      </w:r>
      <w:r w:rsidRPr="00D412B5">
        <w:rPr>
          <w:rFonts w:cs="FrankRuehl" w:hint="cs"/>
          <w:sz w:val="28"/>
          <w:szCs w:val="28"/>
          <w:rtl/>
        </w:rPr>
        <w:t xml:space="preserve">בין הנסיבות הקשורות בביצוע העבירה יש לשקול את אלה, לעניין קביעת המתחם: אשר לעבירות הגניבה </w:t>
      </w:r>
      <w:r w:rsidRPr="00D412B5">
        <w:rPr>
          <w:rFonts w:cs="FrankRuehl"/>
          <w:sz w:val="28"/>
          <w:szCs w:val="28"/>
          <w:rtl/>
        </w:rPr>
        <w:t>–</w:t>
      </w:r>
      <w:r w:rsidRPr="00D412B5">
        <w:rPr>
          <w:rFonts w:cs="FrankRuehl" w:hint="cs"/>
          <w:sz w:val="28"/>
          <w:szCs w:val="28"/>
          <w:rtl/>
        </w:rPr>
        <w:t xml:space="preserve"> מדובר כולן בעבירות לא מתכוננות של ניצול הזדמנות. העבירות לא בוצעו בתכנון</w:t>
      </w:r>
      <w:r>
        <w:rPr>
          <w:rFonts w:cs="FrankRuehl" w:hint="cs"/>
          <w:sz w:val="28"/>
          <w:szCs w:val="28"/>
          <w:rtl/>
        </w:rPr>
        <w:t xml:space="preserve"> או בתחכום</w:t>
      </w:r>
      <w:r w:rsidRPr="00D412B5">
        <w:rPr>
          <w:rFonts w:cs="FrankRuehl" w:hint="cs"/>
          <w:sz w:val="28"/>
          <w:szCs w:val="28"/>
          <w:rtl/>
        </w:rPr>
        <w:t xml:space="preserve">, ובכולן נתפס הנאשם בכף והחזיר את החפצים הגנובים, כך שהנזק שנגרם מעצם הגניבה מוגבל, אם כי הדבר אינו מקהה מחומרת המעשים ושליחת היד בקניין הזולת; הנאשם ביצע את העבירות כדי לממן את התמכרותו לסם; מכיוון שהנאשם עשה את המעשים הללו שעה שהוא בעומק ההתמכרות, יכולתו להימנע מן המעשים מופחתת, אך הדבר אינו גורע מאחריותו המלאה לביצועם; אשר לעבירות הסמים לשימוש עצמי </w:t>
      </w:r>
      <w:r w:rsidRPr="00D412B5">
        <w:rPr>
          <w:rFonts w:cs="FrankRuehl"/>
          <w:sz w:val="28"/>
          <w:szCs w:val="28"/>
          <w:rtl/>
        </w:rPr>
        <w:t>–</w:t>
      </w:r>
      <w:r w:rsidRPr="00D412B5">
        <w:rPr>
          <w:rFonts w:cs="FrankRuehl" w:hint="cs"/>
          <w:sz w:val="28"/>
          <w:szCs w:val="28"/>
          <w:rtl/>
        </w:rPr>
        <w:t xml:space="preserve">עיקר הנזק נגרם לנאשם עצמו.  לצד זאת, קיים קשר בין מחלותיו של הנאשם לשימושו בסמים. </w:t>
      </w:r>
    </w:p>
    <w:p w14:paraId="06C1FB72" w14:textId="77777777" w:rsidR="00D254F5" w:rsidRPr="00D412B5" w:rsidRDefault="00D254F5" w:rsidP="00D254F5">
      <w:pPr>
        <w:spacing w:line="360" w:lineRule="auto"/>
        <w:jc w:val="both"/>
        <w:rPr>
          <w:rFonts w:cs="FrankRuehl"/>
          <w:b/>
          <w:bCs/>
          <w:sz w:val="28"/>
          <w:szCs w:val="28"/>
          <w:u w:val="single"/>
          <w:rtl/>
        </w:rPr>
      </w:pPr>
    </w:p>
    <w:p w14:paraId="5AD80287" w14:textId="77777777" w:rsidR="00D254F5" w:rsidRPr="00D412B5" w:rsidRDefault="00D254F5" w:rsidP="00D254F5">
      <w:pPr>
        <w:spacing w:line="360" w:lineRule="auto"/>
        <w:jc w:val="both"/>
        <w:rPr>
          <w:rFonts w:cs="FrankRuehl"/>
          <w:sz w:val="28"/>
          <w:szCs w:val="28"/>
          <w:rtl/>
        </w:rPr>
      </w:pPr>
      <w:r w:rsidRPr="00D412B5">
        <w:rPr>
          <w:rFonts w:cs="FrankRuehl" w:hint="cs"/>
          <w:b/>
          <w:bCs/>
          <w:sz w:val="28"/>
          <w:szCs w:val="28"/>
          <w:u w:val="single"/>
          <w:rtl/>
        </w:rPr>
        <w:t>מדיניות הענישה הנוהגת</w:t>
      </w:r>
      <w:r w:rsidRPr="00D412B5">
        <w:rPr>
          <w:rFonts w:cs="FrankRuehl" w:hint="cs"/>
          <w:b/>
          <w:bCs/>
          <w:sz w:val="28"/>
          <w:szCs w:val="28"/>
          <w:rtl/>
        </w:rPr>
        <w:t xml:space="preserve"> – </w:t>
      </w:r>
      <w:r w:rsidRPr="00D412B5">
        <w:rPr>
          <w:rFonts w:cs="FrankRuehl" w:hint="cs"/>
          <w:sz w:val="28"/>
          <w:szCs w:val="28"/>
          <w:rtl/>
        </w:rPr>
        <w:t xml:space="preserve">עמדתה העונשית של המאשימה אינה מופרכת בהתחשב במספר האירועים, הישנותם וחומרתם כאשר מתחם הענישה, כמוסכם, מתייחס לכלל האירועים כאל "אירוע אחד". </w:t>
      </w:r>
    </w:p>
    <w:p w14:paraId="2BE5E523" w14:textId="77777777" w:rsidR="00D254F5" w:rsidRPr="00D412B5" w:rsidRDefault="00D254F5" w:rsidP="00D254F5">
      <w:pPr>
        <w:spacing w:line="360" w:lineRule="auto"/>
        <w:jc w:val="both"/>
        <w:rPr>
          <w:rFonts w:cs="FrankRuehl"/>
          <w:b/>
          <w:bCs/>
          <w:sz w:val="28"/>
          <w:szCs w:val="28"/>
          <w:u w:val="single"/>
          <w:rtl/>
        </w:rPr>
      </w:pPr>
    </w:p>
    <w:p w14:paraId="2D943F5D" w14:textId="77777777" w:rsidR="00D254F5" w:rsidRPr="00D412B5" w:rsidRDefault="00D254F5" w:rsidP="00D254F5">
      <w:pPr>
        <w:spacing w:line="360" w:lineRule="auto"/>
        <w:jc w:val="both"/>
        <w:rPr>
          <w:rFonts w:cs="FrankRuehl"/>
          <w:sz w:val="28"/>
          <w:szCs w:val="28"/>
          <w:rtl/>
        </w:rPr>
      </w:pPr>
      <w:r w:rsidRPr="00D412B5">
        <w:rPr>
          <w:rFonts w:cs="FrankRuehl" w:hint="cs"/>
          <w:b/>
          <w:bCs/>
          <w:sz w:val="28"/>
          <w:szCs w:val="28"/>
          <w:u w:val="single"/>
          <w:rtl/>
        </w:rPr>
        <w:t>מתחם הענישה</w:t>
      </w:r>
      <w:r w:rsidRPr="00D412B5">
        <w:rPr>
          <w:rFonts w:cs="FrankRuehl" w:hint="cs"/>
          <w:sz w:val="28"/>
          <w:szCs w:val="28"/>
          <w:rtl/>
        </w:rPr>
        <w:t xml:space="preserve"> – לפיכך, מתחם הענישה צריך לעמוד על בין 4 חודשי מאסר ועד 14 חודשי מאסר, לרבות אפשרות ריצוי בעבודות שירות. </w:t>
      </w:r>
    </w:p>
    <w:p w14:paraId="2B4FAFD9" w14:textId="77777777" w:rsidR="00D254F5" w:rsidRPr="00D412B5" w:rsidRDefault="00D254F5" w:rsidP="00D254F5">
      <w:pPr>
        <w:spacing w:line="360" w:lineRule="auto"/>
        <w:jc w:val="both"/>
        <w:rPr>
          <w:rFonts w:cs="FrankRuehl"/>
          <w:b/>
          <w:bCs/>
          <w:sz w:val="28"/>
          <w:szCs w:val="28"/>
          <w:rtl/>
        </w:rPr>
      </w:pPr>
    </w:p>
    <w:p w14:paraId="2B19E23D" w14:textId="77777777" w:rsidR="00D254F5" w:rsidRPr="00D412B5" w:rsidRDefault="00D254F5" w:rsidP="00D254F5">
      <w:pPr>
        <w:spacing w:line="360" w:lineRule="auto"/>
        <w:jc w:val="both"/>
        <w:rPr>
          <w:rFonts w:cs="FrankRuehl"/>
          <w:sz w:val="28"/>
          <w:szCs w:val="28"/>
          <w:rtl/>
        </w:rPr>
      </w:pPr>
      <w:r w:rsidRPr="00D412B5">
        <w:rPr>
          <w:rFonts w:cs="FrankRuehl" w:hint="cs"/>
          <w:b/>
          <w:bCs/>
          <w:sz w:val="28"/>
          <w:szCs w:val="28"/>
          <w:u w:val="single"/>
          <w:rtl/>
        </w:rPr>
        <w:t xml:space="preserve">נסיבות שאינן קשורות בביצוע העבירה לפי </w:t>
      </w:r>
      <w:hyperlink r:id="rId30" w:history="1">
        <w:r w:rsidR="00275464" w:rsidRPr="00275464">
          <w:rPr>
            <w:rStyle w:val="Hyperlink"/>
            <w:rFonts w:cs="FrankRuehl" w:hint="eastAsia"/>
            <w:b/>
            <w:bCs/>
            <w:color w:val="0000FF"/>
            <w:sz w:val="28"/>
            <w:szCs w:val="28"/>
            <w:rtl/>
          </w:rPr>
          <w:t>סעיף</w:t>
        </w:r>
        <w:r w:rsidR="00275464" w:rsidRPr="00275464">
          <w:rPr>
            <w:rStyle w:val="Hyperlink"/>
            <w:rFonts w:cs="FrankRuehl"/>
            <w:b/>
            <w:bCs/>
            <w:color w:val="0000FF"/>
            <w:sz w:val="28"/>
            <w:szCs w:val="28"/>
            <w:rtl/>
          </w:rPr>
          <w:t xml:space="preserve"> 40י"א</w:t>
        </w:r>
      </w:hyperlink>
      <w:r w:rsidRPr="00D412B5">
        <w:rPr>
          <w:rFonts w:cs="FrankRuehl" w:hint="cs"/>
          <w:b/>
          <w:bCs/>
          <w:sz w:val="28"/>
          <w:szCs w:val="28"/>
          <w:u w:val="single"/>
          <w:rtl/>
        </w:rPr>
        <w:t xml:space="preserve"> ל</w:t>
      </w:r>
      <w:hyperlink r:id="rId31" w:history="1">
        <w:r w:rsidR="00C41C4E" w:rsidRPr="00C41C4E">
          <w:rPr>
            <w:rFonts w:cs="FrankRuehl"/>
            <w:b/>
            <w:bCs/>
            <w:color w:val="0000FF"/>
            <w:sz w:val="28"/>
            <w:szCs w:val="28"/>
            <w:u w:val="single"/>
            <w:rtl/>
          </w:rPr>
          <w:t>חוק העונשין</w:t>
        </w:r>
      </w:hyperlink>
      <w:r w:rsidRPr="00D412B5">
        <w:rPr>
          <w:rFonts w:cs="FrankRuehl" w:hint="cs"/>
          <w:b/>
          <w:bCs/>
          <w:sz w:val="28"/>
          <w:szCs w:val="28"/>
          <w:rtl/>
        </w:rPr>
        <w:t xml:space="preserve"> – </w:t>
      </w:r>
      <w:r w:rsidRPr="00D412B5">
        <w:rPr>
          <w:rFonts w:cs="FrankRuehl" w:hint="cs"/>
          <w:sz w:val="28"/>
          <w:szCs w:val="28"/>
          <w:rtl/>
        </w:rPr>
        <w:t xml:space="preserve">ניתן  לתת משקל לנסיבות הבאות שאינן קשורות בביצוע העבירה, במסגרת גזירת העונש בתוך המתחם: מדובר בנאשם ללא עבר פלילי, שנסיבות חייו קשות ומורכבות, וכך גם הרקע להתמכרותו, הנעוץ בין היתר, במחלת האפילפסיה הקשה והפעילה, ממנה הוא סובל; הוא החל ביוזמת עצמו ניסיונות גמילה, ומזה תקופה ארוכה נמצא במסלול התייצבות מבלי שנפתחו נגדו תיקים חדשים </w:t>
      </w:r>
      <w:r w:rsidRPr="00D412B5">
        <w:rPr>
          <w:rFonts w:cs="FrankRuehl"/>
          <w:sz w:val="28"/>
          <w:szCs w:val="28"/>
          <w:rtl/>
        </w:rPr>
        <w:t>–</w:t>
      </w:r>
      <w:r w:rsidRPr="00D412B5">
        <w:rPr>
          <w:rFonts w:cs="FrankRuehl" w:hint="cs"/>
          <w:sz w:val="28"/>
          <w:szCs w:val="28"/>
          <w:rtl/>
        </w:rPr>
        <w:t xml:space="preserve"> מכאן שהוא מגלה כוחות משמעותיים, יחסית, לתפקוד נורמטיבי בשנים האחרונות וברצף, למען עצמו, ולמען משפחתו, ולתועלת החברה; השירות עמד על כך שהטלת עונש מוחשי דוגמת מאסר ואף עבודות שירות על הנאשם, תחבל ביכולותיו להשתקם, ואני תמים דעים עם הערכה זו, לנוכח התמונה שנתגלתה לפניי; התמכרותו ארוכת השנים של הנאשם נתנה בה אותותיו, ומאמציו לתקן את המעוות בחייו, ניכרים ויש להתייחס אליהם ולזקוף אותם לזכותו; קיים רכיב של חלוף הזמן, אך חלקו הניכר, נובע מהתנהלות הנאשם והקושי לאתרו.</w:t>
      </w:r>
    </w:p>
    <w:p w14:paraId="1B08FFCD" w14:textId="77777777" w:rsidR="00D254F5" w:rsidRPr="00D412B5" w:rsidRDefault="00D254F5" w:rsidP="00D254F5">
      <w:pPr>
        <w:spacing w:line="360" w:lineRule="auto"/>
        <w:jc w:val="both"/>
        <w:rPr>
          <w:rFonts w:cs="FrankRuehl"/>
          <w:sz w:val="28"/>
          <w:szCs w:val="28"/>
          <w:rtl/>
        </w:rPr>
      </w:pPr>
    </w:p>
    <w:p w14:paraId="434A1372" w14:textId="77777777" w:rsidR="00D254F5" w:rsidRPr="00D412B5" w:rsidRDefault="00D254F5" w:rsidP="00D254F5">
      <w:pPr>
        <w:spacing w:line="360" w:lineRule="auto"/>
        <w:jc w:val="both"/>
        <w:rPr>
          <w:rFonts w:cs="FrankRuehl"/>
          <w:sz w:val="28"/>
          <w:szCs w:val="28"/>
          <w:rtl/>
        </w:rPr>
      </w:pPr>
      <w:r w:rsidRPr="00D412B5">
        <w:rPr>
          <w:rFonts w:cs="FrankRuehl" w:hint="cs"/>
          <w:b/>
          <w:bCs/>
          <w:sz w:val="28"/>
          <w:szCs w:val="28"/>
          <w:u w:val="single"/>
          <w:rtl/>
        </w:rPr>
        <w:t>המיקום במתחם</w:t>
      </w:r>
      <w:r w:rsidRPr="00D412B5">
        <w:rPr>
          <w:rFonts w:cs="FrankRuehl" w:hint="cs"/>
          <w:sz w:val="28"/>
          <w:szCs w:val="28"/>
          <w:rtl/>
        </w:rPr>
        <w:t xml:space="preserve"> </w:t>
      </w:r>
      <w:r w:rsidRPr="00D412B5">
        <w:rPr>
          <w:rFonts w:cs="FrankRuehl"/>
          <w:sz w:val="28"/>
          <w:szCs w:val="28"/>
          <w:rtl/>
        </w:rPr>
        <w:t>–</w:t>
      </w:r>
      <w:r w:rsidRPr="00D412B5">
        <w:rPr>
          <w:rFonts w:cs="FrankRuehl" w:hint="cs"/>
          <w:sz w:val="28"/>
          <w:szCs w:val="28"/>
          <w:rtl/>
        </w:rPr>
        <w:t xml:space="preserve"> במכלול הנסיבות, יש למקם את הנאשם בחלק התחתון של המתחם. לצד זאת, אני סבור כי יש לנקוט גישה שיקומית בעניינו של הנאשם ולסטות ממתחם הענישה בהתאם להוראות </w:t>
      </w:r>
      <w:hyperlink r:id="rId32" w:history="1">
        <w:r w:rsidR="00275464" w:rsidRPr="00275464">
          <w:rPr>
            <w:rStyle w:val="Hyperlink"/>
            <w:rFonts w:cs="FrankRuehl" w:hint="eastAsia"/>
            <w:color w:val="0000FF"/>
            <w:sz w:val="28"/>
            <w:szCs w:val="28"/>
            <w:rtl/>
          </w:rPr>
          <w:t>סעיף</w:t>
        </w:r>
        <w:r w:rsidR="00275464" w:rsidRPr="00275464">
          <w:rPr>
            <w:rStyle w:val="Hyperlink"/>
            <w:rFonts w:cs="FrankRuehl"/>
            <w:color w:val="0000FF"/>
            <w:sz w:val="28"/>
            <w:szCs w:val="28"/>
            <w:rtl/>
          </w:rPr>
          <w:t xml:space="preserve"> 40ד'</w:t>
        </w:r>
      </w:hyperlink>
      <w:r w:rsidRPr="00D412B5">
        <w:rPr>
          <w:rFonts w:cs="FrankRuehl" w:hint="cs"/>
          <w:sz w:val="28"/>
          <w:szCs w:val="28"/>
          <w:rtl/>
        </w:rPr>
        <w:t xml:space="preserve"> לחוק מהטעמים הבאים: מדובר בנאשם שאמנם צירף תיקים רבים המבטאים חומרה לא מבוטלת של מעשים. יחד עם זאת, מדובר בנאשם שאין לו רישום פלילי קודם; המעשים מרביתם בוצעו בשנת 2015 וכן ב-2013, ומאז לא נפתחו תיקים חדשים; מצבו הרפואי הקשה של הנאשם עומד בבסיס ביצוע המעשים, והתנהלותו בשנים האחרונות מלמד על ניסיונות כנים שלו לחזור למוטב ולקיים אורח חיים פרודוקטיבי ואחראי. הוא מתמיד בטיפול ועל-כן הוכיח שיקום בפועל וכן סיכוי ממשי להתמיד בדרך זו, ויש לקוות שכאן אכן יהיה, בעיקר לטובתו, אם גם לטובת החברה. שירות המבחן עמד, ובצדק, על ההשלכות ההרסניות שעלולות להיות לשליחתו לכלא. </w:t>
      </w:r>
      <w:r>
        <w:rPr>
          <w:rFonts w:cs="FrankRuehl" w:hint="cs"/>
          <w:sz w:val="28"/>
          <w:szCs w:val="28"/>
          <w:rtl/>
        </w:rPr>
        <w:t xml:space="preserve">הדבר נכון שבעתיים, שעה שהנאשם מתמודד לאורך שנים עם בעיית התמכרות קשה, שהיא מחוללת ההתנהגות העבריינית אצלו. שליחתו לכלא, כמי שמעולם לא ריצה מאסר, עלולה לדרדרו בדרך חד-כיוונית שתותירו שבר כלי </w:t>
      </w:r>
      <w:r>
        <w:rPr>
          <w:rFonts w:cs="FrankRuehl"/>
          <w:sz w:val="28"/>
          <w:szCs w:val="28"/>
          <w:rtl/>
        </w:rPr>
        <w:t>–</w:t>
      </w:r>
      <w:r>
        <w:rPr>
          <w:rFonts w:cs="FrankRuehl" w:hint="cs"/>
          <w:sz w:val="28"/>
          <w:szCs w:val="28"/>
          <w:rtl/>
        </w:rPr>
        <w:t xml:space="preserve"> שלא יהיה לו קיום, מלבד זה בעולם הפלילי, והנטל שיועמס על כתפי החברה בעטיו, יהיה רב וארוך-טווח. אי-שליחתו לכלא, לעומת זאת, עשויה להבטיח תוצאה ארוכת טווח אחרת, והיא התמדה במסלול השיקום וההשתלבות בחברה כגורם מועיל, בסופו של דבר. </w:t>
      </w:r>
      <w:r w:rsidRPr="00D412B5">
        <w:rPr>
          <w:rFonts w:cs="FrankRuehl" w:hint="cs"/>
          <w:sz w:val="28"/>
          <w:szCs w:val="28"/>
          <w:rtl/>
        </w:rPr>
        <w:t xml:space="preserve">נוכח עמדת המאשימה, לכאורה, בהיעדר כשירות לביצוע עבודות שירות, </w:t>
      </w:r>
      <w:r>
        <w:rPr>
          <w:rFonts w:cs="FrankRuehl" w:hint="cs"/>
          <w:sz w:val="28"/>
          <w:szCs w:val="28"/>
          <w:rtl/>
        </w:rPr>
        <w:t xml:space="preserve">שליחתו לכלא </w:t>
      </w:r>
      <w:r w:rsidRPr="00D412B5">
        <w:rPr>
          <w:rFonts w:cs="FrankRuehl" w:hint="cs"/>
          <w:sz w:val="28"/>
          <w:szCs w:val="28"/>
          <w:rtl/>
        </w:rPr>
        <w:t>צריכה להיות התוצאה. אך כאמור, לא סברתי שזוהי התוצאה הנכונה והצודקת בנסיבות העניין. אאזן את היעדר שליחתו למאסר</w:t>
      </w:r>
      <w:r>
        <w:rPr>
          <w:rFonts w:cs="FrankRuehl" w:hint="cs"/>
          <w:sz w:val="28"/>
          <w:szCs w:val="28"/>
          <w:rtl/>
        </w:rPr>
        <w:t xml:space="preserve"> או למאסר </w:t>
      </w:r>
      <w:r w:rsidRPr="00D412B5">
        <w:rPr>
          <w:rFonts w:cs="FrankRuehl" w:hint="cs"/>
          <w:sz w:val="28"/>
          <w:szCs w:val="28"/>
          <w:rtl/>
        </w:rPr>
        <w:t xml:space="preserve">בעבודות שירות או </w:t>
      </w:r>
      <w:r>
        <w:rPr>
          <w:rFonts w:cs="FrankRuehl" w:hint="cs"/>
          <w:sz w:val="28"/>
          <w:szCs w:val="28"/>
          <w:rtl/>
        </w:rPr>
        <w:t>ל</w:t>
      </w:r>
      <w:r w:rsidRPr="00D412B5">
        <w:rPr>
          <w:rFonts w:cs="FrankRuehl" w:hint="cs"/>
          <w:sz w:val="28"/>
          <w:szCs w:val="28"/>
          <w:rtl/>
        </w:rPr>
        <w:t>של"ץ (נוכח מצבו) במאסר מותנה משמעותי, ברכיב כלכלי משמעותי, בהתחייבות ובצו מבחן. לפיכך, אני סבור כי יש לסטות ממתחם הענישה מטעמי שיקום כאמור.</w:t>
      </w:r>
    </w:p>
    <w:p w14:paraId="0BD8CA31" w14:textId="77777777" w:rsidR="00D254F5" w:rsidRPr="00D412B5" w:rsidRDefault="00D254F5" w:rsidP="00D254F5">
      <w:pPr>
        <w:spacing w:line="360" w:lineRule="auto"/>
        <w:jc w:val="both"/>
        <w:rPr>
          <w:rFonts w:cs="FrankRuehl"/>
          <w:b/>
          <w:bCs/>
          <w:sz w:val="28"/>
          <w:szCs w:val="28"/>
          <w:u w:val="single"/>
          <w:rtl/>
        </w:rPr>
      </w:pPr>
    </w:p>
    <w:p w14:paraId="16D1821C" w14:textId="77777777" w:rsidR="00D254F5" w:rsidRDefault="00D254F5" w:rsidP="00D254F5">
      <w:pPr>
        <w:bidi w:val="0"/>
        <w:rPr>
          <w:rFonts w:cs="FrankRuehl"/>
          <w:b/>
          <w:bCs/>
          <w:sz w:val="28"/>
          <w:szCs w:val="28"/>
          <w:u w:val="single"/>
          <w:rtl/>
        </w:rPr>
      </w:pPr>
      <w:r>
        <w:rPr>
          <w:rFonts w:cs="FrankRuehl"/>
          <w:b/>
          <w:bCs/>
          <w:sz w:val="28"/>
          <w:szCs w:val="28"/>
          <w:u w:val="single"/>
          <w:rtl/>
        </w:rPr>
        <w:br w:type="page"/>
      </w:r>
    </w:p>
    <w:p w14:paraId="7E792A82" w14:textId="77777777" w:rsidR="00D254F5" w:rsidRPr="00D412B5" w:rsidRDefault="00D254F5" w:rsidP="00D254F5">
      <w:pPr>
        <w:spacing w:line="360" w:lineRule="auto"/>
        <w:jc w:val="both"/>
        <w:rPr>
          <w:rFonts w:cs="FrankRuehl"/>
          <w:b/>
          <w:bCs/>
          <w:sz w:val="28"/>
          <w:szCs w:val="28"/>
          <w:u w:val="single"/>
          <w:rtl/>
        </w:rPr>
      </w:pPr>
      <w:r w:rsidRPr="00D412B5">
        <w:rPr>
          <w:rFonts w:cs="FrankRuehl" w:hint="cs"/>
          <w:b/>
          <w:bCs/>
          <w:sz w:val="28"/>
          <w:szCs w:val="28"/>
          <w:u w:val="single"/>
          <w:rtl/>
        </w:rPr>
        <w:t>גזירת הדין</w:t>
      </w:r>
    </w:p>
    <w:p w14:paraId="0960C23A" w14:textId="77777777" w:rsidR="00D254F5" w:rsidRPr="00D412B5" w:rsidRDefault="00D254F5" w:rsidP="00D254F5">
      <w:pPr>
        <w:spacing w:line="360" w:lineRule="auto"/>
        <w:jc w:val="both"/>
        <w:rPr>
          <w:rFonts w:cs="FrankRuehl"/>
          <w:sz w:val="28"/>
          <w:szCs w:val="28"/>
          <w:rtl/>
        </w:rPr>
      </w:pPr>
      <w:r w:rsidRPr="00D412B5">
        <w:rPr>
          <w:rFonts w:cs="FrankRuehl" w:hint="cs"/>
          <w:sz w:val="28"/>
          <w:szCs w:val="28"/>
          <w:rtl/>
        </w:rPr>
        <w:t>לפיכך, אני מחליט לגזור על הנאשם את העונשים הבאים:</w:t>
      </w:r>
    </w:p>
    <w:p w14:paraId="6007EE6E" w14:textId="77777777" w:rsidR="00D254F5" w:rsidRPr="00D412B5" w:rsidRDefault="00D254F5" w:rsidP="00D254F5">
      <w:pPr>
        <w:numPr>
          <w:ilvl w:val="0"/>
          <w:numId w:val="1"/>
        </w:numPr>
        <w:spacing w:after="160" w:line="360" w:lineRule="auto"/>
        <w:contextualSpacing/>
        <w:jc w:val="both"/>
        <w:rPr>
          <w:rFonts w:cs="FrankRuehl"/>
          <w:sz w:val="28"/>
          <w:szCs w:val="28"/>
        </w:rPr>
      </w:pPr>
      <w:r w:rsidRPr="00D412B5">
        <w:rPr>
          <w:rFonts w:cs="FrankRuehl" w:hint="cs"/>
          <w:sz w:val="28"/>
          <w:szCs w:val="28"/>
          <w:rtl/>
        </w:rPr>
        <w:t xml:space="preserve">10 חודשי מאסר, שלא ירוצו אלא אם יעבור הנאשם כל עבירת גניבה לפי </w:t>
      </w:r>
      <w:hyperlink r:id="rId33" w:history="1">
        <w:r w:rsidR="00275464" w:rsidRPr="00275464">
          <w:rPr>
            <w:rStyle w:val="Hyperlink"/>
            <w:rFonts w:cs="FrankRuehl" w:hint="eastAsia"/>
            <w:color w:val="0000FF"/>
            <w:sz w:val="28"/>
            <w:szCs w:val="28"/>
            <w:rtl/>
          </w:rPr>
          <w:t>סעיף</w:t>
        </w:r>
        <w:r w:rsidR="00275464" w:rsidRPr="00275464">
          <w:rPr>
            <w:rStyle w:val="Hyperlink"/>
            <w:rFonts w:cs="FrankRuehl"/>
            <w:color w:val="0000FF"/>
            <w:sz w:val="28"/>
            <w:szCs w:val="28"/>
            <w:rtl/>
          </w:rPr>
          <w:t xml:space="preserve"> 384</w:t>
        </w:r>
      </w:hyperlink>
      <w:r w:rsidRPr="00D412B5">
        <w:rPr>
          <w:rFonts w:cs="FrankRuehl" w:hint="cs"/>
          <w:sz w:val="28"/>
          <w:szCs w:val="28"/>
          <w:rtl/>
        </w:rPr>
        <w:t xml:space="preserve"> וכל עבירת רכוש מסוג פשע, וזאת בתוך שנתיים מהיום;</w:t>
      </w:r>
    </w:p>
    <w:p w14:paraId="2B52D71E" w14:textId="77777777" w:rsidR="00D254F5" w:rsidRPr="00D412B5" w:rsidRDefault="00D254F5" w:rsidP="00D254F5">
      <w:pPr>
        <w:numPr>
          <w:ilvl w:val="0"/>
          <w:numId w:val="1"/>
        </w:numPr>
        <w:spacing w:after="160" w:line="360" w:lineRule="auto"/>
        <w:contextualSpacing/>
        <w:jc w:val="both"/>
        <w:rPr>
          <w:rFonts w:cs="FrankRuehl"/>
          <w:sz w:val="28"/>
          <w:szCs w:val="28"/>
        </w:rPr>
      </w:pPr>
      <w:r w:rsidRPr="00D412B5">
        <w:rPr>
          <w:rFonts w:cs="FrankRuehl" w:hint="cs"/>
          <w:sz w:val="28"/>
          <w:szCs w:val="28"/>
          <w:rtl/>
        </w:rPr>
        <w:t>30 ימי מאסר שלא ירוצו אלא אם יעבור הנאשם כל עבירה של שימוש עצמי בסמים ו/או החזקת כלים לשימוש עצמי בסמים בתוך שנתיים מהיום;</w:t>
      </w:r>
    </w:p>
    <w:p w14:paraId="2413559E" w14:textId="77777777" w:rsidR="00D254F5" w:rsidRPr="00D412B5" w:rsidRDefault="00D254F5" w:rsidP="00D254F5">
      <w:pPr>
        <w:numPr>
          <w:ilvl w:val="0"/>
          <w:numId w:val="1"/>
        </w:numPr>
        <w:spacing w:after="160" w:line="360" w:lineRule="auto"/>
        <w:contextualSpacing/>
        <w:jc w:val="both"/>
        <w:rPr>
          <w:rFonts w:cs="FrankRuehl"/>
          <w:sz w:val="28"/>
          <w:szCs w:val="28"/>
        </w:rPr>
      </w:pPr>
      <w:r w:rsidRPr="00D412B5">
        <w:rPr>
          <w:rFonts w:cs="FrankRuehl" w:hint="cs"/>
          <w:sz w:val="28"/>
          <w:szCs w:val="28"/>
          <w:rtl/>
        </w:rPr>
        <w:t>60 ימי מאסר שלא ירוצו, אלא אם יעבור הנאשם כל עבירת פשע לפי פקודת הסמים בתוך שנתיים מהיום;</w:t>
      </w:r>
    </w:p>
    <w:p w14:paraId="14C85F53" w14:textId="77777777" w:rsidR="00D254F5" w:rsidRPr="00D412B5" w:rsidRDefault="00D254F5" w:rsidP="00D254F5">
      <w:pPr>
        <w:numPr>
          <w:ilvl w:val="0"/>
          <w:numId w:val="1"/>
        </w:numPr>
        <w:spacing w:after="160" w:line="360" w:lineRule="auto"/>
        <w:contextualSpacing/>
        <w:jc w:val="both"/>
        <w:rPr>
          <w:rFonts w:cs="FrankRuehl"/>
          <w:sz w:val="28"/>
          <w:szCs w:val="28"/>
        </w:rPr>
      </w:pPr>
      <w:r w:rsidRPr="00D412B5">
        <w:rPr>
          <w:rFonts w:cs="FrankRuehl" w:hint="cs"/>
          <w:sz w:val="28"/>
          <w:szCs w:val="28"/>
          <w:rtl/>
        </w:rPr>
        <w:t xml:space="preserve">קנס בסך  5,000 ₪, אשר ישולם ב-20 תשלומים שווים ורצופים החל מיום </w:t>
      </w:r>
      <w:r>
        <w:rPr>
          <w:rFonts w:cs="FrankRuehl" w:hint="cs"/>
          <w:sz w:val="28"/>
          <w:szCs w:val="28"/>
          <w:rtl/>
        </w:rPr>
        <w:t>1.9</w:t>
      </w:r>
      <w:r w:rsidRPr="00D412B5">
        <w:rPr>
          <w:rFonts w:cs="FrankRuehl" w:hint="cs"/>
          <w:sz w:val="28"/>
          <w:szCs w:val="28"/>
          <w:rtl/>
        </w:rPr>
        <w:t>.2020 ובכל 1 לחודש רציף ועוקב שלאחריו. לא ישולם הקנס כלל, ייאסר הנאשם לחודש ימים. לא ישולם מי מהתשלום בכלל או במועד, יועמד הקנס לפירעון מיידי;</w:t>
      </w:r>
    </w:p>
    <w:p w14:paraId="65FDAD38" w14:textId="77777777" w:rsidR="00D254F5" w:rsidRPr="00D412B5" w:rsidRDefault="00D254F5" w:rsidP="00D254F5">
      <w:pPr>
        <w:numPr>
          <w:ilvl w:val="0"/>
          <w:numId w:val="1"/>
        </w:numPr>
        <w:spacing w:after="160" w:line="360" w:lineRule="auto"/>
        <w:contextualSpacing/>
        <w:jc w:val="both"/>
        <w:rPr>
          <w:rFonts w:cs="FrankRuehl"/>
          <w:sz w:val="28"/>
          <w:szCs w:val="28"/>
          <w:rtl/>
        </w:rPr>
      </w:pPr>
      <w:r w:rsidRPr="00D412B5">
        <w:rPr>
          <w:rFonts w:cs="FrankRuehl" w:hint="cs"/>
          <w:sz w:val="28"/>
          <w:szCs w:val="28"/>
          <w:rtl/>
        </w:rPr>
        <w:t>צו מבחן לתקופה של שנתיים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4FEB34C7" w14:textId="77777777" w:rsidR="00D254F5" w:rsidRPr="00D412B5" w:rsidRDefault="00D254F5" w:rsidP="00D254F5">
      <w:pPr>
        <w:numPr>
          <w:ilvl w:val="0"/>
          <w:numId w:val="1"/>
        </w:numPr>
        <w:spacing w:after="160" w:line="360" w:lineRule="auto"/>
        <w:contextualSpacing/>
        <w:jc w:val="both"/>
        <w:rPr>
          <w:rFonts w:cs="FrankRuehl"/>
          <w:sz w:val="28"/>
          <w:szCs w:val="28"/>
          <w:rtl/>
        </w:rPr>
      </w:pPr>
      <w:r w:rsidRPr="00D412B5">
        <w:rPr>
          <w:rFonts w:cs="FrankRuehl" w:hint="cs"/>
          <w:sz w:val="28"/>
          <w:szCs w:val="28"/>
          <w:rtl/>
        </w:rPr>
        <w:t>התחייבות בסך 5,000 ₪ שלא לעבור עבירות גניבה ו/או סמים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D54A4AA" w14:textId="77777777" w:rsidR="00D254F5" w:rsidRDefault="00D254F5" w:rsidP="00D254F5">
      <w:pPr>
        <w:rPr>
          <w:rFonts w:ascii="FrankRuehl" w:hAnsi="FrankRuehl" w:cs="FrankRuehl"/>
          <w:sz w:val="28"/>
          <w:szCs w:val="28"/>
          <w:rtl/>
        </w:rPr>
      </w:pPr>
    </w:p>
    <w:p w14:paraId="033DD698" w14:textId="77777777" w:rsidR="00D254F5" w:rsidRPr="00D412B5" w:rsidRDefault="00D254F5" w:rsidP="00D254F5">
      <w:pPr>
        <w:spacing w:line="360" w:lineRule="auto"/>
        <w:rPr>
          <w:rFonts w:ascii="FrankRuehl" w:hAnsi="FrankRuehl" w:cs="FrankRuehl"/>
          <w:sz w:val="28"/>
          <w:szCs w:val="28"/>
          <w:rtl/>
        </w:rPr>
      </w:pPr>
      <w:r>
        <w:rPr>
          <w:rFonts w:ascii="FrankRuehl" w:hAnsi="FrankRuehl" w:cs="FrankRuehl" w:hint="cs"/>
          <w:sz w:val="28"/>
          <w:szCs w:val="28"/>
          <w:rtl/>
        </w:rPr>
        <w:t>מורה על השמדת הסמים.</w:t>
      </w:r>
    </w:p>
    <w:p w14:paraId="765E279C" w14:textId="77777777" w:rsidR="00D254F5" w:rsidRPr="00D412B5" w:rsidRDefault="00D254F5" w:rsidP="00D254F5">
      <w:pPr>
        <w:spacing w:line="360" w:lineRule="auto"/>
        <w:rPr>
          <w:rFonts w:ascii="FrankRuehl" w:hAnsi="FrankRuehl" w:cs="FrankRuehl"/>
          <w:sz w:val="28"/>
          <w:szCs w:val="28"/>
          <w:rtl/>
        </w:rPr>
      </w:pPr>
      <w:r w:rsidRPr="00D412B5">
        <w:rPr>
          <w:rFonts w:ascii="FrankRuehl" w:hAnsi="FrankRuehl" w:cs="FrankRuehl" w:hint="cs"/>
          <w:sz w:val="28"/>
          <w:szCs w:val="28"/>
          <w:rtl/>
        </w:rPr>
        <w:t>יש לשלוח לשירות המבחן ולממונה על עבודות שירות.</w:t>
      </w:r>
    </w:p>
    <w:p w14:paraId="152273D4" w14:textId="77777777" w:rsidR="00D254F5" w:rsidRPr="00D412B5" w:rsidRDefault="00D254F5" w:rsidP="00D254F5">
      <w:pPr>
        <w:rPr>
          <w:rFonts w:ascii="FrankRuehl" w:hAnsi="FrankRuehl" w:cs="FrankRuehl"/>
          <w:sz w:val="28"/>
          <w:szCs w:val="28"/>
          <w:rtl/>
        </w:rPr>
      </w:pPr>
    </w:p>
    <w:p w14:paraId="65C242A3" w14:textId="77777777" w:rsidR="00D254F5" w:rsidRPr="00D412B5" w:rsidRDefault="00C41C4E" w:rsidP="00D254F5">
      <w:pPr>
        <w:rPr>
          <w:rFonts w:ascii="FrankRuehl" w:hAnsi="FrankRuehl" w:cs="FrankRuehl"/>
          <w:sz w:val="28"/>
          <w:szCs w:val="28"/>
        </w:rPr>
      </w:pPr>
      <w:r w:rsidRPr="00C41C4E">
        <w:rPr>
          <w:rFonts w:ascii="FrankRuehl" w:hAnsi="FrankRuehl" w:cs="FrankRuehl"/>
          <w:color w:val="FFFFFF"/>
          <w:sz w:val="2"/>
          <w:szCs w:val="2"/>
          <w:rtl/>
        </w:rPr>
        <w:t>5129371</w:t>
      </w:r>
      <w:r w:rsidR="00D254F5" w:rsidRPr="00D412B5">
        <w:rPr>
          <w:rFonts w:ascii="FrankRuehl" w:hAnsi="FrankRuehl" w:cs="FrankRuehl" w:hint="cs"/>
          <w:sz w:val="28"/>
          <w:szCs w:val="28"/>
          <w:rtl/>
        </w:rPr>
        <w:t>זכות ערעור כחוק לבית המשפט המחוזי בירושלים בתוך 45 יום מהיום.</w:t>
      </w:r>
    </w:p>
    <w:p w14:paraId="68835103" w14:textId="77777777" w:rsidR="00D254F5" w:rsidRPr="00C41C4E" w:rsidRDefault="00C41C4E" w:rsidP="00D254F5">
      <w:pPr>
        <w:rPr>
          <w:rFonts w:cs="FrankRuehl"/>
          <w:color w:val="FFFFFF"/>
          <w:sz w:val="2"/>
          <w:szCs w:val="2"/>
        </w:rPr>
      </w:pPr>
      <w:r w:rsidRPr="00C41C4E">
        <w:rPr>
          <w:rFonts w:cs="FrankRuehl"/>
          <w:color w:val="FFFFFF"/>
          <w:sz w:val="2"/>
          <w:szCs w:val="2"/>
          <w:rtl/>
        </w:rPr>
        <w:t>54678313</w:t>
      </w:r>
    </w:p>
    <w:p w14:paraId="10C7CC37" w14:textId="77777777" w:rsidR="00D254F5" w:rsidRPr="00D412B5" w:rsidRDefault="00C41C4E" w:rsidP="00C41C4E">
      <w:pPr>
        <w:jc w:val="center"/>
      </w:pPr>
      <w:bookmarkStart w:id="8" w:name="Nitan"/>
      <w:r>
        <w:rPr>
          <w:rFonts w:ascii="Arial" w:hAnsi="Arial" w:cs="FrankRuehl"/>
          <w:sz w:val="28"/>
          <w:szCs w:val="28"/>
          <w:rtl/>
        </w:rPr>
        <w:t xml:space="preserve">ניתן היום,  כ"ג סיוון תש"פ, 15 יוני 2020, במעמד הצדדים. </w:t>
      </w:r>
      <w:bookmarkEnd w:id="8"/>
      <w:r w:rsidR="00D254F5" w:rsidRPr="00D412B5">
        <w:rPr>
          <w:rFonts w:cs="FrankRuehl" w:hint="cs"/>
          <w:sz w:val="28"/>
          <w:szCs w:val="28"/>
          <w:rtl/>
        </w:rPr>
        <w:t xml:space="preserve">   </w:t>
      </w:r>
      <w:r w:rsidR="00D254F5" w:rsidRPr="00D412B5">
        <w:rPr>
          <w:rFonts w:cs="FrankRuehl" w:hint="cs"/>
          <w:sz w:val="28"/>
          <w:szCs w:val="28"/>
          <w:rtl/>
        </w:rPr>
        <w:tab/>
      </w:r>
      <w:r w:rsidR="00D254F5" w:rsidRPr="00D412B5">
        <w:rPr>
          <w:rFonts w:cs="FrankRuehl" w:hint="cs"/>
          <w:sz w:val="28"/>
          <w:szCs w:val="28"/>
          <w:rtl/>
        </w:rPr>
        <w:tab/>
      </w:r>
      <w:r w:rsidR="00D254F5" w:rsidRPr="00D412B5">
        <w:rPr>
          <w:rFonts w:cs="FrankRuehl" w:hint="cs"/>
          <w:sz w:val="28"/>
          <w:szCs w:val="28"/>
          <w:rtl/>
        </w:rPr>
        <w:tab/>
      </w:r>
      <w:r w:rsidR="00D254F5" w:rsidRPr="00D412B5">
        <w:rPr>
          <w:rFonts w:cs="FrankRuehl" w:hint="cs"/>
          <w:sz w:val="28"/>
          <w:szCs w:val="28"/>
          <w:rtl/>
        </w:rPr>
        <w:tab/>
      </w:r>
      <w:r w:rsidR="00D254F5" w:rsidRPr="00D412B5">
        <w:rPr>
          <w:rFonts w:cs="FrankRuehl" w:hint="cs"/>
          <w:sz w:val="28"/>
          <w:szCs w:val="28"/>
          <w:rtl/>
        </w:rPr>
        <w:tab/>
      </w:r>
    </w:p>
    <w:p w14:paraId="5BF21193" w14:textId="77777777" w:rsidR="00D254F5" w:rsidRPr="00D412B5" w:rsidRDefault="00D254F5" w:rsidP="00D254F5">
      <w:pPr>
        <w:jc w:val="center"/>
        <w:rPr>
          <w:rFonts w:ascii="Arial" w:hAnsi="Arial" w:cs="FrankRuehl"/>
          <w:sz w:val="28"/>
          <w:szCs w:val="28"/>
          <w:rtl/>
        </w:rPr>
      </w:pPr>
    </w:p>
    <w:p w14:paraId="70992C0F" w14:textId="77777777" w:rsidR="00D254F5" w:rsidRDefault="00D254F5" w:rsidP="00D254F5">
      <w:pPr>
        <w:rPr>
          <w:rFonts w:cs="FrankRuehl"/>
          <w:sz w:val="28"/>
          <w:szCs w:val="28"/>
          <w:rtl/>
        </w:rPr>
      </w:pPr>
    </w:p>
    <w:p w14:paraId="3F3C3EB9" w14:textId="77777777" w:rsidR="00D254F5" w:rsidRDefault="00D254F5" w:rsidP="00D254F5">
      <w:pPr>
        <w:pStyle w:val="a3"/>
        <w:jc w:val="center"/>
        <w:rPr>
          <w:rtl/>
        </w:rPr>
      </w:pPr>
    </w:p>
    <w:p w14:paraId="053F220B" w14:textId="77777777" w:rsidR="0044603D" w:rsidRPr="00C41C4E" w:rsidRDefault="0044603D" w:rsidP="00C41C4E">
      <w:pPr>
        <w:keepNext/>
        <w:rPr>
          <w:rFonts w:ascii="David" w:hAnsi="David"/>
          <w:color w:val="000000"/>
          <w:sz w:val="22"/>
          <w:szCs w:val="22"/>
          <w:rtl/>
        </w:rPr>
      </w:pPr>
    </w:p>
    <w:p w14:paraId="6209A383" w14:textId="77777777" w:rsidR="00C41C4E" w:rsidRPr="00C41C4E" w:rsidRDefault="00C41C4E" w:rsidP="00C41C4E">
      <w:pPr>
        <w:keepNext/>
        <w:rPr>
          <w:rFonts w:ascii="David" w:hAnsi="David"/>
          <w:color w:val="000000"/>
          <w:sz w:val="22"/>
          <w:szCs w:val="22"/>
          <w:rtl/>
        </w:rPr>
      </w:pPr>
      <w:r w:rsidRPr="00C41C4E">
        <w:rPr>
          <w:rFonts w:ascii="David" w:hAnsi="David"/>
          <w:color w:val="000000"/>
          <w:sz w:val="22"/>
          <w:szCs w:val="22"/>
          <w:rtl/>
        </w:rPr>
        <w:t>דוד שאול גבאי ריכטר 54678313</w:t>
      </w:r>
    </w:p>
    <w:p w14:paraId="26D2B62D" w14:textId="77777777" w:rsidR="00C41C4E" w:rsidRDefault="00C41C4E" w:rsidP="00C41C4E">
      <w:r w:rsidRPr="00C41C4E">
        <w:rPr>
          <w:color w:val="000000"/>
          <w:rtl/>
        </w:rPr>
        <w:t>נוסח מסמך זה כפוף לשינויי ניסוח ועריכה</w:t>
      </w:r>
    </w:p>
    <w:p w14:paraId="7CA3B12A" w14:textId="77777777" w:rsidR="00C41C4E" w:rsidRDefault="00C41C4E" w:rsidP="00C41C4E">
      <w:pPr>
        <w:rPr>
          <w:rtl/>
        </w:rPr>
      </w:pPr>
    </w:p>
    <w:p w14:paraId="2ED089C7" w14:textId="77777777" w:rsidR="00C41C4E" w:rsidRDefault="00C41C4E" w:rsidP="00C41C4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14251F7" w14:textId="77777777" w:rsidR="00C41C4E" w:rsidRPr="00C41C4E" w:rsidRDefault="00C41C4E" w:rsidP="00C41C4E">
      <w:pPr>
        <w:jc w:val="center"/>
        <w:rPr>
          <w:color w:val="0000FF"/>
          <w:u w:val="single"/>
        </w:rPr>
      </w:pPr>
    </w:p>
    <w:sectPr w:rsidR="00C41C4E" w:rsidRPr="00C41C4E" w:rsidSect="00C41C4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D7450" w14:textId="77777777" w:rsidR="00352BFB" w:rsidRDefault="00352BFB" w:rsidP="00C917AD">
      <w:r>
        <w:separator/>
      </w:r>
    </w:p>
  </w:endnote>
  <w:endnote w:type="continuationSeparator" w:id="0">
    <w:p w14:paraId="34252EE9" w14:textId="77777777" w:rsidR="00352BFB" w:rsidRDefault="00352BFB" w:rsidP="00C91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7846" w14:textId="77777777" w:rsidR="00C41C4E" w:rsidRDefault="00C41C4E" w:rsidP="00C41C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FD0287" w14:textId="77777777" w:rsidR="003B1F88" w:rsidRPr="00C41C4E" w:rsidRDefault="00C41C4E" w:rsidP="00C41C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011E" w14:textId="77777777" w:rsidR="00C41C4E" w:rsidRDefault="00C41C4E" w:rsidP="00C41C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7C5A">
      <w:rPr>
        <w:rFonts w:ascii="FrankRuehl" w:hAnsi="FrankRuehl" w:cs="FrankRuehl"/>
        <w:noProof/>
        <w:rtl/>
      </w:rPr>
      <w:t>1</w:t>
    </w:r>
    <w:r>
      <w:rPr>
        <w:rFonts w:ascii="FrankRuehl" w:hAnsi="FrankRuehl" w:cs="FrankRuehl"/>
        <w:rtl/>
      </w:rPr>
      <w:fldChar w:fldCharType="end"/>
    </w:r>
  </w:p>
  <w:p w14:paraId="2E3EBA89" w14:textId="77777777" w:rsidR="003B1F88" w:rsidRPr="00C41C4E" w:rsidRDefault="00C41C4E" w:rsidP="00C41C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3D7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7680D" w14:textId="77777777" w:rsidR="00352BFB" w:rsidRDefault="00352BFB" w:rsidP="00C917AD">
      <w:r>
        <w:separator/>
      </w:r>
    </w:p>
  </w:footnote>
  <w:footnote w:type="continuationSeparator" w:id="0">
    <w:p w14:paraId="12F95FF5" w14:textId="77777777" w:rsidR="00352BFB" w:rsidRDefault="00352BFB" w:rsidP="00C91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6553A" w14:textId="77777777" w:rsidR="00C41C4E" w:rsidRPr="00C41C4E" w:rsidRDefault="00C41C4E" w:rsidP="00C41C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47400-12-15</w:t>
    </w:r>
    <w:r>
      <w:rPr>
        <w:rFonts w:ascii="David" w:hAnsi="David"/>
        <w:color w:val="000000"/>
        <w:sz w:val="22"/>
        <w:szCs w:val="22"/>
        <w:rtl/>
      </w:rPr>
      <w:tab/>
      <w:t xml:space="preserve"> מדינת ישראל נ' שאדי שחאדה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F580" w14:textId="77777777" w:rsidR="00C41C4E" w:rsidRPr="00C41C4E" w:rsidRDefault="00C41C4E" w:rsidP="00C41C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47400-12-15</w:t>
    </w:r>
    <w:r>
      <w:rPr>
        <w:rFonts w:ascii="David" w:hAnsi="David"/>
        <w:color w:val="000000"/>
        <w:sz w:val="22"/>
        <w:szCs w:val="22"/>
        <w:rtl/>
      </w:rPr>
      <w:tab/>
      <w:t xml:space="preserve"> מדינת ישראל נ' שאדי שחאדה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557668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4F5"/>
    <w:rsid w:val="00275464"/>
    <w:rsid w:val="00352BFB"/>
    <w:rsid w:val="003B1F88"/>
    <w:rsid w:val="0044603D"/>
    <w:rsid w:val="005D6F5E"/>
    <w:rsid w:val="006B7C5A"/>
    <w:rsid w:val="0095398E"/>
    <w:rsid w:val="00C41C4E"/>
    <w:rsid w:val="00C501AB"/>
    <w:rsid w:val="00C917AD"/>
    <w:rsid w:val="00D254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E7BAFD"/>
  <w15:chartTrackingRefBased/>
  <w15:docId w15:val="{9359423B-85ED-4809-8E0C-737A6DFA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4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254F5"/>
    <w:pPr>
      <w:tabs>
        <w:tab w:val="center" w:pos="4153"/>
        <w:tab w:val="right" w:pos="8306"/>
      </w:tabs>
    </w:pPr>
  </w:style>
  <w:style w:type="character" w:customStyle="1" w:styleId="a4">
    <w:name w:val="כותרת עליונה תו"/>
    <w:link w:val="a3"/>
    <w:rsid w:val="00D254F5"/>
    <w:rPr>
      <w:rFonts w:ascii="Times New Roman" w:eastAsia="Times New Roman" w:hAnsi="Times New Roman" w:cs="David"/>
      <w:sz w:val="24"/>
      <w:szCs w:val="24"/>
    </w:rPr>
  </w:style>
  <w:style w:type="paragraph" w:styleId="a5">
    <w:name w:val="footer"/>
    <w:basedOn w:val="a"/>
    <w:link w:val="a6"/>
    <w:rsid w:val="00D254F5"/>
    <w:pPr>
      <w:tabs>
        <w:tab w:val="center" w:pos="4153"/>
        <w:tab w:val="right" w:pos="8306"/>
      </w:tabs>
    </w:pPr>
  </w:style>
  <w:style w:type="character" w:customStyle="1" w:styleId="a6">
    <w:name w:val="כותרת תחתונה תו"/>
    <w:link w:val="a5"/>
    <w:rsid w:val="00D254F5"/>
    <w:rPr>
      <w:rFonts w:ascii="Times New Roman" w:eastAsia="Times New Roman" w:hAnsi="Times New Roman" w:cs="David"/>
      <w:sz w:val="24"/>
      <w:szCs w:val="24"/>
    </w:rPr>
  </w:style>
  <w:style w:type="table" w:styleId="a7">
    <w:name w:val="Table Grid"/>
    <w:basedOn w:val="a1"/>
    <w:rsid w:val="00D254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254F5"/>
  </w:style>
  <w:style w:type="character" w:styleId="Hyperlink">
    <w:name w:val="Hyperlink"/>
    <w:rsid w:val="00C41C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7.a.;7.c" TargetMode="External"/><Relationship Id="rId26" Type="http://schemas.openxmlformats.org/officeDocument/2006/relationships/hyperlink" Target="http://www.nevo.co.il/case/20816713" TargetMode="External"/><Relationship Id="rId39" Type="http://schemas.openxmlformats.org/officeDocument/2006/relationships/fontTable" Target="fontTable.xml"/><Relationship Id="rId21" Type="http://schemas.openxmlformats.org/officeDocument/2006/relationships/hyperlink" Target="http://www.nevo.co.il/law/70301/7.a.;7.c"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70301/38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84" TargetMode="External"/><Relationship Id="rId20" Type="http://schemas.openxmlformats.org/officeDocument/2006/relationships/hyperlink" Target="http://www.nevo.co.il/case/20797377"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2293553" TargetMode="External"/><Relationship Id="rId32" Type="http://schemas.openxmlformats.org/officeDocument/2006/relationships/hyperlink" Target="http://www.nevo.co.il/law/70301/40d"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0509520" TargetMode="External"/><Relationship Id="rId23" Type="http://schemas.openxmlformats.org/officeDocument/2006/relationships/hyperlink" Target="http://www.nevo.co.il/law/70301/384" TargetMode="External"/><Relationship Id="rId28" Type="http://schemas.openxmlformats.org/officeDocument/2006/relationships/hyperlink" Target="http://www.nevo.co.il/law/70301/40i" TargetMode="External"/><Relationship Id="rId36" Type="http://schemas.openxmlformats.org/officeDocument/2006/relationships/header" Target="header2.xml"/><Relationship Id="rId10" Type="http://schemas.openxmlformats.org/officeDocument/2006/relationships/hyperlink" Target="http://www.nevo.co.il/law/70301/40d"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765604" TargetMode="External"/><Relationship Id="rId27" Type="http://schemas.openxmlformats.org/officeDocument/2006/relationships/hyperlink" Target="http://www.nevo.co.il/law/70301/384" TargetMode="External"/><Relationship Id="rId30" Type="http://schemas.openxmlformats.org/officeDocument/2006/relationships/hyperlink" Target="http://www.nevo.co.il/law/70301/40ja" TargetMode="External"/><Relationship Id="rId35" Type="http://schemas.openxmlformats.org/officeDocument/2006/relationships/header" Target="header1.xml"/><Relationship Id="rId8" Type="http://schemas.openxmlformats.org/officeDocument/2006/relationships/hyperlink" Target="http://www.nevo.co.il/law/70301/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1761</Words>
  <Characters>8810</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10550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7143526</vt:i4>
      </vt:variant>
      <vt:variant>
        <vt:i4>78</vt:i4>
      </vt:variant>
      <vt:variant>
        <vt:i4>0</vt:i4>
      </vt:variant>
      <vt:variant>
        <vt:i4>5</vt:i4>
      </vt:variant>
      <vt:variant>
        <vt:lpwstr>http://www.nevo.co.il/law/70301/384</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7143526</vt:i4>
      </vt:variant>
      <vt:variant>
        <vt:i4>60</vt:i4>
      </vt:variant>
      <vt:variant>
        <vt:i4>0</vt:i4>
      </vt:variant>
      <vt:variant>
        <vt:i4>5</vt:i4>
      </vt:variant>
      <vt:variant>
        <vt:lpwstr>http://www.nevo.co.il/law/70301/384</vt:lpwstr>
      </vt:variant>
      <vt:variant>
        <vt:lpwstr/>
      </vt:variant>
      <vt:variant>
        <vt:i4>3997810</vt:i4>
      </vt:variant>
      <vt:variant>
        <vt:i4>57</vt:i4>
      </vt:variant>
      <vt:variant>
        <vt:i4>0</vt:i4>
      </vt:variant>
      <vt:variant>
        <vt:i4>5</vt:i4>
      </vt:variant>
      <vt:variant>
        <vt:lpwstr>http://www.nevo.co.il/case/20816713</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3539066</vt:i4>
      </vt:variant>
      <vt:variant>
        <vt:i4>51</vt:i4>
      </vt:variant>
      <vt:variant>
        <vt:i4>0</vt:i4>
      </vt:variant>
      <vt:variant>
        <vt:i4>5</vt:i4>
      </vt:variant>
      <vt:variant>
        <vt:lpwstr>http://www.nevo.co.il/case/22293553</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3145844</vt:i4>
      </vt:variant>
      <vt:variant>
        <vt:i4>45</vt:i4>
      </vt:variant>
      <vt:variant>
        <vt:i4>0</vt:i4>
      </vt:variant>
      <vt:variant>
        <vt:i4>5</vt:i4>
      </vt:variant>
      <vt:variant>
        <vt:lpwstr>http://www.nevo.co.il/case/20765604</vt:lpwstr>
      </vt:variant>
      <vt:variant>
        <vt:lpwstr/>
      </vt:variant>
      <vt:variant>
        <vt:i4>65558</vt:i4>
      </vt:variant>
      <vt:variant>
        <vt:i4>42</vt:i4>
      </vt:variant>
      <vt:variant>
        <vt:i4>0</vt:i4>
      </vt:variant>
      <vt:variant>
        <vt:i4>5</vt:i4>
      </vt:variant>
      <vt:variant>
        <vt:lpwstr>http://www.nevo.co.il/law/70301/7.a.;7.c</vt:lpwstr>
      </vt:variant>
      <vt:variant>
        <vt:lpwstr/>
      </vt:variant>
      <vt:variant>
        <vt:i4>3473534</vt:i4>
      </vt:variant>
      <vt:variant>
        <vt:i4>39</vt:i4>
      </vt:variant>
      <vt:variant>
        <vt:i4>0</vt:i4>
      </vt:variant>
      <vt:variant>
        <vt:i4>5</vt:i4>
      </vt:variant>
      <vt:variant>
        <vt:lpwstr>http://www.nevo.co.il/case/20797377</vt:lpwstr>
      </vt:variant>
      <vt:variant>
        <vt:lpwstr/>
      </vt:variant>
      <vt:variant>
        <vt:i4>8257637</vt:i4>
      </vt:variant>
      <vt:variant>
        <vt:i4>36</vt:i4>
      </vt:variant>
      <vt:variant>
        <vt:i4>0</vt:i4>
      </vt:variant>
      <vt:variant>
        <vt:i4>5</vt:i4>
      </vt:variant>
      <vt:variant>
        <vt:lpwstr>http://www.nevo.co.il/law/4216</vt:lpwstr>
      </vt:variant>
      <vt:variant>
        <vt:lpwstr/>
      </vt:variant>
      <vt:variant>
        <vt:i4>65558</vt:i4>
      </vt:variant>
      <vt:variant>
        <vt:i4>33</vt:i4>
      </vt:variant>
      <vt:variant>
        <vt:i4>0</vt:i4>
      </vt:variant>
      <vt:variant>
        <vt:i4>5</vt:i4>
      </vt:variant>
      <vt:variant>
        <vt:lpwstr>http://www.nevo.co.il/law/70301/7.a.;7.c</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3932273</vt:i4>
      </vt:variant>
      <vt:variant>
        <vt:i4>24</vt:i4>
      </vt:variant>
      <vt:variant>
        <vt:i4>0</vt:i4>
      </vt:variant>
      <vt:variant>
        <vt:i4>5</vt:i4>
      </vt:variant>
      <vt:variant>
        <vt:lpwstr>http://www.nevo.co.il/case/20509520</vt:lpwstr>
      </vt:variant>
      <vt:variant>
        <vt:lpwstr/>
      </vt:variant>
      <vt:variant>
        <vt:i4>8257637</vt:i4>
      </vt:variant>
      <vt:variant>
        <vt:i4>21</vt:i4>
      </vt:variant>
      <vt:variant>
        <vt:i4>0</vt:i4>
      </vt:variant>
      <vt:variant>
        <vt:i4>5</vt:i4>
      </vt:variant>
      <vt:variant>
        <vt:lpwstr>http://www.nevo.co.il/law/4216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8061026</vt:i4>
      </vt:variant>
      <vt:variant>
        <vt:i4>6</vt:i4>
      </vt:variant>
      <vt:variant>
        <vt:i4>0</vt:i4>
      </vt:variant>
      <vt:variant>
        <vt:i4>5</vt:i4>
      </vt:variant>
      <vt:variant>
        <vt:lpwstr>http://www.nevo.co.il/law/70301/7.c</vt:lpwstr>
      </vt:variant>
      <vt:variant>
        <vt:lpwstr/>
      </vt:variant>
      <vt:variant>
        <vt:i4>5570563</vt:i4>
      </vt:variant>
      <vt:variant>
        <vt:i4>3</vt:i4>
      </vt:variant>
      <vt:variant>
        <vt:i4>0</vt:i4>
      </vt:variant>
      <vt:variant>
        <vt:i4>5</vt:i4>
      </vt:variant>
      <vt:variant>
        <vt:lpwstr>http://www.nevo.co.il/law/70301/7.a.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47400;28572;9543;31151;2373</vt:lpwstr>
  </property>
  <property fmtid="{D5CDD505-2E9C-101B-9397-08002B2CF9AE}" pid="6" name="NEWPARTB">
    <vt:lpwstr>12;08;03;12;12</vt:lpwstr>
  </property>
  <property fmtid="{D5CDD505-2E9C-101B-9397-08002B2CF9AE}" pid="7" name="NEWPARTC">
    <vt:lpwstr>15;15;17;15;15</vt:lpwstr>
  </property>
  <property fmtid="{D5CDD505-2E9C-101B-9397-08002B2CF9AE}" pid="8" name="APPELLANT">
    <vt:lpwstr>מדינת ישראל</vt:lpwstr>
  </property>
  <property fmtid="{D5CDD505-2E9C-101B-9397-08002B2CF9AE}" pid="9" name="APPELLEE">
    <vt:lpwstr>שאדי שחאדה</vt:lpwstr>
  </property>
  <property fmtid="{D5CDD505-2E9C-101B-9397-08002B2CF9AE}" pid="10" name="LAWYER">
    <vt:lpwstr>עאטף פרחאת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20200615</vt:lpwstr>
  </property>
  <property fmtid="{D5CDD505-2E9C-101B-9397-08002B2CF9AE}" pid="14" name="TYPE_N_DATE">
    <vt:lpwstr>38020200615</vt:lpwstr>
  </property>
  <property fmtid="{D5CDD505-2E9C-101B-9397-08002B2CF9AE}" pid="15" name="CASESLISTTMP1">
    <vt:lpwstr>20509520;20797377;20765604;22293553;20816713</vt:lpwstr>
  </property>
  <property fmtid="{D5CDD505-2E9C-101B-9397-08002B2CF9AE}" pid="16" name="WORDNUMPAGES">
    <vt:lpwstr>6</vt:lpwstr>
  </property>
  <property fmtid="{D5CDD505-2E9C-101B-9397-08002B2CF9AE}" pid="17" name="TYPE_ABS_DATE">
    <vt:lpwstr>380020200615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70301/384:5;007.a:2;007.c:2;040i;40ja;040d</vt:lpwstr>
  </property>
  <property fmtid="{D5CDD505-2E9C-101B-9397-08002B2CF9AE}" pid="37" name="LAWLISTTMP2">
    <vt:lpwstr>4216</vt:lpwstr>
  </property>
</Properties>
</file>