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343A7" w:rsidRPr="008604F6" w14:paraId="0BCE7E6C" w14:textId="77777777" w:rsidTr="00330624">
        <w:trPr>
          <w:trHeight w:hRule="exact" w:val="418"/>
          <w:jc w:val="center"/>
        </w:trPr>
        <w:tc>
          <w:tcPr>
            <w:tcW w:w="8721" w:type="dxa"/>
            <w:gridSpan w:val="2"/>
          </w:tcPr>
          <w:p w14:paraId="75C1184F" w14:textId="77777777" w:rsidR="007343A7" w:rsidRPr="008604F6" w:rsidRDefault="007343A7" w:rsidP="006F4B9C">
            <w:pPr>
              <w:pStyle w:val="a3"/>
              <w:jc w:val="center"/>
              <w:rPr>
                <w:rFonts w:ascii="Tahoma" w:hAnsi="Tahoma" w:cs="Tahoma"/>
                <w:color w:val="000080"/>
                <w:rtl/>
              </w:rPr>
            </w:pPr>
            <w:bookmarkStart w:id="0" w:name="LastJudge"/>
            <w:r w:rsidRPr="008604F6">
              <w:rPr>
                <w:rFonts w:ascii="Tahoma" w:hAnsi="Tahoma" w:cs="Tahoma"/>
                <w:b/>
                <w:bCs/>
                <w:color w:val="000080"/>
                <w:sz w:val="20"/>
                <w:szCs w:val="20"/>
                <w:rtl/>
              </w:rPr>
              <w:t xml:space="preserve">בית משפט השלום בקריית גת - בשבתו בבימ"ש </w:t>
            </w:r>
            <w:r w:rsidRPr="008604F6">
              <w:rPr>
                <w:rFonts w:ascii="Tahoma" w:hAnsi="Tahoma" w:cs="Tahoma" w:hint="cs"/>
                <w:b/>
                <w:bCs/>
                <w:color w:val="000080"/>
                <w:sz w:val="20"/>
                <w:szCs w:val="20"/>
                <w:rtl/>
              </w:rPr>
              <w:t>אשקלון</w:t>
            </w:r>
          </w:p>
        </w:tc>
      </w:tr>
      <w:tr w:rsidR="007343A7" w:rsidRPr="008604F6" w14:paraId="28E92563" w14:textId="77777777" w:rsidTr="00330624">
        <w:trPr>
          <w:trHeight w:val="337"/>
          <w:jc w:val="center"/>
        </w:trPr>
        <w:tc>
          <w:tcPr>
            <w:tcW w:w="5054" w:type="dxa"/>
          </w:tcPr>
          <w:p w14:paraId="0BD4A21F" w14:textId="77777777" w:rsidR="007343A7" w:rsidRPr="008604F6" w:rsidRDefault="007343A7" w:rsidP="006F4B9C">
            <w:pPr>
              <w:rPr>
                <w:rFonts w:cs="FrankRuehl"/>
                <w:sz w:val="28"/>
                <w:szCs w:val="28"/>
                <w:rtl/>
              </w:rPr>
            </w:pPr>
            <w:r w:rsidRPr="008604F6">
              <w:rPr>
                <w:rFonts w:cs="FrankRuehl"/>
                <w:sz w:val="28"/>
                <w:szCs w:val="28"/>
                <w:rtl/>
              </w:rPr>
              <w:t>ת"פ</w:t>
            </w:r>
            <w:r w:rsidRPr="008604F6">
              <w:rPr>
                <w:rFonts w:cs="FrankRuehl" w:hint="cs"/>
                <w:sz w:val="28"/>
                <w:szCs w:val="28"/>
                <w:rtl/>
              </w:rPr>
              <w:t xml:space="preserve"> </w:t>
            </w:r>
            <w:r w:rsidRPr="008604F6">
              <w:rPr>
                <w:rFonts w:cs="FrankRuehl"/>
                <w:sz w:val="28"/>
                <w:szCs w:val="28"/>
                <w:rtl/>
              </w:rPr>
              <w:t>56479-12-15</w:t>
            </w:r>
            <w:r w:rsidRPr="008604F6">
              <w:rPr>
                <w:rFonts w:cs="FrankRuehl" w:hint="cs"/>
                <w:sz w:val="28"/>
                <w:szCs w:val="28"/>
                <w:rtl/>
              </w:rPr>
              <w:t xml:space="preserve"> </w:t>
            </w:r>
            <w:r w:rsidRPr="008604F6">
              <w:rPr>
                <w:rFonts w:cs="FrankRuehl"/>
                <w:sz w:val="28"/>
                <w:szCs w:val="28"/>
                <w:rtl/>
              </w:rPr>
              <w:t>מדינת ישראל נ' גלמן</w:t>
            </w:r>
          </w:p>
          <w:p w14:paraId="775C2B2B" w14:textId="77777777" w:rsidR="007343A7" w:rsidRPr="008604F6" w:rsidRDefault="007343A7" w:rsidP="006F4B9C">
            <w:pPr>
              <w:pStyle w:val="a3"/>
              <w:rPr>
                <w:rFonts w:cs="FrankRuehl"/>
                <w:sz w:val="28"/>
                <w:szCs w:val="28"/>
                <w:rtl/>
              </w:rPr>
            </w:pPr>
          </w:p>
        </w:tc>
        <w:tc>
          <w:tcPr>
            <w:tcW w:w="3667" w:type="dxa"/>
          </w:tcPr>
          <w:p w14:paraId="25F0FB65" w14:textId="77777777" w:rsidR="007343A7" w:rsidRPr="008604F6" w:rsidRDefault="007343A7" w:rsidP="006F4B9C">
            <w:pPr>
              <w:pStyle w:val="a3"/>
              <w:jc w:val="right"/>
              <w:rPr>
                <w:rFonts w:cs="FrankRuehl"/>
                <w:sz w:val="28"/>
                <w:szCs w:val="28"/>
                <w:rtl/>
              </w:rPr>
            </w:pPr>
          </w:p>
        </w:tc>
      </w:tr>
    </w:tbl>
    <w:p w14:paraId="134C1CB0" w14:textId="77777777" w:rsidR="007343A7" w:rsidRPr="008604F6" w:rsidRDefault="007343A7" w:rsidP="007343A7">
      <w:pPr>
        <w:pStyle w:val="a3"/>
        <w:rPr>
          <w:rtl/>
        </w:rPr>
      </w:pPr>
      <w:r w:rsidRPr="008604F6">
        <w:rPr>
          <w:rFonts w:hint="cs"/>
          <w:rtl/>
        </w:rPr>
        <w:t xml:space="preserve"> </w:t>
      </w:r>
    </w:p>
    <w:p w14:paraId="69F5379E" w14:textId="77777777" w:rsidR="007343A7" w:rsidRPr="008604F6" w:rsidRDefault="007343A7" w:rsidP="007343A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343A7" w:rsidRPr="008604F6" w14:paraId="18C0BDC3" w14:textId="77777777" w:rsidTr="007343A7">
        <w:trPr>
          <w:trHeight w:val="295"/>
          <w:jc w:val="center"/>
        </w:trPr>
        <w:tc>
          <w:tcPr>
            <w:tcW w:w="923" w:type="dxa"/>
            <w:tcBorders>
              <w:top w:val="nil"/>
              <w:left w:val="nil"/>
              <w:bottom w:val="nil"/>
              <w:right w:val="nil"/>
            </w:tcBorders>
            <w:shd w:val="clear" w:color="auto" w:fill="auto"/>
          </w:tcPr>
          <w:p w14:paraId="7F63A4A0" w14:textId="77777777" w:rsidR="007343A7" w:rsidRPr="008604F6" w:rsidRDefault="007343A7" w:rsidP="007343A7">
            <w:pPr>
              <w:jc w:val="both"/>
              <w:rPr>
                <w:rFonts w:ascii="Arial" w:hAnsi="Arial" w:cs="FrankRuehl"/>
                <w:sz w:val="28"/>
                <w:szCs w:val="28"/>
              </w:rPr>
            </w:pPr>
            <w:r w:rsidRPr="008604F6">
              <w:rPr>
                <w:rFonts w:ascii="Arial" w:hAnsi="Arial" w:cs="FrankRuehl" w:hint="cs"/>
                <w:sz w:val="28"/>
                <w:szCs w:val="28"/>
                <w:rtl/>
              </w:rPr>
              <w:t>ב</w:t>
            </w:r>
            <w:r w:rsidRPr="008604F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CAF9479" w14:textId="77777777" w:rsidR="007343A7" w:rsidRPr="008604F6" w:rsidRDefault="007343A7" w:rsidP="006F4B9C">
            <w:pPr>
              <w:rPr>
                <w:rFonts w:ascii="Arial" w:hAnsi="Arial"/>
                <w:b/>
                <w:bCs/>
                <w:rtl/>
              </w:rPr>
            </w:pPr>
            <w:r w:rsidRPr="008604F6">
              <w:rPr>
                <w:rFonts w:ascii="Arial" w:hAnsi="Arial" w:hint="cs"/>
                <w:b/>
                <w:bCs/>
                <w:rtl/>
              </w:rPr>
              <w:t>כבוד ה</w:t>
            </w:r>
            <w:r w:rsidRPr="008604F6">
              <w:rPr>
                <w:rFonts w:ascii="Arial" w:hAnsi="Arial"/>
                <w:b/>
                <w:bCs/>
                <w:rtl/>
              </w:rPr>
              <w:t>שופטת</w:t>
            </w:r>
            <w:r w:rsidRPr="008604F6">
              <w:rPr>
                <w:rFonts w:ascii="Arial" w:hAnsi="Arial" w:hint="cs"/>
                <w:b/>
                <w:bCs/>
                <w:rtl/>
              </w:rPr>
              <w:t xml:space="preserve">  </w:t>
            </w:r>
            <w:r w:rsidRPr="008604F6">
              <w:rPr>
                <w:rFonts w:ascii="Arial" w:hAnsi="Arial"/>
                <w:b/>
                <w:bCs/>
                <w:rtl/>
              </w:rPr>
              <w:t>נועה חקלאי</w:t>
            </w:r>
          </w:p>
          <w:p w14:paraId="66DFB3A8" w14:textId="77777777" w:rsidR="007343A7" w:rsidRPr="008604F6" w:rsidRDefault="007343A7" w:rsidP="006F4B9C">
            <w:pPr>
              <w:rPr>
                <w:rtl/>
              </w:rPr>
            </w:pPr>
          </w:p>
          <w:p w14:paraId="2EFC1BBC" w14:textId="77777777" w:rsidR="007343A7" w:rsidRPr="008604F6" w:rsidRDefault="007343A7" w:rsidP="007343A7">
            <w:pPr>
              <w:jc w:val="both"/>
              <w:rPr>
                <w:rFonts w:ascii="Arial" w:hAnsi="Arial" w:cs="FrankRuehl"/>
                <w:sz w:val="28"/>
                <w:szCs w:val="28"/>
              </w:rPr>
            </w:pPr>
          </w:p>
        </w:tc>
      </w:tr>
      <w:tr w:rsidR="007343A7" w:rsidRPr="008604F6" w14:paraId="555CEA25" w14:textId="77777777" w:rsidTr="007343A7">
        <w:trPr>
          <w:trHeight w:val="355"/>
          <w:jc w:val="center"/>
        </w:trPr>
        <w:tc>
          <w:tcPr>
            <w:tcW w:w="923" w:type="dxa"/>
            <w:tcBorders>
              <w:top w:val="nil"/>
              <w:left w:val="nil"/>
              <w:bottom w:val="nil"/>
              <w:right w:val="nil"/>
            </w:tcBorders>
            <w:shd w:val="clear" w:color="auto" w:fill="auto"/>
          </w:tcPr>
          <w:p w14:paraId="353C99BD" w14:textId="77777777" w:rsidR="007343A7" w:rsidRPr="008604F6" w:rsidRDefault="007343A7" w:rsidP="007343A7">
            <w:pPr>
              <w:jc w:val="both"/>
              <w:rPr>
                <w:rFonts w:ascii="Arial" w:hAnsi="Arial" w:cs="FrankRuehl"/>
                <w:sz w:val="28"/>
                <w:szCs w:val="28"/>
              </w:rPr>
            </w:pPr>
            <w:bookmarkStart w:id="1" w:name="FirstAppellant"/>
            <w:r w:rsidRPr="008604F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0E2AE77" w14:textId="77777777" w:rsidR="007343A7" w:rsidRPr="008604F6" w:rsidRDefault="007343A7" w:rsidP="006F4B9C">
            <w:r w:rsidRPr="008604F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34BFE05" w14:textId="77777777" w:rsidR="007343A7" w:rsidRPr="008604F6" w:rsidRDefault="007343A7" w:rsidP="007343A7">
            <w:pPr>
              <w:jc w:val="both"/>
              <w:rPr>
                <w:rFonts w:ascii="Arial" w:hAnsi="Arial" w:cs="FrankRuehl"/>
                <w:sz w:val="28"/>
                <w:szCs w:val="28"/>
              </w:rPr>
            </w:pPr>
          </w:p>
        </w:tc>
      </w:tr>
      <w:bookmarkEnd w:id="1"/>
      <w:tr w:rsidR="007343A7" w:rsidRPr="008604F6" w14:paraId="58194683" w14:textId="77777777" w:rsidTr="007343A7">
        <w:trPr>
          <w:trHeight w:val="355"/>
          <w:jc w:val="center"/>
        </w:trPr>
        <w:tc>
          <w:tcPr>
            <w:tcW w:w="923" w:type="dxa"/>
            <w:tcBorders>
              <w:top w:val="nil"/>
              <w:left w:val="nil"/>
              <w:bottom w:val="nil"/>
              <w:right w:val="nil"/>
            </w:tcBorders>
            <w:shd w:val="clear" w:color="auto" w:fill="auto"/>
          </w:tcPr>
          <w:p w14:paraId="688F6F98" w14:textId="77777777" w:rsidR="007343A7" w:rsidRPr="008604F6" w:rsidRDefault="007343A7" w:rsidP="007343A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1B91879" w14:textId="77777777" w:rsidR="007343A7" w:rsidRPr="008604F6" w:rsidRDefault="007343A7" w:rsidP="007343A7">
            <w:pPr>
              <w:jc w:val="both"/>
              <w:rPr>
                <w:rtl/>
              </w:rPr>
            </w:pPr>
          </w:p>
        </w:tc>
        <w:tc>
          <w:tcPr>
            <w:tcW w:w="3771" w:type="dxa"/>
            <w:tcBorders>
              <w:top w:val="nil"/>
              <w:left w:val="nil"/>
              <w:bottom w:val="nil"/>
              <w:right w:val="nil"/>
            </w:tcBorders>
            <w:shd w:val="clear" w:color="auto" w:fill="auto"/>
          </w:tcPr>
          <w:p w14:paraId="14ECB646" w14:textId="77777777" w:rsidR="007343A7" w:rsidRPr="008604F6" w:rsidRDefault="007343A7" w:rsidP="007343A7">
            <w:pPr>
              <w:jc w:val="right"/>
              <w:rPr>
                <w:rFonts w:ascii="Arial" w:hAnsi="Arial" w:cs="FrankRuehl"/>
                <w:sz w:val="28"/>
                <w:szCs w:val="28"/>
                <w:rtl/>
              </w:rPr>
            </w:pPr>
            <w:r w:rsidRPr="008604F6">
              <w:rPr>
                <w:rFonts w:ascii="Arial" w:hAnsi="Arial" w:cs="FrankRuehl" w:hint="cs"/>
                <w:sz w:val="28"/>
                <w:szCs w:val="28"/>
                <w:rtl/>
              </w:rPr>
              <w:t>ה</w:t>
            </w:r>
            <w:r w:rsidRPr="008604F6">
              <w:rPr>
                <w:rFonts w:ascii="Arial" w:hAnsi="Arial" w:cs="FrankRuehl"/>
                <w:sz w:val="28"/>
                <w:szCs w:val="28"/>
                <w:rtl/>
              </w:rPr>
              <w:t>מאשימה</w:t>
            </w:r>
          </w:p>
        </w:tc>
      </w:tr>
      <w:tr w:rsidR="007343A7" w:rsidRPr="008604F6" w14:paraId="5FAF1C43" w14:textId="77777777" w:rsidTr="007343A7">
        <w:trPr>
          <w:trHeight w:val="355"/>
          <w:jc w:val="center"/>
        </w:trPr>
        <w:tc>
          <w:tcPr>
            <w:tcW w:w="923" w:type="dxa"/>
            <w:tcBorders>
              <w:top w:val="nil"/>
              <w:left w:val="nil"/>
              <w:bottom w:val="nil"/>
              <w:right w:val="nil"/>
            </w:tcBorders>
            <w:shd w:val="clear" w:color="auto" w:fill="auto"/>
          </w:tcPr>
          <w:p w14:paraId="5CB2FA70" w14:textId="77777777" w:rsidR="007343A7" w:rsidRPr="008604F6" w:rsidRDefault="007343A7" w:rsidP="007343A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93E7546" w14:textId="77777777" w:rsidR="007343A7" w:rsidRPr="008604F6" w:rsidRDefault="007343A7" w:rsidP="007343A7">
            <w:pPr>
              <w:jc w:val="center"/>
              <w:rPr>
                <w:rFonts w:ascii="Arial" w:hAnsi="Arial" w:cs="FrankRuehl"/>
                <w:b/>
                <w:bCs/>
                <w:sz w:val="28"/>
                <w:szCs w:val="28"/>
                <w:rtl/>
              </w:rPr>
            </w:pPr>
          </w:p>
          <w:p w14:paraId="4C25EF6C" w14:textId="77777777" w:rsidR="007343A7" w:rsidRPr="008604F6" w:rsidRDefault="007343A7" w:rsidP="007343A7">
            <w:pPr>
              <w:jc w:val="center"/>
              <w:rPr>
                <w:rFonts w:ascii="Arial" w:hAnsi="Arial" w:cs="FrankRuehl"/>
                <w:b/>
                <w:bCs/>
                <w:sz w:val="28"/>
                <w:szCs w:val="28"/>
                <w:rtl/>
              </w:rPr>
            </w:pPr>
            <w:r w:rsidRPr="008604F6">
              <w:rPr>
                <w:rFonts w:ascii="Arial" w:hAnsi="Arial" w:cs="FrankRuehl"/>
                <w:b/>
                <w:bCs/>
                <w:sz w:val="28"/>
                <w:szCs w:val="28"/>
                <w:rtl/>
              </w:rPr>
              <w:t>נגד</w:t>
            </w:r>
          </w:p>
          <w:p w14:paraId="665ED8C6" w14:textId="77777777" w:rsidR="007343A7" w:rsidRPr="008604F6" w:rsidRDefault="007343A7" w:rsidP="007343A7">
            <w:pPr>
              <w:jc w:val="both"/>
              <w:rPr>
                <w:rFonts w:ascii="Arial" w:hAnsi="Arial" w:cs="FrankRuehl"/>
                <w:sz w:val="28"/>
                <w:szCs w:val="28"/>
              </w:rPr>
            </w:pPr>
          </w:p>
        </w:tc>
      </w:tr>
      <w:tr w:rsidR="007343A7" w:rsidRPr="008604F6" w14:paraId="432226B6" w14:textId="77777777" w:rsidTr="007343A7">
        <w:trPr>
          <w:trHeight w:val="355"/>
          <w:jc w:val="center"/>
        </w:trPr>
        <w:tc>
          <w:tcPr>
            <w:tcW w:w="923" w:type="dxa"/>
            <w:tcBorders>
              <w:top w:val="nil"/>
              <w:left w:val="nil"/>
              <w:bottom w:val="nil"/>
              <w:right w:val="nil"/>
            </w:tcBorders>
            <w:shd w:val="clear" w:color="auto" w:fill="auto"/>
          </w:tcPr>
          <w:p w14:paraId="5BDC2B9A" w14:textId="77777777" w:rsidR="007343A7" w:rsidRPr="008604F6" w:rsidRDefault="007343A7" w:rsidP="006F4B9C">
            <w:pPr>
              <w:rPr>
                <w:rFonts w:ascii="Arial" w:hAnsi="Arial" w:cs="FrankRuehl"/>
                <w:sz w:val="28"/>
                <w:szCs w:val="28"/>
                <w:rtl/>
              </w:rPr>
            </w:pPr>
          </w:p>
        </w:tc>
        <w:tc>
          <w:tcPr>
            <w:tcW w:w="4126" w:type="dxa"/>
            <w:tcBorders>
              <w:top w:val="nil"/>
              <w:left w:val="nil"/>
              <w:bottom w:val="nil"/>
              <w:right w:val="nil"/>
            </w:tcBorders>
            <w:shd w:val="clear" w:color="auto" w:fill="auto"/>
          </w:tcPr>
          <w:p w14:paraId="2881970D" w14:textId="77777777" w:rsidR="007343A7" w:rsidRPr="008604F6" w:rsidRDefault="007343A7" w:rsidP="006F4B9C">
            <w:pPr>
              <w:rPr>
                <w:rtl/>
              </w:rPr>
            </w:pPr>
            <w:r w:rsidRPr="008604F6">
              <w:rPr>
                <w:rFonts w:ascii="Arial" w:hAnsi="Arial" w:cs="FrankRuehl"/>
                <w:sz w:val="28"/>
                <w:szCs w:val="28"/>
                <w:rtl/>
              </w:rPr>
              <w:t>סטניסלב גלמן</w:t>
            </w:r>
          </w:p>
        </w:tc>
        <w:tc>
          <w:tcPr>
            <w:tcW w:w="3771" w:type="dxa"/>
            <w:tcBorders>
              <w:top w:val="nil"/>
              <w:left w:val="nil"/>
              <w:bottom w:val="nil"/>
              <w:right w:val="nil"/>
            </w:tcBorders>
            <w:shd w:val="clear" w:color="auto" w:fill="auto"/>
          </w:tcPr>
          <w:p w14:paraId="0E8C9AFA" w14:textId="77777777" w:rsidR="007343A7" w:rsidRPr="008604F6" w:rsidRDefault="007343A7" w:rsidP="007343A7">
            <w:pPr>
              <w:jc w:val="right"/>
              <w:rPr>
                <w:rFonts w:ascii="Arial" w:hAnsi="Arial" w:cs="FrankRuehl"/>
                <w:sz w:val="28"/>
                <w:szCs w:val="28"/>
              </w:rPr>
            </w:pPr>
          </w:p>
        </w:tc>
      </w:tr>
      <w:tr w:rsidR="007343A7" w:rsidRPr="008604F6" w14:paraId="1164ED0A" w14:textId="77777777" w:rsidTr="007343A7">
        <w:trPr>
          <w:trHeight w:val="355"/>
          <w:jc w:val="center"/>
        </w:trPr>
        <w:tc>
          <w:tcPr>
            <w:tcW w:w="923" w:type="dxa"/>
            <w:tcBorders>
              <w:top w:val="nil"/>
              <w:left w:val="nil"/>
              <w:bottom w:val="nil"/>
              <w:right w:val="nil"/>
            </w:tcBorders>
            <w:shd w:val="clear" w:color="auto" w:fill="auto"/>
          </w:tcPr>
          <w:p w14:paraId="1033EF4F" w14:textId="77777777" w:rsidR="007343A7" w:rsidRPr="008604F6" w:rsidRDefault="007343A7" w:rsidP="007343A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3705F59" w14:textId="77777777" w:rsidR="007343A7" w:rsidRPr="008604F6" w:rsidRDefault="007343A7" w:rsidP="007343A7">
            <w:pPr>
              <w:jc w:val="both"/>
              <w:rPr>
                <w:rtl/>
              </w:rPr>
            </w:pPr>
          </w:p>
        </w:tc>
        <w:tc>
          <w:tcPr>
            <w:tcW w:w="3771" w:type="dxa"/>
            <w:tcBorders>
              <w:top w:val="nil"/>
              <w:left w:val="nil"/>
              <w:bottom w:val="nil"/>
              <w:right w:val="nil"/>
            </w:tcBorders>
            <w:shd w:val="clear" w:color="auto" w:fill="auto"/>
          </w:tcPr>
          <w:p w14:paraId="7906B544" w14:textId="77777777" w:rsidR="007343A7" w:rsidRPr="008604F6" w:rsidRDefault="007343A7" w:rsidP="007343A7">
            <w:pPr>
              <w:jc w:val="right"/>
              <w:rPr>
                <w:rFonts w:ascii="Arial" w:hAnsi="Arial" w:cs="FrankRuehl"/>
                <w:sz w:val="28"/>
                <w:szCs w:val="28"/>
              </w:rPr>
            </w:pPr>
            <w:r w:rsidRPr="008604F6">
              <w:rPr>
                <w:rFonts w:ascii="Arial" w:hAnsi="Arial" w:cs="FrankRuehl" w:hint="cs"/>
                <w:sz w:val="28"/>
                <w:szCs w:val="28"/>
                <w:rtl/>
              </w:rPr>
              <w:t>ה</w:t>
            </w:r>
            <w:r w:rsidRPr="008604F6">
              <w:rPr>
                <w:rFonts w:ascii="Arial" w:hAnsi="Arial" w:cs="FrankRuehl"/>
                <w:sz w:val="28"/>
                <w:szCs w:val="28"/>
                <w:rtl/>
              </w:rPr>
              <w:t>נאשם</w:t>
            </w:r>
          </w:p>
        </w:tc>
      </w:tr>
    </w:tbl>
    <w:p w14:paraId="67E64B82" w14:textId="77777777" w:rsidR="00330624" w:rsidRDefault="00330624" w:rsidP="007343A7">
      <w:pPr>
        <w:rPr>
          <w:rtl/>
        </w:rPr>
      </w:pPr>
      <w:bookmarkStart w:id="2" w:name="LawTable"/>
      <w:bookmarkEnd w:id="2"/>
    </w:p>
    <w:p w14:paraId="08EBA0E2" w14:textId="77777777" w:rsidR="00330624" w:rsidRPr="00330624" w:rsidRDefault="00330624" w:rsidP="00330624">
      <w:pPr>
        <w:spacing w:after="120" w:line="240" w:lineRule="exact"/>
        <w:ind w:left="283" w:hanging="283"/>
        <w:jc w:val="both"/>
        <w:rPr>
          <w:rFonts w:ascii="FrankRuehl" w:hAnsi="FrankRuehl" w:cs="FrankRuehl"/>
          <w:rtl/>
        </w:rPr>
      </w:pPr>
    </w:p>
    <w:p w14:paraId="5287ABBB" w14:textId="77777777" w:rsidR="00330624" w:rsidRPr="00330624" w:rsidRDefault="00330624" w:rsidP="00330624">
      <w:pPr>
        <w:spacing w:after="120" w:line="240" w:lineRule="exact"/>
        <w:ind w:left="283" w:hanging="283"/>
        <w:jc w:val="both"/>
        <w:rPr>
          <w:rFonts w:ascii="FrankRuehl" w:hAnsi="FrankRuehl" w:cs="FrankRuehl"/>
          <w:rtl/>
        </w:rPr>
      </w:pPr>
      <w:r w:rsidRPr="00330624">
        <w:rPr>
          <w:rFonts w:ascii="FrankRuehl" w:hAnsi="FrankRuehl" w:cs="FrankRuehl"/>
          <w:rtl/>
        </w:rPr>
        <w:t xml:space="preserve">חקיקה שאוזכרה: </w:t>
      </w:r>
    </w:p>
    <w:p w14:paraId="39D41687" w14:textId="77777777" w:rsidR="00330624" w:rsidRPr="00330624" w:rsidRDefault="00330624" w:rsidP="00330624">
      <w:pPr>
        <w:spacing w:after="120" w:line="240" w:lineRule="exact"/>
        <w:ind w:left="283" w:hanging="283"/>
        <w:jc w:val="both"/>
        <w:rPr>
          <w:rFonts w:ascii="FrankRuehl" w:hAnsi="FrankRuehl" w:cs="FrankRuehl"/>
          <w:rtl/>
        </w:rPr>
      </w:pPr>
      <w:hyperlink r:id="rId7" w:history="1">
        <w:r w:rsidRPr="00330624">
          <w:rPr>
            <w:rFonts w:ascii="FrankRuehl" w:hAnsi="FrankRuehl" w:cs="FrankRuehl"/>
            <w:color w:val="0000FF"/>
            <w:u w:val="single"/>
            <w:rtl/>
          </w:rPr>
          <w:t>פקודת הסמים המסוכנים [נוסח חדש], תשל"ג-1973</w:t>
        </w:r>
      </w:hyperlink>
      <w:r w:rsidRPr="00330624">
        <w:rPr>
          <w:rFonts w:ascii="FrankRuehl" w:hAnsi="FrankRuehl" w:cs="FrankRuehl"/>
          <w:rtl/>
        </w:rPr>
        <w:t xml:space="preserve">: סע'  </w:t>
      </w:r>
      <w:hyperlink r:id="rId8" w:history="1">
        <w:r w:rsidRPr="00330624">
          <w:rPr>
            <w:rFonts w:ascii="FrankRuehl" w:hAnsi="FrankRuehl" w:cs="FrankRuehl"/>
            <w:color w:val="0000FF"/>
            <w:u w:val="single"/>
            <w:rtl/>
          </w:rPr>
          <w:t>7.א.</w:t>
        </w:r>
      </w:hyperlink>
      <w:r w:rsidRPr="00330624">
        <w:rPr>
          <w:rFonts w:ascii="FrankRuehl" w:hAnsi="FrankRuehl" w:cs="FrankRuehl"/>
          <w:rtl/>
        </w:rPr>
        <w:t xml:space="preserve">, </w:t>
      </w:r>
      <w:hyperlink r:id="rId9" w:history="1">
        <w:r w:rsidRPr="00330624">
          <w:rPr>
            <w:rFonts w:ascii="FrankRuehl" w:hAnsi="FrankRuehl" w:cs="FrankRuehl"/>
            <w:color w:val="0000FF"/>
            <w:u w:val="single"/>
            <w:rtl/>
          </w:rPr>
          <w:t>7.ג</w:t>
        </w:r>
      </w:hyperlink>
    </w:p>
    <w:p w14:paraId="1870FA9C" w14:textId="77777777" w:rsidR="00330624" w:rsidRPr="00330624" w:rsidRDefault="00330624" w:rsidP="00330624">
      <w:pPr>
        <w:spacing w:after="120" w:line="240" w:lineRule="exact"/>
        <w:ind w:left="283" w:hanging="283"/>
        <w:jc w:val="both"/>
        <w:rPr>
          <w:rFonts w:ascii="FrankRuehl" w:hAnsi="FrankRuehl" w:cs="FrankRuehl"/>
          <w:rtl/>
        </w:rPr>
      </w:pPr>
      <w:hyperlink r:id="rId10" w:history="1">
        <w:r w:rsidRPr="00330624">
          <w:rPr>
            <w:rFonts w:ascii="FrankRuehl" w:hAnsi="FrankRuehl" w:cs="FrankRuehl"/>
            <w:color w:val="0000FF"/>
            <w:u w:val="single"/>
            <w:rtl/>
          </w:rPr>
          <w:t>חוק העונשין, תשל"ז-1977</w:t>
        </w:r>
      </w:hyperlink>
      <w:r w:rsidRPr="00330624">
        <w:rPr>
          <w:rFonts w:ascii="FrankRuehl" w:hAnsi="FrankRuehl" w:cs="FrankRuehl"/>
          <w:rtl/>
        </w:rPr>
        <w:t xml:space="preserve">: סע'  </w:t>
      </w:r>
      <w:hyperlink r:id="rId11" w:history="1">
        <w:r w:rsidRPr="00330624">
          <w:rPr>
            <w:rFonts w:ascii="FrankRuehl" w:hAnsi="FrankRuehl" w:cs="FrankRuehl"/>
            <w:color w:val="0000FF"/>
            <w:u w:val="single"/>
            <w:rtl/>
          </w:rPr>
          <w:t>144</w:t>
        </w:r>
      </w:hyperlink>
      <w:r w:rsidRPr="00330624">
        <w:rPr>
          <w:rFonts w:ascii="FrankRuehl" w:hAnsi="FrankRuehl" w:cs="FrankRuehl"/>
          <w:rtl/>
        </w:rPr>
        <w:t xml:space="preserve">, </w:t>
      </w:r>
      <w:hyperlink r:id="rId12" w:history="1">
        <w:r w:rsidRPr="00330624">
          <w:rPr>
            <w:rFonts w:ascii="FrankRuehl" w:hAnsi="FrankRuehl" w:cs="FrankRuehl"/>
            <w:color w:val="0000FF"/>
            <w:u w:val="single"/>
            <w:rtl/>
          </w:rPr>
          <w:t>144(א)</w:t>
        </w:r>
      </w:hyperlink>
    </w:p>
    <w:p w14:paraId="414AE3AD" w14:textId="77777777" w:rsidR="007343A7" w:rsidRPr="008604F6" w:rsidRDefault="007343A7" w:rsidP="007343A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43A7" w14:paraId="2CED13A7" w14:textId="77777777" w:rsidTr="007343A7">
        <w:trPr>
          <w:trHeight w:val="355"/>
          <w:jc w:val="center"/>
        </w:trPr>
        <w:tc>
          <w:tcPr>
            <w:tcW w:w="8820" w:type="dxa"/>
            <w:tcBorders>
              <w:top w:val="nil"/>
              <w:left w:val="nil"/>
              <w:bottom w:val="nil"/>
              <w:right w:val="nil"/>
            </w:tcBorders>
            <w:shd w:val="clear" w:color="auto" w:fill="auto"/>
          </w:tcPr>
          <w:p w14:paraId="710D35BE" w14:textId="77777777" w:rsidR="008604F6" w:rsidRPr="008604F6" w:rsidRDefault="008604F6" w:rsidP="008604F6">
            <w:pPr>
              <w:jc w:val="center"/>
              <w:rPr>
                <w:rFonts w:ascii="Arial" w:hAnsi="Arial" w:cs="FrankRuehl"/>
                <w:b/>
                <w:bCs/>
                <w:sz w:val="32"/>
                <w:szCs w:val="32"/>
                <w:u w:val="single"/>
                <w:rtl/>
              </w:rPr>
            </w:pPr>
            <w:bookmarkStart w:id="3" w:name="PsakDin" w:colFirst="0" w:colLast="0"/>
            <w:bookmarkEnd w:id="0"/>
            <w:r w:rsidRPr="008604F6">
              <w:rPr>
                <w:rFonts w:ascii="Arial" w:hAnsi="Arial" w:cs="FrankRuehl"/>
                <w:b/>
                <w:bCs/>
                <w:sz w:val="32"/>
                <w:szCs w:val="32"/>
                <w:u w:val="single"/>
                <w:rtl/>
              </w:rPr>
              <w:t>גזר דין</w:t>
            </w:r>
          </w:p>
          <w:p w14:paraId="22D3A852" w14:textId="77777777" w:rsidR="007343A7" w:rsidRPr="008604F6" w:rsidRDefault="007343A7" w:rsidP="008604F6">
            <w:pPr>
              <w:jc w:val="center"/>
              <w:rPr>
                <w:rFonts w:ascii="Arial" w:hAnsi="Arial" w:cs="FrankRuehl"/>
                <w:bCs/>
                <w:sz w:val="32"/>
                <w:szCs w:val="32"/>
                <w:u w:val="single"/>
                <w:rtl/>
              </w:rPr>
            </w:pPr>
          </w:p>
        </w:tc>
      </w:tr>
      <w:bookmarkEnd w:id="3"/>
    </w:tbl>
    <w:p w14:paraId="1E17BA8C" w14:textId="77777777" w:rsidR="007343A7" w:rsidRPr="00B05847" w:rsidRDefault="007343A7" w:rsidP="007343A7">
      <w:pPr>
        <w:rPr>
          <w:rFonts w:ascii="Arial" w:hAnsi="Arial"/>
          <w:rtl/>
        </w:rPr>
      </w:pPr>
    </w:p>
    <w:p w14:paraId="0F5C4E46" w14:textId="77777777" w:rsidR="007343A7" w:rsidRPr="00B05847" w:rsidRDefault="007343A7" w:rsidP="007343A7">
      <w:pPr>
        <w:tabs>
          <w:tab w:val="left" w:pos="2175"/>
        </w:tabs>
        <w:rPr>
          <w:rtl/>
        </w:rPr>
      </w:pPr>
    </w:p>
    <w:p w14:paraId="63339CDC" w14:textId="77777777" w:rsidR="007343A7" w:rsidRDefault="007343A7" w:rsidP="007343A7">
      <w:pPr>
        <w:rPr>
          <w:rFonts w:ascii="Arial" w:hAnsi="Arial"/>
          <w:b/>
          <w:bCs/>
          <w:sz w:val="28"/>
          <w:szCs w:val="28"/>
          <w:u w:val="single"/>
          <w:rtl/>
        </w:rPr>
      </w:pPr>
    </w:p>
    <w:p w14:paraId="4E157E0F" w14:textId="77777777" w:rsidR="007343A7" w:rsidRDefault="007343A7" w:rsidP="007343A7">
      <w:pPr>
        <w:spacing w:after="200"/>
        <w:ind w:left="720" w:hanging="720"/>
        <w:jc w:val="both"/>
        <w:rPr>
          <w:rFonts w:ascii="Calibri" w:hAnsi="Calibri"/>
          <w:rtl/>
        </w:rPr>
      </w:pPr>
      <w:r>
        <w:rPr>
          <w:rFonts w:ascii="Calibri" w:hAnsi="Calibri" w:hint="cs"/>
          <w:rtl/>
        </w:rPr>
        <w:t>1.</w:t>
      </w:r>
      <w:r>
        <w:rPr>
          <w:rFonts w:ascii="Calibri" w:hAnsi="Calibri" w:hint="cs"/>
          <w:rtl/>
        </w:rPr>
        <w:tab/>
      </w:r>
      <w:bookmarkStart w:id="4" w:name="ABSTRACT_START"/>
      <w:bookmarkEnd w:id="4"/>
      <w:r>
        <w:rPr>
          <w:rFonts w:ascii="Calibri" w:hAnsi="Calibri" w:hint="cs"/>
          <w:rtl/>
        </w:rPr>
        <w:t xml:space="preserve">הנאשם הורשע על פי הודאתו בכתב אישום מתוקן המייחס לו עבירה של החזקת סמים לצריכה עצמית בניגוד </w:t>
      </w:r>
      <w:hyperlink r:id="rId13" w:history="1">
        <w:r w:rsidR="00330624" w:rsidRPr="00330624">
          <w:rPr>
            <w:rFonts w:ascii="Calibri" w:hAnsi="Calibri" w:hint="eastAsia"/>
            <w:color w:val="0000FF"/>
            <w:u w:val="single"/>
            <w:rtl/>
          </w:rPr>
          <w:t>לסעיף</w:t>
        </w:r>
        <w:r w:rsidR="00330624" w:rsidRPr="00330624">
          <w:rPr>
            <w:rFonts w:ascii="Calibri" w:hAnsi="Calibri"/>
            <w:color w:val="0000FF"/>
            <w:u w:val="single"/>
            <w:rtl/>
          </w:rPr>
          <w:t xml:space="preserve"> 7(</w:t>
        </w:r>
        <w:r w:rsidR="00330624" w:rsidRPr="00330624">
          <w:rPr>
            <w:rFonts w:ascii="Calibri" w:hAnsi="Calibri" w:hint="eastAsia"/>
            <w:color w:val="0000FF"/>
            <w:u w:val="single"/>
            <w:rtl/>
          </w:rPr>
          <w:t>א</w:t>
        </w:r>
        <w:r w:rsidR="00330624" w:rsidRPr="00330624">
          <w:rPr>
            <w:rFonts w:ascii="Calibri" w:hAnsi="Calibri"/>
            <w:color w:val="0000FF"/>
            <w:u w:val="single"/>
            <w:rtl/>
          </w:rPr>
          <w:t>)+7(</w:t>
        </w:r>
        <w:r w:rsidR="00330624" w:rsidRPr="00330624">
          <w:rPr>
            <w:rFonts w:ascii="Calibri" w:hAnsi="Calibri" w:hint="eastAsia"/>
            <w:color w:val="0000FF"/>
            <w:u w:val="single"/>
            <w:rtl/>
          </w:rPr>
          <w:t>ג</w:t>
        </w:r>
        <w:r w:rsidR="00330624" w:rsidRPr="00330624">
          <w:rPr>
            <w:rFonts w:ascii="Calibri" w:hAnsi="Calibri"/>
            <w:color w:val="0000FF"/>
            <w:u w:val="single"/>
            <w:rtl/>
          </w:rPr>
          <w:t>)</w:t>
        </w:r>
      </w:hyperlink>
      <w:r>
        <w:rPr>
          <w:rFonts w:ascii="Calibri" w:hAnsi="Calibri" w:hint="cs"/>
          <w:rtl/>
        </w:rPr>
        <w:t xml:space="preserve"> סיפא ל</w:t>
      </w:r>
      <w:hyperlink r:id="rId14" w:history="1">
        <w:r w:rsidR="008604F6" w:rsidRPr="008604F6">
          <w:rPr>
            <w:rFonts w:ascii="Calibri" w:hAnsi="Calibri" w:hint="eastAsia"/>
            <w:color w:val="0000FF"/>
            <w:u w:val="single"/>
            <w:rtl/>
          </w:rPr>
          <w:t>פקודת</w:t>
        </w:r>
        <w:r w:rsidR="008604F6" w:rsidRPr="008604F6">
          <w:rPr>
            <w:rFonts w:ascii="Calibri" w:hAnsi="Calibri"/>
            <w:color w:val="0000FF"/>
            <w:u w:val="single"/>
            <w:rtl/>
          </w:rPr>
          <w:t xml:space="preserve"> </w:t>
        </w:r>
        <w:r w:rsidR="008604F6" w:rsidRPr="008604F6">
          <w:rPr>
            <w:rFonts w:ascii="Calibri" w:hAnsi="Calibri" w:hint="eastAsia"/>
            <w:color w:val="0000FF"/>
            <w:u w:val="single"/>
            <w:rtl/>
          </w:rPr>
          <w:t>הסמים</w:t>
        </w:r>
        <w:r w:rsidR="008604F6" w:rsidRPr="008604F6">
          <w:rPr>
            <w:rFonts w:ascii="Calibri" w:hAnsi="Calibri"/>
            <w:color w:val="0000FF"/>
            <w:u w:val="single"/>
            <w:rtl/>
          </w:rPr>
          <w:t xml:space="preserve"> </w:t>
        </w:r>
        <w:r w:rsidR="008604F6" w:rsidRPr="008604F6">
          <w:rPr>
            <w:rFonts w:ascii="Calibri" w:hAnsi="Calibri" w:hint="eastAsia"/>
            <w:color w:val="0000FF"/>
            <w:u w:val="single"/>
            <w:rtl/>
          </w:rPr>
          <w:t>המסוכנים</w:t>
        </w:r>
      </w:hyperlink>
      <w:r>
        <w:rPr>
          <w:rFonts w:ascii="Calibri" w:hAnsi="Calibri" w:hint="cs"/>
          <w:rtl/>
        </w:rPr>
        <w:t xml:space="preserve"> (נוסח חדש) התשל"ג-1973 ועבירה של החזקת חלק של נשק או תחמושת בניגוד </w:t>
      </w:r>
      <w:hyperlink r:id="rId15" w:history="1">
        <w:r w:rsidR="00330624" w:rsidRPr="00330624">
          <w:rPr>
            <w:rFonts w:ascii="Calibri" w:hAnsi="Calibri" w:hint="eastAsia"/>
            <w:color w:val="0000FF"/>
            <w:u w:val="single"/>
            <w:rtl/>
          </w:rPr>
          <w:t>לסעיף</w:t>
        </w:r>
        <w:r w:rsidR="00330624" w:rsidRPr="00330624">
          <w:rPr>
            <w:rFonts w:ascii="Calibri" w:hAnsi="Calibri"/>
            <w:color w:val="0000FF"/>
            <w:u w:val="single"/>
            <w:rtl/>
          </w:rPr>
          <w:t xml:space="preserve"> 144(</w:t>
        </w:r>
        <w:r w:rsidR="00330624" w:rsidRPr="00330624">
          <w:rPr>
            <w:rFonts w:ascii="Calibri" w:hAnsi="Calibri" w:hint="eastAsia"/>
            <w:color w:val="0000FF"/>
            <w:u w:val="single"/>
            <w:rtl/>
          </w:rPr>
          <w:t>א</w:t>
        </w:r>
        <w:r w:rsidR="00330624" w:rsidRPr="00330624">
          <w:rPr>
            <w:rFonts w:ascii="Calibri" w:hAnsi="Calibri"/>
            <w:color w:val="0000FF"/>
            <w:u w:val="single"/>
            <w:rtl/>
          </w:rPr>
          <w:t>)</w:t>
        </w:r>
      </w:hyperlink>
      <w:r>
        <w:rPr>
          <w:rFonts w:ascii="Calibri" w:hAnsi="Calibri" w:hint="cs"/>
          <w:rtl/>
        </w:rPr>
        <w:t xml:space="preserve"> סיפא ל</w:t>
      </w:r>
      <w:hyperlink r:id="rId16" w:history="1">
        <w:r w:rsidR="008604F6" w:rsidRPr="008604F6">
          <w:rPr>
            <w:rFonts w:ascii="Calibri" w:hAnsi="Calibri" w:hint="eastAsia"/>
            <w:color w:val="0000FF"/>
            <w:u w:val="single"/>
            <w:rtl/>
          </w:rPr>
          <w:t>חוק</w:t>
        </w:r>
        <w:r w:rsidR="008604F6" w:rsidRPr="008604F6">
          <w:rPr>
            <w:rFonts w:ascii="Calibri" w:hAnsi="Calibri"/>
            <w:color w:val="0000FF"/>
            <w:u w:val="single"/>
            <w:rtl/>
          </w:rPr>
          <w:t xml:space="preserve"> </w:t>
        </w:r>
        <w:r w:rsidR="008604F6" w:rsidRPr="008604F6">
          <w:rPr>
            <w:rFonts w:ascii="Calibri" w:hAnsi="Calibri" w:hint="eastAsia"/>
            <w:color w:val="0000FF"/>
            <w:u w:val="single"/>
            <w:rtl/>
          </w:rPr>
          <w:t>העונשין</w:t>
        </w:r>
      </w:hyperlink>
      <w:r>
        <w:rPr>
          <w:rFonts w:ascii="Calibri" w:hAnsi="Calibri" w:hint="cs"/>
          <w:rtl/>
        </w:rPr>
        <w:t xml:space="preserve"> התשל"ז-1977.</w:t>
      </w:r>
    </w:p>
    <w:p w14:paraId="2991F2FF" w14:textId="77777777" w:rsidR="007343A7" w:rsidRDefault="007343A7" w:rsidP="007343A7">
      <w:pPr>
        <w:spacing w:after="200"/>
        <w:ind w:left="720" w:hanging="720"/>
        <w:jc w:val="both"/>
        <w:rPr>
          <w:rFonts w:ascii="Calibri" w:hAnsi="Calibri"/>
          <w:rtl/>
        </w:rPr>
      </w:pPr>
      <w:r>
        <w:rPr>
          <w:rFonts w:ascii="Calibri" w:hAnsi="Calibri" w:hint="cs"/>
          <w:rtl/>
        </w:rPr>
        <w:t>2.</w:t>
      </w:r>
      <w:r>
        <w:rPr>
          <w:rFonts w:ascii="Calibri" w:hAnsi="Calibri" w:hint="cs"/>
          <w:rtl/>
        </w:rPr>
        <w:tab/>
        <w:t xml:space="preserve">על פי עובדות כתב האישום המתוקן, בתאריך 24.6.15, החזיק הנאשם בדירתו, בארון שבחדרו בנשק, אבזר או תחמושת שלא כדין: שני רימוני עשן, חזיז חשמלי, ו- 6 מחסניות רובה מסוג </w:t>
      </w:r>
      <w:r>
        <w:rPr>
          <w:rFonts w:ascii="Calibri" w:hAnsi="Calibri"/>
        </w:rPr>
        <w:t>M-16</w:t>
      </w:r>
      <w:r>
        <w:rPr>
          <w:rFonts w:ascii="Calibri" w:hAnsi="Calibri" w:hint="cs"/>
          <w:rtl/>
        </w:rPr>
        <w:t xml:space="preserve">. באותו מועד החזיק בשידה שליד הטלוויזיה בחדרו, בסם מסוכן מסוג חשיש במשקל של 0.13 גרם נטו, לצריכתו העצמית וזאת ללא רישיון או היתר מאת המנהל.   </w:t>
      </w:r>
    </w:p>
    <w:p w14:paraId="5F23E98A" w14:textId="77777777" w:rsidR="007343A7" w:rsidRDefault="007343A7" w:rsidP="007343A7">
      <w:pPr>
        <w:spacing w:after="200"/>
        <w:jc w:val="both"/>
        <w:rPr>
          <w:rFonts w:ascii="Calibri" w:hAnsi="Calibri"/>
          <w:b/>
          <w:bCs/>
          <w:u w:val="single"/>
          <w:rtl/>
        </w:rPr>
      </w:pPr>
      <w:bookmarkStart w:id="5" w:name="ABSTRACT_END"/>
      <w:bookmarkEnd w:id="5"/>
    </w:p>
    <w:p w14:paraId="7FC34937" w14:textId="77777777" w:rsidR="007343A7" w:rsidRDefault="007343A7" w:rsidP="007343A7">
      <w:pPr>
        <w:spacing w:after="200"/>
        <w:jc w:val="both"/>
        <w:rPr>
          <w:rFonts w:ascii="Calibri" w:hAnsi="Calibri"/>
          <w:b/>
          <w:bCs/>
          <w:u w:val="single"/>
          <w:rtl/>
        </w:rPr>
      </w:pPr>
      <w:r>
        <w:rPr>
          <w:rFonts w:ascii="Calibri" w:hAnsi="Calibri" w:hint="cs"/>
          <w:b/>
          <w:bCs/>
          <w:u w:val="single"/>
          <w:rtl/>
        </w:rPr>
        <w:t>הסדר הטיעון</w:t>
      </w:r>
    </w:p>
    <w:p w14:paraId="01DCCD61" w14:textId="77777777" w:rsidR="007343A7" w:rsidRDefault="007343A7" w:rsidP="007343A7">
      <w:pPr>
        <w:spacing w:after="200"/>
        <w:ind w:left="720" w:hanging="720"/>
        <w:jc w:val="both"/>
        <w:rPr>
          <w:rFonts w:ascii="Calibri" w:hAnsi="Calibri"/>
          <w:rtl/>
        </w:rPr>
      </w:pPr>
      <w:r>
        <w:rPr>
          <w:rFonts w:ascii="Calibri" w:hAnsi="Calibri" w:hint="cs"/>
          <w:rtl/>
        </w:rPr>
        <w:t>3.</w:t>
      </w:r>
      <w:r>
        <w:rPr>
          <w:rFonts w:ascii="Calibri" w:hAnsi="Calibri" w:hint="cs"/>
          <w:rtl/>
        </w:rPr>
        <w:tab/>
        <w:t>ביום 6.2.17 הציגו הצדדים הסדר טיעון לפיו יודה בכתב אישום מתוקן ויורשע. ישלח לשירות המבחן לקבלת תסקיר. עמדת המאשימה ל- 4.5 חודשי מאסר אשר ירוצו בעבודות שירות במידה והנאשם ימצא מתאים לכך. ככל שלא ימצא מתאים, תעתור המאשימה למאסר בפועל, וענישה נלווית.</w:t>
      </w:r>
    </w:p>
    <w:p w14:paraId="0EBFA23C" w14:textId="77777777" w:rsidR="007343A7" w:rsidRDefault="007343A7" w:rsidP="007343A7">
      <w:pPr>
        <w:spacing w:after="200"/>
        <w:jc w:val="both"/>
        <w:rPr>
          <w:rFonts w:ascii="Calibri" w:hAnsi="Calibri"/>
          <w:b/>
          <w:bCs/>
          <w:u w:val="single"/>
          <w:rtl/>
        </w:rPr>
      </w:pPr>
    </w:p>
    <w:p w14:paraId="68BFA0C7" w14:textId="77777777" w:rsidR="007343A7" w:rsidRDefault="007343A7" w:rsidP="007343A7">
      <w:pPr>
        <w:spacing w:after="200"/>
        <w:jc w:val="both"/>
        <w:rPr>
          <w:rFonts w:ascii="Calibri" w:hAnsi="Calibri"/>
          <w:b/>
          <w:bCs/>
          <w:u w:val="single"/>
          <w:rtl/>
        </w:rPr>
      </w:pPr>
    </w:p>
    <w:p w14:paraId="1A87DFFE" w14:textId="77777777" w:rsidR="007343A7" w:rsidRDefault="007343A7" w:rsidP="007343A7">
      <w:pPr>
        <w:spacing w:after="200"/>
        <w:jc w:val="both"/>
        <w:rPr>
          <w:rFonts w:ascii="Calibri" w:hAnsi="Calibri"/>
          <w:b/>
          <w:bCs/>
          <w:color w:val="FF0000"/>
          <w:u w:val="single"/>
          <w:rtl/>
        </w:rPr>
      </w:pPr>
      <w:r>
        <w:rPr>
          <w:rFonts w:ascii="Calibri" w:hAnsi="Calibri" w:hint="cs"/>
          <w:b/>
          <w:bCs/>
          <w:u w:val="single"/>
          <w:rtl/>
        </w:rPr>
        <w:t xml:space="preserve">תסקיר שירות המבחן וחוות דעת הממונה על עבודות השירות  </w:t>
      </w:r>
    </w:p>
    <w:p w14:paraId="69A8C3C0" w14:textId="77777777" w:rsidR="007343A7" w:rsidRDefault="007343A7" w:rsidP="007343A7">
      <w:pPr>
        <w:spacing w:after="200"/>
        <w:ind w:left="720" w:hanging="720"/>
        <w:jc w:val="both"/>
        <w:rPr>
          <w:rFonts w:ascii="Calibri" w:hAnsi="Calibri"/>
          <w:rtl/>
        </w:rPr>
      </w:pPr>
      <w:r>
        <w:rPr>
          <w:rFonts w:ascii="Calibri" w:hAnsi="Calibri" w:hint="cs"/>
          <w:rtl/>
        </w:rPr>
        <w:t>4.</w:t>
      </w:r>
      <w:r>
        <w:rPr>
          <w:rFonts w:ascii="Calibri" w:hAnsi="Calibri" w:hint="cs"/>
          <w:rtl/>
        </w:rPr>
        <w:tab/>
        <w:t>בתסקיר מיום 19.7.17 סקר שירות המבחן את הרקע האישי והמשפחתי של הנאשם. הנאשם בן 30, רווק, מתגורר בבית אמו ועובד כשכיר. הנאשם איבד את אביו בתאונת דרכים כשהיה בן 6. משפחתו עלתה מרוסיה כשהיה בן 8. המצב הכלכלי בביתו קשה. לנאשם הרשעות בעבירות רכוש, אלימות וסמים ונידון בין היתר לצו מבחן, צו של"צ, מאסר מותנה ומחבוש בכלא הצבאי. הנאשם מסר כי אינו משתמש בסמים מזה כשנתיים. תוצאות הבדיקה לאיתור שרידי סם נמצאו נקיות. באשר לחלקי הנשק שנמצאו בביתו מסר הנאשם כי הם נלקחו על ידו בהיותו חייל, בחוסר שיקול דעת ומבלי שהיה מודע לחומרת מעשיו. שירות המבחן התרשם כי הנאשם הורתע מההליך המשפטי, וכי שומר על  יציבות תעסוקתית.</w:t>
      </w:r>
    </w:p>
    <w:p w14:paraId="0A6A8A99" w14:textId="77777777" w:rsidR="007343A7" w:rsidRDefault="007343A7" w:rsidP="007343A7">
      <w:pPr>
        <w:spacing w:after="200"/>
        <w:ind w:left="720"/>
        <w:contextualSpacing/>
        <w:jc w:val="both"/>
        <w:rPr>
          <w:rFonts w:ascii="Calibri" w:hAnsi="Calibri"/>
        </w:rPr>
      </w:pPr>
      <w:r>
        <w:rPr>
          <w:rFonts w:ascii="Calibri" w:hAnsi="Calibri" w:hint="cs"/>
          <w:rtl/>
        </w:rPr>
        <w:t xml:space="preserve">שירות המבחן העריך כי הנאשם נמנע משימוש בסמים בשל ההליך המשפטי אשר מצוי בו אך קיים סיכון לחזרה לשימוש בסמים. על אף שהנאשם לא הביע נזקקות טיפולית בתחום הסמים המליץ שירות המבחן על העמדתו במבחן וכל על הטלת ענישה בעלת אפקט חינוכי של של"צ. </w:t>
      </w:r>
    </w:p>
    <w:p w14:paraId="3453CE00" w14:textId="77777777" w:rsidR="007343A7" w:rsidRDefault="007343A7" w:rsidP="007343A7">
      <w:pPr>
        <w:spacing w:after="200"/>
        <w:ind w:left="360"/>
        <w:contextualSpacing/>
        <w:jc w:val="both"/>
        <w:rPr>
          <w:rFonts w:ascii="Calibri" w:hAnsi="Calibri"/>
          <w:highlight w:val="yellow"/>
          <w:rtl/>
        </w:rPr>
      </w:pPr>
    </w:p>
    <w:p w14:paraId="0E12953E" w14:textId="77777777" w:rsidR="007343A7" w:rsidRDefault="007343A7" w:rsidP="007343A7">
      <w:pPr>
        <w:spacing w:after="200"/>
        <w:jc w:val="both"/>
        <w:rPr>
          <w:rFonts w:ascii="Calibri" w:hAnsi="Calibri"/>
          <w:b/>
          <w:bCs/>
          <w:u w:val="single"/>
          <w:rtl/>
        </w:rPr>
      </w:pPr>
      <w:r>
        <w:rPr>
          <w:rFonts w:ascii="Calibri" w:hAnsi="Calibri" w:hint="cs"/>
          <w:b/>
          <w:bCs/>
          <w:u w:val="single"/>
          <w:rtl/>
        </w:rPr>
        <w:t>טיעוני הצדדים לעונש</w:t>
      </w:r>
    </w:p>
    <w:p w14:paraId="79F42AAF" w14:textId="77777777" w:rsidR="007343A7" w:rsidRDefault="007343A7" w:rsidP="007343A7">
      <w:pPr>
        <w:spacing w:after="200"/>
        <w:ind w:left="720" w:hanging="720"/>
        <w:jc w:val="both"/>
        <w:rPr>
          <w:rFonts w:ascii="Calibri" w:hAnsi="Calibri"/>
          <w:rtl/>
        </w:rPr>
      </w:pPr>
      <w:r>
        <w:rPr>
          <w:rFonts w:ascii="Calibri" w:hAnsi="Calibri" w:hint="cs"/>
          <w:rtl/>
        </w:rPr>
        <w:t>5.</w:t>
      </w:r>
      <w:r>
        <w:rPr>
          <w:rFonts w:ascii="Calibri" w:hAnsi="Calibri" w:hint="cs"/>
          <w:rtl/>
        </w:rPr>
        <w:tab/>
        <w:t xml:space="preserve">ב"כ המאשימה הגישה גיליון הרשעות קודמות, לדבריה מתחם העונש ההולם נע בין מאסר מותנה ועד ל-6 חודשי מאסר בפועל, עתרה לענישה ברף הבינוני במתחם וזאת בשל הרשעותיו הקודמות ביחס לגילו הצעיר. </w:t>
      </w:r>
    </w:p>
    <w:p w14:paraId="27168080" w14:textId="77777777" w:rsidR="007343A7" w:rsidRDefault="007343A7" w:rsidP="007343A7">
      <w:pPr>
        <w:ind w:left="720" w:hanging="720"/>
        <w:jc w:val="both"/>
        <w:rPr>
          <w:rFonts w:ascii="Calibri" w:hAnsi="Calibri"/>
        </w:rPr>
      </w:pPr>
      <w:r>
        <w:rPr>
          <w:rFonts w:ascii="Calibri" w:hAnsi="Calibri" w:hint="cs"/>
          <w:rtl/>
        </w:rPr>
        <w:t>6.</w:t>
      </w:r>
      <w:r>
        <w:rPr>
          <w:rFonts w:ascii="Calibri" w:hAnsi="Calibri" w:hint="cs"/>
          <w:rtl/>
        </w:rPr>
        <w:tab/>
        <w:t xml:space="preserve">ב"כ הנאשם ציינה כי למעט הרשעתו האחרונה של הנאשם, כל הרשעותיו התיישנו. טענה להגנה מן הצדק שכן העבירה נשוא הרשעתו האחרונה נעברה באותו אירוע, והאירוע פוצל ללא כל הצדקה לשני כתבי אישום נפרדים.  עוד טענה כי החיפוש בוצע שלא כדין, שלא בפני שני עדים ניטרליים כנדרש. לדבריה,  עסקינן בתחמושת ישנה מתקופת הצבא, שהנאשם אסף בזמן השירות ופחד להחזיר. לדבריה מדובר ברשלנות ולא מעבר לכך. ב"כ המאשימה הגישה פסיקה התומכת בטיעוניה, וביקשה לאמץ את המלצת שירות המבחן. </w:t>
      </w:r>
    </w:p>
    <w:p w14:paraId="254C6AF8" w14:textId="77777777" w:rsidR="007343A7" w:rsidRDefault="007343A7" w:rsidP="007343A7">
      <w:pPr>
        <w:ind w:left="720" w:hanging="720"/>
        <w:jc w:val="both"/>
        <w:rPr>
          <w:rFonts w:ascii="Calibri" w:hAnsi="Calibri"/>
          <w:rtl/>
        </w:rPr>
      </w:pPr>
    </w:p>
    <w:p w14:paraId="7FB075F8" w14:textId="77777777" w:rsidR="007343A7" w:rsidRDefault="007343A7" w:rsidP="007343A7">
      <w:pPr>
        <w:spacing w:after="200"/>
        <w:ind w:left="720" w:hanging="720"/>
        <w:jc w:val="both"/>
        <w:rPr>
          <w:rFonts w:ascii="Calibri" w:hAnsi="Calibri"/>
        </w:rPr>
      </w:pPr>
      <w:r>
        <w:rPr>
          <w:rFonts w:ascii="Calibri" w:hAnsi="Calibri" w:hint="cs"/>
          <w:rtl/>
        </w:rPr>
        <w:t>7.</w:t>
      </w:r>
      <w:r>
        <w:rPr>
          <w:rFonts w:ascii="Calibri" w:hAnsi="Calibri" w:hint="cs"/>
          <w:rtl/>
        </w:rPr>
        <w:tab/>
        <w:t xml:space="preserve">הנאשם ביקש לומר דברים. לדבריו הוא אדם נורמטיבי, עובד ובעל משכורת טובה. התבגר, מנהל שגרת חיים תקינה ואינו מהווה סכנה לציבור. הנאשם ביקש להתחשב ולאפשר לו להמשיך ולעבוד כיוון שמפחד לאבד את מקום עבודתו. </w:t>
      </w:r>
    </w:p>
    <w:p w14:paraId="2FAAAF0B" w14:textId="77777777" w:rsidR="007343A7" w:rsidRDefault="007343A7" w:rsidP="007343A7">
      <w:pPr>
        <w:spacing w:after="200"/>
        <w:jc w:val="both"/>
        <w:rPr>
          <w:rFonts w:ascii="Calibri" w:hAnsi="Calibri"/>
          <w:b/>
          <w:bCs/>
          <w:sz w:val="40"/>
          <w:szCs w:val="40"/>
          <w:u w:val="single"/>
          <w:rtl/>
        </w:rPr>
      </w:pPr>
      <w:r>
        <w:rPr>
          <w:rFonts w:ascii="Calibri" w:hAnsi="Calibri" w:hint="cs"/>
          <w:b/>
          <w:bCs/>
          <w:sz w:val="40"/>
          <w:szCs w:val="40"/>
          <w:u w:val="single"/>
          <w:rtl/>
        </w:rPr>
        <w:t>דיון</w:t>
      </w:r>
    </w:p>
    <w:p w14:paraId="420A0DE4" w14:textId="77777777" w:rsidR="007343A7" w:rsidRDefault="007343A7" w:rsidP="007343A7">
      <w:pPr>
        <w:spacing w:after="200"/>
        <w:jc w:val="both"/>
        <w:rPr>
          <w:rFonts w:ascii="Calibri" w:hAnsi="Calibri"/>
          <w:b/>
          <w:bCs/>
          <w:u w:val="single"/>
          <w:rtl/>
        </w:rPr>
      </w:pPr>
      <w:r>
        <w:rPr>
          <w:rFonts w:ascii="Calibri" w:hAnsi="Calibri" w:hint="cs"/>
          <w:b/>
          <w:bCs/>
          <w:u w:val="single"/>
          <w:rtl/>
        </w:rPr>
        <w:t>מתחם העונש ההולם</w:t>
      </w:r>
    </w:p>
    <w:p w14:paraId="16C3B5F4" w14:textId="77777777" w:rsidR="007343A7" w:rsidRDefault="007343A7" w:rsidP="007343A7">
      <w:pPr>
        <w:spacing w:after="160" w:line="256" w:lineRule="auto"/>
        <w:ind w:left="360"/>
        <w:contextualSpacing/>
        <w:jc w:val="both"/>
        <w:rPr>
          <w:rFonts w:ascii="Calibri" w:hAnsi="Calibri"/>
          <w:highlight w:val="yellow"/>
          <w:rtl/>
        </w:rPr>
      </w:pPr>
    </w:p>
    <w:p w14:paraId="6D28081C" w14:textId="77777777" w:rsidR="007343A7" w:rsidRDefault="007343A7" w:rsidP="007343A7">
      <w:pPr>
        <w:spacing w:after="120"/>
        <w:ind w:left="720" w:hanging="720"/>
        <w:jc w:val="both"/>
        <w:rPr>
          <w:rFonts w:ascii="David" w:hAnsi="David"/>
          <w:color w:val="000000"/>
          <w:rtl/>
        </w:rPr>
      </w:pPr>
      <w:r>
        <w:rPr>
          <w:rFonts w:hint="cs"/>
          <w:color w:val="000000"/>
          <w:rtl/>
        </w:rPr>
        <w:t>8.</w:t>
      </w:r>
      <w:r>
        <w:rPr>
          <w:rFonts w:hint="cs"/>
          <w:color w:val="000000"/>
          <w:rtl/>
        </w:rPr>
        <w:tab/>
      </w:r>
      <w:r>
        <w:rPr>
          <w:rFonts w:hint="cs"/>
          <w:b/>
          <w:bCs/>
          <w:color w:val="000000"/>
          <w:rtl/>
        </w:rPr>
        <w:t xml:space="preserve">הערכים המוגנים שנפגעו הם </w:t>
      </w:r>
      <w:r>
        <w:rPr>
          <w:rFonts w:hint="cs"/>
          <w:color w:val="000000"/>
          <w:rtl/>
        </w:rPr>
        <w:t>הגנה על שלומו וביטחונו של הציבור, והגנה מפני הנזקים הישירים והעקיפים אשר נגרמים  עקב שימוש בסמים (פגיעה בשלומו ובריאותו הפיזי והנפשי של הציבור).</w:t>
      </w:r>
    </w:p>
    <w:p w14:paraId="33CC1C66" w14:textId="77777777" w:rsidR="007343A7" w:rsidRDefault="007343A7" w:rsidP="007343A7">
      <w:pPr>
        <w:spacing w:after="200" w:line="276" w:lineRule="auto"/>
        <w:ind w:left="720"/>
        <w:contextualSpacing/>
        <w:jc w:val="both"/>
        <w:rPr>
          <w:highlight w:val="yellow"/>
          <w:rtl/>
          <w:lang w:eastAsia="he-IL"/>
        </w:rPr>
      </w:pPr>
    </w:p>
    <w:p w14:paraId="386A4335" w14:textId="77777777" w:rsidR="007343A7" w:rsidRDefault="007343A7" w:rsidP="007343A7">
      <w:pPr>
        <w:spacing w:after="160"/>
        <w:ind w:left="720" w:hanging="720"/>
        <w:jc w:val="both"/>
        <w:rPr>
          <w:rFonts w:ascii="Calibri" w:hAnsi="Calibri"/>
          <w:rtl/>
        </w:rPr>
      </w:pPr>
      <w:r>
        <w:rPr>
          <w:rFonts w:hint="cs"/>
          <w:rtl/>
          <w:lang w:eastAsia="he-IL"/>
        </w:rPr>
        <w:t>9</w:t>
      </w:r>
      <w:r>
        <w:rPr>
          <w:rFonts w:hint="cs"/>
          <w:b/>
          <w:bCs/>
          <w:rtl/>
          <w:lang w:eastAsia="he-IL"/>
        </w:rPr>
        <w:t>.</w:t>
      </w:r>
      <w:r>
        <w:rPr>
          <w:rFonts w:hint="cs"/>
          <w:b/>
          <w:bCs/>
          <w:rtl/>
          <w:lang w:eastAsia="he-IL"/>
        </w:rPr>
        <w:tab/>
        <w:t>מידת הפגיעה בערכים המוגנים</w:t>
      </w:r>
      <w:r>
        <w:rPr>
          <w:rFonts w:hint="cs"/>
          <w:rtl/>
          <w:lang w:eastAsia="he-IL"/>
        </w:rPr>
        <w:t xml:space="preserve"> הינה ברף הנמוך, </w:t>
      </w:r>
      <w:r>
        <w:rPr>
          <w:rFonts w:ascii="Calibri" w:hAnsi="Calibri" w:hint="cs"/>
          <w:rtl/>
        </w:rPr>
        <w:t xml:space="preserve">בשים לב לסוג התחמושת ולכך שהוחזקה בארון בחדרו של הנאשם, ובשים לב </w:t>
      </w:r>
      <w:r>
        <w:rPr>
          <w:rFonts w:hint="cs"/>
          <w:b/>
          <w:sz w:val="22"/>
          <w:rtl/>
          <w:lang w:eastAsia="he-IL"/>
        </w:rPr>
        <w:t xml:space="preserve"> לסוג הסם (חשיש) לכמותו (0.13 ג') ולכך שנועד לצריכה עצמית.</w:t>
      </w:r>
    </w:p>
    <w:p w14:paraId="5FA10D09" w14:textId="77777777" w:rsidR="007343A7" w:rsidRDefault="007343A7" w:rsidP="007343A7">
      <w:pPr>
        <w:spacing w:after="200"/>
        <w:ind w:left="720"/>
        <w:contextualSpacing/>
        <w:jc w:val="both"/>
        <w:rPr>
          <w:rFonts w:ascii="Calibri" w:hAnsi="Calibri"/>
          <w:b/>
          <w:bCs/>
          <w:highlight w:val="yellow"/>
        </w:rPr>
      </w:pPr>
    </w:p>
    <w:p w14:paraId="407E08BB" w14:textId="77777777" w:rsidR="007343A7" w:rsidRDefault="007343A7" w:rsidP="007343A7">
      <w:pPr>
        <w:snapToGrid w:val="0"/>
        <w:spacing w:before="120"/>
        <w:ind w:left="720" w:hanging="720"/>
        <w:jc w:val="both"/>
        <w:rPr>
          <w:rtl/>
          <w:lang w:eastAsia="he-IL"/>
        </w:rPr>
      </w:pPr>
      <w:r>
        <w:rPr>
          <w:rFonts w:ascii="Calibri" w:hAnsi="Calibri" w:hint="cs"/>
          <w:rtl/>
        </w:rPr>
        <w:t>10</w:t>
      </w:r>
      <w:r>
        <w:rPr>
          <w:rFonts w:ascii="Calibri" w:hAnsi="Calibri" w:hint="cs"/>
          <w:b/>
          <w:bCs/>
          <w:rtl/>
        </w:rPr>
        <w:t>.</w:t>
      </w:r>
      <w:r>
        <w:rPr>
          <w:rFonts w:ascii="Calibri" w:hAnsi="Calibri" w:hint="cs"/>
          <w:b/>
          <w:bCs/>
          <w:rtl/>
        </w:rPr>
        <w:tab/>
        <w:t>באשר לנסיבות הקשורות בביצוע העבירות</w:t>
      </w:r>
      <w:r>
        <w:rPr>
          <w:rFonts w:ascii="Calibri" w:hAnsi="Calibri" w:hint="cs"/>
          <w:rtl/>
        </w:rPr>
        <w:t xml:space="preserve">, נתתי דעתי לסוג התחמושת והאביזרים שהוחזקו. נתתי דעתי לכך שהוחזקו בארון בחדר השינה ולא נעשה בהם שימוש. נתתי דעתי </w:t>
      </w:r>
      <w:r>
        <w:rPr>
          <w:rFonts w:ascii="Calibri" w:hAnsi="Calibri" w:hint="cs"/>
          <w:rtl/>
        </w:rPr>
        <w:lastRenderedPageBreak/>
        <w:t xml:space="preserve">כי הנאשם אספם בעת שירותו הצבאי מבלי שתכנן לעשות בהם כל שימוש. </w:t>
      </w:r>
      <w:r>
        <w:rPr>
          <w:rFonts w:hint="cs"/>
          <w:rtl/>
          <w:lang w:eastAsia="he-IL"/>
        </w:rPr>
        <w:t>נתתי דעתי לסוג הסם שנתפס ולכמותו המזערית.</w:t>
      </w:r>
    </w:p>
    <w:p w14:paraId="3E21CE71" w14:textId="77777777" w:rsidR="007343A7" w:rsidRDefault="007343A7" w:rsidP="007343A7">
      <w:pPr>
        <w:snapToGrid w:val="0"/>
        <w:spacing w:before="120" w:line="300" w:lineRule="exact"/>
        <w:ind w:left="360" w:hanging="360"/>
        <w:jc w:val="both"/>
        <w:rPr>
          <w:rtl/>
          <w:lang w:eastAsia="he-IL"/>
        </w:rPr>
      </w:pPr>
      <w:r>
        <w:rPr>
          <w:rFonts w:hint="cs"/>
          <w:rtl/>
          <w:lang w:eastAsia="he-IL"/>
        </w:rPr>
        <w:t>11.</w:t>
      </w:r>
      <w:r>
        <w:rPr>
          <w:rFonts w:hint="cs"/>
          <w:rtl/>
          <w:lang w:eastAsia="he-IL"/>
        </w:rPr>
        <w:tab/>
        <w:t xml:space="preserve">על </w:t>
      </w:r>
      <w:r>
        <w:rPr>
          <w:rFonts w:hint="cs"/>
          <w:b/>
          <w:bCs/>
          <w:rtl/>
          <w:lang w:eastAsia="he-IL"/>
        </w:rPr>
        <w:t>מדיניות הענישה הנוהגת</w:t>
      </w:r>
      <w:r>
        <w:rPr>
          <w:rFonts w:hint="cs"/>
          <w:rtl/>
          <w:lang w:eastAsia="he-IL"/>
        </w:rPr>
        <w:t xml:space="preserve"> במקרים דומים ניתן ללמוד, בין היתר מפסקי הדין שלהלן:</w:t>
      </w:r>
    </w:p>
    <w:p w14:paraId="31F99D18" w14:textId="77777777" w:rsidR="007343A7" w:rsidRDefault="007343A7" w:rsidP="007343A7">
      <w:pPr>
        <w:spacing w:after="200"/>
        <w:ind w:left="1080"/>
        <w:contextualSpacing/>
        <w:jc w:val="both"/>
        <w:rPr>
          <w:rFonts w:ascii="Calibri" w:hAnsi="Calibri"/>
        </w:rPr>
      </w:pPr>
    </w:p>
    <w:p w14:paraId="500C659A" w14:textId="77777777" w:rsidR="007343A7" w:rsidRDefault="008604F6" w:rsidP="007343A7">
      <w:pPr>
        <w:numPr>
          <w:ilvl w:val="0"/>
          <w:numId w:val="1"/>
        </w:numPr>
        <w:spacing w:line="360" w:lineRule="auto"/>
        <w:jc w:val="both"/>
        <w:rPr>
          <w:rFonts w:ascii="Calibri" w:hAnsi="Calibri"/>
          <w:sz w:val="22"/>
        </w:rPr>
      </w:pPr>
      <w:hyperlink r:id="rId17"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1462/12</w:t>
        </w:r>
      </w:hyperlink>
      <w:r w:rsidR="007343A7">
        <w:rPr>
          <w:rFonts w:ascii="Calibri" w:hAnsi="Calibri" w:hint="cs"/>
          <w:sz w:val="22"/>
          <w:rtl/>
        </w:rPr>
        <w:t xml:space="preserve"> </w:t>
      </w:r>
      <w:r w:rsidR="007343A7">
        <w:rPr>
          <w:rFonts w:ascii="Calibri" w:hAnsi="Calibri" w:hint="cs"/>
          <w:b/>
          <w:bCs/>
          <w:sz w:val="22"/>
          <w:rtl/>
        </w:rPr>
        <w:t>כפיר שוקרון נ' מדינת ישרא</w:t>
      </w:r>
      <w:r w:rsidR="007343A7">
        <w:rPr>
          <w:rFonts w:ascii="Calibri" w:hAnsi="Calibri" w:hint="cs"/>
          <w:sz w:val="22"/>
          <w:rtl/>
        </w:rPr>
        <w:t>ל (נשיאת רימון הלם והחזקת סכין) – 5 חודשי מאסר בעבודות שירות.</w:t>
      </w:r>
    </w:p>
    <w:p w14:paraId="06A2B484" w14:textId="77777777" w:rsidR="007343A7" w:rsidRDefault="008604F6" w:rsidP="007343A7">
      <w:pPr>
        <w:numPr>
          <w:ilvl w:val="0"/>
          <w:numId w:val="1"/>
        </w:numPr>
        <w:spacing w:line="360" w:lineRule="auto"/>
        <w:jc w:val="both"/>
        <w:rPr>
          <w:rFonts w:ascii="Calibri" w:hAnsi="Calibri"/>
          <w:sz w:val="22"/>
          <w:rtl/>
        </w:rPr>
      </w:pPr>
      <w:hyperlink r:id="rId18"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חיפה</w:t>
        </w:r>
        <w:r w:rsidRPr="008604F6">
          <w:rPr>
            <w:rFonts w:ascii="Calibri" w:hAnsi="Calibri"/>
            <w:color w:val="0000FF"/>
            <w:sz w:val="22"/>
            <w:u w:val="single"/>
            <w:rtl/>
          </w:rPr>
          <w:t>) 4318-10-11</w:t>
        </w:r>
      </w:hyperlink>
      <w:r w:rsidR="007343A7">
        <w:rPr>
          <w:rFonts w:ascii="Calibri" w:hAnsi="Calibri" w:hint="cs"/>
          <w:sz w:val="22"/>
          <w:rtl/>
        </w:rPr>
        <w:t xml:space="preserve"> </w:t>
      </w:r>
      <w:r w:rsidR="007343A7">
        <w:rPr>
          <w:rFonts w:ascii="Calibri" w:hAnsi="Calibri" w:hint="cs"/>
          <w:b/>
          <w:bCs/>
          <w:sz w:val="22"/>
          <w:rtl/>
        </w:rPr>
        <w:t>מדינת ישראל נגד רפאלוב</w:t>
      </w:r>
      <w:r w:rsidR="007343A7">
        <w:rPr>
          <w:rFonts w:ascii="Calibri" w:hAnsi="Calibri" w:hint="cs"/>
          <w:sz w:val="22"/>
          <w:rtl/>
        </w:rPr>
        <w:t xml:space="preserve"> (החזקת 4 לבנות חבלה, רימון יד ורימון עשן) – 6 חודשי מאסר בעבודות שירות.</w:t>
      </w:r>
    </w:p>
    <w:p w14:paraId="2AF3F130" w14:textId="77777777" w:rsidR="007343A7" w:rsidRDefault="008604F6" w:rsidP="007343A7">
      <w:pPr>
        <w:numPr>
          <w:ilvl w:val="0"/>
          <w:numId w:val="1"/>
        </w:numPr>
        <w:spacing w:line="360" w:lineRule="auto"/>
        <w:jc w:val="both"/>
        <w:rPr>
          <w:rFonts w:ascii="Calibri" w:hAnsi="Calibri"/>
          <w:sz w:val="22"/>
          <w:rtl/>
        </w:rPr>
      </w:pPr>
      <w:hyperlink r:id="rId19"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חיפה</w:t>
        </w:r>
        <w:r w:rsidRPr="008604F6">
          <w:rPr>
            <w:rFonts w:ascii="Calibri" w:hAnsi="Calibri"/>
            <w:color w:val="0000FF"/>
            <w:sz w:val="22"/>
            <w:u w:val="single"/>
            <w:rtl/>
          </w:rPr>
          <w:t>) 4925-01-10</w:t>
        </w:r>
      </w:hyperlink>
      <w:r w:rsidR="007343A7">
        <w:rPr>
          <w:rFonts w:ascii="Calibri" w:hAnsi="Calibri" w:hint="cs"/>
          <w:sz w:val="22"/>
          <w:rtl/>
        </w:rPr>
        <w:t xml:space="preserve"> </w:t>
      </w:r>
      <w:r w:rsidR="007343A7">
        <w:rPr>
          <w:rFonts w:ascii="Calibri" w:hAnsi="Calibri" w:hint="cs"/>
          <w:b/>
          <w:bCs/>
          <w:sz w:val="22"/>
          <w:rtl/>
        </w:rPr>
        <w:t>מדינת ישראל נגד כץ</w:t>
      </w:r>
      <w:r w:rsidR="007343A7">
        <w:rPr>
          <w:rFonts w:ascii="Calibri" w:hAnsi="Calibri" w:hint="cs"/>
          <w:sz w:val="22"/>
          <w:rtl/>
        </w:rPr>
        <w:t>, חייל, עתודאי בשירות קבע, החזיק</w:t>
      </w:r>
      <w:r>
        <w:rPr>
          <w:rFonts w:ascii="Calibri" w:hAnsi="Calibri" w:hint="cs"/>
          <w:sz w:val="22"/>
          <w:rtl/>
        </w:rPr>
        <w:t xml:space="preserve"> </w:t>
      </w:r>
      <w:r w:rsidR="007343A7">
        <w:rPr>
          <w:rFonts w:ascii="Calibri" w:hAnsi="Calibri" w:hint="cs"/>
          <w:sz w:val="22"/>
          <w:rtl/>
        </w:rPr>
        <w:t xml:space="preserve"> רובה אויר – של"צ ללא הרשעה. ערעור לביהמ"ש המחוזי נדחה.</w:t>
      </w:r>
    </w:p>
    <w:p w14:paraId="6B7891FB" w14:textId="77777777" w:rsidR="007343A7" w:rsidRDefault="008604F6" w:rsidP="007343A7">
      <w:pPr>
        <w:numPr>
          <w:ilvl w:val="0"/>
          <w:numId w:val="1"/>
        </w:numPr>
        <w:spacing w:line="360" w:lineRule="auto"/>
        <w:jc w:val="both"/>
        <w:rPr>
          <w:rFonts w:ascii="Calibri" w:hAnsi="Calibri"/>
          <w:sz w:val="22"/>
        </w:rPr>
      </w:pPr>
      <w:hyperlink r:id="rId20"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5604/11</w:t>
        </w:r>
      </w:hyperlink>
      <w:r w:rsidR="007343A7">
        <w:rPr>
          <w:rFonts w:ascii="Calibri" w:hAnsi="Calibri" w:hint="cs"/>
          <w:sz w:val="22"/>
          <w:rtl/>
        </w:rPr>
        <w:t xml:space="preserve"> </w:t>
      </w:r>
      <w:r w:rsidR="007343A7">
        <w:rPr>
          <w:rFonts w:ascii="Calibri" w:hAnsi="Calibri" w:hint="cs"/>
          <w:b/>
          <w:bCs/>
          <w:sz w:val="22"/>
          <w:rtl/>
        </w:rPr>
        <w:t>נאסר נ' מדינת ישראל</w:t>
      </w:r>
      <w:r w:rsidR="007343A7">
        <w:rPr>
          <w:rFonts w:ascii="Calibri" w:hAnsi="Calibri" w:hint="cs"/>
          <w:sz w:val="22"/>
          <w:rtl/>
        </w:rPr>
        <w:t xml:space="preserve"> (החזקת אקדח ומחסנית לאקדח ובה 8 כדורים) -12 חודשי מאסר בפועל.</w:t>
      </w:r>
    </w:p>
    <w:p w14:paraId="0B853855" w14:textId="77777777" w:rsidR="007343A7" w:rsidRDefault="008604F6" w:rsidP="007343A7">
      <w:pPr>
        <w:numPr>
          <w:ilvl w:val="0"/>
          <w:numId w:val="1"/>
        </w:numPr>
        <w:spacing w:line="360" w:lineRule="auto"/>
        <w:jc w:val="both"/>
        <w:rPr>
          <w:rFonts w:ascii="Calibri" w:hAnsi="Calibri"/>
          <w:sz w:val="22"/>
        </w:rPr>
      </w:pPr>
      <w:hyperlink r:id="rId21" w:history="1">
        <w:r w:rsidRPr="008604F6">
          <w:rPr>
            <w:rFonts w:ascii="Calibri" w:hAnsi="Calibri" w:hint="eastAsia"/>
            <w:color w:val="0000FF"/>
            <w:sz w:val="22"/>
            <w:u w:val="single"/>
            <w:rtl/>
          </w:rPr>
          <w:t>ע</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6583/06</w:t>
        </w:r>
      </w:hyperlink>
      <w:r w:rsidR="007343A7">
        <w:rPr>
          <w:rFonts w:ascii="Calibri" w:hAnsi="Calibri" w:hint="cs"/>
          <w:sz w:val="22"/>
          <w:rtl/>
        </w:rPr>
        <w:t xml:space="preserve"> </w:t>
      </w:r>
      <w:r w:rsidR="007343A7">
        <w:rPr>
          <w:rFonts w:ascii="Calibri" w:hAnsi="Calibri" w:hint="cs"/>
          <w:b/>
          <w:bCs/>
          <w:sz w:val="22"/>
          <w:rtl/>
        </w:rPr>
        <w:t xml:space="preserve">אדהאם נ' מדינת ישראל </w:t>
      </w:r>
      <w:r w:rsidR="007343A7">
        <w:rPr>
          <w:rFonts w:ascii="Calibri" w:hAnsi="Calibri" w:hint="cs"/>
          <w:sz w:val="22"/>
          <w:rtl/>
        </w:rPr>
        <w:t xml:space="preserve">(החזקת אקדח) </w:t>
      </w:r>
      <w:r w:rsidR="007343A7">
        <w:rPr>
          <w:rFonts w:hint="cs"/>
          <w:sz w:val="22"/>
          <w:rtl/>
        </w:rPr>
        <w:t>–</w:t>
      </w:r>
      <w:r w:rsidR="007343A7">
        <w:rPr>
          <w:rFonts w:ascii="Calibri" w:hAnsi="Calibri" w:hint="cs"/>
          <w:sz w:val="22"/>
          <w:rtl/>
        </w:rPr>
        <w:t xml:space="preserve"> 8 חודשי. נקבע כי עבירה של החזקת נשק שלא כדין הינה חמורה בשל הסיכון הפוטנציאלי הגלום בה, והסיכון לחברה. נקבע כי עבירה זו מצדיקה השתת מאסר בפועל אף על מי שזו לו הרשעתו הראשונה. </w:t>
      </w:r>
    </w:p>
    <w:p w14:paraId="10CEC8F5" w14:textId="77777777" w:rsidR="007343A7" w:rsidRDefault="008604F6" w:rsidP="007343A7">
      <w:pPr>
        <w:numPr>
          <w:ilvl w:val="0"/>
          <w:numId w:val="1"/>
        </w:numPr>
        <w:spacing w:line="360" w:lineRule="auto"/>
        <w:jc w:val="both"/>
        <w:rPr>
          <w:rFonts w:ascii="Calibri" w:hAnsi="Calibri"/>
          <w:sz w:val="22"/>
        </w:rPr>
      </w:pPr>
      <w:hyperlink r:id="rId22"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טבריה</w:t>
        </w:r>
        <w:r w:rsidRPr="008604F6">
          <w:rPr>
            <w:rFonts w:ascii="Calibri" w:hAnsi="Calibri"/>
            <w:color w:val="0000FF"/>
            <w:sz w:val="22"/>
            <w:u w:val="single"/>
            <w:rtl/>
          </w:rPr>
          <w:t>) 26182-10-14</w:t>
        </w:r>
      </w:hyperlink>
      <w:r w:rsidR="007343A7">
        <w:rPr>
          <w:rFonts w:ascii="Calibri" w:hAnsi="Calibri" w:hint="cs"/>
          <w:sz w:val="22"/>
          <w:rtl/>
        </w:rPr>
        <w:t xml:space="preserve"> </w:t>
      </w:r>
      <w:r w:rsidR="007343A7">
        <w:rPr>
          <w:rFonts w:ascii="Calibri" w:hAnsi="Calibri" w:hint="cs"/>
          <w:b/>
          <w:bCs/>
          <w:sz w:val="22"/>
          <w:rtl/>
        </w:rPr>
        <w:t>מדינת ישראל נ' אבו חנין</w:t>
      </w:r>
      <w:r w:rsidR="007343A7">
        <w:rPr>
          <w:rFonts w:ascii="Calibri" w:hAnsi="Calibri" w:hint="cs"/>
          <w:sz w:val="22"/>
          <w:rtl/>
        </w:rPr>
        <w:t xml:space="preserve"> (החזקת דבק חבלה, מחסנית לנשק, 364 כדורי 7.62 מ"מ, 714 כדורי 5.56 מ"מ, 50 מחסניות 16</w:t>
      </w:r>
      <w:r w:rsidR="007343A7">
        <w:rPr>
          <w:rFonts w:ascii="Calibri" w:hAnsi="Calibri"/>
          <w:sz w:val="22"/>
        </w:rPr>
        <w:t>M</w:t>
      </w:r>
      <w:r w:rsidR="007343A7">
        <w:rPr>
          <w:rFonts w:ascii="Calibri" w:hAnsi="Calibri" w:hint="cs"/>
          <w:sz w:val="22"/>
          <w:rtl/>
        </w:rPr>
        <w:t xml:space="preserve"> כשבתוכן 708 כדורים)- מע"ת וקנס. </w:t>
      </w:r>
    </w:p>
    <w:p w14:paraId="68001BB2" w14:textId="77777777" w:rsidR="007343A7" w:rsidRDefault="008604F6" w:rsidP="007343A7">
      <w:pPr>
        <w:numPr>
          <w:ilvl w:val="0"/>
          <w:numId w:val="1"/>
        </w:numPr>
        <w:spacing w:line="360" w:lineRule="auto"/>
        <w:jc w:val="both"/>
        <w:rPr>
          <w:rFonts w:ascii="Calibri" w:hAnsi="Calibri"/>
          <w:sz w:val="22"/>
        </w:rPr>
      </w:pPr>
      <w:hyperlink r:id="rId23"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א</w:t>
        </w:r>
        <w:r w:rsidRPr="008604F6">
          <w:rPr>
            <w:rFonts w:ascii="Calibri" w:hAnsi="Calibri"/>
            <w:color w:val="0000FF"/>
            <w:sz w:val="22"/>
            <w:u w:val="single"/>
            <w:rtl/>
          </w:rPr>
          <w:t>) 61153-09-14</w:t>
        </w:r>
      </w:hyperlink>
      <w:r w:rsidR="007343A7">
        <w:rPr>
          <w:rFonts w:ascii="Calibri" w:hAnsi="Calibri" w:hint="cs"/>
          <w:sz w:val="22"/>
          <w:rtl/>
        </w:rPr>
        <w:t xml:space="preserve"> </w:t>
      </w:r>
      <w:r w:rsidR="007343A7">
        <w:rPr>
          <w:rFonts w:ascii="Calibri" w:hAnsi="Calibri" w:hint="cs"/>
          <w:b/>
          <w:bCs/>
          <w:sz w:val="22"/>
          <w:rtl/>
        </w:rPr>
        <w:t>מדינת ישראל נ' קארן מליאנץ</w:t>
      </w:r>
      <w:r w:rsidR="007343A7">
        <w:rPr>
          <w:rFonts w:ascii="Calibri" w:hAnsi="Calibri" w:hint="cs"/>
          <w:sz w:val="22"/>
          <w:rtl/>
        </w:rPr>
        <w:t xml:space="preserve"> (החזקת 12 כדורי אקדח 9 מ"מ, 3 נפצים, 113 כדורים בתפזורת, 3 מחסניות של אקדח 16</w:t>
      </w:r>
      <w:r w:rsidR="007343A7">
        <w:rPr>
          <w:rFonts w:ascii="Calibri" w:hAnsi="Calibri"/>
          <w:sz w:val="22"/>
        </w:rPr>
        <w:t>M</w:t>
      </w:r>
      <w:r w:rsidR="007343A7">
        <w:rPr>
          <w:rFonts w:ascii="Calibri" w:hAnsi="Calibri" w:hint="cs"/>
          <w:sz w:val="22"/>
          <w:rtl/>
        </w:rPr>
        <w:t xml:space="preserve"> המכילות כדורים ו- 214 כדורי 16</w:t>
      </w:r>
      <w:r w:rsidR="007343A7">
        <w:rPr>
          <w:rFonts w:ascii="Calibri" w:hAnsi="Calibri"/>
          <w:sz w:val="22"/>
        </w:rPr>
        <w:t>M</w:t>
      </w:r>
      <w:r w:rsidR="007343A7">
        <w:rPr>
          <w:rFonts w:ascii="Calibri" w:hAnsi="Calibri" w:hint="cs"/>
          <w:sz w:val="22"/>
          <w:rtl/>
        </w:rPr>
        <w:t>) – של"צ ללא הרשעה.</w:t>
      </w:r>
    </w:p>
    <w:p w14:paraId="67335A72" w14:textId="77777777" w:rsidR="007343A7" w:rsidRDefault="008604F6" w:rsidP="007343A7">
      <w:pPr>
        <w:numPr>
          <w:ilvl w:val="0"/>
          <w:numId w:val="1"/>
        </w:numPr>
        <w:spacing w:line="360" w:lineRule="auto"/>
        <w:jc w:val="both"/>
        <w:rPr>
          <w:rFonts w:ascii="Calibri" w:hAnsi="Calibri"/>
          <w:sz w:val="22"/>
        </w:rPr>
      </w:pPr>
      <w:hyperlink r:id="rId24"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א</w:t>
        </w:r>
        <w:r w:rsidRPr="008604F6">
          <w:rPr>
            <w:rFonts w:ascii="Calibri" w:hAnsi="Calibri"/>
            <w:color w:val="0000FF"/>
            <w:sz w:val="22"/>
            <w:u w:val="single"/>
            <w:rtl/>
          </w:rPr>
          <w:t>) 29725-10-13</w:t>
        </w:r>
      </w:hyperlink>
      <w:r w:rsidR="007343A7">
        <w:rPr>
          <w:rFonts w:ascii="Calibri" w:hAnsi="Calibri" w:hint="cs"/>
          <w:sz w:val="22"/>
          <w:rtl/>
        </w:rPr>
        <w:t xml:space="preserve"> </w:t>
      </w:r>
      <w:r w:rsidR="007343A7">
        <w:rPr>
          <w:rFonts w:ascii="Calibri" w:hAnsi="Calibri" w:hint="cs"/>
          <w:b/>
          <w:bCs/>
          <w:sz w:val="22"/>
          <w:rtl/>
        </w:rPr>
        <w:t>מדינת ישראל נ' רומן פומיאצוב</w:t>
      </w:r>
      <w:r w:rsidR="007343A7">
        <w:rPr>
          <w:rFonts w:ascii="Calibri" w:hAnsi="Calibri" w:hint="cs"/>
          <w:sz w:val="22"/>
          <w:rtl/>
        </w:rPr>
        <w:t xml:space="preserve"> (החזקת אקדח גז/זיקוקים/הזנקה מסוג נפוליאון ביחד עם מחסנית תואמת המכילה 6 כדורים) – של"צ והתחייבות – ללא הרשעה.</w:t>
      </w:r>
    </w:p>
    <w:p w14:paraId="3821BF00" w14:textId="77777777" w:rsidR="007343A7" w:rsidRDefault="008604F6" w:rsidP="007343A7">
      <w:pPr>
        <w:numPr>
          <w:ilvl w:val="0"/>
          <w:numId w:val="1"/>
        </w:numPr>
        <w:spacing w:line="360" w:lineRule="auto"/>
        <w:jc w:val="both"/>
        <w:rPr>
          <w:rFonts w:ascii="Calibri" w:hAnsi="Calibri"/>
          <w:sz w:val="22"/>
        </w:rPr>
      </w:pPr>
      <w:hyperlink r:id="rId25"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קג</w:t>
        </w:r>
        <w:r w:rsidRPr="008604F6">
          <w:rPr>
            <w:rFonts w:ascii="Calibri" w:hAnsi="Calibri"/>
            <w:color w:val="0000FF"/>
            <w:sz w:val="22"/>
            <w:u w:val="single"/>
            <w:rtl/>
          </w:rPr>
          <w:t>"</w:t>
        </w:r>
        <w:r w:rsidRPr="008604F6">
          <w:rPr>
            <w:rFonts w:ascii="Calibri" w:hAnsi="Calibri" w:hint="eastAsia"/>
            <w:color w:val="0000FF"/>
            <w:sz w:val="22"/>
            <w:u w:val="single"/>
            <w:rtl/>
          </w:rPr>
          <w:t>ת</w:t>
        </w:r>
        <w:r w:rsidRPr="008604F6">
          <w:rPr>
            <w:rFonts w:ascii="Calibri" w:hAnsi="Calibri"/>
            <w:color w:val="0000FF"/>
            <w:sz w:val="22"/>
            <w:u w:val="single"/>
            <w:rtl/>
          </w:rPr>
          <w:t>) 15724-06-13</w:t>
        </w:r>
      </w:hyperlink>
      <w:r w:rsidR="007343A7">
        <w:rPr>
          <w:rFonts w:ascii="Calibri" w:hAnsi="Calibri" w:hint="cs"/>
          <w:sz w:val="22"/>
          <w:rtl/>
        </w:rPr>
        <w:t xml:space="preserve"> </w:t>
      </w:r>
      <w:r w:rsidR="007343A7">
        <w:rPr>
          <w:rFonts w:ascii="Calibri" w:hAnsi="Calibri" w:hint="cs"/>
          <w:b/>
          <w:bCs/>
          <w:sz w:val="22"/>
          <w:rtl/>
        </w:rPr>
        <w:t>מדינת ישראל נ' שלמה לבסיי</w:t>
      </w:r>
      <w:r w:rsidR="007343A7">
        <w:rPr>
          <w:rFonts w:ascii="Calibri" w:hAnsi="Calibri" w:hint="cs"/>
          <w:sz w:val="22"/>
          <w:rtl/>
        </w:rPr>
        <w:t xml:space="preserve"> (החזקת רימון הלם וסמים לצריכה עצמית) – מע"ת.</w:t>
      </w:r>
    </w:p>
    <w:p w14:paraId="01A938F2" w14:textId="77777777" w:rsidR="007343A7" w:rsidRDefault="008604F6" w:rsidP="007343A7">
      <w:pPr>
        <w:numPr>
          <w:ilvl w:val="0"/>
          <w:numId w:val="1"/>
        </w:numPr>
        <w:spacing w:line="360" w:lineRule="auto"/>
        <w:jc w:val="both"/>
        <w:rPr>
          <w:rFonts w:ascii="Calibri" w:hAnsi="Calibri"/>
          <w:sz w:val="22"/>
        </w:rPr>
      </w:pPr>
      <w:hyperlink r:id="rId26" w:history="1">
        <w:r w:rsidRPr="008604F6">
          <w:rPr>
            <w:rFonts w:ascii="Calibri" w:hAnsi="Calibri" w:hint="eastAsia"/>
            <w:color w:val="0000FF"/>
            <w:sz w:val="22"/>
            <w:u w:val="single"/>
            <w:rtl/>
          </w:rPr>
          <w:t>ת</w:t>
        </w:r>
        <w:r w:rsidRPr="008604F6">
          <w:rPr>
            <w:rFonts w:ascii="Calibri" w:hAnsi="Calibri"/>
            <w:color w:val="0000FF"/>
            <w:sz w:val="22"/>
            <w:u w:val="single"/>
            <w:rtl/>
          </w:rPr>
          <w:t>"</w:t>
        </w:r>
        <w:r w:rsidRPr="008604F6">
          <w:rPr>
            <w:rFonts w:ascii="Calibri" w:hAnsi="Calibri" w:hint="eastAsia"/>
            <w:color w:val="0000FF"/>
            <w:sz w:val="22"/>
            <w:u w:val="single"/>
            <w:rtl/>
          </w:rPr>
          <w:t>פ</w:t>
        </w:r>
        <w:r w:rsidRPr="008604F6">
          <w:rPr>
            <w:rFonts w:ascii="Calibri" w:hAnsi="Calibri"/>
            <w:color w:val="0000FF"/>
            <w:sz w:val="22"/>
            <w:u w:val="single"/>
            <w:rtl/>
          </w:rPr>
          <w:t xml:space="preserve"> (</w:t>
        </w:r>
        <w:r w:rsidRPr="008604F6">
          <w:rPr>
            <w:rFonts w:ascii="Calibri" w:hAnsi="Calibri" w:hint="eastAsia"/>
            <w:color w:val="0000FF"/>
            <w:sz w:val="22"/>
            <w:u w:val="single"/>
            <w:rtl/>
          </w:rPr>
          <w:t>מחוזי</w:t>
        </w:r>
        <w:r w:rsidRPr="008604F6">
          <w:rPr>
            <w:rFonts w:ascii="Calibri" w:hAnsi="Calibri"/>
            <w:color w:val="0000FF"/>
            <w:sz w:val="22"/>
            <w:u w:val="single"/>
            <w:rtl/>
          </w:rPr>
          <w:t xml:space="preserve"> </w:t>
        </w:r>
        <w:r w:rsidRPr="008604F6">
          <w:rPr>
            <w:rFonts w:ascii="Calibri" w:hAnsi="Calibri" w:hint="eastAsia"/>
            <w:color w:val="0000FF"/>
            <w:sz w:val="22"/>
            <w:u w:val="single"/>
            <w:rtl/>
          </w:rPr>
          <w:t>חיפה</w:t>
        </w:r>
        <w:r w:rsidRPr="008604F6">
          <w:rPr>
            <w:rFonts w:ascii="Calibri" w:hAnsi="Calibri"/>
            <w:color w:val="0000FF"/>
            <w:sz w:val="22"/>
            <w:u w:val="single"/>
            <w:rtl/>
          </w:rPr>
          <w:t>)  265-07-11</w:t>
        </w:r>
      </w:hyperlink>
      <w:r w:rsidR="007343A7">
        <w:rPr>
          <w:rFonts w:ascii="Calibri" w:hAnsi="Calibri" w:hint="cs"/>
          <w:sz w:val="22"/>
          <w:rtl/>
        </w:rPr>
        <w:t xml:space="preserve"> </w:t>
      </w:r>
      <w:r w:rsidR="007343A7">
        <w:rPr>
          <w:rFonts w:ascii="Calibri" w:hAnsi="Calibri" w:hint="cs"/>
          <w:b/>
          <w:bCs/>
          <w:sz w:val="22"/>
          <w:rtl/>
        </w:rPr>
        <w:t>מדינת ישראל נ' נפתלייב</w:t>
      </w:r>
      <w:r w:rsidR="007343A7">
        <w:rPr>
          <w:rFonts w:ascii="Calibri" w:hAnsi="Calibri" w:hint="cs"/>
          <w:sz w:val="22"/>
          <w:rtl/>
        </w:rPr>
        <w:t>- (החזקת 2 רימוני הלם בגן ציבורי) – מע"ת מבחן ו- 400 שעות של"צ.</w:t>
      </w:r>
    </w:p>
    <w:p w14:paraId="53FA5C80" w14:textId="77777777" w:rsidR="007343A7" w:rsidRDefault="007343A7" w:rsidP="007343A7">
      <w:pPr>
        <w:ind w:left="720"/>
        <w:jc w:val="both"/>
        <w:rPr>
          <w:rFonts w:ascii="Calibri" w:hAnsi="Calibri"/>
          <w:sz w:val="22"/>
        </w:rPr>
      </w:pPr>
    </w:p>
    <w:p w14:paraId="46BB8A5E" w14:textId="77777777" w:rsidR="007343A7" w:rsidRDefault="007343A7" w:rsidP="007343A7">
      <w:pPr>
        <w:spacing w:after="200" w:line="276" w:lineRule="auto"/>
        <w:ind w:left="720" w:hanging="720"/>
        <w:jc w:val="both"/>
        <w:rPr>
          <w:rFonts w:cs="Arial"/>
          <w:sz w:val="22"/>
        </w:rPr>
      </w:pPr>
      <w:r>
        <w:rPr>
          <w:rFonts w:ascii="Calibri" w:hAnsi="Calibri" w:hint="cs"/>
          <w:sz w:val="22"/>
          <w:rtl/>
        </w:rPr>
        <w:t>12</w:t>
      </w:r>
      <w:r>
        <w:rPr>
          <w:rFonts w:ascii="Calibri" w:hAnsi="Calibri" w:cs="Arial"/>
          <w:sz w:val="22"/>
          <w:rtl/>
        </w:rPr>
        <w:t>.</w:t>
      </w:r>
      <w:r>
        <w:rPr>
          <w:rFonts w:ascii="Calibri" w:hAnsi="Calibri" w:cs="Arial"/>
          <w:sz w:val="22"/>
          <w:rtl/>
        </w:rPr>
        <w:tab/>
      </w:r>
      <w:r>
        <w:rPr>
          <w:rFonts w:hint="cs"/>
          <w:rtl/>
        </w:rPr>
        <w:t xml:space="preserve">לאור כל המפורט לעיל אני קובעת כי </w:t>
      </w:r>
      <w:r>
        <w:rPr>
          <w:rFonts w:hint="cs"/>
          <w:b/>
          <w:bCs/>
          <w:rtl/>
        </w:rPr>
        <w:t xml:space="preserve">מתחם העונש ההולם לעבירות שביצע הנאשם </w:t>
      </w:r>
      <w:r>
        <w:rPr>
          <w:rFonts w:hint="cs"/>
          <w:rtl/>
        </w:rPr>
        <w:t>נע ממאסר מותנה ועד 6 חודשי מאסר.</w:t>
      </w:r>
    </w:p>
    <w:p w14:paraId="23B824B9" w14:textId="77777777" w:rsidR="007343A7" w:rsidRDefault="007343A7" w:rsidP="007343A7">
      <w:pPr>
        <w:spacing w:after="120"/>
        <w:jc w:val="both"/>
        <w:rPr>
          <w:rFonts w:ascii="Calibri" w:hAnsi="Calibri"/>
        </w:rPr>
      </w:pPr>
      <w:r>
        <w:rPr>
          <w:rFonts w:ascii="Calibri" w:hAnsi="Calibri" w:hint="cs"/>
          <w:rtl/>
        </w:rPr>
        <w:t>13.</w:t>
      </w:r>
      <w:r>
        <w:rPr>
          <w:rFonts w:ascii="Calibri" w:hAnsi="Calibri" w:hint="cs"/>
          <w:rtl/>
        </w:rPr>
        <w:tab/>
        <w:t>לא מצאתי הצדקה לחרוג לקולה או לחומרה ממתחם העונש ההולם.</w:t>
      </w:r>
    </w:p>
    <w:p w14:paraId="6A658840" w14:textId="77777777" w:rsidR="007343A7" w:rsidRDefault="007343A7" w:rsidP="007343A7">
      <w:pPr>
        <w:spacing w:after="200"/>
        <w:jc w:val="both"/>
        <w:rPr>
          <w:rFonts w:ascii="Calibri" w:hAnsi="Calibri"/>
          <w:b/>
          <w:bCs/>
          <w:u w:val="single"/>
        </w:rPr>
      </w:pPr>
    </w:p>
    <w:p w14:paraId="5428DE2F" w14:textId="77777777" w:rsidR="007343A7" w:rsidRDefault="007343A7" w:rsidP="007343A7">
      <w:pPr>
        <w:spacing w:after="200"/>
        <w:jc w:val="both"/>
        <w:rPr>
          <w:rFonts w:ascii="Calibri" w:hAnsi="Calibri"/>
          <w:b/>
          <w:bCs/>
          <w:u w:val="single"/>
          <w:rtl/>
        </w:rPr>
      </w:pPr>
      <w:r>
        <w:rPr>
          <w:rFonts w:ascii="Calibri" w:hAnsi="Calibri" w:hint="cs"/>
          <w:b/>
          <w:bCs/>
          <w:u w:val="single"/>
          <w:rtl/>
        </w:rPr>
        <w:t>עונשו של הנאשם</w:t>
      </w:r>
    </w:p>
    <w:p w14:paraId="3EE0903C" w14:textId="77777777" w:rsidR="007343A7" w:rsidRDefault="007343A7" w:rsidP="007343A7">
      <w:pPr>
        <w:spacing w:after="200"/>
        <w:ind w:left="720" w:hanging="720"/>
        <w:jc w:val="both"/>
        <w:rPr>
          <w:rFonts w:ascii="Calibri" w:hAnsi="Calibri"/>
          <w:rtl/>
        </w:rPr>
      </w:pPr>
      <w:r>
        <w:rPr>
          <w:rFonts w:ascii="Calibri" w:hAnsi="Calibri" w:hint="cs"/>
          <w:rtl/>
        </w:rPr>
        <w:t>14.</w:t>
      </w:r>
      <w:r>
        <w:rPr>
          <w:rFonts w:ascii="Calibri" w:hAnsi="Calibri" w:hint="cs"/>
          <w:rtl/>
        </w:rPr>
        <w:tab/>
        <w:t>בבואי לגזור את עונשו של הנאשם בתוך מתחמי העונש ההולם לקחתי בחשבון את השיקולים הבאים:</w:t>
      </w:r>
    </w:p>
    <w:p w14:paraId="480A1B7F" w14:textId="77777777" w:rsidR="007343A7" w:rsidRDefault="007343A7" w:rsidP="007343A7">
      <w:pPr>
        <w:numPr>
          <w:ilvl w:val="0"/>
          <w:numId w:val="2"/>
        </w:numPr>
        <w:snapToGrid w:val="0"/>
        <w:spacing w:before="120" w:line="360" w:lineRule="auto"/>
        <w:contextualSpacing/>
        <w:jc w:val="both"/>
        <w:rPr>
          <w:rtl/>
          <w:lang w:eastAsia="he-IL"/>
        </w:rPr>
      </w:pPr>
      <w:r>
        <w:rPr>
          <w:rFonts w:hint="cs"/>
          <w:rtl/>
          <w:lang w:eastAsia="he-IL"/>
        </w:rPr>
        <w:t xml:space="preserve">זקפתי לזכותו של הנאשם את העובדה שבחר לקחת אחריות על מעשיו בהזדמנות ראשונה. </w:t>
      </w:r>
    </w:p>
    <w:p w14:paraId="46CDBED6"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 xml:space="preserve">לקחתי בחשבון את עברו של הנאשם: הנאשם יליד 1986 לחובתו הרשעה בעבירה של החזקת סכין, מאותו האירוע, וכן הרשעות שהתיישנו בעבירות החזקת סמים מביה"ד צבאי ועבירות רכוש שנדונו בבית משפט לנוער. </w:t>
      </w:r>
    </w:p>
    <w:p w14:paraId="5E1F0091"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לקחתי בחשבון את העובדה כי האירוע נשוא תיק זה פוצל לשני אישומים, שכן לאחר שהנאשם עוכב לתחנת המשטרה נערך עליו חיפוש ונמצא בכליו סכין (מחזיק מפתחות), אשר על אף שעסקינן בהמשכו של אותו האירוע, הוגש כתב אישום בנפרד על החזקת הסכין והנאשם נענש על עבירה זו.</w:t>
      </w:r>
    </w:p>
    <w:p w14:paraId="666598EF"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לא מצאתי ליתן משקל לטענת ב"כ הנאשם כי בוצע חיפוש  שלא כחוק. הגם שהוגשו מסמכים מסויימים מתיק החקירה, ללא שמיעת הראיות בתיק, איני יכולה לקבוע כי כך היו פני הדברים.</w:t>
      </w:r>
    </w:p>
    <w:p w14:paraId="62A8F5FE"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לקחתי בחשבון כי חלפו למעלה משנתיים ממועד ביצוע העבירה.</w:t>
      </w:r>
    </w:p>
    <w:p w14:paraId="06F20411" w14:textId="77777777" w:rsidR="007343A7" w:rsidRDefault="007343A7" w:rsidP="007343A7">
      <w:pPr>
        <w:numPr>
          <w:ilvl w:val="0"/>
          <w:numId w:val="2"/>
        </w:numPr>
        <w:snapToGrid w:val="0"/>
        <w:spacing w:before="100" w:beforeAutospacing="1" w:after="100" w:afterAutospacing="1" w:line="300" w:lineRule="exact"/>
        <w:contextualSpacing/>
        <w:jc w:val="both"/>
        <w:rPr>
          <w:color w:val="000000"/>
          <w:sz w:val="22"/>
        </w:rPr>
      </w:pPr>
      <w:r>
        <w:rPr>
          <w:rFonts w:hint="cs"/>
          <w:color w:val="000000"/>
          <w:sz w:val="22"/>
          <w:rtl/>
        </w:rPr>
        <w:t xml:space="preserve">לקחתי בחשבון </w:t>
      </w:r>
      <w:r>
        <w:rPr>
          <w:rFonts w:hint="cs"/>
          <w:rtl/>
          <w:lang w:eastAsia="he-IL"/>
        </w:rPr>
        <w:t xml:space="preserve">את התרשמות שירות המבחן כי הנאשם עושה מאמץ לתפקד באופן נורמטיבי ומאידך את הערכתם כי קיים סיכון לחזרה לשימוש בסמים. לקחתי בחשבון את </w:t>
      </w:r>
      <w:r>
        <w:rPr>
          <w:rFonts w:hint="cs"/>
          <w:color w:val="000000"/>
          <w:sz w:val="22"/>
          <w:rtl/>
        </w:rPr>
        <w:t>המלצתו העונשית שירות המבחן.</w:t>
      </w:r>
    </w:p>
    <w:p w14:paraId="0D92BE25" w14:textId="77777777" w:rsidR="007343A7" w:rsidRDefault="007343A7" w:rsidP="007343A7">
      <w:pPr>
        <w:snapToGrid w:val="0"/>
        <w:spacing w:before="100" w:beforeAutospacing="1" w:after="100" w:afterAutospacing="1" w:line="300" w:lineRule="exact"/>
        <w:ind w:left="720"/>
        <w:contextualSpacing/>
        <w:jc w:val="both"/>
        <w:rPr>
          <w:color w:val="000000"/>
          <w:sz w:val="22"/>
        </w:rPr>
      </w:pPr>
    </w:p>
    <w:p w14:paraId="51954D3C" w14:textId="77777777" w:rsidR="007343A7" w:rsidRDefault="007343A7" w:rsidP="007343A7">
      <w:pPr>
        <w:numPr>
          <w:ilvl w:val="0"/>
          <w:numId w:val="2"/>
        </w:numPr>
        <w:snapToGrid w:val="0"/>
        <w:spacing w:before="120" w:line="360" w:lineRule="auto"/>
        <w:contextualSpacing/>
        <w:jc w:val="both"/>
        <w:rPr>
          <w:lang w:eastAsia="he-IL"/>
        </w:rPr>
      </w:pPr>
      <w:r>
        <w:rPr>
          <w:rFonts w:hint="cs"/>
          <w:rtl/>
          <w:lang w:eastAsia="he-IL"/>
        </w:rPr>
        <w:t xml:space="preserve">לקחתי בחשבון את נסיבותיו האישיות של הנאשם ואת מצבו הכלכלי, כפי שהוצגו בתסקיר. </w:t>
      </w:r>
    </w:p>
    <w:p w14:paraId="67C0CEB0" w14:textId="77777777" w:rsidR="007343A7" w:rsidRDefault="007343A7" w:rsidP="007343A7">
      <w:pPr>
        <w:snapToGrid w:val="0"/>
        <w:spacing w:before="120"/>
        <w:ind w:left="360"/>
        <w:jc w:val="both"/>
        <w:rPr>
          <w:highlight w:val="yellow"/>
          <w:lang w:eastAsia="he-IL"/>
        </w:rPr>
      </w:pPr>
    </w:p>
    <w:p w14:paraId="6AC6123F" w14:textId="77777777" w:rsidR="007343A7" w:rsidRDefault="007343A7" w:rsidP="007343A7">
      <w:pPr>
        <w:snapToGrid w:val="0"/>
        <w:spacing w:before="120"/>
        <w:ind w:left="360" w:hanging="360"/>
        <w:jc w:val="both"/>
        <w:rPr>
          <w:rtl/>
          <w:lang w:eastAsia="he-IL"/>
        </w:rPr>
      </w:pPr>
      <w:r>
        <w:rPr>
          <w:rFonts w:hint="cs"/>
          <w:rtl/>
          <w:lang w:eastAsia="he-IL"/>
        </w:rPr>
        <w:t>15.</w:t>
      </w:r>
      <w:r>
        <w:rPr>
          <w:rFonts w:hint="cs"/>
          <w:rtl/>
          <w:lang w:eastAsia="he-IL"/>
        </w:rPr>
        <w:tab/>
        <w:t>לאחר שלקחתי בחשבון כל אלה, מצאתי לנכון לאמץ את המלצת שירות המבחן, לגזור את עונשו של הנאשם ברף התחתון של המתחם בכל הנוגע לרכיב המאסר ולהעדיף ענישה בעלת אפיק שיקומי חינוכי.</w:t>
      </w:r>
    </w:p>
    <w:p w14:paraId="4BB6F2B2" w14:textId="77777777" w:rsidR="007343A7" w:rsidRDefault="007343A7" w:rsidP="007343A7">
      <w:pPr>
        <w:snapToGrid w:val="0"/>
        <w:spacing w:before="120"/>
        <w:jc w:val="both"/>
        <w:rPr>
          <w:highlight w:val="yellow"/>
          <w:rtl/>
          <w:lang w:eastAsia="he-IL"/>
        </w:rPr>
      </w:pPr>
    </w:p>
    <w:p w14:paraId="44898196" w14:textId="77777777" w:rsidR="007343A7" w:rsidRDefault="007343A7" w:rsidP="007343A7">
      <w:pPr>
        <w:snapToGrid w:val="0"/>
        <w:spacing w:before="120"/>
        <w:jc w:val="both"/>
        <w:rPr>
          <w:rtl/>
          <w:lang w:eastAsia="he-IL"/>
        </w:rPr>
      </w:pPr>
      <w:r>
        <w:rPr>
          <w:rFonts w:hint="cs"/>
          <w:rtl/>
          <w:lang w:eastAsia="he-IL"/>
        </w:rPr>
        <w:t>16.</w:t>
      </w:r>
      <w:r>
        <w:rPr>
          <w:rFonts w:hint="cs"/>
          <w:rtl/>
          <w:lang w:eastAsia="he-IL"/>
        </w:rPr>
        <w:tab/>
        <w:t xml:space="preserve">לפיכך, אני דנה את הנאשם לעונשים הבאים: </w:t>
      </w:r>
    </w:p>
    <w:p w14:paraId="6A3D390C" w14:textId="77777777" w:rsidR="007343A7" w:rsidRDefault="007343A7" w:rsidP="007343A7">
      <w:pPr>
        <w:snapToGrid w:val="0"/>
        <w:spacing w:before="120"/>
        <w:ind w:left="720"/>
        <w:jc w:val="both"/>
        <w:rPr>
          <w:rtl/>
          <w:lang w:eastAsia="he-IL"/>
        </w:rPr>
      </w:pPr>
      <w:r>
        <w:rPr>
          <w:rFonts w:hint="cs"/>
          <w:rtl/>
          <w:lang w:eastAsia="he-IL"/>
        </w:rPr>
        <w:t xml:space="preserve">א. הנני גוזרת על הנאשם 6 חודשי מאסר וזאת על תנאי למשך 3 שנים, שלא יעבור עבירות בניגוד </w:t>
      </w:r>
      <w:hyperlink r:id="rId27" w:history="1">
        <w:r w:rsidR="00330624" w:rsidRPr="00330624">
          <w:rPr>
            <w:color w:val="0000FF"/>
            <w:u w:val="single"/>
            <w:rtl/>
            <w:lang w:eastAsia="he-IL"/>
          </w:rPr>
          <w:t>לסעיף 144</w:t>
        </w:r>
      </w:hyperlink>
      <w:r>
        <w:rPr>
          <w:rFonts w:hint="cs"/>
          <w:rtl/>
          <w:lang w:eastAsia="he-IL"/>
        </w:rPr>
        <w:t xml:space="preserve"> ל</w:t>
      </w:r>
      <w:hyperlink r:id="rId28" w:history="1">
        <w:r w:rsidR="008604F6" w:rsidRPr="008604F6">
          <w:rPr>
            <w:color w:val="0000FF"/>
            <w:u w:val="single"/>
            <w:rtl/>
            <w:lang w:eastAsia="he-IL"/>
          </w:rPr>
          <w:t>חוק העונשין</w:t>
        </w:r>
      </w:hyperlink>
      <w:r>
        <w:rPr>
          <w:rFonts w:hint="cs"/>
          <w:rtl/>
          <w:lang w:eastAsia="he-IL"/>
        </w:rPr>
        <w:t>, התשל"ז-1977.</w:t>
      </w:r>
    </w:p>
    <w:p w14:paraId="49C26E3B" w14:textId="77777777" w:rsidR="007343A7" w:rsidRDefault="007343A7" w:rsidP="007343A7">
      <w:pPr>
        <w:spacing w:before="100" w:beforeAutospacing="1" w:after="100" w:afterAutospacing="1" w:line="300" w:lineRule="atLeast"/>
        <w:ind w:left="720"/>
        <w:jc w:val="both"/>
        <w:textAlignment w:val="top"/>
        <w:rPr>
          <w:rtl/>
          <w:lang w:eastAsia="he-IL"/>
        </w:rPr>
      </w:pPr>
      <w:r>
        <w:rPr>
          <w:rFonts w:hint="cs"/>
          <w:rtl/>
          <w:lang w:eastAsia="he-IL"/>
        </w:rPr>
        <w:t>ב. הנני גוזרת על הנאשם חודש מאסר וזאת על תנאי למשך 3 שנים, שלא יעבור עבירות בניגוד ל</w:t>
      </w:r>
      <w:hyperlink r:id="rId29" w:history="1">
        <w:r w:rsidR="008604F6" w:rsidRPr="008604F6">
          <w:rPr>
            <w:color w:val="0000FF"/>
            <w:u w:val="single"/>
            <w:rtl/>
            <w:lang w:eastAsia="he-IL"/>
          </w:rPr>
          <w:t>פקודת הסמים המסוכנים</w:t>
        </w:r>
      </w:hyperlink>
      <w:r>
        <w:rPr>
          <w:rFonts w:hint="cs"/>
          <w:rtl/>
          <w:lang w:eastAsia="he-IL"/>
        </w:rPr>
        <w:t xml:space="preserve"> </w:t>
      </w:r>
      <w:r w:rsidRPr="007343A7">
        <w:rPr>
          <w:rFonts w:ascii="Arial" w:hAnsi="Arial" w:hint="cs"/>
          <w:color w:val="000000"/>
          <w:rtl/>
        </w:rPr>
        <w:t xml:space="preserve">[נוסח חדש], התשל"ג-1973. </w:t>
      </w:r>
    </w:p>
    <w:p w14:paraId="430BA45A" w14:textId="77777777" w:rsidR="007343A7" w:rsidRDefault="007343A7" w:rsidP="007343A7">
      <w:pPr>
        <w:ind w:left="720"/>
        <w:jc w:val="both"/>
        <w:rPr>
          <w:rFonts w:ascii="David" w:eastAsia="David" w:hAnsi="David"/>
          <w:rtl/>
        </w:rPr>
      </w:pPr>
      <w:r>
        <w:rPr>
          <w:rFonts w:hint="cs"/>
          <w:rtl/>
        </w:rPr>
        <w:t xml:space="preserve">ג. הנאשם יחתום על התחייבות כספית בסך 3,000 ₪ להימנע מביצוע עבירות בהן הורשע והכל תוך שנתיים מהיום. </w:t>
      </w:r>
    </w:p>
    <w:p w14:paraId="30ACDF26" w14:textId="77777777" w:rsidR="007343A7" w:rsidRDefault="007343A7" w:rsidP="007343A7">
      <w:pPr>
        <w:ind w:left="720"/>
        <w:jc w:val="both"/>
        <w:rPr>
          <w:rtl/>
        </w:rPr>
      </w:pPr>
      <w:r>
        <w:rPr>
          <w:rFonts w:hint="cs"/>
          <w:rtl/>
        </w:rPr>
        <w:t>ההתחייבות תחתם במזכירות בית משפט עוד היום. לא יחתום הנאשם כאמור, יאסר למשך 15 יום.</w:t>
      </w:r>
    </w:p>
    <w:p w14:paraId="72F96F19" w14:textId="77777777" w:rsidR="007343A7" w:rsidRDefault="007343A7" w:rsidP="007343A7">
      <w:pPr>
        <w:jc w:val="both"/>
        <w:rPr>
          <w:lang w:eastAsia="he-IL"/>
        </w:rPr>
      </w:pPr>
    </w:p>
    <w:p w14:paraId="6627F80F" w14:textId="77777777" w:rsidR="007343A7" w:rsidRDefault="007343A7" w:rsidP="007343A7">
      <w:pPr>
        <w:ind w:left="720"/>
        <w:jc w:val="both"/>
        <w:rPr>
          <w:rFonts w:ascii="David" w:eastAsia="David" w:hAnsi="David"/>
          <w:rtl/>
        </w:rPr>
      </w:pPr>
      <w:r>
        <w:rPr>
          <w:rFonts w:hint="cs"/>
          <w:rtl/>
        </w:rPr>
        <w:t>ד. 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w:t>
      </w:r>
    </w:p>
    <w:p w14:paraId="26643988" w14:textId="77777777" w:rsidR="007343A7" w:rsidRDefault="007343A7" w:rsidP="007343A7">
      <w:pPr>
        <w:ind w:left="720"/>
        <w:jc w:val="both"/>
        <w:rPr>
          <w:rtl/>
        </w:rPr>
      </w:pPr>
      <w:r>
        <w:rPr>
          <w:rFonts w:hint="cs"/>
          <w:rtl/>
        </w:rPr>
        <w:t>הנאשם מוזהר  כי אם לא ימולאו תנאי הצו במלואם, ניתן יהיה לבטלו ולהטיל עליו עונש נוסף, בגין העבירות בהן הורשע, במקום צו המבחן.</w:t>
      </w:r>
    </w:p>
    <w:p w14:paraId="6DFFE754" w14:textId="77777777" w:rsidR="007343A7" w:rsidRDefault="007343A7" w:rsidP="007343A7">
      <w:pPr>
        <w:snapToGrid w:val="0"/>
        <w:spacing w:before="120"/>
        <w:jc w:val="both"/>
        <w:rPr>
          <w:rtl/>
          <w:lang w:eastAsia="he-IL"/>
        </w:rPr>
      </w:pPr>
    </w:p>
    <w:p w14:paraId="0D5A61F4" w14:textId="77777777" w:rsidR="007343A7" w:rsidRDefault="007343A7" w:rsidP="007343A7">
      <w:pPr>
        <w:ind w:firstLine="720"/>
        <w:jc w:val="both"/>
        <w:rPr>
          <w:rFonts w:ascii="David" w:eastAsia="David" w:hAnsi="David"/>
          <w:rtl/>
        </w:rPr>
      </w:pPr>
      <w:r>
        <w:rPr>
          <w:rFonts w:hint="cs"/>
          <w:rtl/>
        </w:rPr>
        <w:t>ה. הנני מטילה על הנאשם צו לביצוע  140    שעות שירות  לתועלת הציבור וזאת במשך שנה.</w:t>
      </w:r>
    </w:p>
    <w:p w14:paraId="5F6C786C" w14:textId="77777777" w:rsidR="007343A7" w:rsidRDefault="007343A7" w:rsidP="007343A7">
      <w:pPr>
        <w:ind w:left="720"/>
        <w:jc w:val="both"/>
        <w:rPr>
          <w:rtl/>
        </w:rPr>
      </w:pPr>
      <w:r>
        <w:rPr>
          <w:rFonts w:hint="cs"/>
          <w:rtl/>
        </w:rPr>
        <w:t>השל"צ יבוצע  ב"בית הדר", בית חולים סיעודי באשדוד, בתפקיד סיוע כללי, בהתאם לתכנית שגובשה על ידי שירות המבחן ובפיקוח שרות המבחן.</w:t>
      </w:r>
    </w:p>
    <w:p w14:paraId="5F54BC92" w14:textId="77777777" w:rsidR="007343A7" w:rsidRDefault="007343A7" w:rsidP="007343A7">
      <w:pPr>
        <w:ind w:firstLine="720"/>
        <w:jc w:val="both"/>
        <w:rPr>
          <w:rtl/>
        </w:rPr>
      </w:pPr>
      <w:r>
        <w:rPr>
          <w:rFonts w:hint="cs"/>
          <w:rtl/>
        </w:rPr>
        <w:t>אם יתעורר צורך בשינוי מקום ההשמה, שרות המבחן יעשה כן וידווח לבית המשפט.</w:t>
      </w:r>
    </w:p>
    <w:p w14:paraId="50D3181C" w14:textId="77777777" w:rsidR="007343A7" w:rsidRDefault="007343A7" w:rsidP="007343A7">
      <w:pPr>
        <w:ind w:left="720"/>
        <w:jc w:val="both"/>
        <w:rPr>
          <w:rtl/>
        </w:rPr>
      </w:pPr>
      <w:r>
        <w:rPr>
          <w:rFonts w:hint="cs"/>
          <w:rtl/>
        </w:rPr>
        <w:t xml:space="preserve">הנאשם מוזהר כי אם לא ימולאו תנאי הצו במלואם, ניתן יהיה לבטלו ולהטיל עליו עונש נוסף, בגין העבירות בהן הורשע, במקום צו השל"צ. </w:t>
      </w:r>
    </w:p>
    <w:p w14:paraId="4D50D9AA" w14:textId="77777777" w:rsidR="007343A7" w:rsidRDefault="007343A7" w:rsidP="007343A7">
      <w:pPr>
        <w:snapToGrid w:val="0"/>
        <w:spacing w:before="120"/>
        <w:jc w:val="both"/>
        <w:rPr>
          <w:rtl/>
          <w:lang w:eastAsia="he-IL"/>
        </w:rPr>
      </w:pPr>
    </w:p>
    <w:p w14:paraId="31BB3363" w14:textId="77777777" w:rsidR="007343A7" w:rsidRDefault="007343A7" w:rsidP="007343A7">
      <w:pPr>
        <w:snapToGrid w:val="0"/>
        <w:spacing w:before="120"/>
        <w:jc w:val="both"/>
        <w:rPr>
          <w:rFonts w:ascii="Calibri" w:hAnsi="Calibri"/>
          <w:rtl/>
        </w:rPr>
      </w:pPr>
      <w:r>
        <w:rPr>
          <w:rFonts w:hint="cs"/>
          <w:rtl/>
          <w:lang w:eastAsia="he-IL"/>
        </w:rPr>
        <w:t>לאח</w:t>
      </w:r>
      <w:r>
        <w:rPr>
          <w:rFonts w:hint="cs"/>
          <w:color w:val="000000"/>
          <w:rtl/>
          <w:lang w:eastAsia="he-IL"/>
        </w:rPr>
        <w:t>ר היות גזר הדין חלוט, אביזרי הנשק והתחמושת יושמדו או יחולטו, לפי שיקול דעת קצין משטרה, בכפוף לכל דין.</w:t>
      </w:r>
      <w:r>
        <w:rPr>
          <w:rFonts w:ascii="Calibri" w:hAnsi="Calibri" w:hint="cs"/>
          <w:rtl/>
        </w:rPr>
        <w:t xml:space="preserve"> המוצגים האחרים לרבות הסמים יושמדו.</w:t>
      </w:r>
    </w:p>
    <w:p w14:paraId="75AF34A1" w14:textId="77777777" w:rsidR="007343A7" w:rsidRDefault="007343A7" w:rsidP="007343A7">
      <w:pPr>
        <w:spacing w:after="200" w:line="276" w:lineRule="auto"/>
        <w:jc w:val="both"/>
        <w:rPr>
          <w:rFonts w:ascii="David" w:eastAsia="David" w:hAnsi="David"/>
          <w:szCs w:val="26"/>
          <w:rtl/>
        </w:rPr>
      </w:pPr>
      <w:r>
        <w:rPr>
          <w:rFonts w:ascii="Calibri" w:hAnsi="Calibri" w:hint="cs"/>
          <w:b/>
          <w:bCs/>
          <w:rtl/>
        </w:rPr>
        <w:t>זכות ערעור תוך 45 יום לביהמ"ש המחוזי</w:t>
      </w:r>
      <w:r>
        <w:rPr>
          <w:rFonts w:ascii="Calibri" w:hAnsi="Calibri" w:cs="Arial"/>
          <w:rtl/>
        </w:rPr>
        <w:t xml:space="preserve">. </w:t>
      </w:r>
      <w:r>
        <w:rPr>
          <w:rFonts w:ascii="Calibri" w:hAnsi="Calibri" w:cs="Arial"/>
          <w:sz w:val="6"/>
          <w:szCs w:val="6"/>
          <w:rtl/>
        </w:rPr>
        <w:t xml:space="preserve">&lt;#2#&gt; </w:t>
      </w:r>
    </w:p>
    <w:p w14:paraId="5D82F242" w14:textId="77777777" w:rsidR="007343A7" w:rsidRPr="00B05847" w:rsidRDefault="008604F6" w:rsidP="007343A7">
      <w:pPr>
        <w:jc w:val="both"/>
        <w:rPr>
          <w:rtl/>
        </w:rPr>
      </w:pPr>
      <w:r w:rsidRPr="008604F6">
        <w:rPr>
          <w:b/>
          <w:bCs/>
          <w:color w:val="FFFFFF"/>
          <w:sz w:val="2"/>
          <w:szCs w:val="2"/>
          <w:rtl/>
        </w:rPr>
        <w:t>5129371</w:t>
      </w:r>
      <w:r>
        <w:rPr>
          <w:b/>
          <w:bCs/>
          <w:rtl/>
        </w:rPr>
        <w:t xml:space="preserve">ניתנה והודעה היום ד' תשרי תשע"ח, 24/09/2017 במעמד הנוכחים. </w:t>
      </w:r>
    </w:p>
    <w:p w14:paraId="0394ABDE" w14:textId="77777777" w:rsidR="007343A7" w:rsidRPr="008604F6" w:rsidRDefault="008604F6" w:rsidP="007343A7">
      <w:pPr>
        <w:jc w:val="both"/>
        <w:rPr>
          <w:rFonts w:cs="FrankRuehl"/>
          <w:color w:val="FFFFFF"/>
          <w:sz w:val="2"/>
          <w:szCs w:val="2"/>
          <w:rtl/>
        </w:rPr>
      </w:pPr>
      <w:r w:rsidRPr="008604F6">
        <w:rPr>
          <w:rFonts w:cs="FrankRuehl"/>
          <w:color w:val="FFFFFF"/>
          <w:sz w:val="2"/>
          <w:szCs w:val="2"/>
          <w:rtl/>
        </w:rPr>
        <w:t>54678313</w:t>
      </w:r>
    </w:p>
    <w:p w14:paraId="7992079C" w14:textId="77777777" w:rsidR="007343A7" w:rsidRDefault="007343A7" w:rsidP="007343A7">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23AF311" w14:textId="77777777" w:rsidR="007343A7" w:rsidRDefault="007343A7" w:rsidP="007343A7">
      <w:pPr>
        <w:jc w:val="both"/>
        <w:rPr>
          <w:rFonts w:ascii="Arial" w:hAnsi="Arial" w:cs="FrankRuehl"/>
          <w:sz w:val="28"/>
          <w:szCs w:val="28"/>
          <w:rtl/>
        </w:rPr>
      </w:pPr>
    </w:p>
    <w:p w14:paraId="5A8BB5B5" w14:textId="77777777" w:rsidR="007343A7" w:rsidRDefault="007343A7" w:rsidP="007343A7">
      <w:pPr>
        <w:rPr>
          <w:rFonts w:cs="FrankRuehl"/>
          <w:sz w:val="28"/>
          <w:szCs w:val="28"/>
          <w:rtl/>
        </w:rPr>
      </w:pPr>
    </w:p>
    <w:p w14:paraId="3CC6B533" w14:textId="77777777" w:rsidR="007343A7" w:rsidRPr="00330624" w:rsidRDefault="00330624" w:rsidP="007343A7">
      <w:pPr>
        <w:pStyle w:val="a3"/>
        <w:jc w:val="center"/>
        <w:rPr>
          <w:color w:val="FFFFFF"/>
          <w:sz w:val="2"/>
          <w:szCs w:val="2"/>
          <w:rtl/>
        </w:rPr>
      </w:pPr>
      <w:r w:rsidRPr="00330624">
        <w:rPr>
          <w:color w:val="FFFFFF"/>
          <w:sz w:val="2"/>
          <w:szCs w:val="2"/>
          <w:rtl/>
        </w:rPr>
        <w:t>5129371</w:t>
      </w:r>
    </w:p>
    <w:p w14:paraId="2E223434" w14:textId="77777777" w:rsidR="005E0D28" w:rsidRPr="00330624" w:rsidRDefault="00330624" w:rsidP="008604F6">
      <w:pPr>
        <w:keepNext/>
        <w:rPr>
          <w:rFonts w:ascii="David" w:hAnsi="David"/>
          <w:color w:val="FFFFFF"/>
          <w:sz w:val="2"/>
          <w:szCs w:val="2"/>
          <w:rtl/>
        </w:rPr>
      </w:pPr>
      <w:r w:rsidRPr="00330624">
        <w:rPr>
          <w:rFonts w:ascii="David" w:hAnsi="David"/>
          <w:color w:val="FFFFFF"/>
          <w:sz w:val="2"/>
          <w:szCs w:val="2"/>
          <w:rtl/>
        </w:rPr>
        <w:t>54678313</w:t>
      </w:r>
    </w:p>
    <w:p w14:paraId="71397E16" w14:textId="77777777" w:rsidR="008604F6" w:rsidRPr="008604F6" w:rsidRDefault="008604F6" w:rsidP="008604F6">
      <w:pPr>
        <w:keepNext/>
        <w:rPr>
          <w:rFonts w:ascii="David" w:hAnsi="David"/>
          <w:color w:val="000000"/>
          <w:sz w:val="22"/>
          <w:szCs w:val="22"/>
          <w:rtl/>
        </w:rPr>
      </w:pPr>
      <w:r w:rsidRPr="008604F6">
        <w:rPr>
          <w:rFonts w:ascii="David" w:hAnsi="David"/>
          <w:color w:val="000000"/>
          <w:sz w:val="22"/>
          <w:szCs w:val="22"/>
          <w:rtl/>
        </w:rPr>
        <w:t>נועה חקלאי 54678313</w:t>
      </w:r>
    </w:p>
    <w:p w14:paraId="45A711F8" w14:textId="77777777" w:rsidR="008604F6" w:rsidRDefault="008604F6" w:rsidP="008604F6">
      <w:r w:rsidRPr="008604F6">
        <w:rPr>
          <w:color w:val="000000"/>
          <w:rtl/>
        </w:rPr>
        <w:t>נוסח מסמך זה כפוף לשינויי ניסוח ועריכה</w:t>
      </w:r>
    </w:p>
    <w:p w14:paraId="35693A3A" w14:textId="77777777" w:rsidR="008604F6" w:rsidRDefault="008604F6" w:rsidP="008604F6">
      <w:pPr>
        <w:rPr>
          <w:rtl/>
        </w:rPr>
      </w:pPr>
    </w:p>
    <w:p w14:paraId="20EB8276" w14:textId="77777777" w:rsidR="008604F6" w:rsidRDefault="008604F6" w:rsidP="008604F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5F8B5F9" w14:textId="77777777" w:rsidR="008604F6" w:rsidRPr="008604F6" w:rsidRDefault="008604F6" w:rsidP="00330624">
      <w:pPr>
        <w:rPr>
          <w:color w:val="0000FF"/>
          <w:u w:val="single"/>
        </w:rPr>
      </w:pPr>
    </w:p>
    <w:sectPr w:rsidR="008604F6" w:rsidRPr="008604F6" w:rsidSect="0033062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281AB" w14:textId="77777777" w:rsidR="00B27E84" w:rsidRDefault="00B27E84" w:rsidP="003F5F41">
      <w:r>
        <w:separator/>
      </w:r>
    </w:p>
  </w:endnote>
  <w:endnote w:type="continuationSeparator" w:id="0">
    <w:p w14:paraId="020256A1" w14:textId="77777777" w:rsidR="00B27E84" w:rsidRDefault="00B27E84" w:rsidP="003F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30E98" w14:textId="77777777" w:rsidR="00330624" w:rsidRDefault="00330624" w:rsidP="003306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339663" w14:textId="77777777" w:rsidR="006F4B9C" w:rsidRPr="00330624" w:rsidRDefault="00330624" w:rsidP="00330624">
    <w:pPr>
      <w:pStyle w:val="a5"/>
      <w:pBdr>
        <w:top w:val="single" w:sz="4" w:space="1" w:color="auto"/>
        <w:between w:val="single" w:sz="4" w:space="0" w:color="auto"/>
      </w:pBdr>
      <w:spacing w:after="60"/>
      <w:jc w:val="center"/>
      <w:rPr>
        <w:rFonts w:ascii="FrankRuehl" w:hAnsi="FrankRuehl" w:cs="FrankRuehl"/>
        <w:color w:val="000000"/>
      </w:rPr>
    </w:pPr>
    <w:r w:rsidRPr="003306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A0278" w14:textId="77777777" w:rsidR="00330624" w:rsidRDefault="00330624" w:rsidP="003306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080">
      <w:rPr>
        <w:rFonts w:ascii="FrankRuehl" w:hAnsi="FrankRuehl" w:cs="FrankRuehl"/>
        <w:noProof/>
        <w:rtl/>
      </w:rPr>
      <w:t>1</w:t>
    </w:r>
    <w:r>
      <w:rPr>
        <w:rFonts w:ascii="FrankRuehl" w:hAnsi="FrankRuehl" w:cs="FrankRuehl"/>
        <w:rtl/>
      </w:rPr>
      <w:fldChar w:fldCharType="end"/>
    </w:r>
  </w:p>
  <w:p w14:paraId="609DAE3A" w14:textId="77777777" w:rsidR="006F4B9C" w:rsidRPr="00330624" w:rsidRDefault="00330624" w:rsidP="00330624">
    <w:pPr>
      <w:pStyle w:val="a5"/>
      <w:pBdr>
        <w:top w:val="single" w:sz="4" w:space="1" w:color="auto"/>
        <w:between w:val="single" w:sz="4" w:space="0" w:color="auto"/>
      </w:pBdr>
      <w:spacing w:after="60"/>
      <w:jc w:val="center"/>
      <w:rPr>
        <w:rFonts w:ascii="FrankRuehl" w:hAnsi="FrankRuehl" w:cs="FrankRuehl"/>
        <w:color w:val="000000"/>
      </w:rPr>
    </w:pPr>
    <w:r w:rsidRPr="00330624">
      <w:rPr>
        <w:rFonts w:ascii="FrankRuehl" w:hAnsi="FrankRuehl" w:cs="FrankRuehl"/>
        <w:color w:val="000000"/>
      </w:rPr>
      <w:pict w14:anchorId="09518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DBC93" w14:textId="77777777" w:rsidR="00B27E84" w:rsidRDefault="00B27E84" w:rsidP="003F5F41">
      <w:r>
        <w:separator/>
      </w:r>
    </w:p>
  </w:footnote>
  <w:footnote w:type="continuationSeparator" w:id="0">
    <w:p w14:paraId="591312BD" w14:textId="77777777" w:rsidR="00B27E84" w:rsidRDefault="00B27E84" w:rsidP="003F5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BDB08" w14:textId="77777777" w:rsidR="008604F6" w:rsidRPr="00330624" w:rsidRDefault="00330624" w:rsidP="003306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56479-12-15</w:t>
    </w:r>
    <w:r>
      <w:rPr>
        <w:rFonts w:ascii="David" w:hAnsi="David"/>
        <w:color w:val="000000"/>
        <w:sz w:val="22"/>
        <w:szCs w:val="22"/>
        <w:rtl/>
      </w:rPr>
      <w:tab/>
      <w:t xml:space="preserve"> מדינת ישראל נ' סטניסלב גלמן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5E149" w14:textId="77777777" w:rsidR="008604F6" w:rsidRPr="00330624" w:rsidRDefault="00330624" w:rsidP="003306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56479-12-15</w:t>
    </w:r>
    <w:r>
      <w:rPr>
        <w:rFonts w:ascii="David" w:hAnsi="David"/>
        <w:color w:val="000000"/>
        <w:sz w:val="22"/>
        <w:szCs w:val="22"/>
        <w:rtl/>
      </w:rPr>
      <w:tab/>
      <w:t xml:space="preserve"> מדינת ישראל נ' סטניסלב גלמן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035E1"/>
    <w:multiLevelType w:val="hybridMultilevel"/>
    <w:tmpl w:val="8ED4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58C6E46"/>
    <w:multiLevelType w:val="hybridMultilevel"/>
    <w:tmpl w:val="19149412"/>
    <w:lvl w:ilvl="0" w:tplc="FD5C6F5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603390248">
    <w:abstractNumId w:val="0"/>
  </w:num>
  <w:num w:numId="2" w16cid:durableId="199645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43A7"/>
    <w:rsid w:val="00330624"/>
    <w:rsid w:val="003F5F41"/>
    <w:rsid w:val="005E0D28"/>
    <w:rsid w:val="006F4B9C"/>
    <w:rsid w:val="007343A7"/>
    <w:rsid w:val="008604F6"/>
    <w:rsid w:val="00B27E84"/>
    <w:rsid w:val="00BA6080"/>
    <w:rsid w:val="00D42F71"/>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2EAD50"/>
  <w15:chartTrackingRefBased/>
  <w15:docId w15:val="{AB2ED96C-DAB1-48DE-BA30-5AB7A6EA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43A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3A7"/>
    <w:pPr>
      <w:tabs>
        <w:tab w:val="center" w:pos="4153"/>
        <w:tab w:val="right" w:pos="8306"/>
      </w:tabs>
    </w:pPr>
  </w:style>
  <w:style w:type="character" w:customStyle="1" w:styleId="a4">
    <w:name w:val="כותרת עליונה תו"/>
    <w:link w:val="a3"/>
    <w:rsid w:val="007343A7"/>
    <w:rPr>
      <w:rFonts w:ascii="Times New Roman" w:eastAsia="Times New Roman" w:hAnsi="Times New Roman" w:cs="David"/>
      <w:sz w:val="24"/>
      <w:szCs w:val="24"/>
    </w:rPr>
  </w:style>
  <w:style w:type="paragraph" w:styleId="a5">
    <w:name w:val="footer"/>
    <w:basedOn w:val="a"/>
    <w:link w:val="a6"/>
    <w:rsid w:val="007343A7"/>
    <w:pPr>
      <w:tabs>
        <w:tab w:val="center" w:pos="4153"/>
        <w:tab w:val="right" w:pos="8306"/>
      </w:tabs>
    </w:pPr>
  </w:style>
  <w:style w:type="character" w:customStyle="1" w:styleId="a6">
    <w:name w:val="כותרת תחתונה תו"/>
    <w:link w:val="a5"/>
    <w:rsid w:val="007343A7"/>
    <w:rPr>
      <w:rFonts w:ascii="Times New Roman" w:eastAsia="Times New Roman" w:hAnsi="Times New Roman" w:cs="David"/>
      <w:sz w:val="24"/>
      <w:szCs w:val="24"/>
    </w:rPr>
  </w:style>
  <w:style w:type="table" w:styleId="a7">
    <w:name w:val="Table Grid"/>
    <w:basedOn w:val="a1"/>
    <w:rsid w:val="007343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43A7"/>
  </w:style>
  <w:style w:type="character" w:styleId="Hyperlink">
    <w:name w:val="Hyperlink"/>
    <w:rsid w:val="008604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894643" TargetMode="External"/><Relationship Id="rId26" Type="http://schemas.openxmlformats.org/officeDocument/2006/relationships/hyperlink" Target="http://www.nevo.co.il/case/2776733" TargetMode="External"/><Relationship Id="rId3" Type="http://schemas.openxmlformats.org/officeDocument/2006/relationships/settings" Target="settings.xml"/><Relationship Id="rId21" Type="http://schemas.openxmlformats.org/officeDocument/2006/relationships/hyperlink" Target="http://www.nevo.co.il/case/6072945"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576212" TargetMode="External"/><Relationship Id="rId25" Type="http://schemas.openxmlformats.org/officeDocument/2006/relationships/hyperlink" Target="http://www.nevo.co.il/case/767147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024035"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case/843916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18071740"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469458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099950" TargetMode="External"/><Relationship Id="rId27" Type="http://schemas.openxmlformats.org/officeDocument/2006/relationships/hyperlink" Target="http://www.nevo.co.il/law/70301/14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3211382</vt:i4>
      </vt:variant>
      <vt:variant>
        <vt:i4>57</vt:i4>
      </vt:variant>
      <vt:variant>
        <vt:i4>0</vt:i4>
      </vt:variant>
      <vt:variant>
        <vt:i4>5</vt:i4>
      </vt:variant>
      <vt:variant>
        <vt:lpwstr>http://www.nevo.co.il/case/2776733</vt:lpwstr>
      </vt:variant>
      <vt:variant>
        <vt:lpwstr/>
      </vt:variant>
      <vt:variant>
        <vt:i4>3604596</vt:i4>
      </vt:variant>
      <vt:variant>
        <vt:i4>54</vt:i4>
      </vt:variant>
      <vt:variant>
        <vt:i4>0</vt:i4>
      </vt:variant>
      <vt:variant>
        <vt:i4>5</vt:i4>
      </vt:variant>
      <vt:variant>
        <vt:lpwstr>http://www.nevo.co.il/case/7671473</vt:lpwstr>
      </vt:variant>
      <vt:variant>
        <vt:lpwstr/>
      </vt:variant>
      <vt:variant>
        <vt:i4>4128895</vt:i4>
      </vt:variant>
      <vt:variant>
        <vt:i4>51</vt:i4>
      </vt:variant>
      <vt:variant>
        <vt:i4>0</vt:i4>
      </vt:variant>
      <vt:variant>
        <vt:i4>5</vt:i4>
      </vt:variant>
      <vt:variant>
        <vt:lpwstr>http://www.nevo.co.il/case/8439165</vt:lpwstr>
      </vt:variant>
      <vt:variant>
        <vt:lpwstr/>
      </vt:variant>
      <vt:variant>
        <vt:i4>3407996</vt:i4>
      </vt:variant>
      <vt:variant>
        <vt:i4>48</vt:i4>
      </vt:variant>
      <vt:variant>
        <vt:i4>0</vt:i4>
      </vt:variant>
      <vt:variant>
        <vt:i4>5</vt:i4>
      </vt:variant>
      <vt:variant>
        <vt:lpwstr>http://www.nevo.co.il/case/18071740</vt:lpwstr>
      </vt:variant>
      <vt:variant>
        <vt:lpwstr/>
      </vt:variant>
      <vt:variant>
        <vt:i4>3997820</vt:i4>
      </vt:variant>
      <vt:variant>
        <vt:i4>45</vt:i4>
      </vt:variant>
      <vt:variant>
        <vt:i4>0</vt:i4>
      </vt:variant>
      <vt:variant>
        <vt:i4>5</vt:i4>
      </vt:variant>
      <vt:variant>
        <vt:lpwstr>http://www.nevo.co.il/case/18099950</vt:lpwstr>
      </vt:variant>
      <vt:variant>
        <vt:lpwstr/>
      </vt:variant>
      <vt:variant>
        <vt:i4>3997810</vt:i4>
      </vt:variant>
      <vt:variant>
        <vt:i4>42</vt:i4>
      </vt:variant>
      <vt:variant>
        <vt:i4>0</vt:i4>
      </vt:variant>
      <vt:variant>
        <vt:i4>5</vt:i4>
      </vt:variant>
      <vt:variant>
        <vt:lpwstr>http://www.nevo.co.il/case/6072945</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3997822</vt:i4>
      </vt:variant>
      <vt:variant>
        <vt:i4>36</vt:i4>
      </vt:variant>
      <vt:variant>
        <vt:i4>0</vt:i4>
      </vt:variant>
      <vt:variant>
        <vt:i4>5</vt:i4>
      </vt:variant>
      <vt:variant>
        <vt:lpwstr>http://www.nevo.co.il/case/4694585</vt:lpwstr>
      </vt:variant>
      <vt:variant>
        <vt:lpwstr/>
      </vt:variant>
      <vt:variant>
        <vt:i4>4063356</vt:i4>
      </vt:variant>
      <vt:variant>
        <vt:i4>33</vt:i4>
      </vt:variant>
      <vt:variant>
        <vt:i4>0</vt:i4>
      </vt:variant>
      <vt:variant>
        <vt:i4>5</vt:i4>
      </vt:variant>
      <vt:variant>
        <vt:lpwstr>http://www.nevo.co.il/case/2894643</vt:lpwstr>
      </vt:variant>
      <vt:variant>
        <vt:lpwstr/>
      </vt:variant>
      <vt:variant>
        <vt:i4>3276918</vt:i4>
      </vt:variant>
      <vt:variant>
        <vt:i4>30</vt:i4>
      </vt:variant>
      <vt:variant>
        <vt:i4>0</vt:i4>
      </vt:variant>
      <vt:variant>
        <vt:i4>5</vt:i4>
      </vt:variant>
      <vt:variant>
        <vt:lpwstr>http://www.nevo.co.il/case/5576212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56479</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סטניסלב גלמן</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20170924</vt:lpwstr>
  </property>
  <property fmtid="{D5CDD505-2E9C-101B-9397-08002B2CF9AE}" pid="13" name="TYPE_N_DATE">
    <vt:lpwstr>38020170924</vt:lpwstr>
  </property>
  <property fmtid="{D5CDD505-2E9C-101B-9397-08002B2CF9AE}" pid="14" name="CASESLISTTMP1">
    <vt:lpwstr>5576212;2894643;4694585;6024035;6072945;18099950;18071740;8439165;7671473;2776733</vt:lpwstr>
  </property>
  <property fmtid="{D5CDD505-2E9C-101B-9397-08002B2CF9AE}" pid="15" name="WORDNUMPAGES">
    <vt:lpwstr>5</vt:lpwstr>
  </property>
  <property fmtid="{D5CDD505-2E9C-101B-9397-08002B2CF9AE}" pid="16" name="TYPE_ABS_DATE">
    <vt:lpwstr>380020170924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70301/144.a;144</vt:lpwstr>
  </property>
</Properties>
</file>