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CD203B" w:rsidRPr="00803D09" w14:paraId="0F09C493" w14:textId="77777777" w:rsidTr="002D1754">
        <w:trPr>
          <w:trHeight w:hRule="exact" w:val="993"/>
          <w:jc w:val="center"/>
        </w:trPr>
        <w:tc>
          <w:tcPr>
            <w:tcW w:w="8721" w:type="dxa"/>
            <w:gridSpan w:val="2"/>
          </w:tcPr>
          <w:p w14:paraId="05F47A70" w14:textId="77777777" w:rsidR="00CD203B" w:rsidRPr="00803D09" w:rsidRDefault="00CD203B" w:rsidP="002D1754">
            <w:pPr>
              <w:pStyle w:val="a3"/>
              <w:jc w:val="center"/>
              <w:rPr>
                <w:rFonts w:ascii="Tahoma" w:hAnsi="Tahoma"/>
                <w:noProof w:val="0"/>
                <w:color w:val="000080"/>
                <w:sz w:val="32"/>
                <w:szCs w:val="32"/>
                <w:rtl/>
              </w:rPr>
            </w:pPr>
            <w:bookmarkStart w:id="0" w:name="LastJudge"/>
            <w:r w:rsidRPr="00803D09">
              <w:rPr>
                <w:rFonts w:ascii="Tahoma" w:hAnsi="Tahoma"/>
                <w:b/>
                <w:bCs/>
                <w:color w:val="000080"/>
                <w:sz w:val="32"/>
                <w:szCs w:val="32"/>
                <w:rtl/>
              </w:rPr>
              <w:t>בית משפט השלום בתל אביב - יפו</w:t>
            </w:r>
          </w:p>
        </w:tc>
      </w:tr>
      <w:tr w:rsidR="00CD203B" w:rsidRPr="00803D09" w14:paraId="08E4F878" w14:textId="77777777" w:rsidTr="002D1754">
        <w:trPr>
          <w:trHeight w:val="337"/>
          <w:jc w:val="center"/>
        </w:trPr>
        <w:tc>
          <w:tcPr>
            <w:tcW w:w="5047" w:type="dxa"/>
          </w:tcPr>
          <w:p w14:paraId="04C7037D" w14:textId="77777777" w:rsidR="00CD203B" w:rsidRPr="00803D09" w:rsidRDefault="00CD203B" w:rsidP="002D1754">
            <w:pPr>
              <w:rPr>
                <w:b/>
                <w:bCs/>
                <w:noProof w:val="0"/>
                <w:sz w:val="26"/>
                <w:szCs w:val="26"/>
                <w:rtl/>
              </w:rPr>
            </w:pPr>
          </w:p>
        </w:tc>
        <w:tc>
          <w:tcPr>
            <w:tcW w:w="3674" w:type="dxa"/>
          </w:tcPr>
          <w:p w14:paraId="61DD7BD8" w14:textId="77777777" w:rsidR="00CD203B" w:rsidRPr="00803D09" w:rsidRDefault="00CD203B" w:rsidP="002D1754">
            <w:pPr>
              <w:pStyle w:val="a3"/>
              <w:jc w:val="right"/>
              <w:rPr>
                <w:b/>
                <w:bCs/>
                <w:noProof w:val="0"/>
                <w:sz w:val="26"/>
                <w:szCs w:val="26"/>
                <w:rtl/>
              </w:rPr>
            </w:pPr>
          </w:p>
        </w:tc>
      </w:tr>
      <w:tr w:rsidR="00CD203B" w:rsidRPr="00803D09" w14:paraId="638696B1" w14:textId="77777777" w:rsidTr="002D1754">
        <w:trPr>
          <w:trHeight w:val="337"/>
          <w:jc w:val="center"/>
        </w:trPr>
        <w:tc>
          <w:tcPr>
            <w:tcW w:w="8721" w:type="dxa"/>
            <w:gridSpan w:val="2"/>
          </w:tcPr>
          <w:p w14:paraId="531CD5C1" w14:textId="77777777" w:rsidR="00CD203B" w:rsidRPr="00803D09" w:rsidRDefault="00CD203B" w:rsidP="002D1754">
            <w:pPr>
              <w:rPr>
                <w:b/>
                <w:bCs/>
                <w:noProof w:val="0"/>
                <w:sz w:val="26"/>
                <w:szCs w:val="26"/>
                <w:rtl/>
              </w:rPr>
            </w:pPr>
            <w:r w:rsidRPr="00803D09">
              <w:rPr>
                <w:b/>
                <w:bCs/>
                <w:noProof w:val="0"/>
                <w:sz w:val="26"/>
                <w:szCs w:val="26"/>
                <w:rtl/>
              </w:rPr>
              <w:t>ת"פ 62524-12-15 מדינת ישראל נ' קובישקין</w:t>
            </w:r>
          </w:p>
          <w:p w14:paraId="144135DE" w14:textId="77777777" w:rsidR="00CD203B" w:rsidRPr="00803D09" w:rsidRDefault="00CD203B" w:rsidP="002D1754">
            <w:pPr>
              <w:rPr>
                <w:b/>
                <w:bCs/>
                <w:noProof w:val="0"/>
                <w:sz w:val="26"/>
                <w:szCs w:val="26"/>
                <w:rtl/>
              </w:rPr>
            </w:pPr>
          </w:p>
          <w:p w14:paraId="24BC3694" w14:textId="77777777" w:rsidR="00CD203B" w:rsidRPr="00803D09" w:rsidRDefault="00CD203B" w:rsidP="002D1754">
            <w:pPr>
              <w:rPr>
                <w:sz w:val="26"/>
                <w:szCs w:val="26"/>
                <w:rtl/>
              </w:rPr>
            </w:pPr>
            <w:r w:rsidRPr="00803D09">
              <w:rPr>
                <w:rFonts w:hint="cs"/>
                <w:sz w:val="26"/>
                <w:szCs w:val="26"/>
                <w:rtl/>
              </w:rPr>
              <w:t xml:space="preserve">                                                                  </w:t>
            </w:r>
            <w:r w:rsidRPr="00803D09">
              <w:rPr>
                <w:sz w:val="26"/>
                <w:szCs w:val="26"/>
                <w:rtl/>
              </w:rPr>
              <w:t xml:space="preserve">  </w:t>
            </w:r>
          </w:p>
        </w:tc>
      </w:tr>
    </w:tbl>
    <w:p w14:paraId="3D4FF6B7" w14:textId="77777777" w:rsidR="00CD203B" w:rsidRPr="00803D09" w:rsidRDefault="00CD203B" w:rsidP="00CD203B">
      <w:pPr>
        <w:pStyle w:val="a3"/>
        <w:rPr>
          <w:noProof w:val="0"/>
          <w:sz w:val="26"/>
          <w:szCs w:val="26"/>
          <w:rtl/>
        </w:rPr>
      </w:pPr>
    </w:p>
    <w:p w14:paraId="3FB8B255" w14:textId="77777777" w:rsidR="00CD203B" w:rsidRPr="00803D09" w:rsidRDefault="00CD203B" w:rsidP="00CD203B">
      <w:pPr>
        <w:rPr>
          <w:sz w:val="26"/>
          <w:szCs w:val="26"/>
          <w:rtl/>
        </w:rPr>
      </w:pPr>
      <w:r w:rsidRPr="00803D09">
        <w:rPr>
          <w:sz w:val="26"/>
          <w:szCs w:val="26"/>
          <w:rtl/>
        </w:rPr>
        <w:t xml:space="preserve"> </w:t>
      </w:r>
    </w:p>
    <w:tbl>
      <w:tblPr>
        <w:bidiVisual/>
        <w:tblW w:w="8820" w:type="dxa"/>
        <w:jc w:val="center"/>
        <w:tblLook w:val="01E0" w:firstRow="1" w:lastRow="1" w:firstColumn="1" w:lastColumn="1" w:noHBand="0" w:noVBand="0"/>
      </w:tblPr>
      <w:tblGrid>
        <w:gridCol w:w="743"/>
        <w:gridCol w:w="2506"/>
        <w:gridCol w:w="5571"/>
      </w:tblGrid>
      <w:tr w:rsidR="00CD203B" w:rsidRPr="00803D09" w14:paraId="2AECC5B9" w14:textId="77777777" w:rsidTr="00CD203B">
        <w:trPr>
          <w:jc w:val="center"/>
        </w:trPr>
        <w:tc>
          <w:tcPr>
            <w:tcW w:w="743" w:type="dxa"/>
            <w:shd w:val="clear" w:color="auto" w:fill="auto"/>
          </w:tcPr>
          <w:p w14:paraId="2B9E3747" w14:textId="77777777" w:rsidR="00CD203B" w:rsidRPr="00803D09" w:rsidRDefault="00CD203B" w:rsidP="00CD203B">
            <w:pPr>
              <w:jc w:val="both"/>
              <w:rPr>
                <w:rFonts w:ascii="Arial" w:hAnsi="Arial"/>
                <w:b/>
                <w:bCs/>
                <w:sz w:val="26"/>
                <w:szCs w:val="26"/>
                <w:rtl/>
              </w:rPr>
            </w:pPr>
            <w:r w:rsidRPr="00803D09">
              <w:rPr>
                <w:rFonts w:ascii="Arial" w:hAnsi="Arial" w:hint="cs"/>
                <w:b/>
                <w:bCs/>
                <w:sz w:val="26"/>
                <w:szCs w:val="26"/>
                <w:rtl/>
              </w:rPr>
              <w:t>ל</w:t>
            </w:r>
            <w:r w:rsidRPr="00803D09">
              <w:rPr>
                <w:rFonts w:ascii="Arial" w:hAnsi="Arial"/>
                <w:b/>
                <w:bCs/>
                <w:sz w:val="26"/>
                <w:szCs w:val="26"/>
                <w:rtl/>
              </w:rPr>
              <w:t xml:space="preserve">פני </w:t>
            </w:r>
          </w:p>
        </w:tc>
        <w:tc>
          <w:tcPr>
            <w:tcW w:w="8077" w:type="dxa"/>
            <w:gridSpan w:val="2"/>
            <w:shd w:val="clear" w:color="auto" w:fill="auto"/>
          </w:tcPr>
          <w:p w14:paraId="6FBB74CF" w14:textId="77777777" w:rsidR="00CD203B" w:rsidRPr="00803D09" w:rsidRDefault="00CD203B" w:rsidP="002D1754">
            <w:pPr>
              <w:rPr>
                <w:rFonts w:ascii="Arial" w:hAnsi="Arial"/>
                <w:b/>
                <w:bCs/>
                <w:sz w:val="26"/>
                <w:szCs w:val="26"/>
                <w:rtl/>
              </w:rPr>
            </w:pPr>
            <w:r w:rsidRPr="00803D09">
              <w:rPr>
                <w:rFonts w:ascii="Arial" w:hAnsi="Arial" w:hint="cs"/>
                <w:b/>
                <w:bCs/>
                <w:sz w:val="26"/>
                <w:szCs w:val="26"/>
                <w:rtl/>
              </w:rPr>
              <w:t>כבוד ה</w:t>
            </w:r>
            <w:r w:rsidRPr="00803D09">
              <w:rPr>
                <w:rFonts w:ascii="Arial" w:hAnsi="Arial"/>
                <w:b/>
                <w:bCs/>
                <w:sz w:val="26"/>
                <w:szCs w:val="26"/>
                <w:rtl/>
              </w:rPr>
              <w:t>שופט</w:t>
            </w:r>
            <w:r w:rsidRPr="00803D09">
              <w:rPr>
                <w:rFonts w:ascii="Arial" w:hAnsi="Arial" w:hint="cs"/>
                <w:b/>
                <w:bCs/>
                <w:sz w:val="26"/>
                <w:szCs w:val="26"/>
                <w:rtl/>
              </w:rPr>
              <w:t xml:space="preserve"> </w:t>
            </w:r>
            <w:r w:rsidRPr="00803D09">
              <w:rPr>
                <w:rFonts w:ascii="Arial" w:hAnsi="Arial"/>
                <w:b/>
                <w:bCs/>
                <w:sz w:val="26"/>
                <w:szCs w:val="26"/>
                <w:rtl/>
              </w:rPr>
              <w:t>שמואל מלמד</w:t>
            </w:r>
          </w:p>
          <w:p w14:paraId="057D171F" w14:textId="77777777" w:rsidR="00CD203B" w:rsidRPr="00803D09" w:rsidRDefault="00CD203B" w:rsidP="002D1754">
            <w:pPr>
              <w:rPr>
                <w:rFonts w:ascii="Arial" w:hAnsi="Arial" w:cs="FrankRuehl"/>
                <w:sz w:val="26"/>
                <w:szCs w:val="26"/>
                <w:highlight w:val="yellow"/>
              </w:rPr>
            </w:pPr>
          </w:p>
        </w:tc>
      </w:tr>
      <w:tr w:rsidR="00CD203B" w:rsidRPr="00803D09" w14:paraId="2CCDFF8F" w14:textId="77777777" w:rsidTr="00CD203B">
        <w:trPr>
          <w:jc w:val="center"/>
        </w:trPr>
        <w:tc>
          <w:tcPr>
            <w:tcW w:w="3249" w:type="dxa"/>
            <w:gridSpan w:val="2"/>
            <w:shd w:val="clear" w:color="auto" w:fill="auto"/>
          </w:tcPr>
          <w:p w14:paraId="586A0C4B" w14:textId="77777777" w:rsidR="00CD203B" w:rsidRPr="00803D09" w:rsidRDefault="00CD203B" w:rsidP="002D1754">
            <w:pPr>
              <w:rPr>
                <w:rFonts w:ascii="Arial" w:hAnsi="Arial"/>
                <w:b/>
                <w:bCs/>
                <w:noProof w:val="0"/>
                <w:sz w:val="26"/>
                <w:szCs w:val="26"/>
                <w:rtl/>
              </w:rPr>
            </w:pPr>
            <w:bookmarkStart w:id="1" w:name="FirstAppellant"/>
            <w:bookmarkStart w:id="2" w:name="FirstLawyer"/>
            <w:r w:rsidRPr="00803D09">
              <w:rPr>
                <w:rFonts w:hint="cs"/>
                <w:b/>
                <w:bCs/>
                <w:sz w:val="26"/>
                <w:szCs w:val="26"/>
                <w:rtl/>
              </w:rPr>
              <w:t>ה</w:t>
            </w:r>
            <w:r w:rsidRPr="00803D09">
              <w:rPr>
                <w:rFonts w:ascii="Arial" w:hAnsi="Arial"/>
                <w:b/>
                <w:bCs/>
                <w:noProof w:val="0"/>
                <w:sz w:val="26"/>
                <w:szCs w:val="26"/>
                <w:rtl/>
              </w:rPr>
              <w:t>מאשימה</w:t>
            </w:r>
            <w:r w:rsidRPr="00803D09">
              <w:rPr>
                <w:rFonts w:ascii="Arial" w:hAnsi="Arial" w:hint="cs"/>
                <w:b/>
                <w:bCs/>
                <w:noProof w:val="0"/>
                <w:sz w:val="26"/>
                <w:szCs w:val="26"/>
                <w:rtl/>
              </w:rPr>
              <w:t>:</w:t>
            </w:r>
          </w:p>
        </w:tc>
        <w:tc>
          <w:tcPr>
            <w:tcW w:w="5571" w:type="dxa"/>
            <w:shd w:val="clear" w:color="auto" w:fill="auto"/>
          </w:tcPr>
          <w:p w14:paraId="77667B06" w14:textId="77777777" w:rsidR="00CD203B" w:rsidRPr="00803D09" w:rsidRDefault="00CD203B" w:rsidP="002D1754">
            <w:pPr>
              <w:rPr>
                <w:sz w:val="26"/>
                <w:szCs w:val="26"/>
                <w:rtl/>
              </w:rPr>
            </w:pPr>
            <w:r w:rsidRPr="00803D09">
              <w:rPr>
                <w:rFonts w:ascii="Arial" w:hAnsi="Arial"/>
                <w:b/>
                <w:bCs/>
                <w:noProof w:val="0"/>
                <w:sz w:val="26"/>
                <w:szCs w:val="26"/>
                <w:rtl/>
              </w:rPr>
              <w:t>מדינת ישראל</w:t>
            </w:r>
          </w:p>
          <w:p w14:paraId="318A96F5" w14:textId="77777777" w:rsidR="00CD203B" w:rsidRPr="00803D09" w:rsidRDefault="00CD203B" w:rsidP="002D1754">
            <w:pPr>
              <w:rPr>
                <w:b/>
                <w:bCs/>
                <w:noProof w:val="0"/>
                <w:sz w:val="26"/>
                <w:szCs w:val="26"/>
              </w:rPr>
            </w:pPr>
            <w:r w:rsidRPr="00803D09">
              <w:rPr>
                <w:rFonts w:hint="cs"/>
                <w:sz w:val="26"/>
                <w:szCs w:val="26"/>
                <w:rtl/>
              </w:rPr>
              <w:t>ע"י ב"כ עו"ד</w:t>
            </w:r>
            <w:r w:rsidRPr="00803D09">
              <w:rPr>
                <w:rFonts w:hint="cs"/>
                <w:b/>
                <w:bCs/>
                <w:noProof w:val="0"/>
                <w:sz w:val="26"/>
                <w:szCs w:val="26"/>
                <w:rtl/>
              </w:rPr>
              <w:t xml:space="preserve"> הכהן ויצחקי</w:t>
            </w:r>
          </w:p>
        </w:tc>
      </w:tr>
      <w:bookmarkEnd w:id="1"/>
      <w:bookmarkEnd w:id="2"/>
      <w:tr w:rsidR="00CD203B" w:rsidRPr="00803D09" w14:paraId="5B5E95A3" w14:textId="77777777" w:rsidTr="00CD203B">
        <w:trPr>
          <w:trHeight w:val="601"/>
          <w:jc w:val="center"/>
        </w:trPr>
        <w:tc>
          <w:tcPr>
            <w:tcW w:w="8820" w:type="dxa"/>
            <w:gridSpan w:val="3"/>
            <w:shd w:val="clear" w:color="auto" w:fill="auto"/>
          </w:tcPr>
          <w:p w14:paraId="75D1E085" w14:textId="77777777" w:rsidR="00CD203B" w:rsidRPr="00803D09" w:rsidRDefault="00CD203B" w:rsidP="002D1754">
            <w:pPr>
              <w:rPr>
                <w:rFonts w:ascii="Arial" w:hAnsi="Arial"/>
                <w:b/>
                <w:bCs/>
                <w:noProof w:val="0"/>
                <w:sz w:val="26"/>
                <w:szCs w:val="26"/>
                <w:rtl/>
              </w:rPr>
            </w:pPr>
          </w:p>
          <w:p w14:paraId="0F9F4AC7" w14:textId="77777777" w:rsidR="00CD203B" w:rsidRPr="00803D09" w:rsidRDefault="00CD203B" w:rsidP="00CD203B">
            <w:pPr>
              <w:jc w:val="center"/>
              <w:rPr>
                <w:rFonts w:ascii="Arial" w:hAnsi="Arial"/>
                <w:b/>
                <w:bCs/>
                <w:noProof w:val="0"/>
                <w:sz w:val="26"/>
                <w:szCs w:val="26"/>
                <w:rtl/>
              </w:rPr>
            </w:pPr>
            <w:r w:rsidRPr="00803D09">
              <w:rPr>
                <w:rFonts w:ascii="Arial" w:hAnsi="Arial"/>
                <w:b/>
                <w:bCs/>
                <w:noProof w:val="0"/>
                <w:sz w:val="26"/>
                <w:szCs w:val="26"/>
                <w:rtl/>
              </w:rPr>
              <w:t>נגד</w:t>
            </w:r>
          </w:p>
          <w:p w14:paraId="6D045C87" w14:textId="77777777" w:rsidR="00CD203B" w:rsidRPr="00803D09" w:rsidRDefault="00CD203B" w:rsidP="002D1754">
            <w:pPr>
              <w:rPr>
                <w:rFonts w:ascii="Arial" w:hAnsi="Arial"/>
                <w:b/>
                <w:bCs/>
                <w:noProof w:val="0"/>
                <w:sz w:val="22"/>
                <w:szCs w:val="22"/>
              </w:rPr>
            </w:pPr>
          </w:p>
        </w:tc>
      </w:tr>
      <w:tr w:rsidR="00CD203B" w:rsidRPr="00803D09" w14:paraId="279F7E6B" w14:textId="77777777" w:rsidTr="00CD203B">
        <w:trPr>
          <w:jc w:val="center"/>
        </w:trPr>
        <w:tc>
          <w:tcPr>
            <w:tcW w:w="3249" w:type="dxa"/>
            <w:gridSpan w:val="2"/>
            <w:shd w:val="clear" w:color="auto" w:fill="auto"/>
          </w:tcPr>
          <w:p w14:paraId="569F6BF3" w14:textId="77777777" w:rsidR="00CD203B" w:rsidRPr="00803D09" w:rsidRDefault="00CD203B" w:rsidP="002D1754">
            <w:pPr>
              <w:rPr>
                <w:rFonts w:ascii="Arial" w:hAnsi="Arial"/>
                <w:b/>
                <w:bCs/>
                <w:noProof w:val="0"/>
                <w:sz w:val="26"/>
                <w:szCs w:val="26"/>
              </w:rPr>
            </w:pPr>
            <w:r w:rsidRPr="00803D09">
              <w:rPr>
                <w:rFonts w:hint="cs"/>
                <w:b/>
                <w:bCs/>
                <w:sz w:val="26"/>
                <w:szCs w:val="26"/>
                <w:rtl/>
              </w:rPr>
              <w:t>ה</w:t>
            </w:r>
            <w:r w:rsidRPr="00803D09">
              <w:rPr>
                <w:rFonts w:ascii="Arial" w:hAnsi="Arial"/>
                <w:b/>
                <w:bCs/>
                <w:noProof w:val="0"/>
                <w:sz w:val="26"/>
                <w:szCs w:val="26"/>
                <w:rtl/>
              </w:rPr>
              <w:t>נאשמים</w:t>
            </w:r>
            <w:r w:rsidRPr="00803D09">
              <w:rPr>
                <w:rFonts w:ascii="Arial" w:hAnsi="Arial" w:hint="cs"/>
                <w:b/>
                <w:bCs/>
                <w:noProof w:val="0"/>
                <w:sz w:val="26"/>
                <w:szCs w:val="26"/>
                <w:rtl/>
              </w:rPr>
              <w:t>:</w:t>
            </w:r>
          </w:p>
        </w:tc>
        <w:tc>
          <w:tcPr>
            <w:tcW w:w="5571" w:type="dxa"/>
            <w:shd w:val="clear" w:color="auto" w:fill="auto"/>
          </w:tcPr>
          <w:p w14:paraId="3CFD2C09" w14:textId="77777777" w:rsidR="00CD203B" w:rsidRPr="00803D09" w:rsidRDefault="00CD203B" w:rsidP="002D1754">
            <w:pPr>
              <w:rPr>
                <w:sz w:val="26"/>
                <w:szCs w:val="26"/>
                <w:rtl/>
              </w:rPr>
            </w:pPr>
            <w:r w:rsidRPr="00803D09">
              <w:rPr>
                <w:rFonts w:ascii="Arial" w:hAnsi="Arial"/>
                <w:b/>
                <w:bCs/>
                <w:noProof w:val="0"/>
                <w:sz w:val="26"/>
                <w:szCs w:val="26"/>
                <w:rtl/>
              </w:rPr>
              <w:t>אנדריי קובישקין</w:t>
            </w:r>
          </w:p>
          <w:p w14:paraId="578F182E" w14:textId="77777777" w:rsidR="00CD203B" w:rsidRPr="00803D09" w:rsidRDefault="00CD203B" w:rsidP="002D1754">
            <w:pPr>
              <w:rPr>
                <w:b/>
                <w:bCs/>
                <w:noProof w:val="0"/>
                <w:sz w:val="26"/>
                <w:szCs w:val="26"/>
                <w:rtl/>
              </w:rPr>
            </w:pPr>
            <w:r w:rsidRPr="00803D09">
              <w:rPr>
                <w:rFonts w:hint="cs"/>
                <w:sz w:val="26"/>
                <w:szCs w:val="26"/>
                <w:rtl/>
              </w:rPr>
              <w:t>ע"י ב"כ עו"ד</w:t>
            </w:r>
            <w:r w:rsidRPr="00803D09">
              <w:rPr>
                <w:rFonts w:hint="cs"/>
                <w:b/>
                <w:bCs/>
                <w:noProof w:val="0"/>
                <w:sz w:val="26"/>
                <w:szCs w:val="26"/>
                <w:rtl/>
              </w:rPr>
              <w:t xml:space="preserve"> ברנט</w:t>
            </w:r>
          </w:p>
        </w:tc>
      </w:tr>
      <w:tr w:rsidR="00CD203B" w:rsidRPr="00803D09" w14:paraId="1BA3291A" w14:textId="77777777" w:rsidTr="00CD203B">
        <w:trPr>
          <w:jc w:val="center"/>
        </w:trPr>
        <w:tc>
          <w:tcPr>
            <w:tcW w:w="8820" w:type="dxa"/>
            <w:gridSpan w:val="3"/>
            <w:shd w:val="clear" w:color="auto" w:fill="auto"/>
          </w:tcPr>
          <w:p w14:paraId="2CC1A351" w14:textId="77777777" w:rsidR="00CD203B" w:rsidRPr="00803D09" w:rsidRDefault="00CD203B" w:rsidP="002D1754">
            <w:pPr>
              <w:rPr>
                <w:rFonts w:ascii="Arial" w:hAnsi="Arial"/>
                <w:b/>
                <w:bCs/>
                <w:noProof w:val="0"/>
                <w:sz w:val="26"/>
                <w:szCs w:val="26"/>
                <w:rtl/>
              </w:rPr>
            </w:pPr>
          </w:p>
        </w:tc>
      </w:tr>
    </w:tbl>
    <w:p w14:paraId="5D6C99A5" w14:textId="77777777" w:rsidR="00644455" w:rsidRDefault="00644455" w:rsidP="00CD203B">
      <w:pPr>
        <w:suppressLineNumbers/>
        <w:rPr>
          <w:sz w:val="12"/>
          <w:szCs w:val="12"/>
          <w:rtl/>
        </w:rPr>
      </w:pPr>
      <w:bookmarkStart w:id="3" w:name="LawTable"/>
      <w:bookmarkEnd w:id="3"/>
    </w:p>
    <w:p w14:paraId="2A4F288F" w14:textId="77777777" w:rsidR="00644455" w:rsidRPr="00644455" w:rsidRDefault="00644455" w:rsidP="00644455">
      <w:pPr>
        <w:suppressLineNumbers/>
        <w:spacing w:after="120" w:line="240" w:lineRule="exact"/>
        <w:ind w:left="283" w:hanging="283"/>
        <w:jc w:val="both"/>
        <w:rPr>
          <w:rFonts w:ascii="FrankRuehl" w:hAnsi="FrankRuehl" w:cs="FrankRuehl"/>
          <w:rtl/>
        </w:rPr>
      </w:pPr>
    </w:p>
    <w:p w14:paraId="39D3B2B7" w14:textId="77777777" w:rsidR="00644455" w:rsidRPr="00644455" w:rsidRDefault="00644455" w:rsidP="00644455">
      <w:pPr>
        <w:suppressLineNumbers/>
        <w:spacing w:after="120" w:line="240" w:lineRule="exact"/>
        <w:ind w:left="283" w:hanging="283"/>
        <w:jc w:val="both"/>
        <w:rPr>
          <w:rFonts w:ascii="FrankRuehl" w:hAnsi="FrankRuehl" w:cs="FrankRuehl"/>
          <w:rtl/>
        </w:rPr>
      </w:pPr>
      <w:r w:rsidRPr="00644455">
        <w:rPr>
          <w:rFonts w:ascii="FrankRuehl" w:hAnsi="FrankRuehl" w:cs="FrankRuehl"/>
          <w:rtl/>
        </w:rPr>
        <w:t xml:space="preserve">חקיקה שאוזכרה: </w:t>
      </w:r>
    </w:p>
    <w:p w14:paraId="097BFC3D" w14:textId="77777777" w:rsidR="00644455" w:rsidRPr="00644455" w:rsidRDefault="00644455" w:rsidP="00644455">
      <w:pPr>
        <w:suppressLineNumbers/>
        <w:spacing w:after="120" w:line="240" w:lineRule="exact"/>
        <w:ind w:left="283" w:hanging="283"/>
        <w:jc w:val="both"/>
        <w:rPr>
          <w:rFonts w:ascii="FrankRuehl" w:hAnsi="FrankRuehl" w:cs="FrankRuehl"/>
          <w:rtl/>
        </w:rPr>
      </w:pPr>
      <w:hyperlink r:id="rId7" w:history="1">
        <w:r w:rsidRPr="00644455">
          <w:rPr>
            <w:rFonts w:ascii="FrankRuehl" w:hAnsi="FrankRuehl" w:cs="FrankRuehl"/>
            <w:color w:val="0000FF"/>
            <w:u w:val="single"/>
            <w:rtl/>
          </w:rPr>
          <w:t>פקודת הסמים המסוכנים [נוסח חדש], תשל"ג-1973</w:t>
        </w:r>
      </w:hyperlink>
      <w:r w:rsidRPr="00644455">
        <w:rPr>
          <w:rFonts w:ascii="FrankRuehl" w:hAnsi="FrankRuehl" w:cs="FrankRuehl"/>
          <w:rtl/>
        </w:rPr>
        <w:t xml:space="preserve">: סע'  </w:t>
      </w:r>
      <w:hyperlink r:id="rId8" w:history="1">
        <w:r w:rsidRPr="00644455">
          <w:rPr>
            <w:rFonts w:ascii="FrankRuehl" w:hAnsi="FrankRuehl" w:cs="FrankRuehl"/>
            <w:color w:val="0000FF"/>
            <w:u w:val="single"/>
            <w:rtl/>
          </w:rPr>
          <w:t>7 (א)</w:t>
        </w:r>
      </w:hyperlink>
      <w:r w:rsidRPr="00644455">
        <w:rPr>
          <w:rFonts w:ascii="FrankRuehl" w:hAnsi="FrankRuehl" w:cs="FrankRuehl"/>
          <w:rtl/>
        </w:rPr>
        <w:t xml:space="preserve">, </w:t>
      </w:r>
      <w:hyperlink r:id="rId9" w:history="1">
        <w:r w:rsidRPr="00644455">
          <w:rPr>
            <w:rFonts w:ascii="FrankRuehl" w:hAnsi="FrankRuehl" w:cs="FrankRuehl"/>
            <w:color w:val="0000FF"/>
            <w:u w:val="single"/>
            <w:rtl/>
          </w:rPr>
          <w:t>7(ג)</w:t>
        </w:r>
      </w:hyperlink>
    </w:p>
    <w:p w14:paraId="748856E5" w14:textId="77777777" w:rsidR="00644455" w:rsidRPr="00644455" w:rsidRDefault="00644455" w:rsidP="00644455">
      <w:pPr>
        <w:suppressLineNumbers/>
        <w:spacing w:after="120" w:line="240" w:lineRule="exact"/>
        <w:ind w:left="283" w:hanging="283"/>
        <w:jc w:val="both"/>
        <w:rPr>
          <w:rFonts w:ascii="FrankRuehl" w:hAnsi="FrankRuehl" w:cs="FrankRuehl"/>
          <w:rtl/>
        </w:rPr>
      </w:pPr>
      <w:hyperlink r:id="rId10" w:history="1">
        <w:r w:rsidRPr="00644455">
          <w:rPr>
            <w:rFonts w:ascii="FrankRuehl" w:hAnsi="FrankRuehl" w:cs="FrankRuehl"/>
            <w:color w:val="0000FF"/>
            <w:u w:val="single"/>
            <w:rtl/>
          </w:rPr>
          <w:t>תקנות התעבורה, תשכ"א-1961 - לא מרובדות</w:t>
        </w:r>
      </w:hyperlink>
      <w:r w:rsidRPr="00644455">
        <w:rPr>
          <w:rFonts w:ascii="FrankRuehl" w:hAnsi="FrankRuehl" w:cs="FrankRuehl"/>
          <w:rtl/>
        </w:rPr>
        <w:t xml:space="preserve">: סע'  </w:t>
      </w:r>
      <w:hyperlink r:id="rId11" w:history="1">
        <w:r w:rsidRPr="00644455">
          <w:rPr>
            <w:rFonts w:ascii="FrankRuehl" w:hAnsi="FrankRuehl" w:cs="FrankRuehl"/>
            <w:color w:val="0000FF"/>
            <w:u w:val="single"/>
            <w:rtl/>
          </w:rPr>
          <w:t>26(2)</w:t>
        </w:r>
      </w:hyperlink>
    </w:p>
    <w:p w14:paraId="2D7A8BE0" w14:textId="77777777" w:rsidR="00644455" w:rsidRPr="00644455" w:rsidRDefault="00644455" w:rsidP="00644455">
      <w:pPr>
        <w:suppressLineNumbers/>
        <w:spacing w:after="120" w:line="240" w:lineRule="exact"/>
        <w:ind w:left="283" w:hanging="283"/>
        <w:jc w:val="both"/>
        <w:rPr>
          <w:rFonts w:ascii="FrankRuehl" w:hAnsi="FrankRuehl" w:cs="FrankRuehl"/>
          <w:rtl/>
        </w:rPr>
      </w:pPr>
      <w:hyperlink r:id="rId12" w:history="1">
        <w:r w:rsidRPr="00644455">
          <w:rPr>
            <w:rFonts w:ascii="FrankRuehl" w:hAnsi="FrankRuehl" w:cs="FrankRuehl"/>
            <w:color w:val="0000FF"/>
            <w:u w:val="single"/>
            <w:rtl/>
          </w:rPr>
          <w:t>פקודת התעבורה [נוסח חדש]</w:t>
        </w:r>
      </w:hyperlink>
      <w:r w:rsidRPr="00644455">
        <w:rPr>
          <w:rFonts w:ascii="FrankRuehl" w:hAnsi="FrankRuehl" w:cs="FrankRuehl"/>
          <w:rtl/>
        </w:rPr>
        <w:t xml:space="preserve">: סע'  </w:t>
      </w:r>
      <w:hyperlink r:id="rId13" w:history="1">
        <w:r w:rsidRPr="00644455">
          <w:rPr>
            <w:rFonts w:ascii="FrankRuehl" w:hAnsi="FrankRuehl" w:cs="FrankRuehl"/>
            <w:color w:val="0000FF"/>
            <w:u w:val="single"/>
            <w:rtl/>
          </w:rPr>
          <w:t>+ 38(1)</w:t>
        </w:r>
      </w:hyperlink>
    </w:p>
    <w:p w14:paraId="5154CD71" w14:textId="77777777" w:rsidR="00644455" w:rsidRPr="00644455" w:rsidRDefault="00644455" w:rsidP="00644455">
      <w:pPr>
        <w:suppressLineNumbers/>
        <w:spacing w:after="120" w:line="240" w:lineRule="exact"/>
        <w:ind w:left="283" w:hanging="283"/>
        <w:jc w:val="both"/>
        <w:rPr>
          <w:rFonts w:ascii="FrankRuehl" w:hAnsi="FrankRuehl" w:cs="FrankRuehl"/>
          <w:rtl/>
        </w:rPr>
      </w:pPr>
      <w:hyperlink r:id="rId14" w:history="1">
        <w:r w:rsidRPr="00644455">
          <w:rPr>
            <w:rFonts w:ascii="FrankRuehl" w:hAnsi="FrankRuehl" w:cs="FrankRuehl"/>
            <w:color w:val="0000FF"/>
            <w:u w:val="single"/>
            <w:rtl/>
          </w:rPr>
          <w:t>חוק העונשין, תשל"ז-1977</w:t>
        </w:r>
      </w:hyperlink>
    </w:p>
    <w:p w14:paraId="3D5A4350" w14:textId="77777777" w:rsidR="00644455" w:rsidRPr="00644455" w:rsidRDefault="00644455" w:rsidP="00644455">
      <w:pPr>
        <w:suppressLineNumbers/>
        <w:spacing w:after="120" w:line="240" w:lineRule="exact"/>
        <w:ind w:left="283" w:hanging="283"/>
        <w:jc w:val="both"/>
        <w:rPr>
          <w:rFonts w:ascii="FrankRuehl" w:hAnsi="FrankRuehl" w:cs="FrankRuehl"/>
          <w:rtl/>
        </w:rPr>
      </w:pPr>
    </w:p>
    <w:p w14:paraId="4AD5370B" w14:textId="77777777" w:rsidR="00644455" w:rsidRPr="00644455" w:rsidRDefault="00644455" w:rsidP="00CD203B">
      <w:pPr>
        <w:suppressLineNumbers/>
        <w:rPr>
          <w:sz w:val="12"/>
          <w:szCs w:val="12"/>
          <w:rtl/>
        </w:rPr>
      </w:pPr>
      <w:bookmarkStart w:id="4" w:name="LawTable_End"/>
      <w:bookmarkEnd w:id="4"/>
    </w:p>
    <w:p w14:paraId="70AD78CF" w14:textId="77777777" w:rsidR="00803D09" w:rsidRPr="00803D09" w:rsidRDefault="00803D09" w:rsidP="00CD203B">
      <w:pPr>
        <w:suppressLineNumbers/>
        <w:rPr>
          <w:sz w:val="12"/>
          <w:szCs w:val="12"/>
          <w:rtl/>
        </w:rPr>
      </w:pPr>
    </w:p>
    <w:p w14:paraId="4A0098E8" w14:textId="77777777" w:rsidR="00CD203B" w:rsidRPr="00803D09" w:rsidRDefault="00CD203B" w:rsidP="00CD203B">
      <w:pPr>
        <w:suppressLineNumbers/>
        <w:rPr>
          <w:sz w:val="12"/>
          <w:szCs w:val="12"/>
        </w:rPr>
      </w:pPr>
    </w:p>
    <w:tbl>
      <w:tblPr>
        <w:bidiVisual/>
        <w:tblW w:w="8820" w:type="dxa"/>
        <w:jc w:val="center"/>
        <w:tblLook w:val="01E0" w:firstRow="1" w:lastRow="1" w:firstColumn="1" w:lastColumn="1" w:noHBand="0" w:noVBand="0"/>
      </w:tblPr>
      <w:tblGrid>
        <w:gridCol w:w="8820"/>
      </w:tblGrid>
      <w:tr w:rsidR="00CD203B" w14:paraId="7B716455" w14:textId="77777777" w:rsidTr="00CD203B">
        <w:trPr>
          <w:jc w:val="center"/>
        </w:trPr>
        <w:tc>
          <w:tcPr>
            <w:tcW w:w="8820" w:type="dxa"/>
            <w:shd w:val="clear" w:color="auto" w:fill="auto"/>
          </w:tcPr>
          <w:p w14:paraId="13F6D1ED" w14:textId="77777777" w:rsidR="00803D09" w:rsidRPr="00803D09" w:rsidRDefault="00803D09" w:rsidP="00803D09">
            <w:pPr>
              <w:bidi w:val="0"/>
              <w:jc w:val="center"/>
              <w:rPr>
                <w:rFonts w:ascii="Arial" w:hAnsi="Arial"/>
                <w:b/>
                <w:bCs/>
                <w:noProof w:val="0"/>
                <w:sz w:val="28"/>
                <w:szCs w:val="28"/>
                <w:u w:val="single"/>
                <w:rtl/>
              </w:rPr>
            </w:pPr>
            <w:bookmarkStart w:id="5" w:name="PsakDin" w:colFirst="0" w:colLast="0"/>
            <w:bookmarkEnd w:id="0"/>
            <w:r w:rsidRPr="00803D09">
              <w:rPr>
                <w:rFonts w:ascii="Arial" w:hAnsi="Arial"/>
                <w:b/>
                <w:bCs/>
                <w:noProof w:val="0"/>
                <w:sz w:val="28"/>
                <w:szCs w:val="28"/>
                <w:u w:val="single"/>
                <w:rtl/>
              </w:rPr>
              <w:t>גזר דין</w:t>
            </w:r>
          </w:p>
          <w:p w14:paraId="7EE03C2C" w14:textId="77777777" w:rsidR="00CD203B" w:rsidRPr="00803D09" w:rsidRDefault="00CD203B" w:rsidP="00803D09">
            <w:pPr>
              <w:bidi w:val="0"/>
              <w:jc w:val="center"/>
              <w:rPr>
                <w:rFonts w:ascii="Arial" w:hAnsi="Arial"/>
                <w:b/>
                <w:bCs/>
                <w:noProof w:val="0"/>
                <w:sz w:val="28"/>
                <w:szCs w:val="28"/>
                <w:u w:val="single"/>
              </w:rPr>
            </w:pPr>
          </w:p>
        </w:tc>
      </w:tr>
      <w:bookmarkEnd w:id="5"/>
    </w:tbl>
    <w:p w14:paraId="482316ED" w14:textId="77777777" w:rsidR="00CD203B" w:rsidRDefault="00CD203B" w:rsidP="00CD203B">
      <w:pPr>
        <w:spacing w:line="360" w:lineRule="auto"/>
        <w:jc w:val="both"/>
        <w:rPr>
          <w:rFonts w:ascii="Arial" w:hAnsi="Arial"/>
          <w:noProof w:val="0"/>
          <w:rtl/>
        </w:rPr>
      </w:pPr>
    </w:p>
    <w:p w14:paraId="05335A4B" w14:textId="77777777" w:rsidR="00CD203B" w:rsidRDefault="00CD203B" w:rsidP="00CD203B">
      <w:pPr>
        <w:spacing w:line="360" w:lineRule="auto"/>
        <w:jc w:val="both"/>
        <w:rPr>
          <w:noProof w:val="0"/>
        </w:rPr>
      </w:pPr>
      <w:bookmarkStart w:id="6" w:name="NGCSBookmark"/>
      <w:bookmarkEnd w:id="6"/>
      <w:r>
        <w:rPr>
          <w:rFonts w:ascii="Arial" w:hAnsi="Arial" w:hint="cs"/>
          <w:noProof w:val="0"/>
          <w:rtl/>
        </w:rPr>
        <w:t xml:space="preserve">ביום 23.11.16 הגיעו הצדדים להסכמה לפיה </w:t>
      </w:r>
      <w:r>
        <w:rPr>
          <w:rFonts w:hint="cs"/>
          <w:rtl/>
        </w:rPr>
        <w:t xml:space="preserve">הנאשם הודה בעובדות כתב האישום המתוקן, הוגש כתב אישום מתוקן, הורשע ונשלח לקבלת תסקיר בטרם הטיעונים לעונש. בכפוף לתסקיר חיובי שיצביע על לקיחת אחריות, שיתוף פעולה עם שירות המבחן הצדדים יעתרו לעונש של מאסר על תנאי קנס, של"צ על פי המלצת שירות המבחן, פסילה למשך 6 חודשי בניכוי פסילה מנהלית, פסילה על תנאי. במידה והתסקיר יהיה שלילי כל צד יוכל לטעון כרצונו. </w:t>
      </w:r>
    </w:p>
    <w:p w14:paraId="1E1B9AB5" w14:textId="77777777" w:rsidR="00CD203B" w:rsidRDefault="00CD203B" w:rsidP="00CD203B">
      <w:pPr>
        <w:ind w:left="1440" w:hanging="1440"/>
        <w:jc w:val="both"/>
        <w:rPr>
          <w:rtl/>
        </w:rPr>
      </w:pPr>
    </w:p>
    <w:p w14:paraId="240AD2B8" w14:textId="77777777" w:rsidR="00CD203B" w:rsidRDefault="00CD203B" w:rsidP="00CD203B">
      <w:pPr>
        <w:ind w:left="1440" w:hanging="1440"/>
        <w:jc w:val="both"/>
        <w:rPr>
          <w:bCs/>
        </w:rPr>
      </w:pPr>
    </w:p>
    <w:p w14:paraId="4E42A2D4" w14:textId="77777777" w:rsidR="00CD203B" w:rsidRDefault="00CD203B" w:rsidP="00CD203B">
      <w:pPr>
        <w:spacing w:line="360" w:lineRule="auto"/>
        <w:jc w:val="both"/>
        <w:rPr>
          <w:rFonts w:ascii="David" w:hAnsi="David"/>
          <w:rtl/>
        </w:rPr>
      </w:pPr>
      <w:bookmarkStart w:id="7" w:name="ABSTRACT_START"/>
      <w:bookmarkEnd w:id="7"/>
      <w:r>
        <w:rPr>
          <w:rFonts w:hint="cs"/>
          <w:rtl/>
        </w:rPr>
        <w:t xml:space="preserve">נוכח הודאת הנאשם, הורשע במיוחס לו בכתב האישום המתוקן– בעבירה של החזקת סם לצריכה עצמית, לפי </w:t>
      </w:r>
      <w:hyperlink r:id="rId15" w:history="1">
        <w:r w:rsidR="00DD3330" w:rsidRPr="00DD3330">
          <w:rPr>
            <w:color w:val="0000FF"/>
            <w:u w:val="single"/>
            <w:rtl/>
          </w:rPr>
          <w:t>סעיף 7 (א)</w:t>
        </w:r>
      </w:hyperlink>
      <w:r>
        <w:rPr>
          <w:rFonts w:hint="cs"/>
          <w:rtl/>
        </w:rPr>
        <w:t xml:space="preserve"> + </w:t>
      </w:r>
      <w:hyperlink r:id="rId16" w:history="1">
        <w:r w:rsidR="00DD3330" w:rsidRPr="00DD3330">
          <w:rPr>
            <w:color w:val="0000FF"/>
            <w:u w:val="single"/>
            <w:rtl/>
          </w:rPr>
          <w:t>7(ג)</w:t>
        </w:r>
      </w:hyperlink>
      <w:r>
        <w:rPr>
          <w:rFonts w:hint="cs"/>
          <w:rtl/>
        </w:rPr>
        <w:t xml:space="preserve"> סיפא ל</w:t>
      </w:r>
      <w:hyperlink r:id="rId17" w:history="1">
        <w:r w:rsidR="00803D09" w:rsidRPr="00803D09">
          <w:rPr>
            <w:color w:val="0000FF"/>
            <w:u w:val="single"/>
            <w:rtl/>
          </w:rPr>
          <w:t>פקודת הסמים המסוכנים</w:t>
        </w:r>
      </w:hyperlink>
      <w:r>
        <w:rPr>
          <w:rFonts w:hint="cs"/>
          <w:rtl/>
        </w:rPr>
        <w:t xml:space="preserve"> [נוסח חדש] התשל"ג – 1973; נהיגה תחת השפעת שכרת עבירה </w:t>
      </w:r>
      <w:r w:rsidR="00DD3330" w:rsidRPr="00644455">
        <w:rPr>
          <w:rtl/>
        </w:rPr>
        <w:t xml:space="preserve">לפי </w:t>
      </w:r>
      <w:hyperlink r:id="rId18" w:history="1">
        <w:r w:rsidR="00644455" w:rsidRPr="00644455">
          <w:rPr>
            <w:color w:val="0000FF"/>
            <w:u w:val="single"/>
            <w:rtl/>
          </w:rPr>
          <w:t>תקנה 26(2)</w:t>
        </w:r>
      </w:hyperlink>
      <w:r>
        <w:rPr>
          <w:rFonts w:hint="cs"/>
          <w:rtl/>
        </w:rPr>
        <w:t xml:space="preserve"> ל</w:t>
      </w:r>
      <w:hyperlink r:id="rId19" w:history="1">
        <w:r w:rsidR="00803D09" w:rsidRPr="00803D09">
          <w:rPr>
            <w:color w:val="0000FF"/>
            <w:u w:val="single"/>
            <w:rtl/>
          </w:rPr>
          <w:t>תקנות התעבורה</w:t>
        </w:r>
      </w:hyperlink>
      <w:r>
        <w:rPr>
          <w:rFonts w:hint="cs"/>
          <w:rtl/>
        </w:rPr>
        <w:t xml:space="preserve"> </w:t>
      </w:r>
      <w:hyperlink r:id="rId20" w:history="1">
        <w:r w:rsidR="00DD3330" w:rsidRPr="00DD3330">
          <w:rPr>
            <w:color w:val="0000FF"/>
            <w:u w:val="single"/>
            <w:rtl/>
          </w:rPr>
          <w:t>+ 38(1)</w:t>
        </w:r>
      </w:hyperlink>
      <w:r>
        <w:rPr>
          <w:rFonts w:hint="cs"/>
          <w:rtl/>
        </w:rPr>
        <w:t xml:space="preserve"> ל</w:t>
      </w:r>
      <w:hyperlink r:id="rId21" w:history="1">
        <w:r w:rsidR="00803D09" w:rsidRPr="00803D09">
          <w:rPr>
            <w:color w:val="0000FF"/>
            <w:u w:val="single"/>
            <w:rtl/>
          </w:rPr>
          <w:t>פקודת התעבורה</w:t>
        </w:r>
      </w:hyperlink>
      <w:r>
        <w:rPr>
          <w:rFonts w:hint="cs"/>
          <w:rtl/>
        </w:rPr>
        <w:t xml:space="preserve">. </w:t>
      </w:r>
    </w:p>
    <w:p w14:paraId="6D6D6B84" w14:textId="77777777" w:rsidR="00CD203B" w:rsidRPr="00A63337" w:rsidRDefault="00CD203B" w:rsidP="00CD203B">
      <w:bookmarkStart w:id="8" w:name="ABSTRACT_END"/>
      <w:bookmarkEnd w:id="8"/>
    </w:p>
    <w:p w14:paraId="19C29241" w14:textId="77777777" w:rsidR="00CD203B" w:rsidRPr="00633D01" w:rsidRDefault="00CD203B" w:rsidP="00CD203B">
      <w:pPr>
        <w:spacing w:line="360" w:lineRule="auto"/>
        <w:jc w:val="both"/>
        <w:rPr>
          <w:rFonts w:ascii="Arial" w:hAnsi="Arial"/>
          <w:noProof w:val="0"/>
          <w:rtl/>
        </w:rPr>
      </w:pPr>
      <w:r w:rsidRPr="00633D01">
        <w:rPr>
          <w:rFonts w:ascii="Arial" w:hAnsi="Arial"/>
          <w:noProof w:val="0"/>
          <w:rtl/>
        </w:rPr>
        <w:t xml:space="preserve">על פי עובדות כתב האישום בתאריך </w:t>
      </w:r>
      <w:r>
        <w:rPr>
          <w:rFonts w:ascii="Arial" w:hAnsi="Arial" w:hint="cs"/>
          <w:noProof w:val="0"/>
          <w:rtl/>
        </w:rPr>
        <w:t xml:space="preserve">6.8.15 בשעה 19:40 לערך נהג הנאשם ברכב ברחוב גולומב ובהגיעו לצומת הרחובות חיל השריון ההגנה נעצר ע"י השוטרים. הנאשם נהג תחת השפעת סמים </w:t>
      </w:r>
      <w:r>
        <w:rPr>
          <w:rFonts w:ascii="Arial" w:hAnsi="Arial" w:hint="cs"/>
          <w:noProof w:val="0"/>
          <w:rtl/>
        </w:rPr>
        <w:lastRenderedPageBreak/>
        <w:t xml:space="preserve">בכך שבבדיקת שתן נמצא 1087 מ"ל </w:t>
      </w:r>
      <w:r>
        <w:rPr>
          <w:rFonts w:ascii="Arial" w:hAnsi="Arial" w:hint="cs"/>
          <w:noProof w:val="0"/>
        </w:rPr>
        <w:t xml:space="preserve">THC-OIC ACID </w:t>
      </w:r>
      <w:r>
        <w:rPr>
          <w:rFonts w:ascii="Arial" w:hAnsi="Arial" w:hint="cs"/>
          <w:noProof w:val="0"/>
          <w:rtl/>
        </w:rPr>
        <w:t>שהינו תוצר חילוף חומרים של חומר פעיל בקנביס ומצביע על שימוש בקנביס עובר לנהיגה. באותן נסיבות החזיק הנאשם ברכבו סם מסוכן מסוג הרואין במשקל 0.8113 גרם נטו שלא כדין וללא אישור מאת המנהל.</w:t>
      </w:r>
    </w:p>
    <w:p w14:paraId="58717F49" w14:textId="77777777" w:rsidR="00CD203B" w:rsidRPr="00633D01" w:rsidRDefault="00CD203B" w:rsidP="00CD203B">
      <w:pPr>
        <w:spacing w:line="360" w:lineRule="auto"/>
        <w:jc w:val="both"/>
        <w:rPr>
          <w:rFonts w:ascii="Arial" w:hAnsi="Arial"/>
          <w:noProof w:val="0"/>
          <w:rtl/>
        </w:rPr>
      </w:pPr>
    </w:p>
    <w:p w14:paraId="152CEBCA" w14:textId="77777777" w:rsidR="00CD203B" w:rsidRDefault="00CD203B" w:rsidP="00CD203B">
      <w:pPr>
        <w:spacing w:line="360" w:lineRule="auto"/>
        <w:jc w:val="both"/>
        <w:rPr>
          <w:rFonts w:ascii="Arial" w:hAnsi="Arial"/>
          <w:noProof w:val="0"/>
          <w:rtl/>
        </w:rPr>
      </w:pPr>
      <w:r w:rsidRPr="00633D01">
        <w:rPr>
          <w:rFonts w:ascii="Arial" w:hAnsi="Arial"/>
          <w:noProof w:val="0"/>
          <w:rtl/>
        </w:rPr>
        <w:t xml:space="preserve">בעניינו של הנאשם התקבל תסקיר שרות מבחן ביום </w:t>
      </w:r>
      <w:r>
        <w:rPr>
          <w:rFonts w:ascii="Arial" w:hAnsi="Arial" w:hint="cs"/>
          <w:noProof w:val="0"/>
          <w:rtl/>
        </w:rPr>
        <w:t>28.5.17</w:t>
      </w:r>
      <w:r w:rsidRPr="00633D01">
        <w:rPr>
          <w:rFonts w:ascii="Arial" w:hAnsi="Arial"/>
          <w:noProof w:val="0"/>
          <w:rtl/>
        </w:rPr>
        <w:t xml:space="preserve"> לפיו </w:t>
      </w:r>
      <w:r>
        <w:rPr>
          <w:rFonts w:ascii="Arial" w:hAnsi="Arial" w:hint="cs"/>
          <w:noProof w:val="0"/>
          <w:rtl/>
        </w:rPr>
        <w:t>הנאשם בן 40, יליד קזחסטן, פרוד ואב לפעוטה כבת שנתיים ממערכת יחסים אחרת. מתגורר בדירה שכורה בבת ים ועובד מזה כ 7 שנים במוסך. לדברי הנאשם בארץ מוצאו סיים השכלה תיכונית, השתלב בלימודים באוניברסיטה והנו בעל תעודת הנדסאי מכונות. לדבריו שירת בארץ מוצאו שירות צבאי. הנאשם תיאר בפני שירות מבחן את מהלך חיו מאז עלייתו ואת קשיו במישור המשפחתי וכן במישור הכלכלי והבריאותי. עולה כי הנאשם נעדר עבר פלילי ולוקח אחריות על מעשיו וביטא חרטה וצער. ותאר כי רכש סמים כדרך התמודדות עם מצבו הפיסי והנפשי ובפרט קשיי שינה כרוניים מהם סובל. ומאחר ויש כיום קושי לקחת אחריות על ההתמכרות ואין שיתוף פעולה מלא עם שירות המבחן כגון אי העברת מסמכים, בניסיון לזייף בדיקת שתן ובהתנהגות מטשטשת ומצמצמת ביחס לחומרת מצבו. שירות מבחן מעריך כי קיים סיכון להישנות התנהגות בעייתית והתמכרותית בעניינו. ובהיעדר כוחות ויכולת לשת"פ תקין ואפקטיבי בהליך טיפולי, אין בידם לבוא בהמלצה. ביחס להסדר הטיעון הכולל רכיב ענישה בדרך של צו של"צ, נוכח חוסר יכולת לבצע שעות בשל עבודה אינטנסיבית ונוכח מצבו הרפואי, היותו סובל מהפטיטי</w:t>
      </w:r>
      <w:r>
        <w:rPr>
          <w:rFonts w:ascii="Arial" w:hAnsi="Arial" w:hint="eastAsia"/>
          <w:noProof w:val="0"/>
          <w:rtl/>
        </w:rPr>
        <w:t>ס</w:t>
      </w:r>
      <w:r>
        <w:rPr>
          <w:rFonts w:ascii="Arial" w:hAnsi="Arial" w:hint="cs"/>
          <w:noProof w:val="0"/>
          <w:rtl/>
        </w:rPr>
        <w:t>. וכן נוכח התרשמותם מסיכון במצבו, כמו גם הערכתם באשר לקיומה של התמכרות פעילה לחומרים ממכרים. שירות מבחן לא מצא את הנאשם מתאים לביצוע צו של"צ. אך לצד כל האמור, שירות מבחן מציין את המלצתם לקחת בחשבון בשיקולי הענישה, את מצב הבריאותי, הנפשי והרגשי הירוד. שהנאשם סובל ממנו.</w:t>
      </w:r>
    </w:p>
    <w:p w14:paraId="775E56CE" w14:textId="77777777" w:rsidR="00CD203B" w:rsidRDefault="00CD203B" w:rsidP="00CD203B">
      <w:pPr>
        <w:spacing w:line="360" w:lineRule="auto"/>
        <w:jc w:val="both"/>
        <w:rPr>
          <w:rFonts w:ascii="Arial" w:hAnsi="Arial"/>
          <w:noProof w:val="0"/>
          <w:rtl/>
        </w:rPr>
      </w:pPr>
    </w:p>
    <w:p w14:paraId="79352667" w14:textId="77777777" w:rsidR="00CD203B" w:rsidRDefault="00CD203B" w:rsidP="00CD203B">
      <w:pPr>
        <w:spacing w:line="360" w:lineRule="auto"/>
        <w:jc w:val="both"/>
        <w:rPr>
          <w:rFonts w:ascii="Arial" w:hAnsi="Arial"/>
          <w:noProof w:val="0"/>
          <w:rtl/>
        </w:rPr>
      </w:pPr>
      <w:r w:rsidRPr="004A6091">
        <w:rPr>
          <w:rFonts w:ascii="Arial" w:hAnsi="Arial" w:hint="cs"/>
          <w:b/>
          <w:bCs/>
          <w:noProof w:val="0"/>
          <w:u w:val="single"/>
          <w:rtl/>
        </w:rPr>
        <w:t>טיעוני הצדדים</w:t>
      </w:r>
      <w:r>
        <w:rPr>
          <w:rFonts w:ascii="Arial" w:hAnsi="Arial" w:hint="cs"/>
          <w:noProof w:val="0"/>
          <w:rtl/>
        </w:rPr>
        <w:t xml:space="preserve"> :</w:t>
      </w:r>
    </w:p>
    <w:p w14:paraId="070F2A25" w14:textId="77777777" w:rsidR="00CD203B" w:rsidRDefault="00CD203B" w:rsidP="00CD203B">
      <w:pPr>
        <w:spacing w:line="360" w:lineRule="auto"/>
        <w:jc w:val="both"/>
        <w:rPr>
          <w:rFonts w:ascii="Arial" w:hAnsi="Arial"/>
          <w:noProof w:val="0"/>
          <w:rtl/>
        </w:rPr>
      </w:pPr>
      <w:r>
        <w:rPr>
          <w:rFonts w:ascii="Arial" w:hAnsi="Arial" w:hint="cs"/>
          <w:noProof w:val="0"/>
          <w:rtl/>
        </w:rPr>
        <w:t>ב"כ המאשימה הפנתה לנסיבות ביצוע העבירה, ב"כ המאשימה טענה כי הערך המוגן נגע הסמים, הנאשם נהג תחת השפעת סם שיש בהם פוטנציאל לפגיעה בציבור משתמשי הדרך. מתחם העונש נע בין מאסר קצר ל 9 חודשי מאסר. ב"כ המאשימה הפנתה לפסיקה התומכת בעמדתה וכמו גם הפנתה לתסקיר שירות המבחן והבעייתיו</w:t>
      </w:r>
      <w:r>
        <w:rPr>
          <w:rFonts w:ascii="Arial" w:hAnsi="Arial" w:hint="eastAsia"/>
          <w:noProof w:val="0"/>
          <w:rtl/>
        </w:rPr>
        <w:t>ת</w:t>
      </w:r>
      <w:r>
        <w:rPr>
          <w:rFonts w:ascii="Arial" w:hAnsi="Arial" w:hint="cs"/>
          <w:noProof w:val="0"/>
          <w:rtl/>
        </w:rPr>
        <w:t xml:space="preserve"> העולה ממנו. שרות מבחן לא בא בהמלצה טיפולית ולא לביצוע צו של"צ. ב"כ המאשימה עתרה להטיל על הנאשם מאסר, מאסר על תנאי קנס ופסילה.</w:t>
      </w:r>
    </w:p>
    <w:p w14:paraId="6BD07022" w14:textId="77777777" w:rsidR="00CD203B" w:rsidRDefault="00CD203B" w:rsidP="00CD203B">
      <w:pPr>
        <w:spacing w:line="360" w:lineRule="auto"/>
        <w:jc w:val="both"/>
        <w:rPr>
          <w:rFonts w:ascii="Arial" w:hAnsi="Arial"/>
          <w:noProof w:val="0"/>
          <w:rtl/>
        </w:rPr>
      </w:pPr>
      <w:r>
        <w:rPr>
          <w:rFonts w:ascii="Arial" w:hAnsi="Arial" w:hint="cs"/>
          <w:noProof w:val="0"/>
          <w:rtl/>
        </w:rPr>
        <w:t>ב"כ הנאשם הפנתה לנסיבות האישיות של הנאשם, למצבו הרפואי. הודאתו הראשונה. וביקש להסתפק בפסילה ומע"ת.</w:t>
      </w:r>
    </w:p>
    <w:p w14:paraId="366AA603" w14:textId="77777777" w:rsidR="00CD203B" w:rsidRDefault="00CD203B" w:rsidP="00CD203B">
      <w:pPr>
        <w:spacing w:line="360" w:lineRule="auto"/>
        <w:jc w:val="both"/>
        <w:rPr>
          <w:rFonts w:ascii="Arial" w:hAnsi="Arial"/>
          <w:noProof w:val="0"/>
          <w:rtl/>
        </w:rPr>
      </w:pPr>
    </w:p>
    <w:p w14:paraId="346F9D07" w14:textId="77777777" w:rsidR="00CD203B" w:rsidRPr="004A6091" w:rsidRDefault="00CD203B" w:rsidP="00CD203B">
      <w:pPr>
        <w:spacing w:line="360" w:lineRule="auto"/>
        <w:jc w:val="both"/>
        <w:rPr>
          <w:rFonts w:ascii="Arial" w:hAnsi="Arial"/>
          <w:b/>
          <w:bCs/>
          <w:noProof w:val="0"/>
          <w:u w:val="single"/>
          <w:rtl/>
        </w:rPr>
      </w:pPr>
      <w:r w:rsidRPr="004A6091">
        <w:rPr>
          <w:rFonts w:ascii="Arial" w:hAnsi="Arial" w:hint="cs"/>
          <w:b/>
          <w:bCs/>
          <w:noProof w:val="0"/>
          <w:u w:val="single"/>
          <w:rtl/>
        </w:rPr>
        <w:t>דיון והכרעה:</w:t>
      </w:r>
    </w:p>
    <w:p w14:paraId="38E7EA83" w14:textId="77777777" w:rsidR="00CD203B" w:rsidRDefault="00CD203B" w:rsidP="00CD203B">
      <w:pPr>
        <w:spacing w:line="360" w:lineRule="auto"/>
        <w:jc w:val="both"/>
        <w:rPr>
          <w:rtl/>
        </w:rPr>
      </w:pPr>
      <w:r w:rsidRPr="008A01F2">
        <w:rPr>
          <w:rtl/>
        </w:rPr>
        <w:t>בהתאם לתיקון 113 ל</w:t>
      </w:r>
      <w:hyperlink r:id="rId22" w:history="1">
        <w:r w:rsidR="00803D09" w:rsidRPr="00803D09">
          <w:rPr>
            <w:color w:val="0000FF"/>
            <w:u w:val="single"/>
            <w:rtl/>
          </w:rPr>
          <w:t>חוק העונשין</w:t>
        </w:r>
      </w:hyperlink>
      <w:r w:rsidRPr="008A01F2">
        <w:rPr>
          <w:rtl/>
        </w:rPr>
        <w:t xml:space="preserve">, יש לקבוע, בטרם גזירת הדין את מתחם העונש ההולם, תוך התחשבות בעיקרון המנחה בענישה, שהוא קיומו של יחס הולם בין חומרת מעשה העבירה בנסיבותיו ומידת אשמו של הנאשם. בין סוג ומידת העונש המוטל עליו, מידת הפגיעה בערך החברתי המוגן, במדיניות הענישה הנהוגה ובנסיבות ביצוע העבירה. סבורני כי מתחם העונש ההולם בגין הארוע הוא </w:t>
      </w:r>
      <w:r>
        <w:rPr>
          <w:rFonts w:hint="cs"/>
          <w:rtl/>
        </w:rPr>
        <w:t>מאסר על תנאי ועד 8 חודשי מאסר ופסילת רישיון הנהיגה לתקופה של 3 חודשים ועד 12 חודשים.</w:t>
      </w:r>
    </w:p>
    <w:p w14:paraId="341C7CAE" w14:textId="77777777" w:rsidR="00CD203B" w:rsidRDefault="00CD203B" w:rsidP="00CD203B">
      <w:pPr>
        <w:spacing w:line="360" w:lineRule="auto"/>
        <w:jc w:val="both"/>
        <w:rPr>
          <w:rtl/>
        </w:rPr>
      </w:pPr>
    </w:p>
    <w:p w14:paraId="43E7F7ED" w14:textId="77777777" w:rsidR="00CD203B" w:rsidRPr="005E0C8D" w:rsidRDefault="00CD203B" w:rsidP="00CD203B">
      <w:pPr>
        <w:spacing w:line="360" w:lineRule="auto"/>
        <w:jc w:val="both"/>
        <w:rPr>
          <w:rtl/>
        </w:rPr>
      </w:pPr>
      <w:r w:rsidRPr="005E0C8D">
        <w:rPr>
          <w:rtl/>
        </w:rPr>
        <w:lastRenderedPageBreak/>
        <w:t>בהינתן המתחם האמור, יש לגזור את עונשו של הנאשם תוך שקילת המתחם ותוך התחשבות בנסיבות המשליכות על קביעת העונש המתאים, כאשר בענייננו יש ליתן משקל להלימה בגזירת העונש לביצוע העבירה ע"י הנאשם; נסיבות ביצוע העבירה וחומרתה; מידת הפגיעה בערך המוגן; גילו של הנאשם; הנסיבות עליהן עמד</w:t>
      </w:r>
      <w:r>
        <w:rPr>
          <w:rFonts w:hint="cs"/>
          <w:rtl/>
        </w:rPr>
        <w:t xml:space="preserve">ו </w:t>
      </w:r>
      <w:r w:rsidRPr="005E0C8D">
        <w:rPr>
          <w:rtl/>
        </w:rPr>
        <w:t>ה</w:t>
      </w:r>
      <w:r>
        <w:rPr>
          <w:rFonts w:hint="cs"/>
          <w:rtl/>
        </w:rPr>
        <w:t xml:space="preserve">צדדים </w:t>
      </w:r>
      <w:r w:rsidRPr="005E0C8D">
        <w:rPr>
          <w:rtl/>
        </w:rPr>
        <w:t>בטיעוניה</w:t>
      </w:r>
      <w:r>
        <w:rPr>
          <w:rFonts w:hint="cs"/>
          <w:rtl/>
        </w:rPr>
        <w:t>ם</w:t>
      </w:r>
      <w:r w:rsidRPr="005E0C8D">
        <w:rPr>
          <w:rtl/>
        </w:rPr>
        <w:t>; הודאתו המצביעה על נטילת אחריות; היותו נעדר עבר פלילי</w:t>
      </w:r>
      <w:r>
        <w:rPr>
          <w:rFonts w:hint="cs"/>
          <w:rtl/>
        </w:rPr>
        <w:t xml:space="preserve">. </w:t>
      </w:r>
    </w:p>
    <w:p w14:paraId="351F1B56" w14:textId="77777777" w:rsidR="00CD203B" w:rsidRPr="005E0C8D" w:rsidRDefault="00CD203B" w:rsidP="00CD203B">
      <w:pPr>
        <w:spacing w:line="360" w:lineRule="auto"/>
        <w:jc w:val="both"/>
        <w:rPr>
          <w:b/>
          <w:rtl/>
        </w:rPr>
      </w:pPr>
    </w:p>
    <w:p w14:paraId="05687CBA" w14:textId="77777777" w:rsidR="00CD203B" w:rsidRDefault="00CD203B" w:rsidP="00CD203B">
      <w:pPr>
        <w:spacing w:line="360" w:lineRule="auto"/>
        <w:jc w:val="both"/>
        <w:rPr>
          <w:b/>
          <w:rtl/>
        </w:rPr>
      </w:pPr>
      <w:r>
        <w:rPr>
          <w:rFonts w:hint="cs"/>
          <w:b/>
          <w:rtl/>
        </w:rPr>
        <w:t>לאחר ששמעתי את הצדדים בהתחשב בטיעוניהם, אני מקבל את הסדר הטיעון בהיותו סביר וראוי ויצויין כי הנאשם לא נמצא מתאים לביצוע שלצ עקב מצבו הרפואי בנוסף יצויין כי המאשימה בכפוף לשל"צ הסכימה להטיל מע"ת בנסיבות אלו לא ברור כיצד המתחם לדעת התביעה מתחיל ממאסר. אציין כי העבירות אותם ביצע הנאשם הם חמורות. יחד עם זאת עיקר הענישה צריך להיות בתחום התעבורה, שכן העבירות בוצעו בתחום זר. נוכח כך האמור בתסקיר ונראה כי יש להכביד בעונש הפסילה.</w:t>
      </w:r>
    </w:p>
    <w:p w14:paraId="14858DD1" w14:textId="77777777" w:rsidR="00CD203B" w:rsidRPr="0087632B" w:rsidRDefault="00CD203B" w:rsidP="00CD203B">
      <w:pPr>
        <w:spacing w:line="360" w:lineRule="auto"/>
        <w:jc w:val="both"/>
        <w:rPr>
          <w:b/>
          <w:rtl/>
        </w:rPr>
      </w:pPr>
    </w:p>
    <w:p w14:paraId="629E3EC6" w14:textId="77777777" w:rsidR="00CD203B" w:rsidRPr="005E0C8D" w:rsidRDefault="00CD203B" w:rsidP="00CD203B">
      <w:pPr>
        <w:spacing w:line="360" w:lineRule="auto"/>
        <w:jc w:val="both"/>
        <w:rPr>
          <w:b/>
        </w:rPr>
      </w:pPr>
      <w:r w:rsidRPr="005E0C8D">
        <w:rPr>
          <w:b/>
          <w:rtl/>
        </w:rPr>
        <w:t xml:space="preserve">לאחר ששמעתי את הצדדים בהתחשב בטיעוניהם, </w:t>
      </w:r>
      <w:r>
        <w:rPr>
          <w:rFonts w:hint="cs"/>
          <w:b/>
          <w:rtl/>
        </w:rPr>
        <w:t xml:space="preserve">בנסיבות המקרה והעניין ועל </w:t>
      </w:r>
      <w:r w:rsidRPr="005E0C8D">
        <w:rPr>
          <w:b/>
          <w:rtl/>
        </w:rPr>
        <w:t>פי כל השיקולים הצריכים לגזר הדין אני קובע כי אלה העונשים שאני משית על הנאשם:</w:t>
      </w:r>
    </w:p>
    <w:p w14:paraId="6BDB2671" w14:textId="77777777" w:rsidR="00CD203B" w:rsidRPr="005E0C8D" w:rsidRDefault="00CD203B" w:rsidP="00CD203B">
      <w:pPr>
        <w:spacing w:line="360" w:lineRule="auto"/>
        <w:jc w:val="both"/>
      </w:pPr>
    </w:p>
    <w:p w14:paraId="515EA833" w14:textId="77777777" w:rsidR="00CD203B" w:rsidRPr="00A26509" w:rsidRDefault="00CD203B" w:rsidP="00CD203B">
      <w:pPr>
        <w:pStyle w:val="a9"/>
        <w:numPr>
          <w:ilvl w:val="0"/>
          <w:numId w:val="1"/>
        </w:numPr>
        <w:spacing w:line="360" w:lineRule="auto"/>
        <w:jc w:val="both"/>
        <w:rPr>
          <w:sz w:val="24"/>
        </w:rPr>
      </w:pPr>
      <w:r w:rsidRPr="005E0C8D">
        <w:rPr>
          <w:rFonts w:hint="cs"/>
          <w:sz w:val="24"/>
          <w:rtl/>
        </w:rPr>
        <w:t xml:space="preserve">אני דן את הנאשם למאסר למשך </w:t>
      </w:r>
      <w:r>
        <w:rPr>
          <w:rFonts w:hint="cs"/>
          <w:b/>
          <w:bCs/>
          <w:sz w:val="24"/>
          <w:rtl/>
        </w:rPr>
        <w:t>3</w:t>
      </w:r>
      <w:r w:rsidRPr="005E0C8D">
        <w:rPr>
          <w:rFonts w:hint="cs"/>
          <w:b/>
          <w:bCs/>
          <w:sz w:val="24"/>
          <w:rtl/>
        </w:rPr>
        <w:t xml:space="preserve"> </w:t>
      </w:r>
      <w:r w:rsidRPr="005E0C8D">
        <w:rPr>
          <w:rFonts w:hint="cs"/>
          <w:sz w:val="24"/>
          <w:rtl/>
        </w:rPr>
        <w:t>חודשים וזאת על תנאי למשך שלוש שנים. התנאי הוא שלא יעבור א</w:t>
      </w:r>
      <w:r>
        <w:rPr>
          <w:rFonts w:hint="cs"/>
          <w:sz w:val="24"/>
          <w:rtl/>
        </w:rPr>
        <w:t>ח</w:t>
      </w:r>
      <w:r w:rsidRPr="005E0C8D">
        <w:rPr>
          <w:rFonts w:hint="cs"/>
          <w:sz w:val="24"/>
          <w:rtl/>
        </w:rPr>
        <w:t>ת העביר</w:t>
      </w:r>
      <w:r>
        <w:rPr>
          <w:rFonts w:hint="cs"/>
          <w:sz w:val="24"/>
          <w:rtl/>
        </w:rPr>
        <w:t>ות</w:t>
      </w:r>
      <w:r w:rsidRPr="005E0C8D">
        <w:rPr>
          <w:rFonts w:hint="cs"/>
          <w:sz w:val="24"/>
          <w:rtl/>
        </w:rPr>
        <w:t xml:space="preserve"> בה</w:t>
      </w:r>
      <w:r>
        <w:rPr>
          <w:rFonts w:hint="cs"/>
          <w:sz w:val="24"/>
          <w:rtl/>
        </w:rPr>
        <w:t>ן</w:t>
      </w:r>
      <w:r w:rsidRPr="005E0C8D">
        <w:rPr>
          <w:rFonts w:hint="cs"/>
          <w:sz w:val="24"/>
          <w:rtl/>
        </w:rPr>
        <w:t xml:space="preserve"> הורשע</w:t>
      </w:r>
      <w:r>
        <w:rPr>
          <w:rFonts w:hint="cs"/>
          <w:sz w:val="24"/>
          <w:rtl/>
        </w:rPr>
        <w:t>.</w:t>
      </w:r>
    </w:p>
    <w:p w14:paraId="37677CC7" w14:textId="77777777" w:rsidR="00CD203B" w:rsidRPr="00A26509" w:rsidRDefault="00CD203B" w:rsidP="00CD203B">
      <w:pPr>
        <w:spacing w:line="360" w:lineRule="auto"/>
        <w:jc w:val="both"/>
      </w:pPr>
      <w:r w:rsidRPr="005E0C8D">
        <w:t xml:space="preserve"> </w:t>
      </w:r>
    </w:p>
    <w:p w14:paraId="182AA660" w14:textId="77777777" w:rsidR="00CD203B" w:rsidRPr="005E0C8D" w:rsidRDefault="00CD203B" w:rsidP="00CD203B">
      <w:pPr>
        <w:pStyle w:val="a9"/>
        <w:numPr>
          <w:ilvl w:val="0"/>
          <w:numId w:val="1"/>
        </w:numPr>
        <w:spacing w:line="360" w:lineRule="auto"/>
        <w:jc w:val="both"/>
        <w:rPr>
          <w:sz w:val="24"/>
        </w:rPr>
      </w:pPr>
      <w:r>
        <w:rPr>
          <w:rFonts w:hint="cs"/>
          <w:sz w:val="24"/>
          <w:rtl/>
        </w:rPr>
        <w:t xml:space="preserve">הנאשם ישלם קנס בסך </w:t>
      </w:r>
      <w:r w:rsidRPr="005E0C8D">
        <w:rPr>
          <w:rFonts w:hint="cs"/>
          <w:sz w:val="24"/>
          <w:rtl/>
        </w:rPr>
        <w:t xml:space="preserve"> </w:t>
      </w:r>
      <w:r>
        <w:rPr>
          <w:rFonts w:hint="cs"/>
          <w:sz w:val="24"/>
          <w:rtl/>
        </w:rPr>
        <w:t xml:space="preserve">1500 </w:t>
      </w:r>
      <w:r w:rsidRPr="005E0C8D">
        <w:rPr>
          <w:rFonts w:hint="cs"/>
          <w:b/>
          <w:bCs/>
          <w:sz w:val="24"/>
          <w:rtl/>
        </w:rPr>
        <w:t xml:space="preserve">₪ </w:t>
      </w:r>
      <w:r w:rsidRPr="005E0C8D">
        <w:rPr>
          <w:rFonts w:hint="cs"/>
          <w:sz w:val="24"/>
          <w:rtl/>
        </w:rPr>
        <w:t xml:space="preserve">או  </w:t>
      </w:r>
      <w:r>
        <w:rPr>
          <w:rFonts w:hint="cs"/>
          <w:sz w:val="24"/>
          <w:rtl/>
        </w:rPr>
        <w:t>15</w:t>
      </w:r>
      <w:r w:rsidRPr="005E0C8D">
        <w:rPr>
          <w:rFonts w:hint="cs"/>
          <w:sz w:val="24"/>
          <w:rtl/>
        </w:rPr>
        <w:t xml:space="preserve"> ימי מאסר תמורתם. </w:t>
      </w:r>
    </w:p>
    <w:p w14:paraId="373D80AD" w14:textId="77777777" w:rsidR="00CD203B" w:rsidRPr="005E0C8D" w:rsidRDefault="00CD203B" w:rsidP="00CD203B">
      <w:pPr>
        <w:pStyle w:val="a9"/>
        <w:spacing w:line="360" w:lineRule="auto"/>
        <w:jc w:val="both"/>
        <w:rPr>
          <w:sz w:val="24"/>
          <w:rtl/>
        </w:rPr>
      </w:pPr>
      <w:r w:rsidRPr="005E0C8D">
        <w:rPr>
          <w:rFonts w:hint="cs"/>
          <w:sz w:val="24"/>
          <w:rtl/>
        </w:rPr>
        <w:t xml:space="preserve">הקנס ישולם עד ליום    </w:t>
      </w:r>
      <w:r>
        <w:rPr>
          <w:rFonts w:hint="cs"/>
          <w:sz w:val="24"/>
          <w:rtl/>
        </w:rPr>
        <w:t xml:space="preserve">1.9.17  . </w:t>
      </w:r>
      <w:r w:rsidRPr="005E0C8D">
        <w:rPr>
          <w:rFonts w:hint="cs"/>
          <w:sz w:val="24"/>
          <w:rtl/>
        </w:rPr>
        <w:t xml:space="preserve">היה והקנס או שיעור משיעוריו לא ישולם במועד, תעמוד יתרת הקנס לתשלום מידי. </w:t>
      </w:r>
    </w:p>
    <w:p w14:paraId="4D7E317B" w14:textId="77777777" w:rsidR="00CD203B" w:rsidRPr="005E0C8D" w:rsidRDefault="00CD203B" w:rsidP="00CD203B">
      <w:pPr>
        <w:pStyle w:val="a9"/>
        <w:spacing w:line="360" w:lineRule="auto"/>
        <w:jc w:val="both"/>
        <w:rPr>
          <w:sz w:val="24"/>
          <w:rtl/>
        </w:rPr>
      </w:pPr>
    </w:p>
    <w:p w14:paraId="7D3D2435" w14:textId="77777777" w:rsidR="00CD203B" w:rsidRDefault="00CD203B" w:rsidP="00CD203B">
      <w:pPr>
        <w:pStyle w:val="a9"/>
        <w:numPr>
          <w:ilvl w:val="0"/>
          <w:numId w:val="1"/>
        </w:numPr>
        <w:spacing w:line="360" w:lineRule="auto"/>
        <w:jc w:val="both"/>
        <w:rPr>
          <w:sz w:val="24"/>
        </w:rPr>
      </w:pPr>
      <w:r w:rsidRPr="005E0C8D">
        <w:rPr>
          <w:rFonts w:hint="cs"/>
          <w:sz w:val="24"/>
          <w:rtl/>
        </w:rPr>
        <w:t xml:space="preserve">הנאשם יחתום על התחייבות כספית על סך </w:t>
      </w:r>
      <w:r>
        <w:rPr>
          <w:rFonts w:hint="cs"/>
          <w:sz w:val="24"/>
          <w:rtl/>
        </w:rPr>
        <w:t xml:space="preserve">1,000 </w:t>
      </w:r>
      <w:r w:rsidRPr="005E0C8D">
        <w:rPr>
          <w:rFonts w:hint="cs"/>
          <w:b/>
          <w:bCs/>
          <w:sz w:val="24"/>
          <w:rtl/>
        </w:rPr>
        <w:t>₪</w:t>
      </w:r>
      <w:r w:rsidRPr="005E0C8D">
        <w:rPr>
          <w:rFonts w:hint="cs"/>
          <w:sz w:val="24"/>
          <w:rtl/>
        </w:rPr>
        <w:t xml:space="preserve"> שלא יעבור עבירה דומה לעבירה בה הורשע והתנאי הוא למשך 3 שנים מהיום. היה ולא יחתום הנאשם על התחייבות זו </w:t>
      </w:r>
      <w:r>
        <w:rPr>
          <w:rFonts w:hint="cs"/>
          <w:sz w:val="24"/>
          <w:rtl/>
        </w:rPr>
        <w:t xml:space="preserve">בתוך 7 ימים, </w:t>
      </w:r>
      <w:r w:rsidRPr="005E0C8D">
        <w:rPr>
          <w:rFonts w:hint="cs"/>
          <w:sz w:val="24"/>
          <w:rtl/>
        </w:rPr>
        <w:t xml:space="preserve">ייאסר למשך שבוע. </w:t>
      </w:r>
    </w:p>
    <w:p w14:paraId="2DA2EE01" w14:textId="77777777" w:rsidR="00CD203B" w:rsidRPr="00DB3951" w:rsidRDefault="00CD203B" w:rsidP="00CD203B">
      <w:pPr>
        <w:spacing w:line="360" w:lineRule="auto"/>
        <w:jc w:val="both"/>
      </w:pPr>
    </w:p>
    <w:p w14:paraId="5E9173CE" w14:textId="77777777" w:rsidR="00CD203B" w:rsidRPr="005E0C8D" w:rsidRDefault="00CD203B" w:rsidP="00CD203B">
      <w:pPr>
        <w:pStyle w:val="a9"/>
        <w:numPr>
          <w:ilvl w:val="0"/>
          <w:numId w:val="1"/>
        </w:numPr>
        <w:spacing w:line="360" w:lineRule="auto"/>
        <w:jc w:val="both"/>
        <w:rPr>
          <w:sz w:val="24"/>
        </w:rPr>
      </w:pPr>
      <w:r w:rsidRPr="005E0C8D">
        <w:rPr>
          <w:rFonts w:hint="cs"/>
          <w:sz w:val="24"/>
          <w:rtl/>
        </w:rPr>
        <w:t xml:space="preserve">הנני פוסל את הנאשם מלקבל או מלהחזיק רישיון נהיגה לתקופה של  </w:t>
      </w:r>
      <w:r>
        <w:rPr>
          <w:rFonts w:hint="cs"/>
          <w:sz w:val="24"/>
          <w:rtl/>
        </w:rPr>
        <w:t xml:space="preserve">18 </w:t>
      </w:r>
      <w:r w:rsidRPr="005E0C8D">
        <w:rPr>
          <w:rFonts w:hint="cs"/>
          <w:sz w:val="24"/>
          <w:rtl/>
        </w:rPr>
        <w:t xml:space="preserve">חודשים וזאת  בניכוי 30 יום אותם ריצה הנאשם בפסילה מנהלית. </w:t>
      </w:r>
    </w:p>
    <w:p w14:paraId="0D147EB4" w14:textId="77777777" w:rsidR="00CD203B" w:rsidRPr="005E0C8D" w:rsidRDefault="00CD203B" w:rsidP="00CD203B">
      <w:pPr>
        <w:pStyle w:val="a9"/>
        <w:spacing w:line="360" w:lineRule="auto"/>
        <w:jc w:val="both"/>
        <w:rPr>
          <w:sz w:val="24"/>
          <w:rtl/>
        </w:rPr>
      </w:pPr>
      <w:r w:rsidRPr="005E0C8D">
        <w:rPr>
          <w:rFonts w:hint="cs"/>
          <w:sz w:val="24"/>
          <w:rtl/>
        </w:rPr>
        <w:t xml:space="preserve">הנאשם יפקיד את רישיונו </w:t>
      </w:r>
      <w:r>
        <w:rPr>
          <w:rFonts w:hint="cs"/>
          <w:sz w:val="24"/>
          <w:rtl/>
        </w:rPr>
        <w:t>ה</w:t>
      </w:r>
      <w:r w:rsidRPr="005E0C8D">
        <w:rPr>
          <w:rFonts w:hint="cs"/>
          <w:sz w:val="24"/>
          <w:rtl/>
        </w:rPr>
        <w:t xml:space="preserve">יום במזכירות ביהמ"ש. </w:t>
      </w:r>
    </w:p>
    <w:p w14:paraId="664D8333" w14:textId="77777777" w:rsidR="00CD203B" w:rsidRPr="005E0C8D" w:rsidRDefault="00CD203B" w:rsidP="00CD203B">
      <w:pPr>
        <w:spacing w:line="360" w:lineRule="auto"/>
        <w:ind w:left="720" w:hanging="720"/>
        <w:jc w:val="both"/>
        <w:rPr>
          <w:rtl/>
        </w:rPr>
      </w:pPr>
    </w:p>
    <w:p w14:paraId="46AF2421" w14:textId="77777777" w:rsidR="00CD203B" w:rsidRPr="005E0C8D" w:rsidRDefault="00CD203B" w:rsidP="00CD203B">
      <w:pPr>
        <w:pStyle w:val="a9"/>
        <w:numPr>
          <w:ilvl w:val="0"/>
          <w:numId w:val="1"/>
        </w:numPr>
        <w:autoSpaceDE w:val="0"/>
        <w:autoSpaceDN w:val="0"/>
        <w:adjustRightInd w:val="0"/>
        <w:spacing w:line="360" w:lineRule="auto"/>
        <w:jc w:val="both"/>
        <w:rPr>
          <w:sz w:val="24"/>
        </w:rPr>
      </w:pPr>
      <w:r w:rsidRPr="005E0C8D">
        <w:rPr>
          <w:rFonts w:hint="cs"/>
          <w:sz w:val="24"/>
          <w:rtl/>
        </w:rPr>
        <w:t xml:space="preserve">הנני פוסל את הנאשם מלקבל או מלהחזיק רישיון נהיגה לתקופה של </w:t>
      </w:r>
      <w:r>
        <w:rPr>
          <w:rFonts w:hint="cs"/>
          <w:sz w:val="24"/>
          <w:rtl/>
        </w:rPr>
        <w:t>6</w:t>
      </w:r>
      <w:r w:rsidRPr="005E0C8D">
        <w:rPr>
          <w:rFonts w:hint="cs"/>
          <w:sz w:val="24"/>
          <w:rtl/>
        </w:rPr>
        <w:t xml:space="preserve"> חודשים וזאת על תנאי למשך  3 שנים. </w:t>
      </w:r>
    </w:p>
    <w:p w14:paraId="4809CF58" w14:textId="77777777" w:rsidR="00CD203B" w:rsidRDefault="00CD203B" w:rsidP="00CD203B">
      <w:pPr>
        <w:autoSpaceDE w:val="0"/>
        <w:autoSpaceDN w:val="0"/>
        <w:adjustRightInd w:val="0"/>
        <w:spacing w:line="360" w:lineRule="auto"/>
        <w:jc w:val="both"/>
        <w:rPr>
          <w:rFonts w:hint="cs"/>
          <w:rtl/>
        </w:rPr>
      </w:pPr>
    </w:p>
    <w:p w14:paraId="3B643624" w14:textId="77777777" w:rsidR="00DD3330" w:rsidRDefault="00DD3330" w:rsidP="00CD203B">
      <w:pPr>
        <w:autoSpaceDE w:val="0"/>
        <w:autoSpaceDN w:val="0"/>
        <w:adjustRightInd w:val="0"/>
        <w:spacing w:line="360" w:lineRule="auto"/>
        <w:jc w:val="both"/>
        <w:rPr>
          <w:rFonts w:hint="cs"/>
          <w:rtl/>
        </w:rPr>
      </w:pPr>
    </w:p>
    <w:p w14:paraId="0E7DCE62" w14:textId="77777777" w:rsidR="00DD3330" w:rsidRPr="005E0C8D" w:rsidRDefault="00DD3330" w:rsidP="00CD203B">
      <w:pPr>
        <w:autoSpaceDE w:val="0"/>
        <w:autoSpaceDN w:val="0"/>
        <w:adjustRightInd w:val="0"/>
        <w:spacing w:line="360" w:lineRule="auto"/>
        <w:jc w:val="both"/>
        <w:rPr>
          <w:rFonts w:hint="cs"/>
        </w:rPr>
      </w:pPr>
    </w:p>
    <w:p w14:paraId="0B634E23" w14:textId="77777777" w:rsidR="00CD203B" w:rsidRPr="003758B9" w:rsidRDefault="00CD203B" w:rsidP="00CD203B">
      <w:pPr>
        <w:autoSpaceDE w:val="0"/>
        <w:autoSpaceDN w:val="0"/>
        <w:adjustRightInd w:val="0"/>
        <w:spacing w:line="360" w:lineRule="auto"/>
        <w:rPr>
          <w:b/>
          <w:bCs/>
          <w:u w:val="single"/>
          <w:rtl/>
        </w:rPr>
      </w:pPr>
      <w:r w:rsidRPr="003758B9">
        <w:rPr>
          <w:rFonts w:hint="cs"/>
          <w:b/>
          <w:bCs/>
          <w:u w:val="single"/>
          <w:rtl/>
        </w:rPr>
        <w:t>המזכירות תשלח פרוטוקול הדיון לשירות המבחן.</w:t>
      </w:r>
    </w:p>
    <w:p w14:paraId="7BB94198" w14:textId="77777777" w:rsidR="00CD203B" w:rsidRDefault="00CD203B" w:rsidP="00CD203B">
      <w:pPr>
        <w:spacing w:line="360" w:lineRule="auto"/>
        <w:jc w:val="both"/>
        <w:rPr>
          <w:rtl/>
        </w:rPr>
      </w:pPr>
    </w:p>
    <w:p w14:paraId="0D165CDB" w14:textId="77777777" w:rsidR="00CD203B" w:rsidRPr="005E0C8D" w:rsidRDefault="00CD203B" w:rsidP="00CD203B">
      <w:pPr>
        <w:spacing w:line="360" w:lineRule="auto"/>
        <w:ind w:left="720" w:hanging="720"/>
        <w:jc w:val="both"/>
        <w:rPr>
          <w:b/>
          <w:bCs/>
          <w:u w:val="single"/>
          <w:rtl/>
        </w:rPr>
      </w:pPr>
      <w:r w:rsidRPr="005E0C8D">
        <w:rPr>
          <w:rFonts w:hint="cs"/>
          <w:b/>
          <w:bCs/>
          <w:u w:val="single"/>
          <w:rtl/>
        </w:rPr>
        <w:t>זכות ערעור לבית המשפט המחוזי בת"א, תוך 45 יום מהיום.</w:t>
      </w:r>
    </w:p>
    <w:p w14:paraId="2DF5021F" w14:textId="77777777" w:rsidR="00CD203B" w:rsidRPr="005E0C8D" w:rsidRDefault="00CD203B" w:rsidP="00CD203B">
      <w:pPr>
        <w:spacing w:line="360" w:lineRule="auto"/>
        <w:ind w:left="720" w:hanging="720"/>
        <w:jc w:val="both"/>
        <w:rPr>
          <w:b/>
          <w:bCs/>
          <w:u w:val="single"/>
          <w:rtl/>
        </w:rPr>
      </w:pPr>
    </w:p>
    <w:p w14:paraId="2B5F1A75" w14:textId="77777777" w:rsidR="00CD203B" w:rsidRPr="005E0C8D" w:rsidRDefault="00CD203B" w:rsidP="00CD203B">
      <w:pPr>
        <w:spacing w:line="360" w:lineRule="auto"/>
        <w:jc w:val="both"/>
        <w:rPr>
          <w:b/>
          <w:bCs/>
          <w:u w:val="single"/>
          <w:rtl/>
        </w:rPr>
      </w:pPr>
      <w:r w:rsidRPr="005E0C8D">
        <w:rPr>
          <w:rFonts w:hint="cs"/>
          <w:b/>
          <w:bCs/>
          <w:u w:val="single"/>
          <w:rtl/>
        </w:rPr>
        <w:t xml:space="preserve">במידה וקיימים מוצגים הרי שהם </w:t>
      </w:r>
      <w:r>
        <w:rPr>
          <w:rFonts w:hint="cs"/>
          <w:b/>
          <w:bCs/>
          <w:u w:val="single"/>
          <w:rtl/>
        </w:rPr>
        <w:t>יישמד</w:t>
      </w:r>
      <w:r>
        <w:rPr>
          <w:rFonts w:hint="eastAsia"/>
          <w:b/>
          <w:bCs/>
          <w:u w:val="single"/>
          <w:rtl/>
        </w:rPr>
        <w:t>ו</w:t>
      </w:r>
      <w:r>
        <w:rPr>
          <w:rFonts w:hint="cs"/>
          <w:b/>
          <w:bCs/>
          <w:u w:val="single"/>
          <w:rtl/>
        </w:rPr>
        <w:t xml:space="preserve">, יחולטו, יושבו לבעליהם על פי שיקול הדעת של קצין </w:t>
      </w:r>
      <w:r w:rsidRPr="005E0C8D">
        <w:rPr>
          <w:rFonts w:hint="cs"/>
          <w:b/>
          <w:bCs/>
          <w:u w:val="single"/>
          <w:rtl/>
        </w:rPr>
        <w:t>החקירות.</w:t>
      </w:r>
    </w:p>
    <w:p w14:paraId="7A86C102" w14:textId="77777777" w:rsidR="00CD203B" w:rsidRPr="005E0C8D" w:rsidRDefault="00CD203B" w:rsidP="00CD203B">
      <w:pPr>
        <w:spacing w:line="360" w:lineRule="auto"/>
        <w:rPr>
          <w:rtl/>
        </w:rPr>
      </w:pPr>
    </w:p>
    <w:p w14:paraId="1EA76702" w14:textId="77777777" w:rsidR="00CD203B" w:rsidRPr="00741D65" w:rsidRDefault="00CD203B" w:rsidP="00CD203B">
      <w:pPr>
        <w:spacing w:line="360" w:lineRule="auto"/>
        <w:jc w:val="both"/>
        <w:rPr>
          <w:b/>
          <w:bCs/>
          <w:u w:val="single"/>
        </w:rPr>
      </w:pPr>
      <w:r w:rsidRPr="00741D65">
        <w:rPr>
          <w:rFonts w:hint="cs"/>
          <w:b/>
          <w:bCs/>
          <w:u w:val="single"/>
          <w:rtl/>
        </w:rPr>
        <w:t>ככל</w:t>
      </w:r>
      <w:r w:rsidRPr="00741D65">
        <w:rPr>
          <w:rFonts w:hint="cs"/>
          <w:b/>
          <w:bCs/>
          <w:u w:val="single"/>
        </w:rPr>
        <w:t xml:space="preserve"> </w:t>
      </w:r>
      <w:r w:rsidRPr="00741D65">
        <w:rPr>
          <w:rFonts w:hint="cs"/>
          <w:b/>
          <w:bCs/>
          <w:u w:val="single"/>
          <w:rtl/>
        </w:rPr>
        <w:t>שהופקד</w:t>
      </w:r>
      <w:r w:rsidRPr="00741D65">
        <w:rPr>
          <w:rFonts w:hint="cs"/>
          <w:b/>
          <w:bCs/>
          <w:u w:val="single"/>
        </w:rPr>
        <w:t xml:space="preserve"> </w:t>
      </w:r>
      <w:r w:rsidRPr="00741D65">
        <w:rPr>
          <w:rFonts w:hint="cs"/>
          <w:b/>
          <w:bCs/>
          <w:u w:val="single"/>
          <w:rtl/>
        </w:rPr>
        <w:t>פיקדון</w:t>
      </w:r>
      <w:r w:rsidRPr="00741D65">
        <w:rPr>
          <w:rFonts w:hint="cs"/>
          <w:b/>
          <w:bCs/>
          <w:u w:val="single"/>
        </w:rPr>
        <w:t xml:space="preserve"> </w:t>
      </w:r>
      <w:r w:rsidRPr="00741D65">
        <w:rPr>
          <w:rFonts w:hint="cs"/>
          <w:b/>
          <w:bCs/>
          <w:u w:val="single"/>
          <w:rtl/>
        </w:rPr>
        <w:t>בתיק</w:t>
      </w:r>
      <w:r w:rsidRPr="00741D65">
        <w:rPr>
          <w:rFonts w:hint="cs"/>
          <w:b/>
          <w:bCs/>
          <w:u w:val="single"/>
        </w:rPr>
        <w:t xml:space="preserve"> </w:t>
      </w:r>
      <w:r w:rsidRPr="00741D65">
        <w:rPr>
          <w:rFonts w:hint="cs"/>
          <w:b/>
          <w:bCs/>
          <w:u w:val="single"/>
          <w:rtl/>
        </w:rPr>
        <w:t>על-ידי</w:t>
      </w:r>
      <w:r w:rsidRPr="00741D65">
        <w:rPr>
          <w:rFonts w:hint="cs"/>
          <w:b/>
          <w:bCs/>
          <w:u w:val="single"/>
        </w:rPr>
        <w:t xml:space="preserve"> </w:t>
      </w:r>
      <w:r w:rsidRPr="00741D65">
        <w:rPr>
          <w:rFonts w:hint="cs"/>
          <w:b/>
          <w:bCs/>
          <w:u w:val="single"/>
          <w:rtl/>
        </w:rPr>
        <w:t>הנאשם, הקנס יקוזז מהפיקדון ואת היתרה יש</w:t>
      </w:r>
      <w:r w:rsidRPr="00741D65">
        <w:rPr>
          <w:rFonts w:hint="cs"/>
          <w:b/>
          <w:bCs/>
          <w:u w:val="single"/>
        </w:rPr>
        <w:t xml:space="preserve"> </w:t>
      </w:r>
      <w:r w:rsidRPr="00741D65">
        <w:rPr>
          <w:rFonts w:hint="cs"/>
          <w:b/>
          <w:bCs/>
          <w:u w:val="single"/>
          <w:rtl/>
        </w:rPr>
        <w:t>להחזירו</w:t>
      </w:r>
      <w:r w:rsidRPr="00741D65">
        <w:rPr>
          <w:rFonts w:hint="cs"/>
          <w:b/>
          <w:bCs/>
          <w:u w:val="single"/>
        </w:rPr>
        <w:t xml:space="preserve"> </w:t>
      </w:r>
      <w:r w:rsidRPr="00741D65">
        <w:rPr>
          <w:rFonts w:hint="cs"/>
          <w:b/>
          <w:bCs/>
          <w:u w:val="single"/>
          <w:rtl/>
        </w:rPr>
        <w:t>לידיו</w:t>
      </w:r>
      <w:r w:rsidRPr="00741D65">
        <w:rPr>
          <w:rFonts w:hint="cs"/>
          <w:b/>
          <w:bCs/>
          <w:u w:val="single"/>
        </w:rPr>
        <w:t xml:space="preserve"> </w:t>
      </w:r>
      <w:r w:rsidRPr="00741D65">
        <w:rPr>
          <w:rFonts w:hint="cs"/>
          <w:b/>
          <w:bCs/>
          <w:u w:val="single"/>
          <w:rtl/>
        </w:rPr>
        <w:t>או</w:t>
      </w:r>
      <w:r w:rsidRPr="00741D65">
        <w:rPr>
          <w:rFonts w:hint="cs"/>
          <w:b/>
          <w:bCs/>
          <w:u w:val="single"/>
        </w:rPr>
        <w:t xml:space="preserve"> </w:t>
      </w:r>
      <w:r w:rsidRPr="00741D65">
        <w:rPr>
          <w:rFonts w:hint="cs"/>
          <w:b/>
          <w:bCs/>
          <w:u w:val="single"/>
          <w:rtl/>
        </w:rPr>
        <w:t>לגורם</w:t>
      </w:r>
      <w:r w:rsidRPr="00741D65">
        <w:rPr>
          <w:rFonts w:hint="cs"/>
          <w:b/>
          <w:bCs/>
          <w:u w:val="single"/>
        </w:rPr>
        <w:t xml:space="preserve"> </w:t>
      </w:r>
      <w:r w:rsidRPr="00741D65">
        <w:rPr>
          <w:rFonts w:hint="cs"/>
          <w:b/>
          <w:bCs/>
          <w:u w:val="single"/>
          <w:rtl/>
        </w:rPr>
        <w:t>אחר</w:t>
      </w:r>
      <w:r w:rsidRPr="00741D65">
        <w:rPr>
          <w:rFonts w:hint="cs"/>
          <w:b/>
          <w:bCs/>
          <w:u w:val="single"/>
        </w:rPr>
        <w:t xml:space="preserve"> </w:t>
      </w:r>
      <w:r w:rsidRPr="00741D65">
        <w:rPr>
          <w:rFonts w:hint="cs"/>
          <w:b/>
          <w:bCs/>
          <w:u w:val="single"/>
          <w:rtl/>
        </w:rPr>
        <w:t>לפי</w:t>
      </w:r>
      <w:r w:rsidRPr="00741D65">
        <w:rPr>
          <w:rFonts w:hint="cs"/>
          <w:b/>
          <w:bCs/>
          <w:u w:val="single"/>
        </w:rPr>
        <w:t xml:space="preserve"> </w:t>
      </w:r>
      <w:r w:rsidRPr="00741D65">
        <w:rPr>
          <w:rFonts w:hint="cs"/>
          <w:b/>
          <w:bCs/>
          <w:u w:val="single"/>
          <w:rtl/>
        </w:rPr>
        <w:t>בקשת</w:t>
      </w:r>
      <w:r w:rsidRPr="00741D65">
        <w:rPr>
          <w:rFonts w:hint="cs"/>
          <w:b/>
          <w:bCs/>
          <w:u w:val="single"/>
        </w:rPr>
        <w:t xml:space="preserve"> </w:t>
      </w:r>
      <w:r w:rsidRPr="00741D65">
        <w:rPr>
          <w:rFonts w:hint="cs"/>
          <w:b/>
          <w:bCs/>
          <w:u w:val="single"/>
          <w:rtl/>
        </w:rPr>
        <w:t>הנאשם</w:t>
      </w:r>
      <w:r>
        <w:rPr>
          <w:rFonts w:hint="cs"/>
          <w:b/>
          <w:bCs/>
          <w:u w:val="single"/>
          <w:rtl/>
        </w:rPr>
        <w:t>,</w:t>
      </w:r>
      <w:r w:rsidRPr="003C7153">
        <w:rPr>
          <w:rFonts w:hint="cs"/>
          <w:b/>
          <w:bCs/>
          <w:u w:val="single"/>
          <w:rtl/>
        </w:rPr>
        <w:t xml:space="preserve"> </w:t>
      </w:r>
      <w:r w:rsidRPr="00741D65">
        <w:rPr>
          <w:rFonts w:hint="cs"/>
          <w:b/>
          <w:bCs/>
          <w:u w:val="single"/>
          <w:rtl/>
        </w:rPr>
        <w:t>בהיעדר</w:t>
      </w:r>
      <w:r w:rsidRPr="00741D65">
        <w:rPr>
          <w:rFonts w:hint="cs"/>
          <w:b/>
          <w:bCs/>
          <w:u w:val="single"/>
        </w:rPr>
        <w:t xml:space="preserve"> </w:t>
      </w:r>
      <w:r w:rsidRPr="00741D65">
        <w:rPr>
          <w:rFonts w:hint="cs"/>
          <w:b/>
          <w:bCs/>
          <w:u w:val="single"/>
          <w:rtl/>
        </w:rPr>
        <w:t>מניעה</w:t>
      </w:r>
      <w:r w:rsidRPr="00741D65">
        <w:rPr>
          <w:rFonts w:hint="cs"/>
          <w:b/>
          <w:bCs/>
          <w:u w:val="single"/>
        </w:rPr>
        <w:t xml:space="preserve"> </w:t>
      </w:r>
      <w:r w:rsidRPr="00741D65">
        <w:rPr>
          <w:rFonts w:hint="cs"/>
          <w:b/>
          <w:bCs/>
          <w:u w:val="single"/>
          <w:rtl/>
        </w:rPr>
        <w:t>על-פי</w:t>
      </w:r>
      <w:r w:rsidRPr="00741D65">
        <w:rPr>
          <w:rFonts w:hint="cs"/>
          <w:b/>
          <w:bCs/>
          <w:u w:val="single"/>
        </w:rPr>
        <w:t xml:space="preserve"> </w:t>
      </w:r>
      <w:r w:rsidRPr="00741D65">
        <w:rPr>
          <w:rFonts w:hint="cs"/>
          <w:b/>
          <w:bCs/>
          <w:u w:val="single"/>
          <w:rtl/>
        </w:rPr>
        <w:t>דין.</w:t>
      </w:r>
    </w:p>
    <w:p w14:paraId="1727862E" w14:textId="77777777" w:rsidR="00CD203B" w:rsidRDefault="00CD203B" w:rsidP="00CD203B">
      <w:pPr>
        <w:spacing w:line="360" w:lineRule="auto"/>
      </w:pPr>
    </w:p>
    <w:p w14:paraId="62534D01" w14:textId="77777777" w:rsidR="00CD203B" w:rsidRPr="00741D65" w:rsidRDefault="00CD203B" w:rsidP="00CD203B">
      <w:pPr>
        <w:spacing w:line="360" w:lineRule="auto"/>
        <w:ind w:left="720" w:hanging="720"/>
        <w:jc w:val="both"/>
        <w:rPr>
          <w:b/>
          <w:bCs/>
          <w:u w:val="single"/>
          <w:rtl/>
        </w:rPr>
      </w:pPr>
      <w:r>
        <w:rPr>
          <w:rFonts w:hint="cs"/>
          <w:b/>
          <w:bCs/>
          <w:u w:val="single"/>
          <w:rtl/>
        </w:rPr>
        <w:t>המרשם הפלילי הושב לידיה הנאמנות של התביעה</w:t>
      </w:r>
    </w:p>
    <w:p w14:paraId="30BE0558" w14:textId="77777777" w:rsidR="00CD203B" w:rsidRPr="005E0C8D" w:rsidRDefault="00CD203B" w:rsidP="00CD203B">
      <w:pPr>
        <w:spacing w:line="360" w:lineRule="auto"/>
        <w:ind w:left="720" w:hanging="720"/>
        <w:jc w:val="both"/>
        <w:rPr>
          <w:b/>
          <w:bCs/>
          <w:u w:val="single"/>
          <w:rtl/>
        </w:rPr>
      </w:pPr>
    </w:p>
    <w:p w14:paraId="04DFBC9E" w14:textId="77777777" w:rsidR="00CD203B" w:rsidRPr="005E0C8D" w:rsidRDefault="00803D09" w:rsidP="00CD203B">
      <w:pPr>
        <w:spacing w:line="360" w:lineRule="auto"/>
        <w:jc w:val="both"/>
      </w:pPr>
      <w:r w:rsidRPr="00803D09">
        <w:rPr>
          <w:color w:val="FFFFFF"/>
          <w:sz w:val="2"/>
          <w:szCs w:val="2"/>
          <w:rtl/>
        </w:rPr>
        <w:t>5129371</w:t>
      </w:r>
      <w:r w:rsidR="00CD203B" w:rsidRPr="005E0C8D">
        <w:rPr>
          <w:rFonts w:hint="cs"/>
          <w:rtl/>
        </w:rPr>
        <w:t xml:space="preserve">הנאשם יפנה למזכירות ביהמ"ש לקבלת שובר תשלום קנס. </w:t>
      </w:r>
    </w:p>
    <w:p w14:paraId="16539CFE" w14:textId="77777777" w:rsidR="00CD203B" w:rsidRPr="00803D09" w:rsidRDefault="00803D09" w:rsidP="00CD203B">
      <w:pPr>
        <w:jc w:val="both"/>
        <w:rPr>
          <w:color w:val="FFFFFF"/>
          <w:sz w:val="2"/>
          <w:szCs w:val="2"/>
          <w:rtl/>
        </w:rPr>
      </w:pPr>
      <w:r w:rsidRPr="00803D09">
        <w:rPr>
          <w:color w:val="FFFFFF"/>
          <w:sz w:val="2"/>
          <w:szCs w:val="2"/>
          <w:rtl/>
        </w:rPr>
        <w:t>54678313</w:t>
      </w:r>
    </w:p>
    <w:p w14:paraId="20BA7A77" w14:textId="77777777" w:rsidR="00CD203B" w:rsidRDefault="00CD203B" w:rsidP="00CD203B">
      <w:pPr>
        <w:spacing w:line="360" w:lineRule="auto"/>
        <w:jc w:val="both"/>
        <w:rPr>
          <w:rFonts w:ascii="Arial" w:hAnsi="Arial"/>
          <w:noProof w:val="0"/>
          <w:rtl/>
        </w:rPr>
      </w:pPr>
    </w:p>
    <w:p w14:paraId="2CF8F7EE" w14:textId="77777777" w:rsidR="00CD203B" w:rsidRDefault="00803D09" w:rsidP="00CD203B">
      <w:pPr>
        <w:tabs>
          <w:tab w:val="left" w:pos="2553"/>
        </w:tabs>
        <w:ind w:left="5040"/>
        <w:rPr>
          <w:rtl/>
        </w:rPr>
      </w:pPr>
      <w:r>
        <w:rPr>
          <w:rFonts w:ascii="Arial" w:hAnsi="Arial"/>
          <w:noProof w:val="0"/>
          <w:rtl/>
        </w:rPr>
        <w:t xml:space="preserve">ניתנה היום, 01 יוני 2017, במעמד הצדדים. </w:t>
      </w:r>
      <w:r w:rsidR="00CD203B">
        <w:rPr>
          <w:rFonts w:hint="cs"/>
          <w:rtl/>
        </w:rPr>
        <w:t xml:space="preserve">     </w:t>
      </w:r>
    </w:p>
    <w:p w14:paraId="664C30FD" w14:textId="77777777" w:rsidR="00CD203B" w:rsidRDefault="00CD203B" w:rsidP="00CD203B">
      <w:pPr>
        <w:tabs>
          <w:tab w:val="left" w:pos="2553"/>
        </w:tabs>
      </w:pPr>
      <w:r>
        <w:rPr>
          <w:rFonts w:hint="cs"/>
          <w:rtl/>
        </w:rPr>
        <w:tab/>
      </w:r>
      <w:r>
        <w:rPr>
          <w:rFonts w:hint="cs"/>
          <w:rtl/>
        </w:rPr>
        <w:tab/>
        <w:t xml:space="preserve">  </w:t>
      </w:r>
      <w:r>
        <w:rPr>
          <w:rtl/>
        </w:rPr>
        <w:t xml:space="preserve">     </w:t>
      </w:r>
    </w:p>
    <w:p w14:paraId="14003759" w14:textId="77777777" w:rsidR="00CD203B" w:rsidRDefault="00CD203B" w:rsidP="00CD203B">
      <w:pPr>
        <w:tabs>
          <w:tab w:val="left" w:pos="2553"/>
        </w:tabs>
        <w:rPr>
          <w:rFonts w:ascii="Arial" w:hAnsi="Arial"/>
          <w:noProof w:val="0"/>
          <w:rtl/>
        </w:rPr>
      </w:pPr>
    </w:p>
    <w:p w14:paraId="67581836" w14:textId="77777777" w:rsidR="002D7B2F" w:rsidRPr="00803D09" w:rsidRDefault="002D7B2F" w:rsidP="00803D09">
      <w:pPr>
        <w:keepNext/>
        <w:rPr>
          <w:rFonts w:ascii="David" w:hAnsi="David" w:hint="cs"/>
          <w:color w:val="000000"/>
          <w:sz w:val="22"/>
          <w:szCs w:val="22"/>
          <w:rtl/>
        </w:rPr>
      </w:pPr>
    </w:p>
    <w:p w14:paraId="39A5C960" w14:textId="77777777" w:rsidR="00803D09" w:rsidRPr="00803D09" w:rsidRDefault="00803D09" w:rsidP="00803D09">
      <w:pPr>
        <w:keepNext/>
        <w:rPr>
          <w:rFonts w:ascii="David" w:hAnsi="David"/>
          <w:color w:val="000000"/>
          <w:sz w:val="22"/>
          <w:szCs w:val="22"/>
          <w:rtl/>
        </w:rPr>
      </w:pPr>
      <w:r w:rsidRPr="00803D09">
        <w:rPr>
          <w:rFonts w:ascii="David" w:hAnsi="David"/>
          <w:color w:val="000000"/>
          <w:sz w:val="22"/>
          <w:szCs w:val="22"/>
          <w:rtl/>
        </w:rPr>
        <w:t>שמואל מלמד 54678313</w:t>
      </w:r>
    </w:p>
    <w:p w14:paraId="282B4816" w14:textId="77777777" w:rsidR="00803D09" w:rsidRDefault="00803D09" w:rsidP="00803D09">
      <w:r w:rsidRPr="00803D09">
        <w:rPr>
          <w:color w:val="000000"/>
          <w:rtl/>
        </w:rPr>
        <w:t>נוסח מסמך זה כפוף לשינויי ניסוח ועריכה</w:t>
      </w:r>
    </w:p>
    <w:p w14:paraId="1F793029" w14:textId="77777777" w:rsidR="00803D09" w:rsidRDefault="00803D09" w:rsidP="00803D09">
      <w:pPr>
        <w:rPr>
          <w:rtl/>
        </w:rPr>
      </w:pPr>
    </w:p>
    <w:p w14:paraId="07396945" w14:textId="77777777" w:rsidR="00803D09" w:rsidRDefault="00803D09" w:rsidP="00803D09">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40881D69" w14:textId="77777777" w:rsidR="00803D09" w:rsidRPr="00803D09" w:rsidRDefault="00803D09" w:rsidP="00803D09">
      <w:pPr>
        <w:jc w:val="center"/>
        <w:rPr>
          <w:rFonts w:hint="cs"/>
          <w:color w:val="0000FF"/>
          <w:u w:val="single"/>
        </w:rPr>
      </w:pPr>
    </w:p>
    <w:sectPr w:rsidR="00803D09" w:rsidRPr="00803D09" w:rsidSect="00803D09">
      <w:headerReference w:type="even" r:id="rId24"/>
      <w:headerReference w:type="default" r:id="rId25"/>
      <w:footerReference w:type="even" r:id="rId26"/>
      <w:footerReference w:type="default" r:id="rId27"/>
      <w:pgSz w:w="11907" w:h="16840" w:code="9"/>
      <w:pgMar w:top="1701" w:right="1701" w:bottom="1701" w:left="1701"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E6CB3A" w14:textId="77777777" w:rsidR="006374CA" w:rsidRDefault="006374CA" w:rsidP="00FE40CA">
      <w:r>
        <w:separator/>
      </w:r>
    </w:p>
  </w:endnote>
  <w:endnote w:type="continuationSeparator" w:id="0">
    <w:p w14:paraId="4D916681" w14:textId="77777777" w:rsidR="006374CA" w:rsidRDefault="006374CA" w:rsidP="00FE4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DC2A9" w14:textId="77777777" w:rsidR="006374CA" w:rsidRDefault="006374CA" w:rsidP="00803D0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62E19A1F" w14:textId="77777777" w:rsidR="006374CA" w:rsidRPr="00803D09" w:rsidRDefault="006374CA" w:rsidP="00803D0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9C41F" w14:textId="77777777" w:rsidR="006374CA" w:rsidRDefault="006374CA" w:rsidP="00803D09">
    <w:pPr>
      <w:pStyle w:val="a5"/>
      <w:jc w:val="center"/>
      <w:rPr>
        <w:rStyle w:val="a8"/>
        <w:rFonts w:ascii="FrankRuehl" w:hAnsi="FrankRuehl" w:cs="FrankRueh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5D7682">
      <w:rPr>
        <w:rStyle w:val="a8"/>
        <w:rFonts w:ascii="FrankRuehl" w:hAnsi="FrankRuehl" w:cs="FrankRuehl"/>
        <w:rtl/>
      </w:rPr>
      <w:t>1</w:t>
    </w:r>
    <w:r>
      <w:rPr>
        <w:rStyle w:val="a8"/>
        <w:rFonts w:ascii="FrankRuehl" w:hAnsi="FrankRuehl" w:cs="FrankRuehl"/>
        <w:rtl/>
      </w:rPr>
      <w:fldChar w:fldCharType="end"/>
    </w:r>
  </w:p>
  <w:p w14:paraId="74858C49" w14:textId="77777777" w:rsidR="006374CA" w:rsidRPr="00803D09" w:rsidRDefault="006374CA" w:rsidP="00803D09">
    <w:pPr>
      <w:pStyle w:val="a5"/>
      <w:pBdr>
        <w:top w:val="single" w:sz="4" w:space="1" w:color="auto"/>
        <w:between w:val="single" w:sz="4" w:space="0" w:color="auto"/>
      </w:pBdr>
      <w:spacing w:after="60"/>
      <w:jc w:val="center"/>
      <w:rPr>
        <w:rStyle w:val="a8"/>
        <w:rFonts w:ascii="FrankRuehl" w:hAnsi="FrankRuehl" w:cs="FrankRuehl" w:hint="cs"/>
        <w:color w:val="000000"/>
      </w:rPr>
    </w:pPr>
    <w:r>
      <w:rPr>
        <w:rStyle w:val="a8"/>
        <w:rFonts w:ascii="FrankRuehl" w:hAnsi="FrankRuehl" w:cs="FrankRuehl" w:hint="cs"/>
        <w:color w:val="000000"/>
      </w:rPr>
      <w:pict w14:anchorId="3AB9C2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006677" w14:textId="77777777" w:rsidR="006374CA" w:rsidRDefault="006374CA" w:rsidP="00FE40CA">
      <w:r>
        <w:separator/>
      </w:r>
    </w:p>
  </w:footnote>
  <w:footnote w:type="continuationSeparator" w:id="0">
    <w:p w14:paraId="15787509" w14:textId="77777777" w:rsidR="006374CA" w:rsidRDefault="006374CA" w:rsidP="00FE40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718AC" w14:textId="77777777" w:rsidR="006374CA" w:rsidRPr="00803D09" w:rsidRDefault="006374CA" w:rsidP="00803D0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62524-12-15</w:t>
    </w:r>
    <w:r>
      <w:rPr>
        <w:rFonts w:ascii="David" w:hAnsi="David"/>
        <w:color w:val="000000"/>
        <w:sz w:val="22"/>
        <w:szCs w:val="22"/>
        <w:rtl/>
      </w:rPr>
      <w:tab/>
      <w:t xml:space="preserve"> מדינת ישראל נ' אנדריי קובישקין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2AAC5" w14:textId="77777777" w:rsidR="006374CA" w:rsidRPr="00803D09" w:rsidRDefault="006374CA" w:rsidP="00803D0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62524-12-15</w:t>
    </w:r>
    <w:r>
      <w:rPr>
        <w:rFonts w:ascii="David" w:hAnsi="David"/>
        <w:color w:val="000000"/>
        <w:sz w:val="22"/>
        <w:szCs w:val="22"/>
        <w:rtl/>
      </w:rPr>
      <w:tab/>
      <w:t xml:space="preserve"> מדינת ישראל נ' אנדריי קובישקין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655741"/>
    <w:multiLevelType w:val="hybridMultilevel"/>
    <w:tmpl w:val="A98E5D96"/>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6097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D203B"/>
    <w:rsid w:val="001B4833"/>
    <w:rsid w:val="002D1754"/>
    <w:rsid w:val="002D7B2F"/>
    <w:rsid w:val="005D7682"/>
    <w:rsid w:val="006374CA"/>
    <w:rsid w:val="00644455"/>
    <w:rsid w:val="00803D09"/>
    <w:rsid w:val="009E71B8"/>
    <w:rsid w:val="00B33264"/>
    <w:rsid w:val="00BA16A0"/>
    <w:rsid w:val="00CD203B"/>
    <w:rsid w:val="00D75235"/>
    <w:rsid w:val="00DD3330"/>
    <w:rsid w:val="00FE40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36A7A8A"/>
  <w15:chartTrackingRefBased/>
  <w15:docId w15:val="{323CA955-B985-4E8E-BEBB-C9F682BCB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D203B"/>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D203B"/>
    <w:pPr>
      <w:tabs>
        <w:tab w:val="center" w:pos="4153"/>
        <w:tab w:val="right" w:pos="8306"/>
      </w:tabs>
    </w:pPr>
  </w:style>
  <w:style w:type="character" w:customStyle="1" w:styleId="a4">
    <w:name w:val="כותרת עליונה תו"/>
    <w:link w:val="a3"/>
    <w:rsid w:val="00CD203B"/>
    <w:rPr>
      <w:rFonts w:ascii="Times New Roman" w:eastAsia="Times New Roman" w:hAnsi="Times New Roman" w:cs="David"/>
      <w:noProof/>
      <w:sz w:val="24"/>
      <w:szCs w:val="24"/>
    </w:rPr>
  </w:style>
  <w:style w:type="paragraph" w:styleId="a5">
    <w:name w:val="footer"/>
    <w:basedOn w:val="a"/>
    <w:link w:val="a6"/>
    <w:rsid w:val="00CD203B"/>
    <w:pPr>
      <w:tabs>
        <w:tab w:val="center" w:pos="4153"/>
        <w:tab w:val="right" w:pos="8306"/>
      </w:tabs>
    </w:pPr>
  </w:style>
  <w:style w:type="character" w:customStyle="1" w:styleId="a6">
    <w:name w:val="כותרת תחתונה תו"/>
    <w:link w:val="a5"/>
    <w:rsid w:val="00CD203B"/>
    <w:rPr>
      <w:rFonts w:ascii="Times New Roman" w:eastAsia="Times New Roman" w:hAnsi="Times New Roman" w:cs="David"/>
      <w:noProof/>
      <w:sz w:val="24"/>
      <w:szCs w:val="24"/>
    </w:rPr>
  </w:style>
  <w:style w:type="table" w:styleId="a7">
    <w:name w:val="Table Grid"/>
    <w:basedOn w:val="a1"/>
    <w:rsid w:val="00CD203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D203B"/>
  </w:style>
  <w:style w:type="paragraph" w:styleId="a9">
    <w:name w:val="List Paragraph"/>
    <w:basedOn w:val="a"/>
    <w:qFormat/>
    <w:rsid w:val="00CD203B"/>
    <w:pPr>
      <w:snapToGrid w:val="0"/>
      <w:ind w:left="720"/>
      <w:contextualSpacing/>
    </w:pPr>
    <w:rPr>
      <w:noProof w:val="0"/>
      <w:sz w:val="20"/>
      <w:lang w:eastAsia="he-IL"/>
    </w:rPr>
  </w:style>
  <w:style w:type="character" w:styleId="Hyperlink">
    <w:name w:val="Hyperlink"/>
    <w:rsid w:val="00803D09"/>
    <w:rPr>
      <w:color w:val="0563C1"/>
      <w:u w:val="single"/>
    </w:rPr>
  </w:style>
  <w:style w:type="character" w:styleId="aa">
    <w:name w:val="Mention"/>
    <w:rsid w:val="00803D0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5227/38.1" TargetMode="External"/><Relationship Id="rId18" Type="http://schemas.openxmlformats.org/officeDocument/2006/relationships/hyperlink" Target="http://www.nevo.co.il/law/74274/26.2"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law/5227" TargetMode="External"/><Relationship Id="rId7" Type="http://schemas.openxmlformats.org/officeDocument/2006/relationships/hyperlink" Target="http://www.nevo.co.il/law/4216" TargetMode="External"/><Relationship Id="rId12" Type="http://schemas.openxmlformats.org/officeDocument/2006/relationships/hyperlink" Target="http://www.nevo.co.il/law/5227" TargetMode="External"/><Relationship Id="rId17" Type="http://schemas.openxmlformats.org/officeDocument/2006/relationships/hyperlink" Target="http://www.nevo.co.il/law/4216"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4216/7.c" TargetMode="External"/><Relationship Id="rId20" Type="http://schemas.openxmlformats.org/officeDocument/2006/relationships/hyperlink" Target="http://www.nevo.co.il/law/5227/38.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4274/26.2"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74274" TargetMode="External"/><Relationship Id="rId19" Type="http://schemas.openxmlformats.org/officeDocument/2006/relationships/hyperlink" Target="http://www.nevo.co.il/law/74274"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1151</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6895</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7995492</vt:i4>
      </vt:variant>
      <vt:variant>
        <vt:i4>45</vt:i4>
      </vt:variant>
      <vt:variant>
        <vt:i4>0</vt:i4>
      </vt:variant>
      <vt:variant>
        <vt:i4>5</vt:i4>
      </vt:variant>
      <vt:variant>
        <vt:lpwstr>http://www.nevo.co.il/law/70301</vt:lpwstr>
      </vt:variant>
      <vt:variant>
        <vt:lpwstr/>
      </vt:variant>
      <vt:variant>
        <vt:i4>8323175</vt:i4>
      </vt:variant>
      <vt:variant>
        <vt:i4>42</vt:i4>
      </vt:variant>
      <vt:variant>
        <vt:i4>0</vt:i4>
      </vt:variant>
      <vt:variant>
        <vt:i4>5</vt:i4>
      </vt:variant>
      <vt:variant>
        <vt:lpwstr>http://www.nevo.co.il/law/5227</vt:lpwstr>
      </vt:variant>
      <vt:variant>
        <vt:lpwstr/>
      </vt:variant>
      <vt:variant>
        <vt:i4>6422640</vt:i4>
      </vt:variant>
      <vt:variant>
        <vt:i4>39</vt:i4>
      </vt:variant>
      <vt:variant>
        <vt:i4>0</vt:i4>
      </vt:variant>
      <vt:variant>
        <vt:i4>5</vt:i4>
      </vt:variant>
      <vt:variant>
        <vt:lpwstr>http://www.nevo.co.il/law/5227/38.1</vt:lpwstr>
      </vt:variant>
      <vt:variant>
        <vt:lpwstr/>
      </vt:variant>
      <vt:variant>
        <vt:i4>7929957</vt:i4>
      </vt:variant>
      <vt:variant>
        <vt:i4>36</vt:i4>
      </vt:variant>
      <vt:variant>
        <vt:i4>0</vt:i4>
      </vt:variant>
      <vt:variant>
        <vt:i4>5</vt:i4>
      </vt:variant>
      <vt:variant>
        <vt:lpwstr>http://www.nevo.co.il/law/74274</vt:lpwstr>
      </vt:variant>
      <vt:variant>
        <vt:lpwstr/>
      </vt:variant>
      <vt:variant>
        <vt:i4>5374029</vt:i4>
      </vt:variant>
      <vt:variant>
        <vt:i4>33</vt:i4>
      </vt:variant>
      <vt:variant>
        <vt:i4>0</vt:i4>
      </vt:variant>
      <vt:variant>
        <vt:i4>5</vt:i4>
      </vt:variant>
      <vt:variant>
        <vt:lpwstr>http://www.nevo.co.il/law/74274/26.2</vt:lpwstr>
      </vt:variant>
      <vt:variant>
        <vt:lpwstr/>
      </vt:variant>
      <vt:variant>
        <vt:i4>8257637</vt:i4>
      </vt:variant>
      <vt:variant>
        <vt:i4>30</vt:i4>
      </vt:variant>
      <vt:variant>
        <vt:i4>0</vt:i4>
      </vt:variant>
      <vt:variant>
        <vt:i4>5</vt:i4>
      </vt:variant>
      <vt:variant>
        <vt:lpwstr>http://www.nevo.co.il/law/4216</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7995492</vt:i4>
      </vt:variant>
      <vt:variant>
        <vt:i4>21</vt:i4>
      </vt:variant>
      <vt:variant>
        <vt:i4>0</vt:i4>
      </vt:variant>
      <vt:variant>
        <vt:i4>5</vt:i4>
      </vt:variant>
      <vt:variant>
        <vt:lpwstr>http://www.nevo.co.il/law/70301</vt:lpwstr>
      </vt:variant>
      <vt:variant>
        <vt:lpwstr/>
      </vt:variant>
      <vt:variant>
        <vt:i4>6422640</vt:i4>
      </vt:variant>
      <vt:variant>
        <vt:i4>18</vt:i4>
      </vt:variant>
      <vt:variant>
        <vt:i4>0</vt:i4>
      </vt:variant>
      <vt:variant>
        <vt:i4>5</vt:i4>
      </vt:variant>
      <vt:variant>
        <vt:lpwstr>http://www.nevo.co.il/law/5227/38.1</vt:lpwstr>
      </vt:variant>
      <vt:variant>
        <vt:lpwstr/>
      </vt:variant>
      <vt:variant>
        <vt:i4>8323175</vt:i4>
      </vt:variant>
      <vt:variant>
        <vt:i4>15</vt:i4>
      </vt:variant>
      <vt:variant>
        <vt:i4>0</vt:i4>
      </vt:variant>
      <vt:variant>
        <vt:i4>5</vt:i4>
      </vt:variant>
      <vt:variant>
        <vt:lpwstr>http://www.nevo.co.il/law/5227</vt:lpwstr>
      </vt:variant>
      <vt:variant>
        <vt:lpwstr/>
      </vt:variant>
      <vt:variant>
        <vt:i4>5374029</vt:i4>
      </vt:variant>
      <vt:variant>
        <vt:i4>12</vt:i4>
      </vt:variant>
      <vt:variant>
        <vt:i4>0</vt:i4>
      </vt:variant>
      <vt:variant>
        <vt:i4>5</vt:i4>
      </vt:variant>
      <vt:variant>
        <vt:lpwstr>http://www.nevo.co.il/law/74274/26.2</vt:lpwstr>
      </vt:variant>
      <vt:variant>
        <vt:lpwstr/>
      </vt:variant>
      <vt:variant>
        <vt:i4>7929957</vt:i4>
      </vt:variant>
      <vt:variant>
        <vt:i4>9</vt:i4>
      </vt:variant>
      <vt:variant>
        <vt:i4>0</vt:i4>
      </vt:variant>
      <vt:variant>
        <vt:i4>5</vt:i4>
      </vt:variant>
      <vt:variant>
        <vt:lpwstr>http://www.nevo.co.il/law/74274</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2025-04-22T22:58:00Z</dcterms:created>
  <dcterms:modified xsi:type="dcterms:W3CDTF">2025-04-22T22:58:00Z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62524</vt:lpwstr>
  </property>
  <property fmtid="{D5CDD505-2E9C-101B-9397-08002B2CF9AE}" pid="6" name="NEWPARTB">
    <vt:lpwstr>12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אנדריי קובישקין</vt:lpwstr>
  </property>
  <property fmtid="{D5CDD505-2E9C-101B-9397-08002B2CF9AE}" pid="10" name="LAWYER">
    <vt:lpwstr>הכהן ויצחקי;ברנט</vt:lpwstr>
  </property>
  <property fmtid="{D5CDD505-2E9C-101B-9397-08002B2CF9AE}" pid="11" name="JUDGE">
    <vt:lpwstr>שמואל מלמד</vt:lpwstr>
  </property>
  <property fmtid="{D5CDD505-2E9C-101B-9397-08002B2CF9AE}" pid="12" name="CITY">
    <vt:lpwstr>ת"א</vt:lpwstr>
  </property>
  <property fmtid="{D5CDD505-2E9C-101B-9397-08002B2CF9AE}" pid="13" name="DATE">
    <vt:lpwstr>20170601</vt:lpwstr>
  </property>
  <property fmtid="{D5CDD505-2E9C-101B-9397-08002B2CF9AE}" pid="14" name="TYPE_N_DATE">
    <vt:lpwstr>38020170601</vt:lpwstr>
  </property>
  <property fmtid="{D5CDD505-2E9C-101B-9397-08002B2CF9AE}" pid="15" name="WORDNUMPAGES">
    <vt:lpwstr>4</vt:lpwstr>
  </property>
  <property fmtid="{D5CDD505-2E9C-101B-9397-08002B2CF9AE}" pid="16" name="TYPE_ABS_DATE">
    <vt:lpwstr>380020170601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4216/007.a;007.c</vt:lpwstr>
  </property>
  <property fmtid="{D5CDD505-2E9C-101B-9397-08002B2CF9AE}" pid="36" name="LAWLISTTMP2">
    <vt:lpwstr>74274/026.2</vt:lpwstr>
  </property>
  <property fmtid="{D5CDD505-2E9C-101B-9397-08002B2CF9AE}" pid="37" name="LAWLISTTMP3">
    <vt:lpwstr>5227/038.1</vt:lpwstr>
  </property>
  <property fmtid="{D5CDD505-2E9C-101B-9397-08002B2CF9AE}" pid="38" name="LAWLISTTMP4">
    <vt:lpwstr>70301</vt:lpwstr>
  </property>
</Properties>
</file>