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42715" w:rsidRPr="00DA50C5" w14:paraId="6368E77C" w14:textId="77777777" w:rsidTr="00A9503E">
        <w:trPr>
          <w:trHeight w:hRule="exact" w:val="418"/>
          <w:jc w:val="center"/>
        </w:trPr>
        <w:tc>
          <w:tcPr>
            <w:tcW w:w="8721" w:type="dxa"/>
            <w:gridSpan w:val="2"/>
          </w:tcPr>
          <w:p w14:paraId="4C368A6A" w14:textId="77777777" w:rsidR="00B42715" w:rsidRPr="00DA50C5" w:rsidRDefault="00B42715" w:rsidP="00DF746E">
            <w:pPr>
              <w:pStyle w:val="a3"/>
              <w:jc w:val="center"/>
              <w:rPr>
                <w:rFonts w:ascii="Tahoma" w:hAnsi="Tahoma"/>
                <w:color w:val="000080"/>
                <w:sz w:val="32"/>
                <w:szCs w:val="32"/>
                <w:rtl/>
              </w:rPr>
            </w:pPr>
            <w:bookmarkStart w:id="0" w:name="LastJudge"/>
            <w:r w:rsidRPr="00DA50C5">
              <w:rPr>
                <w:rFonts w:ascii="Tahoma" w:hAnsi="Tahoma"/>
                <w:b/>
                <w:bCs/>
                <w:color w:val="000080"/>
                <w:sz w:val="32"/>
                <w:szCs w:val="32"/>
                <w:rtl/>
              </w:rPr>
              <w:t>בית משפט השלום בתל אביב - יפו</w:t>
            </w:r>
          </w:p>
        </w:tc>
      </w:tr>
      <w:tr w:rsidR="00B42715" w:rsidRPr="00DA50C5" w14:paraId="36A85414" w14:textId="77777777" w:rsidTr="00A9503E">
        <w:trPr>
          <w:trHeight w:val="337"/>
          <w:jc w:val="center"/>
        </w:trPr>
        <w:tc>
          <w:tcPr>
            <w:tcW w:w="5057" w:type="dxa"/>
          </w:tcPr>
          <w:p w14:paraId="4A857E3A" w14:textId="77777777" w:rsidR="00B42715" w:rsidRPr="00DA50C5" w:rsidRDefault="00B42715" w:rsidP="00DF746E">
            <w:pPr>
              <w:rPr>
                <w:sz w:val="26"/>
                <w:szCs w:val="26"/>
                <w:rtl/>
              </w:rPr>
            </w:pPr>
            <w:r w:rsidRPr="00DA50C5">
              <w:rPr>
                <w:sz w:val="26"/>
                <w:szCs w:val="26"/>
                <w:rtl/>
              </w:rPr>
              <w:t>ת"פ</w:t>
            </w:r>
            <w:r w:rsidRPr="00DA50C5">
              <w:rPr>
                <w:rFonts w:hint="cs"/>
                <w:sz w:val="26"/>
                <w:szCs w:val="26"/>
                <w:rtl/>
              </w:rPr>
              <w:t xml:space="preserve"> </w:t>
            </w:r>
            <w:r w:rsidRPr="00DA50C5">
              <w:rPr>
                <w:sz w:val="26"/>
                <w:szCs w:val="26"/>
                <w:rtl/>
              </w:rPr>
              <w:t>15172-01-16</w:t>
            </w:r>
            <w:r w:rsidRPr="00DA50C5">
              <w:rPr>
                <w:rFonts w:hint="cs"/>
                <w:sz w:val="26"/>
                <w:szCs w:val="26"/>
                <w:rtl/>
              </w:rPr>
              <w:t xml:space="preserve"> </w:t>
            </w:r>
            <w:r w:rsidRPr="00DA50C5">
              <w:rPr>
                <w:sz w:val="26"/>
                <w:szCs w:val="26"/>
                <w:rtl/>
              </w:rPr>
              <w:t>מדינת ישראל נ' שמו(עציר)</w:t>
            </w:r>
          </w:p>
        </w:tc>
        <w:tc>
          <w:tcPr>
            <w:tcW w:w="3664" w:type="dxa"/>
          </w:tcPr>
          <w:p w14:paraId="7E484C69" w14:textId="77777777" w:rsidR="00B42715" w:rsidRPr="00DA50C5" w:rsidRDefault="00B42715" w:rsidP="00DF746E">
            <w:pPr>
              <w:pStyle w:val="a3"/>
              <w:jc w:val="right"/>
              <w:rPr>
                <w:rFonts w:cs="FrankRuehl"/>
                <w:sz w:val="28"/>
                <w:szCs w:val="28"/>
                <w:rtl/>
              </w:rPr>
            </w:pPr>
          </w:p>
        </w:tc>
      </w:tr>
    </w:tbl>
    <w:p w14:paraId="72AE4786" w14:textId="77777777" w:rsidR="00B42715" w:rsidRPr="00DA50C5" w:rsidRDefault="00B42715" w:rsidP="00B42715">
      <w:pPr>
        <w:pStyle w:val="a3"/>
        <w:rPr>
          <w:rtl/>
        </w:rPr>
      </w:pPr>
      <w:r w:rsidRPr="00DA50C5">
        <w:rPr>
          <w:rFonts w:hint="cs"/>
          <w:rtl/>
        </w:rPr>
        <w:t xml:space="preserve"> </w:t>
      </w:r>
    </w:p>
    <w:p w14:paraId="22FACBBA" w14:textId="77777777" w:rsidR="00B42715" w:rsidRPr="00DA50C5" w:rsidRDefault="00B42715" w:rsidP="00B42715">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6"/>
        <w:gridCol w:w="3383"/>
      </w:tblGrid>
      <w:tr w:rsidR="00B42715" w:rsidRPr="00DA50C5" w14:paraId="089EB841" w14:textId="77777777" w:rsidTr="00B42715">
        <w:trPr>
          <w:trHeight w:val="295"/>
          <w:jc w:val="center"/>
        </w:trPr>
        <w:tc>
          <w:tcPr>
            <w:tcW w:w="8820" w:type="dxa"/>
            <w:gridSpan w:val="3"/>
            <w:tcBorders>
              <w:top w:val="nil"/>
              <w:left w:val="nil"/>
              <w:bottom w:val="nil"/>
              <w:right w:val="nil"/>
            </w:tcBorders>
            <w:shd w:val="clear" w:color="auto" w:fill="auto"/>
          </w:tcPr>
          <w:p w14:paraId="0A6675B7" w14:textId="77777777" w:rsidR="00B42715" w:rsidRPr="00DA50C5" w:rsidRDefault="00B42715" w:rsidP="00B42715">
            <w:pPr>
              <w:jc w:val="both"/>
              <w:rPr>
                <w:sz w:val="26"/>
                <w:szCs w:val="26"/>
                <w:rtl/>
              </w:rPr>
            </w:pPr>
            <w:r w:rsidRPr="00DA50C5">
              <w:rPr>
                <w:rFonts w:ascii="Arial" w:hAnsi="Arial" w:hint="cs"/>
                <w:b/>
                <w:bCs/>
                <w:sz w:val="26"/>
                <w:szCs w:val="26"/>
                <w:rtl/>
              </w:rPr>
              <w:t>ל</w:t>
            </w:r>
            <w:r w:rsidRPr="00DA50C5">
              <w:rPr>
                <w:rFonts w:ascii="Arial" w:hAnsi="Arial"/>
                <w:b/>
                <w:bCs/>
                <w:sz w:val="26"/>
                <w:szCs w:val="26"/>
                <w:rtl/>
              </w:rPr>
              <w:t xml:space="preserve">פני </w:t>
            </w:r>
            <w:r w:rsidRPr="00DA50C5">
              <w:rPr>
                <w:rFonts w:ascii="Arial" w:hAnsi="Arial" w:hint="cs"/>
                <w:b/>
                <w:bCs/>
                <w:sz w:val="26"/>
                <w:szCs w:val="26"/>
                <w:rtl/>
              </w:rPr>
              <w:t>כבוד ה</w:t>
            </w:r>
            <w:r w:rsidRPr="00DA50C5">
              <w:rPr>
                <w:rFonts w:ascii="Arial" w:hAnsi="Arial"/>
                <w:b/>
                <w:bCs/>
                <w:sz w:val="26"/>
                <w:szCs w:val="26"/>
                <w:rtl/>
              </w:rPr>
              <w:t>שופט</w:t>
            </w:r>
            <w:r w:rsidRPr="00DA50C5">
              <w:rPr>
                <w:rFonts w:ascii="Arial" w:hAnsi="Arial" w:hint="cs"/>
                <w:b/>
                <w:bCs/>
                <w:sz w:val="26"/>
                <w:szCs w:val="26"/>
                <w:rtl/>
              </w:rPr>
              <w:t xml:space="preserve">  </w:t>
            </w:r>
            <w:r w:rsidRPr="00DA50C5">
              <w:rPr>
                <w:rFonts w:ascii="Arial" w:hAnsi="Arial"/>
                <w:b/>
                <w:bCs/>
                <w:sz w:val="26"/>
                <w:szCs w:val="26"/>
                <w:rtl/>
              </w:rPr>
              <w:t>עידו דרויאן-גמליאל</w:t>
            </w:r>
          </w:p>
          <w:p w14:paraId="17BEAA7A" w14:textId="77777777" w:rsidR="00B42715" w:rsidRPr="00DA50C5" w:rsidRDefault="00B42715" w:rsidP="00B42715">
            <w:pPr>
              <w:jc w:val="both"/>
              <w:rPr>
                <w:rFonts w:ascii="Arial" w:hAnsi="Arial"/>
                <w:b/>
                <w:bCs/>
                <w:sz w:val="26"/>
                <w:szCs w:val="26"/>
              </w:rPr>
            </w:pPr>
          </w:p>
        </w:tc>
      </w:tr>
      <w:tr w:rsidR="00B42715" w:rsidRPr="00DA50C5" w14:paraId="4ACC23C9" w14:textId="77777777" w:rsidTr="00A9503E">
        <w:trPr>
          <w:trHeight w:val="355"/>
          <w:jc w:val="center"/>
        </w:trPr>
        <w:tc>
          <w:tcPr>
            <w:tcW w:w="1231" w:type="dxa"/>
            <w:tcBorders>
              <w:top w:val="nil"/>
              <w:left w:val="nil"/>
              <w:bottom w:val="nil"/>
              <w:right w:val="nil"/>
            </w:tcBorders>
            <w:shd w:val="clear" w:color="auto" w:fill="auto"/>
          </w:tcPr>
          <w:p w14:paraId="4C0F565A" w14:textId="77777777" w:rsidR="00B42715" w:rsidRPr="00DA50C5" w:rsidRDefault="00B42715" w:rsidP="00B42715">
            <w:pPr>
              <w:jc w:val="both"/>
              <w:rPr>
                <w:rFonts w:ascii="Arial" w:hAnsi="Arial"/>
                <w:b/>
                <w:bCs/>
                <w:sz w:val="26"/>
                <w:szCs w:val="26"/>
              </w:rPr>
            </w:pPr>
            <w:bookmarkStart w:id="1" w:name="FirstAppellant"/>
            <w:bookmarkStart w:id="2" w:name="FirstLawyer"/>
            <w:r w:rsidRPr="00DA50C5">
              <w:rPr>
                <w:rFonts w:ascii="Arial" w:hAnsi="Arial" w:hint="cs"/>
                <w:b/>
                <w:bCs/>
                <w:sz w:val="26"/>
                <w:szCs w:val="26"/>
                <w:rtl/>
              </w:rPr>
              <w:t>ה</w:t>
            </w:r>
            <w:r w:rsidRPr="00DA50C5">
              <w:rPr>
                <w:rFonts w:ascii="Arial" w:hAnsi="Arial"/>
                <w:b/>
                <w:bCs/>
                <w:sz w:val="26"/>
                <w:szCs w:val="26"/>
                <w:rtl/>
              </w:rPr>
              <w:t>מאשימה</w:t>
            </w:r>
          </w:p>
        </w:tc>
        <w:tc>
          <w:tcPr>
            <w:tcW w:w="4206" w:type="dxa"/>
            <w:tcBorders>
              <w:top w:val="nil"/>
              <w:left w:val="nil"/>
              <w:bottom w:val="nil"/>
              <w:right w:val="nil"/>
            </w:tcBorders>
            <w:shd w:val="clear" w:color="auto" w:fill="auto"/>
          </w:tcPr>
          <w:p w14:paraId="03709224" w14:textId="77777777" w:rsidR="00B42715" w:rsidRPr="00DA50C5" w:rsidRDefault="00B42715" w:rsidP="00DF746E">
            <w:pPr>
              <w:rPr>
                <w:b/>
                <w:bCs/>
                <w:sz w:val="26"/>
                <w:szCs w:val="26"/>
                <w:rtl/>
              </w:rPr>
            </w:pPr>
            <w:r w:rsidRPr="00DA50C5">
              <w:rPr>
                <w:rFonts w:ascii="Arial" w:hAnsi="Arial"/>
                <w:b/>
                <w:bCs/>
                <w:sz w:val="26"/>
                <w:szCs w:val="26"/>
                <w:rtl/>
              </w:rPr>
              <w:t>מדינת ישראל</w:t>
            </w:r>
          </w:p>
          <w:p w14:paraId="10A32195" w14:textId="77777777" w:rsidR="00B42715" w:rsidRPr="00DA50C5" w:rsidRDefault="00B42715" w:rsidP="00DF746E">
            <w:pPr>
              <w:rPr>
                <w:sz w:val="26"/>
                <w:szCs w:val="26"/>
              </w:rPr>
            </w:pPr>
            <w:r w:rsidRPr="00DA50C5">
              <w:rPr>
                <w:rFonts w:hint="cs"/>
                <w:sz w:val="26"/>
                <w:szCs w:val="26"/>
                <w:rtl/>
              </w:rPr>
              <w:t>ע"י ב"כ עוה"ד הרצוג וחבר</w:t>
            </w:r>
          </w:p>
        </w:tc>
        <w:tc>
          <w:tcPr>
            <w:tcW w:w="3383" w:type="dxa"/>
            <w:tcBorders>
              <w:top w:val="nil"/>
              <w:left w:val="nil"/>
              <w:bottom w:val="nil"/>
              <w:right w:val="nil"/>
            </w:tcBorders>
            <w:shd w:val="clear" w:color="auto" w:fill="auto"/>
          </w:tcPr>
          <w:p w14:paraId="5D4C14F0" w14:textId="77777777" w:rsidR="00B42715" w:rsidRPr="00DA50C5" w:rsidRDefault="00B42715" w:rsidP="00B42715">
            <w:pPr>
              <w:jc w:val="both"/>
              <w:rPr>
                <w:rFonts w:ascii="Arial" w:hAnsi="Arial"/>
                <w:sz w:val="26"/>
                <w:szCs w:val="26"/>
              </w:rPr>
            </w:pPr>
          </w:p>
        </w:tc>
      </w:tr>
      <w:bookmarkEnd w:id="1"/>
      <w:bookmarkEnd w:id="2"/>
      <w:tr w:rsidR="00B42715" w:rsidRPr="00DA50C5" w14:paraId="4432ED00" w14:textId="77777777" w:rsidTr="00A9503E">
        <w:trPr>
          <w:trHeight w:val="373"/>
          <w:jc w:val="center"/>
        </w:trPr>
        <w:tc>
          <w:tcPr>
            <w:tcW w:w="1231" w:type="dxa"/>
            <w:tcBorders>
              <w:top w:val="nil"/>
              <w:left w:val="nil"/>
              <w:bottom w:val="nil"/>
              <w:right w:val="nil"/>
            </w:tcBorders>
            <w:shd w:val="clear" w:color="auto" w:fill="auto"/>
          </w:tcPr>
          <w:p w14:paraId="1485C5BE" w14:textId="77777777" w:rsidR="00B42715" w:rsidRPr="00DA50C5" w:rsidRDefault="00B42715" w:rsidP="00B42715">
            <w:pPr>
              <w:jc w:val="both"/>
              <w:rPr>
                <w:rFonts w:ascii="Arial" w:hAnsi="Arial"/>
                <w:sz w:val="26"/>
                <w:szCs w:val="26"/>
                <w:rtl/>
              </w:rPr>
            </w:pPr>
          </w:p>
        </w:tc>
        <w:tc>
          <w:tcPr>
            <w:tcW w:w="7589" w:type="dxa"/>
            <w:gridSpan w:val="2"/>
            <w:tcBorders>
              <w:top w:val="nil"/>
              <w:left w:val="nil"/>
              <w:bottom w:val="nil"/>
              <w:right w:val="nil"/>
            </w:tcBorders>
            <w:shd w:val="clear" w:color="auto" w:fill="auto"/>
          </w:tcPr>
          <w:p w14:paraId="6AFFB6D4" w14:textId="77777777" w:rsidR="00B42715" w:rsidRPr="00DA50C5" w:rsidRDefault="00B42715" w:rsidP="00B42715">
            <w:pPr>
              <w:jc w:val="center"/>
              <w:rPr>
                <w:rFonts w:ascii="Arial" w:hAnsi="Arial"/>
                <w:b/>
                <w:bCs/>
                <w:sz w:val="26"/>
                <w:szCs w:val="26"/>
                <w:rtl/>
              </w:rPr>
            </w:pPr>
          </w:p>
          <w:p w14:paraId="6F15D4AE" w14:textId="77777777" w:rsidR="00B42715" w:rsidRPr="00DA50C5" w:rsidRDefault="00B42715" w:rsidP="00B42715">
            <w:pPr>
              <w:jc w:val="center"/>
              <w:rPr>
                <w:rFonts w:ascii="Arial" w:hAnsi="Arial"/>
                <w:b/>
                <w:bCs/>
                <w:sz w:val="26"/>
                <w:szCs w:val="26"/>
                <w:rtl/>
              </w:rPr>
            </w:pPr>
            <w:r w:rsidRPr="00DA50C5">
              <w:rPr>
                <w:rFonts w:ascii="Arial" w:hAnsi="Arial"/>
                <w:b/>
                <w:bCs/>
                <w:sz w:val="26"/>
                <w:szCs w:val="26"/>
                <w:rtl/>
              </w:rPr>
              <w:t>נגד</w:t>
            </w:r>
          </w:p>
          <w:p w14:paraId="338D062E" w14:textId="77777777" w:rsidR="00B42715" w:rsidRPr="00DA50C5" w:rsidRDefault="00B42715" w:rsidP="00B42715">
            <w:pPr>
              <w:jc w:val="both"/>
              <w:rPr>
                <w:rFonts w:ascii="Arial" w:hAnsi="Arial"/>
                <w:sz w:val="26"/>
                <w:szCs w:val="26"/>
              </w:rPr>
            </w:pPr>
          </w:p>
        </w:tc>
      </w:tr>
      <w:tr w:rsidR="00B42715" w:rsidRPr="00DA50C5" w14:paraId="1BBA7ADF" w14:textId="77777777" w:rsidTr="00A9503E">
        <w:trPr>
          <w:trHeight w:val="355"/>
          <w:jc w:val="center"/>
        </w:trPr>
        <w:tc>
          <w:tcPr>
            <w:tcW w:w="1231" w:type="dxa"/>
            <w:tcBorders>
              <w:top w:val="nil"/>
              <w:left w:val="nil"/>
              <w:bottom w:val="nil"/>
              <w:right w:val="nil"/>
            </w:tcBorders>
            <w:shd w:val="clear" w:color="auto" w:fill="auto"/>
          </w:tcPr>
          <w:p w14:paraId="70BAEE1E" w14:textId="77777777" w:rsidR="00B42715" w:rsidRPr="00DA50C5" w:rsidRDefault="00B42715" w:rsidP="00DF746E">
            <w:pPr>
              <w:rPr>
                <w:rFonts w:ascii="Arial" w:hAnsi="Arial"/>
                <w:b/>
                <w:bCs/>
                <w:sz w:val="26"/>
                <w:szCs w:val="26"/>
                <w:rtl/>
              </w:rPr>
            </w:pPr>
            <w:r w:rsidRPr="00DA50C5">
              <w:rPr>
                <w:rFonts w:ascii="Arial" w:hAnsi="Arial" w:hint="cs"/>
                <w:b/>
                <w:bCs/>
                <w:sz w:val="26"/>
                <w:szCs w:val="26"/>
                <w:rtl/>
              </w:rPr>
              <w:t>ה</w:t>
            </w:r>
            <w:r w:rsidRPr="00DA50C5">
              <w:rPr>
                <w:rFonts w:ascii="Arial" w:hAnsi="Arial"/>
                <w:b/>
                <w:bCs/>
                <w:sz w:val="26"/>
                <w:szCs w:val="26"/>
                <w:rtl/>
              </w:rPr>
              <w:t>נאשם</w:t>
            </w:r>
          </w:p>
        </w:tc>
        <w:tc>
          <w:tcPr>
            <w:tcW w:w="4206" w:type="dxa"/>
            <w:tcBorders>
              <w:top w:val="nil"/>
              <w:left w:val="nil"/>
              <w:bottom w:val="nil"/>
              <w:right w:val="nil"/>
            </w:tcBorders>
            <w:shd w:val="clear" w:color="auto" w:fill="auto"/>
          </w:tcPr>
          <w:p w14:paraId="4E4DDBED" w14:textId="77777777" w:rsidR="00B42715" w:rsidRPr="00DA50C5" w:rsidRDefault="00B42715" w:rsidP="00DF746E">
            <w:pPr>
              <w:rPr>
                <w:b/>
                <w:bCs/>
                <w:sz w:val="26"/>
                <w:szCs w:val="26"/>
                <w:rtl/>
              </w:rPr>
            </w:pPr>
            <w:r w:rsidRPr="00DA50C5">
              <w:rPr>
                <w:rFonts w:hint="cs"/>
                <w:b/>
                <w:bCs/>
                <w:sz w:val="26"/>
                <w:szCs w:val="26"/>
                <w:rtl/>
              </w:rPr>
              <w:t>ליאור שמו</w:t>
            </w:r>
          </w:p>
          <w:p w14:paraId="1BFAE3A6" w14:textId="77777777" w:rsidR="00B42715" w:rsidRPr="00DA50C5" w:rsidRDefault="00B42715" w:rsidP="00DF746E">
            <w:pPr>
              <w:rPr>
                <w:sz w:val="26"/>
                <w:szCs w:val="26"/>
                <w:rtl/>
              </w:rPr>
            </w:pPr>
            <w:r w:rsidRPr="00DA50C5">
              <w:rPr>
                <w:rFonts w:hint="cs"/>
                <w:sz w:val="26"/>
                <w:szCs w:val="26"/>
                <w:rtl/>
              </w:rPr>
              <w:t>ע"י ב"כ עו"ד טליה גרידיש</w:t>
            </w:r>
          </w:p>
        </w:tc>
        <w:tc>
          <w:tcPr>
            <w:tcW w:w="3383" w:type="dxa"/>
            <w:tcBorders>
              <w:top w:val="nil"/>
              <w:left w:val="nil"/>
              <w:bottom w:val="nil"/>
              <w:right w:val="nil"/>
            </w:tcBorders>
            <w:shd w:val="clear" w:color="auto" w:fill="auto"/>
          </w:tcPr>
          <w:p w14:paraId="02FC14E6" w14:textId="77777777" w:rsidR="00B42715" w:rsidRPr="00DA50C5" w:rsidRDefault="00B42715" w:rsidP="00B42715">
            <w:pPr>
              <w:jc w:val="right"/>
              <w:rPr>
                <w:rFonts w:ascii="Arial" w:hAnsi="Arial"/>
                <w:sz w:val="26"/>
                <w:szCs w:val="26"/>
              </w:rPr>
            </w:pPr>
          </w:p>
        </w:tc>
      </w:tr>
      <w:tr w:rsidR="00B42715" w14:paraId="62DFDE16" w14:textId="77777777" w:rsidTr="00B42715">
        <w:trPr>
          <w:trHeight w:val="355"/>
          <w:jc w:val="center"/>
        </w:trPr>
        <w:tc>
          <w:tcPr>
            <w:tcW w:w="8820" w:type="dxa"/>
            <w:gridSpan w:val="3"/>
            <w:tcBorders>
              <w:top w:val="nil"/>
              <w:left w:val="nil"/>
              <w:bottom w:val="nil"/>
              <w:right w:val="nil"/>
            </w:tcBorders>
            <w:shd w:val="clear" w:color="auto" w:fill="auto"/>
          </w:tcPr>
          <w:p w14:paraId="5C088325" w14:textId="77777777" w:rsidR="00A9503E" w:rsidRDefault="00A9503E" w:rsidP="00DA50C5">
            <w:pPr>
              <w:jc w:val="center"/>
              <w:rPr>
                <w:rFonts w:ascii="Arial" w:hAnsi="Arial"/>
                <w:sz w:val="28"/>
                <w:szCs w:val="28"/>
                <w:rtl/>
              </w:rPr>
            </w:pPr>
            <w:bookmarkStart w:id="3" w:name="PsakDin" w:colFirst="0" w:colLast="0"/>
            <w:bookmarkStart w:id="4" w:name="LawTable"/>
            <w:bookmarkEnd w:id="0"/>
            <w:bookmarkEnd w:id="4"/>
          </w:p>
          <w:p w14:paraId="4D9C13E2" w14:textId="77777777" w:rsidR="00A9503E" w:rsidRPr="00A9503E" w:rsidRDefault="00A9503E" w:rsidP="00A9503E">
            <w:pPr>
              <w:spacing w:after="120" w:line="240" w:lineRule="exact"/>
              <w:ind w:left="283" w:hanging="283"/>
              <w:jc w:val="both"/>
              <w:rPr>
                <w:rFonts w:ascii="FrankRuehl" w:hAnsi="FrankRuehl" w:cs="FrankRuehl"/>
                <w:rtl/>
              </w:rPr>
            </w:pPr>
          </w:p>
          <w:p w14:paraId="77B39F16" w14:textId="77777777" w:rsidR="00A9503E" w:rsidRPr="00A9503E" w:rsidRDefault="00A9503E" w:rsidP="00A9503E">
            <w:pPr>
              <w:spacing w:after="120" w:line="240" w:lineRule="exact"/>
              <w:ind w:left="283" w:hanging="283"/>
              <w:jc w:val="both"/>
              <w:rPr>
                <w:rFonts w:ascii="FrankRuehl" w:hAnsi="FrankRuehl" w:cs="FrankRuehl"/>
                <w:rtl/>
              </w:rPr>
            </w:pPr>
            <w:r w:rsidRPr="00A9503E">
              <w:rPr>
                <w:rFonts w:ascii="FrankRuehl" w:hAnsi="FrankRuehl" w:cs="FrankRuehl"/>
                <w:rtl/>
              </w:rPr>
              <w:t xml:space="preserve">חקיקה שאוזכרה: </w:t>
            </w:r>
          </w:p>
          <w:p w14:paraId="40EB14F7" w14:textId="77777777" w:rsidR="00A9503E" w:rsidRPr="00A9503E" w:rsidRDefault="00A9503E" w:rsidP="00A9503E">
            <w:pPr>
              <w:spacing w:after="120" w:line="240" w:lineRule="exact"/>
              <w:ind w:left="283" w:hanging="283"/>
              <w:jc w:val="both"/>
              <w:rPr>
                <w:rFonts w:ascii="FrankRuehl" w:hAnsi="FrankRuehl" w:cs="FrankRuehl"/>
                <w:rtl/>
              </w:rPr>
            </w:pPr>
            <w:hyperlink r:id="rId7" w:history="1">
              <w:r w:rsidRPr="00A9503E">
                <w:rPr>
                  <w:rFonts w:ascii="FrankRuehl" w:hAnsi="FrankRuehl" w:cs="FrankRuehl"/>
                  <w:color w:val="0000FF"/>
                  <w:u w:val="single"/>
                  <w:rtl/>
                </w:rPr>
                <w:t>פקודת הסמים המסוכנים [נוסח חדש], תשל"ג-1973</w:t>
              </w:r>
            </w:hyperlink>
            <w:r w:rsidRPr="00A9503E">
              <w:rPr>
                <w:rFonts w:ascii="FrankRuehl" w:hAnsi="FrankRuehl" w:cs="FrankRuehl"/>
                <w:rtl/>
              </w:rPr>
              <w:t xml:space="preserve">: סע'  </w:t>
            </w:r>
            <w:hyperlink r:id="rId8" w:history="1">
              <w:r w:rsidRPr="00A9503E">
                <w:rPr>
                  <w:rFonts w:ascii="FrankRuehl" w:hAnsi="FrankRuehl" w:cs="FrankRuehl"/>
                  <w:color w:val="0000FF"/>
                  <w:u w:val="single"/>
                  <w:rtl/>
                </w:rPr>
                <w:t>6</w:t>
              </w:r>
            </w:hyperlink>
            <w:r w:rsidRPr="00A9503E">
              <w:rPr>
                <w:rFonts w:ascii="FrankRuehl" w:hAnsi="FrankRuehl" w:cs="FrankRuehl"/>
                <w:rtl/>
              </w:rPr>
              <w:t xml:space="preserve">, </w:t>
            </w:r>
            <w:hyperlink r:id="rId9" w:history="1">
              <w:r w:rsidRPr="00A9503E">
                <w:rPr>
                  <w:rFonts w:ascii="FrankRuehl" w:hAnsi="FrankRuehl" w:cs="FrankRuehl"/>
                  <w:color w:val="0000FF"/>
                  <w:u w:val="single"/>
                  <w:rtl/>
                </w:rPr>
                <w:t>7(א)</w:t>
              </w:r>
            </w:hyperlink>
            <w:r w:rsidRPr="00A9503E">
              <w:rPr>
                <w:rFonts w:ascii="FrankRuehl" w:hAnsi="FrankRuehl" w:cs="FrankRuehl"/>
                <w:rtl/>
              </w:rPr>
              <w:t xml:space="preserve">, </w:t>
            </w:r>
            <w:hyperlink r:id="rId10" w:history="1">
              <w:r w:rsidRPr="00A9503E">
                <w:rPr>
                  <w:rFonts w:ascii="FrankRuehl" w:hAnsi="FrankRuehl" w:cs="FrankRuehl"/>
                  <w:color w:val="0000FF"/>
                  <w:u w:val="single"/>
                  <w:rtl/>
                </w:rPr>
                <w:t>7(ג)</w:t>
              </w:r>
            </w:hyperlink>
          </w:p>
          <w:p w14:paraId="159018E1" w14:textId="77777777" w:rsidR="00A9503E" w:rsidRPr="00A9503E" w:rsidRDefault="00A9503E" w:rsidP="00A9503E">
            <w:pPr>
              <w:spacing w:after="120" w:line="240" w:lineRule="exact"/>
              <w:ind w:left="283" w:hanging="283"/>
              <w:jc w:val="both"/>
              <w:rPr>
                <w:rFonts w:ascii="FrankRuehl" w:hAnsi="FrankRuehl" w:cs="FrankRuehl"/>
                <w:rtl/>
              </w:rPr>
            </w:pPr>
            <w:hyperlink r:id="rId11" w:history="1">
              <w:r w:rsidRPr="00A9503E">
                <w:rPr>
                  <w:rFonts w:ascii="FrankRuehl" w:hAnsi="FrankRuehl" w:cs="FrankRuehl"/>
                  <w:color w:val="0000FF"/>
                  <w:u w:val="single"/>
                  <w:rtl/>
                </w:rPr>
                <w:t>חוק העונשין, תשל"ז-1977</w:t>
              </w:r>
            </w:hyperlink>
            <w:r w:rsidRPr="00A9503E">
              <w:rPr>
                <w:rFonts w:ascii="FrankRuehl" w:hAnsi="FrankRuehl" w:cs="FrankRuehl"/>
                <w:rtl/>
              </w:rPr>
              <w:t xml:space="preserve">: סע'  </w:t>
            </w:r>
            <w:hyperlink r:id="rId12" w:history="1">
              <w:r w:rsidRPr="00A9503E">
                <w:rPr>
                  <w:rFonts w:ascii="FrankRuehl" w:hAnsi="FrankRuehl" w:cs="FrankRuehl"/>
                  <w:color w:val="0000FF"/>
                  <w:u w:val="single"/>
                  <w:rtl/>
                </w:rPr>
                <w:t>40י(ב)(2)</w:t>
              </w:r>
            </w:hyperlink>
            <w:r w:rsidRPr="00A9503E">
              <w:rPr>
                <w:rFonts w:ascii="FrankRuehl" w:hAnsi="FrankRuehl" w:cs="FrankRuehl"/>
                <w:rtl/>
              </w:rPr>
              <w:t xml:space="preserve">, </w:t>
            </w:r>
            <w:hyperlink r:id="rId13" w:history="1">
              <w:r w:rsidRPr="00A9503E">
                <w:rPr>
                  <w:rFonts w:ascii="FrankRuehl" w:hAnsi="FrankRuehl" w:cs="FrankRuehl"/>
                  <w:color w:val="0000FF"/>
                  <w:u w:val="single"/>
                  <w:rtl/>
                </w:rPr>
                <w:t>40י(ד)</w:t>
              </w:r>
            </w:hyperlink>
          </w:p>
          <w:p w14:paraId="54173EB6" w14:textId="77777777" w:rsidR="00A9503E" w:rsidRPr="00A9503E" w:rsidRDefault="00A9503E" w:rsidP="00A9503E">
            <w:pPr>
              <w:spacing w:after="120" w:line="240" w:lineRule="exact"/>
              <w:ind w:left="283" w:hanging="283"/>
              <w:jc w:val="both"/>
              <w:rPr>
                <w:rFonts w:ascii="FrankRuehl" w:hAnsi="FrankRuehl" w:cs="FrankRuehl"/>
                <w:rtl/>
              </w:rPr>
            </w:pPr>
          </w:p>
          <w:p w14:paraId="1ACDB731" w14:textId="77777777" w:rsidR="00DA50C5" w:rsidRPr="00DA50C5" w:rsidRDefault="00DA50C5" w:rsidP="00DA50C5">
            <w:pPr>
              <w:jc w:val="center"/>
              <w:rPr>
                <w:rFonts w:ascii="Arial" w:hAnsi="Arial"/>
                <w:b/>
                <w:bCs/>
                <w:sz w:val="28"/>
                <w:szCs w:val="28"/>
                <w:u w:val="single"/>
                <w:rtl/>
              </w:rPr>
            </w:pPr>
            <w:bookmarkStart w:id="5" w:name="LawTable_End"/>
            <w:bookmarkEnd w:id="5"/>
            <w:r w:rsidRPr="00DA50C5">
              <w:rPr>
                <w:rFonts w:ascii="Arial" w:hAnsi="Arial"/>
                <w:b/>
                <w:bCs/>
                <w:sz w:val="28"/>
                <w:szCs w:val="28"/>
                <w:u w:val="single"/>
                <w:rtl/>
              </w:rPr>
              <w:t>גזר דין</w:t>
            </w:r>
          </w:p>
          <w:p w14:paraId="60F99BEE" w14:textId="77777777" w:rsidR="00B42715" w:rsidRPr="00DA50C5" w:rsidRDefault="00B42715" w:rsidP="00DA50C5">
            <w:pPr>
              <w:jc w:val="center"/>
              <w:rPr>
                <w:rFonts w:ascii="Arial" w:hAnsi="Arial"/>
                <w:bCs/>
                <w:sz w:val="28"/>
                <w:szCs w:val="28"/>
                <w:u w:val="single"/>
                <w:rtl/>
              </w:rPr>
            </w:pPr>
          </w:p>
        </w:tc>
      </w:tr>
      <w:bookmarkEnd w:id="3"/>
    </w:tbl>
    <w:p w14:paraId="4157F006" w14:textId="77777777" w:rsidR="00B42715" w:rsidRDefault="00B42715" w:rsidP="00B42715">
      <w:pPr>
        <w:spacing w:line="360" w:lineRule="auto"/>
        <w:jc w:val="both"/>
        <w:rPr>
          <w:rFonts w:ascii="Arial" w:hAnsi="Arial"/>
          <w:b/>
          <w:bCs/>
          <w:u w:val="single"/>
          <w:rtl/>
        </w:rPr>
      </w:pPr>
    </w:p>
    <w:p w14:paraId="659FDD96" w14:textId="77777777" w:rsidR="00B42715" w:rsidRDefault="00B42715" w:rsidP="00B42715">
      <w:pPr>
        <w:spacing w:line="360" w:lineRule="auto"/>
        <w:jc w:val="both"/>
        <w:rPr>
          <w:rFonts w:ascii="Arial" w:hAnsi="Arial"/>
          <w:b/>
          <w:bCs/>
          <w:rtl/>
        </w:rPr>
      </w:pPr>
      <w:r w:rsidRPr="00CB3363">
        <w:rPr>
          <w:rFonts w:ascii="Arial" w:hAnsi="Arial" w:hint="cs"/>
          <w:b/>
          <w:bCs/>
          <w:u w:val="single"/>
          <w:rtl/>
        </w:rPr>
        <w:t>השתלשלות ההליך</w:t>
      </w:r>
      <w:r w:rsidRPr="00CB3363">
        <w:rPr>
          <w:rFonts w:ascii="Arial" w:hAnsi="Arial" w:hint="cs"/>
          <w:b/>
          <w:bCs/>
          <w:rtl/>
        </w:rPr>
        <w:t>:</w:t>
      </w:r>
    </w:p>
    <w:p w14:paraId="4104A14D" w14:textId="77777777" w:rsidR="00B42715" w:rsidRDefault="00B42715" w:rsidP="00B42715">
      <w:pPr>
        <w:pStyle w:val="ae"/>
        <w:numPr>
          <w:ilvl w:val="0"/>
          <w:numId w:val="2"/>
        </w:numPr>
        <w:spacing w:line="360" w:lineRule="auto"/>
        <w:ind w:left="0"/>
        <w:jc w:val="both"/>
        <w:rPr>
          <w:rFonts w:ascii="Arial" w:hAnsi="Arial"/>
        </w:rPr>
      </w:pPr>
      <w:r>
        <w:rPr>
          <w:rFonts w:ascii="Arial" w:hAnsi="Arial" w:hint="cs"/>
          <w:rtl/>
        </w:rPr>
        <w:t>ביו</w:t>
      </w:r>
      <w:bookmarkStart w:id="6" w:name="ABSTRACT_START"/>
      <w:bookmarkEnd w:id="6"/>
      <w:r>
        <w:rPr>
          <w:rFonts w:ascii="Arial" w:hAnsi="Arial" w:hint="cs"/>
          <w:rtl/>
        </w:rPr>
        <w:t>ם 19.6.17, במסגרת הסדר טיעון דיוני ללא הסכמות עונשיות שהוצגו לבית המשפט, הודה הנאשם בכתב אישום מתוקן והורשע מפי חברתי, כב' הש' בן-ארי, בעבירות הבאות:</w:t>
      </w:r>
    </w:p>
    <w:p w14:paraId="69ACF0B2" w14:textId="77777777" w:rsidR="00B42715" w:rsidRDefault="00B42715" w:rsidP="00B42715">
      <w:pPr>
        <w:pStyle w:val="ae"/>
        <w:numPr>
          <w:ilvl w:val="0"/>
          <w:numId w:val="5"/>
        </w:numPr>
        <w:spacing w:line="360" w:lineRule="auto"/>
        <w:jc w:val="both"/>
        <w:rPr>
          <w:rFonts w:ascii="Arial" w:hAnsi="Arial"/>
        </w:rPr>
      </w:pPr>
      <w:r>
        <w:rPr>
          <w:rFonts w:ascii="Arial" w:hAnsi="Arial" w:hint="cs"/>
          <w:rtl/>
        </w:rPr>
        <w:t xml:space="preserve">גידול סם מסוכן, לפי </w:t>
      </w:r>
      <w:hyperlink r:id="rId14" w:history="1">
        <w:r w:rsidR="00A9503E" w:rsidRPr="00A9503E">
          <w:rPr>
            <w:rFonts w:ascii="Arial" w:hAnsi="Arial"/>
            <w:color w:val="0000FF"/>
            <w:u w:val="single"/>
            <w:rtl/>
          </w:rPr>
          <w:t>סעיף 6</w:t>
        </w:r>
      </w:hyperlink>
      <w:r>
        <w:rPr>
          <w:rFonts w:ascii="Arial" w:hAnsi="Arial" w:hint="cs"/>
          <w:rtl/>
        </w:rPr>
        <w:t xml:space="preserve"> ל</w:t>
      </w:r>
      <w:hyperlink r:id="rId15" w:history="1">
        <w:r w:rsidR="00DA50C5" w:rsidRPr="00DA50C5">
          <w:rPr>
            <w:rFonts w:ascii="Arial" w:hAnsi="Arial"/>
            <w:color w:val="0000FF"/>
            <w:u w:val="single"/>
            <w:rtl/>
          </w:rPr>
          <w:t>פקודת הסמים המסוכנים</w:t>
        </w:r>
      </w:hyperlink>
      <w:r>
        <w:rPr>
          <w:rFonts w:ascii="Arial" w:hAnsi="Arial" w:hint="cs"/>
          <w:rtl/>
        </w:rPr>
        <w:t>;</w:t>
      </w:r>
    </w:p>
    <w:p w14:paraId="2A9AC1D2" w14:textId="77777777" w:rsidR="00B42715" w:rsidRDefault="00B42715" w:rsidP="00B42715">
      <w:pPr>
        <w:pStyle w:val="ae"/>
        <w:numPr>
          <w:ilvl w:val="0"/>
          <w:numId w:val="5"/>
        </w:numPr>
        <w:spacing w:line="360" w:lineRule="auto"/>
        <w:jc w:val="both"/>
        <w:rPr>
          <w:rFonts w:ascii="Arial" w:hAnsi="Arial"/>
        </w:rPr>
      </w:pPr>
      <w:r>
        <w:rPr>
          <w:rFonts w:ascii="Arial" w:hAnsi="Arial" w:hint="cs"/>
          <w:rtl/>
        </w:rPr>
        <w:t xml:space="preserve">החזקת סם מסוכן שלא לצריכה עצמית, לפי </w:t>
      </w:r>
      <w:hyperlink r:id="rId16" w:history="1">
        <w:r w:rsidR="00A9503E" w:rsidRPr="00A9503E">
          <w:rPr>
            <w:rFonts w:ascii="Arial" w:hAnsi="Arial"/>
            <w:color w:val="0000FF"/>
            <w:u w:val="single"/>
            <w:rtl/>
          </w:rPr>
          <w:t>סעיף 7(א)</w:t>
        </w:r>
      </w:hyperlink>
      <w:r>
        <w:rPr>
          <w:rFonts w:ascii="Arial" w:hAnsi="Arial" w:hint="cs"/>
          <w:rtl/>
        </w:rPr>
        <w:t xml:space="preserve"> בצירוף </w:t>
      </w:r>
      <w:hyperlink r:id="rId17" w:history="1">
        <w:r w:rsidR="00A9503E" w:rsidRPr="00A9503E">
          <w:rPr>
            <w:rFonts w:ascii="Arial" w:hAnsi="Arial"/>
            <w:color w:val="0000FF"/>
            <w:u w:val="single"/>
            <w:rtl/>
          </w:rPr>
          <w:t>סעיף 7(ג)</w:t>
        </w:r>
      </w:hyperlink>
      <w:r>
        <w:rPr>
          <w:rFonts w:ascii="Arial" w:hAnsi="Arial" w:hint="cs"/>
          <w:rtl/>
        </w:rPr>
        <w:t xml:space="preserve"> רישא לפקודה הנ"ל;</w:t>
      </w:r>
    </w:p>
    <w:p w14:paraId="0E0A5103" w14:textId="77777777" w:rsidR="00B42715" w:rsidRDefault="00B42715" w:rsidP="00B42715">
      <w:pPr>
        <w:pStyle w:val="ae"/>
        <w:numPr>
          <w:ilvl w:val="0"/>
          <w:numId w:val="2"/>
        </w:numPr>
        <w:spacing w:line="360" w:lineRule="auto"/>
        <w:ind w:left="0"/>
        <w:jc w:val="both"/>
        <w:rPr>
          <w:rFonts w:ascii="Arial" w:hAnsi="Arial"/>
        </w:rPr>
      </w:pPr>
      <w:r>
        <w:rPr>
          <w:rFonts w:ascii="Arial" w:hAnsi="Arial" w:hint="cs"/>
          <w:rtl/>
        </w:rPr>
        <w:t>הנאשם הופנה בהסכמה לשירות המבחן והתקבלו בעניינו תסקירים מיום 7.12.17 ומיום 27.11.18: השירות המליץ על ביטול הרשעתו של הנאשם ועל חיובו בצו מבחן וצו של"צ בהיקף של 220 שעות.</w:t>
      </w:r>
    </w:p>
    <w:p w14:paraId="3CD28AA6" w14:textId="77777777" w:rsidR="00B42715" w:rsidRDefault="00B42715" w:rsidP="00B42715">
      <w:pPr>
        <w:pStyle w:val="ae"/>
        <w:numPr>
          <w:ilvl w:val="0"/>
          <w:numId w:val="2"/>
        </w:numPr>
        <w:spacing w:line="360" w:lineRule="auto"/>
        <w:ind w:left="0"/>
        <w:jc w:val="both"/>
        <w:rPr>
          <w:rFonts w:ascii="Arial" w:hAnsi="Arial"/>
        </w:rPr>
      </w:pPr>
      <w:bookmarkStart w:id="7" w:name="ABSTRACT_END"/>
      <w:bookmarkEnd w:id="7"/>
      <w:r>
        <w:rPr>
          <w:rFonts w:ascii="Arial" w:hAnsi="Arial" w:hint="cs"/>
          <w:rtl/>
        </w:rPr>
        <w:t>ביום 16.12.18 טענו הצדדים לעונש, והיום השלימה ב"כ המלומדת של הנאשם את טיעוניה:</w:t>
      </w:r>
    </w:p>
    <w:p w14:paraId="741DE2BC" w14:textId="77777777" w:rsidR="00B42715" w:rsidRDefault="00B42715" w:rsidP="00B42715">
      <w:pPr>
        <w:spacing w:line="360" w:lineRule="auto"/>
        <w:jc w:val="both"/>
        <w:rPr>
          <w:rFonts w:ascii="Arial" w:hAnsi="Arial"/>
          <w:rtl/>
        </w:rPr>
      </w:pPr>
      <w:r>
        <w:rPr>
          <w:rFonts w:ascii="Arial" w:hAnsi="Arial" w:hint="cs"/>
          <w:rtl/>
        </w:rPr>
        <w:t>התביעה עמדה על מתחם הענישה המחמיר ההולם מקרה זה, אך לנוכח מחלוקת מה בדיוק הוסכם בהסדר ויצירת הסתמכות של הנאשם על מה שהובן והוסכם, הסכימה להגביל עתירתה לעונש עיקרי של שישה חודשי מאסר שניתן לרצותם בעבודות שירות.</w:t>
      </w:r>
    </w:p>
    <w:p w14:paraId="39903DBC" w14:textId="77777777" w:rsidR="00B42715" w:rsidRDefault="00B42715" w:rsidP="00B42715">
      <w:pPr>
        <w:spacing w:line="360" w:lineRule="auto"/>
        <w:jc w:val="both"/>
        <w:rPr>
          <w:rFonts w:ascii="Arial" w:hAnsi="Arial"/>
          <w:rtl/>
        </w:rPr>
      </w:pPr>
      <w:r>
        <w:rPr>
          <w:rFonts w:ascii="Arial" w:hAnsi="Arial" w:hint="cs"/>
          <w:rtl/>
        </w:rPr>
        <w:t xml:space="preserve">ההגנה ביקשה לבטל את הרשעתו של הנאשם ולחייבו בצווי מבחן ושל"צ, כהמלצת שירות המבחן. </w:t>
      </w:r>
    </w:p>
    <w:p w14:paraId="6D9D1D73" w14:textId="77777777" w:rsidR="00B42715" w:rsidRPr="00405D94" w:rsidRDefault="00B42715" w:rsidP="00B42715">
      <w:pPr>
        <w:pStyle w:val="ae"/>
        <w:numPr>
          <w:ilvl w:val="0"/>
          <w:numId w:val="2"/>
        </w:numPr>
        <w:spacing w:line="360" w:lineRule="auto"/>
        <w:ind w:left="0"/>
        <w:jc w:val="both"/>
        <w:rPr>
          <w:rFonts w:ascii="Arial" w:hAnsi="Arial"/>
        </w:rPr>
      </w:pPr>
      <w:r>
        <w:rPr>
          <w:rFonts w:ascii="Arial" w:hAnsi="Arial" w:hint="cs"/>
          <w:rtl/>
        </w:rPr>
        <w:t>ביום 18.12.18 ניתנה החלטתי, בה נדחתה עתירת ההגנה לביטול הרשעתו של הנאשם והנאשם הופנה לממונה על עבודות השירות. ביום 30.01.19 מסר הממונה כי מצא את הנאשם כשיר לריצוי מאסר בעבודות שירות.</w:t>
      </w:r>
    </w:p>
    <w:p w14:paraId="3F7FC1E8" w14:textId="77777777" w:rsidR="00B42715" w:rsidRPr="00405D94" w:rsidRDefault="00B42715" w:rsidP="00B42715">
      <w:pPr>
        <w:spacing w:line="360" w:lineRule="auto"/>
        <w:jc w:val="both"/>
        <w:rPr>
          <w:rFonts w:ascii="Arial" w:hAnsi="Arial"/>
          <w:rtl/>
        </w:rPr>
      </w:pPr>
    </w:p>
    <w:p w14:paraId="233EC84F" w14:textId="77777777" w:rsidR="00B42715" w:rsidRPr="00CB3363" w:rsidRDefault="00B42715" w:rsidP="00B42715">
      <w:pPr>
        <w:spacing w:line="360" w:lineRule="auto"/>
        <w:jc w:val="both"/>
        <w:rPr>
          <w:rFonts w:ascii="Arial" w:hAnsi="Arial"/>
          <w:b/>
          <w:bCs/>
          <w:rtl/>
        </w:rPr>
      </w:pPr>
      <w:r w:rsidRPr="00CB3363">
        <w:rPr>
          <w:rFonts w:ascii="Arial" w:hAnsi="Arial" w:hint="cs"/>
          <w:b/>
          <w:bCs/>
          <w:u w:val="single"/>
          <w:rtl/>
        </w:rPr>
        <w:lastRenderedPageBreak/>
        <w:t>מעשי הנאשם</w:t>
      </w:r>
      <w:r w:rsidRPr="00CB3363">
        <w:rPr>
          <w:rFonts w:ascii="Arial" w:hAnsi="Arial" w:hint="cs"/>
          <w:b/>
          <w:bCs/>
          <w:rtl/>
        </w:rPr>
        <w:t>:</w:t>
      </w:r>
    </w:p>
    <w:p w14:paraId="3A974F2C" w14:textId="77777777" w:rsidR="00B42715" w:rsidRDefault="00B42715" w:rsidP="00B42715">
      <w:pPr>
        <w:pStyle w:val="ae"/>
        <w:numPr>
          <w:ilvl w:val="0"/>
          <w:numId w:val="3"/>
        </w:numPr>
        <w:spacing w:line="360" w:lineRule="auto"/>
        <w:ind w:left="0"/>
        <w:jc w:val="both"/>
        <w:rPr>
          <w:rFonts w:ascii="Arial" w:hAnsi="Arial"/>
        </w:rPr>
      </w:pPr>
      <w:r>
        <w:rPr>
          <w:rFonts w:ascii="Arial" w:hAnsi="Arial" w:hint="cs"/>
          <w:rtl/>
        </w:rPr>
        <w:t xml:space="preserve">במועד לא ידוע טרם מעצרו ביום 4.1.16, שכר </w:t>
      </w:r>
      <w:r w:rsidRPr="00A03A68">
        <w:rPr>
          <w:rFonts w:ascii="Arial" w:hAnsi="Arial" w:hint="cs"/>
          <w:rtl/>
        </w:rPr>
        <w:t>הנאשם דירת מגורים כדי להפכה לאתר לגידול קנבוס והתקין בה "מעבדת סמים" שנפרסה בחדרי הדירה וכללה בין היתר 86 אדניות, אוהל ברזנט, מאוורר, חמש מנורות חימום גדולות, חמ</w:t>
      </w:r>
      <w:r>
        <w:rPr>
          <w:rFonts w:ascii="Arial" w:hAnsi="Arial" w:hint="cs"/>
          <w:rtl/>
        </w:rPr>
        <w:t>י</w:t>
      </w:r>
      <w:r w:rsidRPr="00A03A68">
        <w:rPr>
          <w:rFonts w:ascii="Arial" w:hAnsi="Arial" w:hint="cs"/>
          <w:rtl/>
        </w:rPr>
        <w:t>שה מווסתי חשמל, שני לוחות חשמל, שלושה מסנני אוויר, שלושה צינורות למיזוג אוויר, יריעות 'נייר כסף' לחיפוי הרצפה, שנאי דיגיטאלי, מד חום, מסנן מים, מערכת השקיה, רשת לייבוש צמחי הסם, שני משקלים אלקטרונים וחומרי דישון</w:t>
      </w:r>
      <w:r>
        <w:rPr>
          <w:rFonts w:ascii="Arial" w:hAnsi="Arial" w:hint="cs"/>
          <w:rtl/>
        </w:rPr>
        <w:t xml:space="preserve"> [לוחות תצלומים, תע/2]</w:t>
      </w:r>
      <w:r w:rsidRPr="00A03A68">
        <w:rPr>
          <w:rFonts w:ascii="Arial" w:hAnsi="Arial" w:hint="cs"/>
          <w:rtl/>
        </w:rPr>
        <w:t>.</w:t>
      </w:r>
    </w:p>
    <w:p w14:paraId="59C527F8" w14:textId="77777777" w:rsidR="00B42715" w:rsidRDefault="00B42715" w:rsidP="00B42715">
      <w:pPr>
        <w:pStyle w:val="ae"/>
        <w:numPr>
          <w:ilvl w:val="0"/>
          <w:numId w:val="3"/>
        </w:numPr>
        <w:spacing w:line="360" w:lineRule="auto"/>
        <w:ind w:left="0"/>
        <w:jc w:val="both"/>
        <w:rPr>
          <w:rFonts w:ascii="Arial" w:hAnsi="Arial"/>
        </w:rPr>
      </w:pPr>
      <w:r>
        <w:rPr>
          <w:rFonts w:ascii="Arial" w:hAnsi="Arial" w:hint="cs"/>
          <w:rtl/>
        </w:rPr>
        <w:t>באמצעות הציוד הנ"ל גידל הנאשם בדירה קנבוס, אותו הפיק והחזיק שלא לשימושו העצמי: על רשת הייבוש נמצא סם במשקל 5,520 גרם נטו, באחת האדניות נמצא שתיל סם שמשקלו 7.54 גרם, ועוד נמצא בדירה סם במשקל 288.15 גרם נטו.</w:t>
      </w:r>
    </w:p>
    <w:p w14:paraId="7B9B3EE4" w14:textId="77777777" w:rsidR="00B42715" w:rsidRPr="00E34C48" w:rsidRDefault="00B42715" w:rsidP="00B42715">
      <w:pPr>
        <w:pStyle w:val="ae"/>
        <w:spacing w:line="360" w:lineRule="auto"/>
        <w:ind w:left="0"/>
        <w:jc w:val="both"/>
        <w:rPr>
          <w:rFonts w:ascii="Arial" w:hAnsi="Arial"/>
          <w:rtl/>
        </w:rPr>
      </w:pPr>
    </w:p>
    <w:p w14:paraId="0DC89CF4" w14:textId="77777777" w:rsidR="00B42715" w:rsidRDefault="00B42715" w:rsidP="00B42715">
      <w:pPr>
        <w:spacing w:line="360" w:lineRule="auto"/>
        <w:jc w:val="both"/>
        <w:rPr>
          <w:rFonts w:ascii="Arial" w:hAnsi="Arial"/>
        </w:rPr>
      </w:pPr>
      <w:r>
        <w:rPr>
          <w:rFonts w:ascii="Arial" w:hAnsi="Arial" w:hint="cs"/>
          <w:b/>
          <w:bCs/>
          <w:u w:val="single"/>
          <w:rtl/>
        </w:rPr>
        <w:t>נסיבות הקשורות במעשי העבירה – קביעת מתחם העונש ההולם</w:t>
      </w:r>
      <w:r>
        <w:rPr>
          <w:rFonts w:ascii="Arial" w:hAnsi="Arial" w:hint="cs"/>
          <w:rtl/>
        </w:rPr>
        <w:t>:</w:t>
      </w:r>
    </w:p>
    <w:p w14:paraId="6439F44F" w14:textId="77777777" w:rsidR="00B42715" w:rsidRDefault="00B42715" w:rsidP="00B42715">
      <w:pPr>
        <w:numPr>
          <w:ilvl w:val="0"/>
          <w:numId w:val="1"/>
        </w:numPr>
        <w:spacing w:line="360" w:lineRule="auto"/>
        <w:ind w:left="0"/>
        <w:contextualSpacing/>
        <w:jc w:val="both"/>
        <w:rPr>
          <w:rtl/>
        </w:rPr>
      </w:pPr>
      <w:r>
        <w:rPr>
          <w:rFonts w:hint="cs"/>
          <w:rtl/>
        </w:rPr>
        <w:t xml:space="preserve">כידוע, פגיעתם של הסמים בחברה אינה נקודתית, אלא משתרעת על מרחבים וזמנים נרחבים: נפגע הצרכן המתמכר, נפגעת משפחתו, נפגעים אלו הניזוקים מפעילותו הפלילית של הצרכן המבקש לספק את הדחף לסם, ובנוסף – מעגלי היצור והשיווק של הסם מייצרים כשלעצמם פעילות עבריינית הנלווית לעצם העיסוק בסם, והרווחים העצומים מגיעים לעתים קרובות לארגוני פשע וטרור ומאפשרים את פעילותם הפוגענית. </w:t>
      </w:r>
    </w:p>
    <w:p w14:paraId="1E5E7955" w14:textId="77777777" w:rsidR="00B42715" w:rsidRDefault="00B42715" w:rsidP="00B42715">
      <w:pPr>
        <w:numPr>
          <w:ilvl w:val="0"/>
          <w:numId w:val="1"/>
        </w:numPr>
        <w:spacing w:line="360" w:lineRule="auto"/>
        <w:ind w:left="0"/>
        <w:contextualSpacing/>
        <w:jc w:val="both"/>
        <w:rPr>
          <w:rFonts w:cs="Times New Roman"/>
          <w:rtl/>
        </w:rPr>
      </w:pPr>
      <w:r>
        <w:rPr>
          <w:rFonts w:hint="cs"/>
          <w:rtl/>
        </w:rPr>
        <w:t>במקרה דנן מדובר בגידולו של סם "קל" מסוג קנבוס, כך שחלקם של הנזקים המלווים את העיסוק בסמים אחרים אינם רלוונטיים. עם זאת, גם פעילות זו אסורה ומזיקה, אף מעשירה ומשמשת דלק-מניע לגורמים עברייניים, ויש אפוא לתת משקל להיקפי הנזק, הפוטנציאליים והקונקרטיים, שהם תולדה של מספר השתילים וכמות הסם.</w:t>
      </w:r>
    </w:p>
    <w:p w14:paraId="2961644F" w14:textId="77777777" w:rsidR="00B42715" w:rsidRDefault="00B42715" w:rsidP="00B42715">
      <w:pPr>
        <w:numPr>
          <w:ilvl w:val="0"/>
          <w:numId w:val="1"/>
        </w:numPr>
        <w:spacing w:line="360" w:lineRule="auto"/>
        <w:ind w:left="0"/>
        <w:contextualSpacing/>
        <w:jc w:val="both"/>
        <w:rPr>
          <w:rFonts w:cs="Times New Roman"/>
          <w:rtl/>
        </w:rPr>
      </w:pPr>
      <w:r>
        <w:rPr>
          <w:rFonts w:hint="cs"/>
          <w:rtl/>
        </w:rPr>
        <w:t>מדובר בביצוע עבירה מתוכננת, תוך השקעת מחשבה ומשאבים, שהניבה</w:t>
      </w:r>
      <w:r w:rsidR="00DA50C5">
        <w:rPr>
          <w:rFonts w:hint="cs"/>
          <w:rtl/>
        </w:rPr>
        <w:t xml:space="preserve"> </w:t>
      </w:r>
      <w:r>
        <w:rPr>
          <w:rFonts w:hint="cs"/>
          <w:rtl/>
        </w:rPr>
        <w:t xml:space="preserve"> שתילים רבים וכמות סם ניכרת. הנזק הקונקרטי שבהפצה או צריכה של הסם נמנע, הודות ללכידתו של הנאשם, והנזק הפוטנציאלי רב הוא בהתחשב בכמות השתילים שעתידים היו לגדול לתפארת לנוכח השקעתו של הנאשם בטיפוחם.</w:t>
      </w:r>
    </w:p>
    <w:p w14:paraId="1851E78B" w14:textId="77777777" w:rsidR="00B42715" w:rsidRDefault="00B42715" w:rsidP="00B42715">
      <w:pPr>
        <w:numPr>
          <w:ilvl w:val="0"/>
          <w:numId w:val="1"/>
        </w:numPr>
        <w:spacing w:line="360" w:lineRule="auto"/>
        <w:ind w:left="0"/>
        <w:contextualSpacing/>
        <w:jc w:val="both"/>
      </w:pPr>
      <w:r>
        <w:rPr>
          <w:rFonts w:hint="cs"/>
          <w:rtl/>
        </w:rPr>
        <w:t>הסיבות לביצוע העבירות:</w:t>
      </w:r>
    </w:p>
    <w:p w14:paraId="192C85DB" w14:textId="77777777" w:rsidR="00B42715" w:rsidRDefault="00B42715" w:rsidP="00B42715">
      <w:pPr>
        <w:numPr>
          <w:ilvl w:val="1"/>
          <w:numId w:val="1"/>
        </w:numPr>
        <w:spacing w:line="360" w:lineRule="auto"/>
        <w:ind w:left="360"/>
        <w:contextualSpacing/>
        <w:jc w:val="both"/>
      </w:pPr>
      <w:r>
        <w:rPr>
          <w:rFonts w:ascii="Arial" w:hAnsi="Arial" w:hint="cs"/>
          <w:rtl/>
        </w:rPr>
        <w:t>לנוכח משקל הסם שנתפס, על הנאשם להרים נטל כבד ולהפריך חזקה הקבועה בפקודת הסמים, ובכך כשל לחלוטין</w:t>
      </w:r>
      <w:r>
        <w:rPr>
          <w:rFonts w:hint="cs"/>
          <w:rtl/>
        </w:rPr>
        <w:t>, כמפורט להלן;</w:t>
      </w:r>
    </w:p>
    <w:p w14:paraId="5C17EB8A" w14:textId="77777777" w:rsidR="00B42715" w:rsidRDefault="00B42715" w:rsidP="00B42715">
      <w:pPr>
        <w:numPr>
          <w:ilvl w:val="1"/>
          <w:numId w:val="1"/>
        </w:numPr>
        <w:spacing w:line="360" w:lineRule="auto"/>
        <w:ind w:left="360"/>
        <w:contextualSpacing/>
        <w:jc w:val="both"/>
      </w:pPr>
      <w:r>
        <w:rPr>
          <w:rFonts w:hint="cs"/>
          <w:rtl/>
        </w:rPr>
        <w:t xml:space="preserve">בניגוד להודאתו, הנאשם טען כי גידול הסם נועד לצריכתו העצמית, לשם הקלה על תסמיניה של מחלה כרונית ממנה הוא סובל (קדחת ים תיכונית משפחתית, </w:t>
      </w:r>
      <w:r>
        <w:rPr>
          <w:rFonts w:hint="cs"/>
        </w:rPr>
        <w:t>FMF</w:t>
      </w:r>
      <w:r>
        <w:rPr>
          <w:rFonts w:hint="cs"/>
          <w:rtl/>
        </w:rPr>
        <w:t>), שגורמת לכאבי בטן קשים [תסקיר 7.12.17, מסמכים נע/1];</w:t>
      </w:r>
    </w:p>
    <w:p w14:paraId="1CB3E3D4" w14:textId="77777777" w:rsidR="00B42715" w:rsidRDefault="00B42715" w:rsidP="00B42715">
      <w:pPr>
        <w:numPr>
          <w:ilvl w:val="1"/>
          <w:numId w:val="1"/>
        </w:numPr>
        <w:spacing w:line="360" w:lineRule="auto"/>
        <w:ind w:left="360"/>
        <w:contextualSpacing/>
        <w:jc w:val="both"/>
      </w:pPr>
      <w:r>
        <w:rPr>
          <w:rFonts w:hint="cs"/>
          <w:rtl/>
        </w:rPr>
        <w:t>עוד טען הנאשם כי נהג להשתמש בסם גם לצורך הירגעות, מחמת העומס הרגשי שכרוך במצבם של אמו ושל אחד מאחיו, הסובלים מדיכאון קליני [שם, מסמכים נע/2];</w:t>
      </w:r>
    </w:p>
    <w:p w14:paraId="3C37F590" w14:textId="77777777" w:rsidR="00B42715" w:rsidRDefault="00B42715" w:rsidP="00B42715">
      <w:pPr>
        <w:numPr>
          <w:ilvl w:val="1"/>
          <w:numId w:val="1"/>
        </w:numPr>
        <w:spacing w:line="360" w:lineRule="auto"/>
        <w:ind w:left="360"/>
        <w:contextualSpacing/>
        <w:jc w:val="both"/>
      </w:pPr>
      <w:r>
        <w:rPr>
          <w:rFonts w:hint="cs"/>
          <w:rtl/>
        </w:rPr>
        <w:lastRenderedPageBreak/>
        <w:t>הנאשם לא הוכיח את השימוש הנטען בסם שגידל ושהפיק, ובוודאי שלא הראה כי השימוש הבלבדי בסם היה לצרכים רפואיים. עוד אומר בזהירות, שהמסמכים הרפואיים שהציג הנאשם לשירות המבחן ושהוגשו לבית המשפט [נע/1] אינם מלמדים על אקוטיות חריגה ואף אינם מעודכנים, שכן מדובר ב"אישור רפואי" לקוני ומספר אישורי מחלה, כולם מתחילת שנת 2017;</w:t>
      </w:r>
    </w:p>
    <w:p w14:paraId="49D45BF8" w14:textId="77777777" w:rsidR="00B42715" w:rsidRDefault="00B42715" w:rsidP="00B42715">
      <w:pPr>
        <w:numPr>
          <w:ilvl w:val="1"/>
          <w:numId w:val="1"/>
        </w:numPr>
        <w:spacing w:line="360" w:lineRule="auto"/>
        <w:ind w:left="360"/>
        <w:contextualSpacing/>
        <w:jc w:val="both"/>
      </w:pPr>
      <w:r>
        <w:rPr>
          <w:rFonts w:hint="cs"/>
          <w:rtl/>
        </w:rPr>
        <w:t>הנאשם לא הראה את המקור ממנו נלקחו הכספים הנחוצים לשכירת הדירה ולרכישת הציוד והסם (שתילים או זרעים), וכמובן גם לא הסביר איך הגיעו השתילים או הזרעים לידיו;</w:t>
      </w:r>
    </w:p>
    <w:p w14:paraId="72D91DF2" w14:textId="77777777" w:rsidR="00B42715" w:rsidRDefault="00B42715" w:rsidP="00B42715">
      <w:pPr>
        <w:numPr>
          <w:ilvl w:val="1"/>
          <w:numId w:val="1"/>
        </w:numPr>
        <w:spacing w:line="360" w:lineRule="auto"/>
        <w:ind w:left="360"/>
        <w:contextualSpacing/>
        <w:jc w:val="both"/>
      </w:pPr>
      <w:r>
        <w:rPr>
          <w:rFonts w:hint="cs"/>
          <w:rtl/>
        </w:rPr>
        <w:t>הנאשם גם לא הבהיר מדוע נקט בדרך עבריינית דווקא, ולא בדרך המלך של מרשם רפואי ואישור שימוש;</w:t>
      </w:r>
      <w:r>
        <w:rPr>
          <w:rFonts w:hint="cs"/>
        </w:rPr>
        <w:t xml:space="preserve"> </w:t>
      </w:r>
    </w:p>
    <w:p w14:paraId="0E5EB97D" w14:textId="77777777" w:rsidR="00B42715" w:rsidRDefault="00B42715" w:rsidP="00B42715">
      <w:pPr>
        <w:numPr>
          <w:ilvl w:val="1"/>
          <w:numId w:val="1"/>
        </w:numPr>
        <w:spacing w:line="360" w:lineRule="auto"/>
        <w:ind w:left="360"/>
        <w:contextualSpacing/>
        <w:jc w:val="both"/>
      </w:pPr>
      <w:r>
        <w:rPr>
          <w:rFonts w:hint="cs"/>
          <w:rtl/>
        </w:rPr>
        <w:t xml:space="preserve">ועל כל-זאת – הטענות נשמעו מפי הסניגורית המלומדת, כשהנאשם עצמו לא העיד; וכן מפי  הנאשם טרם גזר הדין, כשטענותיו העובדתיות אינן יכולות לשמש בסיס לקביעת ממצאים, בהיעדר האפשרות להעמיד דבריו במבחן החקירה הנגדית. ללא עדותו של הנאשם וההזדמנות לחקירה נגדית, לא מתקיים בסיס ראייתי לטענות אלו (ועוד ראו </w:t>
      </w:r>
      <w:hyperlink r:id="rId18" w:history="1">
        <w:r w:rsidR="00A9503E" w:rsidRPr="00A9503E">
          <w:rPr>
            <w:color w:val="0000FF"/>
            <w:u w:val="single"/>
            <w:rtl/>
          </w:rPr>
          <w:t>סעיפים 40י(ב)(2)</w:t>
        </w:r>
      </w:hyperlink>
      <w:r>
        <w:rPr>
          <w:rFonts w:hint="cs"/>
          <w:rtl/>
        </w:rPr>
        <w:t xml:space="preserve"> ו-</w:t>
      </w:r>
      <w:hyperlink r:id="rId19" w:history="1">
        <w:r w:rsidR="00A9503E" w:rsidRPr="00A9503E">
          <w:rPr>
            <w:color w:val="0000FF"/>
            <w:u w:val="single"/>
            <w:rtl/>
          </w:rPr>
          <w:t>40י(ד)</w:t>
        </w:r>
      </w:hyperlink>
      <w:r>
        <w:rPr>
          <w:rFonts w:hint="cs"/>
          <w:rtl/>
        </w:rPr>
        <w:t xml:space="preserve"> ל</w:t>
      </w:r>
      <w:hyperlink r:id="rId20" w:history="1">
        <w:r w:rsidR="00DA50C5" w:rsidRPr="00DA50C5">
          <w:rPr>
            <w:color w:val="0000FF"/>
            <w:u w:val="single"/>
            <w:rtl/>
          </w:rPr>
          <w:t>חוק העונשין</w:t>
        </w:r>
      </w:hyperlink>
      <w:r>
        <w:rPr>
          <w:rFonts w:hint="cs"/>
          <w:rtl/>
        </w:rPr>
        <w:t>, תשל"ז-1977, והלכה שנפסקה ב</w:t>
      </w:r>
      <w:hyperlink r:id="rId21" w:history="1">
        <w:r w:rsidR="00DA50C5" w:rsidRPr="00DA50C5">
          <w:rPr>
            <w:color w:val="0000FF"/>
            <w:u w:val="single"/>
            <w:rtl/>
          </w:rPr>
          <w:t>ע"פ 4215/18</w:t>
        </w:r>
      </w:hyperlink>
      <w:r>
        <w:rPr>
          <w:rFonts w:hint="cs"/>
          <w:rtl/>
        </w:rPr>
        <w:t xml:space="preserve"> </w:t>
      </w:r>
      <w:r>
        <w:rPr>
          <w:rFonts w:hint="cs"/>
          <w:b/>
          <w:bCs/>
          <w:rtl/>
        </w:rPr>
        <w:t>ח'טיב נ' מ.י.</w:t>
      </w:r>
      <w:r>
        <w:rPr>
          <w:rFonts w:hint="cs"/>
          <w:rtl/>
        </w:rPr>
        <w:t xml:space="preserve"> (2018));</w:t>
      </w:r>
    </w:p>
    <w:p w14:paraId="62FEAB87" w14:textId="77777777" w:rsidR="00B42715" w:rsidRDefault="00B42715" w:rsidP="00B42715">
      <w:pPr>
        <w:numPr>
          <w:ilvl w:val="1"/>
          <w:numId w:val="1"/>
        </w:numPr>
        <w:spacing w:line="360" w:lineRule="auto"/>
        <w:ind w:left="360"/>
        <w:contextualSpacing/>
        <w:jc w:val="both"/>
        <w:rPr>
          <w:rFonts w:cs="Times New Roman"/>
        </w:rPr>
      </w:pPr>
      <w:r>
        <w:rPr>
          <w:rFonts w:hint="cs"/>
          <w:rtl/>
        </w:rPr>
        <w:t>כיון שכך, נדחית טענת הנאשם, והמשמעות היא שהסיבה לביצוע העבירות היא הסיבה השכיחה והרגילה – הרצון להשתמש בסם ולהפיצו תמורת טובת הנאה;</w:t>
      </w:r>
    </w:p>
    <w:p w14:paraId="5F073FF2" w14:textId="77777777" w:rsidR="00B42715" w:rsidRDefault="00B42715" w:rsidP="00B42715">
      <w:pPr>
        <w:numPr>
          <w:ilvl w:val="1"/>
          <w:numId w:val="1"/>
        </w:numPr>
        <w:spacing w:line="360" w:lineRule="auto"/>
        <w:ind w:left="360"/>
        <w:contextualSpacing/>
        <w:jc w:val="both"/>
      </w:pPr>
      <w:r>
        <w:rPr>
          <w:rFonts w:hint="cs"/>
          <w:rtl/>
        </w:rPr>
        <w:t>גם לו היתה טענתו של הנאשם מוכחת ומתקבלת, לא היה בכך כדי להקל בחומרת מעשיו: אין לקבל, ולו במעט, דרך זו של פתרון פלילי ומזיק לבעיות אישיות וכלכליות. לעניין זה השוו דברים שנאמרו ב</w:t>
      </w:r>
      <w:hyperlink r:id="rId22" w:history="1">
        <w:r w:rsidR="00DA50C5" w:rsidRPr="00DA50C5">
          <w:rPr>
            <w:color w:val="0000FF"/>
            <w:u w:val="single"/>
            <w:rtl/>
          </w:rPr>
          <w:t>עפ"ג 39588-03-14</w:t>
        </w:r>
      </w:hyperlink>
      <w:r>
        <w:rPr>
          <w:rFonts w:hint="cs"/>
          <w:rtl/>
        </w:rPr>
        <w:t xml:space="preserve"> </w:t>
      </w:r>
      <w:r>
        <w:rPr>
          <w:rFonts w:hint="cs"/>
          <w:b/>
          <w:bCs/>
          <w:rtl/>
        </w:rPr>
        <w:t>דגן נ' מ.י.</w:t>
      </w:r>
      <w:r>
        <w:rPr>
          <w:rFonts w:hint="cs"/>
          <w:rtl/>
        </w:rPr>
        <w:t xml:space="preserve"> (2014):</w:t>
      </w:r>
    </w:p>
    <w:p w14:paraId="342D01F4" w14:textId="77777777" w:rsidR="00B42715" w:rsidRDefault="00B42715" w:rsidP="00B42715">
      <w:pPr>
        <w:pStyle w:val="ab"/>
        <w:spacing w:before="0" w:after="0" w:line="360" w:lineRule="auto"/>
        <w:ind w:left="567" w:right="567"/>
        <w:jc w:val="both"/>
        <w:rPr>
          <w:b/>
          <w:bCs/>
          <w:i w:val="0"/>
          <w:iCs w:val="0"/>
        </w:rPr>
      </w:pPr>
      <w:r w:rsidRPr="00D75595">
        <w:rPr>
          <w:rFonts w:hint="cs"/>
          <w:b/>
          <w:bCs/>
          <w:i w:val="0"/>
          <w:iCs w:val="0"/>
          <w:color w:val="auto"/>
          <w:rtl/>
        </w:rPr>
        <w:t xml:space="preserve">אפילו היינו מקבלים שהמערער סובל מבעיות רפואיות שונות וכי השתמש בשל כך בסמים, לא היה בכך לשנות את מסקנתנו. המערער איננו יכול לעשות דין לעצמו, להחזיק מעבדה לגידול סם ולגדל סמים בהיקף של קרוב ל- 3 קילו, כל זאת על דעת עצמו וכדי לשרת את מטרותיו. אם סבור המערער כי הוא זכאי להשתמש בסם בשל מחלותיו, יתכבד ויפנה להליך הקבוע בחוק בנושא זה ויקבל אישור לקניית הסם. </w:t>
      </w:r>
    </w:p>
    <w:p w14:paraId="3DB0BBB7" w14:textId="77777777" w:rsidR="00B42715" w:rsidRDefault="00B42715" w:rsidP="00B42715">
      <w:pPr>
        <w:spacing w:line="360" w:lineRule="auto"/>
        <w:ind w:left="360"/>
        <w:contextualSpacing/>
        <w:jc w:val="both"/>
      </w:pPr>
      <w:r>
        <w:rPr>
          <w:rFonts w:hint="cs"/>
          <w:rtl/>
        </w:rPr>
        <w:t xml:space="preserve">ועוד ראו </w:t>
      </w:r>
      <w:hyperlink r:id="rId23" w:history="1">
        <w:r w:rsidR="00DA50C5" w:rsidRPr="00DA50C5">
          <w:rPr>
            <w:color w:val="0000FF"/>
            <w:u w:val="single"/>
            <w:rtl/>
          </w:rPr>
          <w:t>ת"פ 5391-02-14</w:t>
        </w:r>
      </w:hyperlink>
      <w:r>
        <w:rPr>
          <w:rFonts w:hint="cs"/>
          <w:rtl/>
        </w:rPr>
        <w:t xml:space="preserve"> </w:t>
      </w:r>
      <w:r>
        <w:rPr>
          <w:rFonts w:ascii="Arial" w:hAnsi="Arial" w:hint="cs"/>
          <w:b/>
          <w:bCs/>
          <w:rtl/>
        </w:rPr>
        <w:t>מ.י. נ' חנא</w:t>
      </w:r>
      <w:r>
        <w:rPr>
          <w:rFonts w:ascii="Arial" w:hAnsi="Arial" w:hint="cs"/>
          <w:rtl/>
        </w:rPr>
        <w:t xml:space="preserve"> (2015) ו</w:t>
      </w:r>
      <w:hyperlink r:id="rId24" w:history="1">
        <w:r w:rsidR="00DA50C5" w:rsidRPr="00DA50C5">
          <w:rPr>
            <w:rFonts w:ascii="Arial" w:hAnsi="Arial"/>
            <w:color w:val="0000FF"/>
            <w:u w:val="single"/>
            <w:rtl/>
          </w:rPr>
          <w:t>ת"פ 15425-02-14</w:t>
        </w:r>
      </w:hyperlink>
      <w:r>
        <w:rPr>
          <w:rFonts w:ascii="Arial" w:hAnsi="Arial" w:hint="cs"/>
          <w:rtl/>
        </w:rPr>
        <w:t xml:space="preserve"> </w:t>
      </w:r>
      <w:r>
        <w:rPr>
          <w:rFonts w:ascii="Arial" w:hAnsi="Arial" w:hint="cs"/>
          <w:b/>
          <w:bCs/>
          <w:rtl/>
        </w:rPr>
        <w:t>מ.י. נ' גילוני</w:t>
      </w:r>
      <w:r>
        <w:rPr>
          <w:rFonts w:ascii="Arial" w:hAnsi="Arial" w:hint="cs"/>
          <w:rtl/>
        </w:rPr>
        <w:t xml:space="preserve"> (2015).</w:t>
      </w:r>
    </w:p>
    <w:p w14:paraId="401E3FA9" w14:textId="77777777" w:rsidR="00B42715" w:rsidRDefault="00B42715" w:rsidP="00B42715">
      <w:pPr>
        <w:numPr>
          <w:ilvl w:val="0"/>
          <w:numId w:val="1"/>
        </w:numPr>
        <w:spacing w:line="360" w:lineRule="auto"/>
        <w:ind w:left="0"/>
        <w:contextualSpacing/>
        <w:jc w:val="both"/>
      </w:pPr>
      <w:r>
        <w:rPr>
          <w:rFonts w:hint="cs"/>
          <w:rtl/>
        </w:rPr>
        <w:t>זה מכבר נקבע, כי סוג גידול זה הפך ל"מכת מדינה"</w:t>
      </w:r>
      <w:r>
        <w:rPr>
          <w:rFonts w:cs="Times New Roman"/>
          <w:vertAlign w:val="superscript"/>
        </w:rPr>
        <w:footnoteReference w:customMarkFollows="1" w:id="1"/>
        <w:t>[1]</w:t>
      </w:r>
      <w:r>
        <w:rPr>
          <w:rFonts w:hint="cs"/>
          <w:rtl/>
        </w:rPr>
        <w:t xml:space="preserve">: אין לטעות בגידול שבהיקף התופעה בעירנו ובמחוזנו, שהפכו באופן בלתי-צפוי למרכז של חקלאות משוכללת ומכניסה, כפי שניתן להסיק מריבוי המקרים המובאים לבית המשפט, ואף תוך זהירות והתחשבות בהטיות אפשריות (כגון עליה ביכולות ובהיקפי אכיפה). כך ראו </w:t>
      </w:r>
      <w:hyperlink r:id="rId25" w:history="1">
        <w:r w:rsidR="00DA50C5" w:rsidRPr="00DA50C5">
          <w:rPr>
            <w:color w:val="0000FF"/>
            <w:u w:val="single"/>
            <w:rtl/>
          </w:rPr>
          <w:t>עפ"ג 12819-11-15</w:t>
        </w:r>
      </w:hyperlink>
      <w:r>
        <w:rPr>
          <w:rFonts w:hint="cs"/>
          <w:rtl/>
        </w:rPr>
        <w:t xml:space="preserve"> </w:t>
      </w:r>
      <w:r>
        <w:rPr>
          <w:rFonts w:hint="cs"/>
          <w:b/>
          <w:bCs/>
          <w:rtl/>
        </w:rPr>
        <w:t>מ.י. נ' בן-צבי</w:t>
      </w:r>
      <w:r>
        <w:rPr>
          <w:rFonts w:hint="cs"/>
          <w:rtl/>
        </w:rPr>
        <w:t xml:space="preserve"> (2015), </w:t>
      </w:r>
      <w:hyperlink r:id="rId26" w:history="1">
        <w:r w:rsidR="00DA50C5" w:rsidRPr="00DA50C5">
          <w:rPr>
            <w:color w:val="0000FF"/>
            <w:u w:val="single"/>
            <w:rtl/>
          </w:rPr>
          <w:t>עפ"ג 17796-10-14</w:t>
        </w:r>
      </w:hyperlink>
      <w:r>
        <w:rPr>
          <w:rFonts w:hint="cs"/>
          <w:rtl/>
        </w:rPr>
        <w:t xml:space="preserve"> </w:t>
      </w:r>
      <w:r>
        <w:rPr>
          <w:rFonts w:hint="cs"/>
          <w:b/>
          <w:bCs/>
          <w:rtl/>
        </w:rPr>
        <w:t xml:space="preserve">מ.י. נ' דדון </w:t>
      </w:r>
      <w:r>
        <w:rPr>
          <w:rFonts w:hint="cs"/>
          <w:rtl/>
        </w:rPr>
        <w:t xml:space="preserve">(2015) </w:t>
      </w:r>
      <w:hyperlink r:id="rId27" w:history="1">
        <w:r w:rsidR="00DA50C5" w:rsidRPr="00DA50C5">
          <w:rPr>
            <w:color w:val="0000FF"/>
            <w:u w:val="single"/>
            <w:rtl/>
          </w:rPr>
          <w:t>עפ"ג 31126-05-14</w:t>
        </w:r>
      </w:hyperlink>
      <w:r>
        <w:rPr>
          <w:rFonts w:hint="cs"/>
          <w:rtl/>
        </w:rPr>
        <w:t xml:space="preserve"> </w:t>
      </w:r>
      <w:r>
        <w:rPr>
          <w:rFonts w:hint="cs"/>
          <w:b/>
          <w:bCs/>
          <w:rtl/>
        </w:rPr>
        <w:t>מ.י. נ' חריט</w:t>
      </w:r>
      <w:r>
        <w:rPr>
          <w:rFonts w:hint="cs"/>
          <w:rtl/>
        </w:rPr>
        <w:t xml:space="preserve"> (2015), </w:t>
      </w:r>
      <w:hyperlink r:id="rId28" w:history="1">
        <w:r w:rsidR="00DA50C5" w:rsidRPr="00DA50C5">
          <w:rPr>
            <w:color w:val="0000FF"/>
            <w:u w:val="single"/>
            <w:rtl/>
          </w:rPr>
          <w:t>עפ"ג 24376-07-14</w:t>
        </w:r>
      </w:hyperlink>
      <w:r>
        <w:rPr>
          <w:rFonts w:hint="cs"/>
          <w:rtl/>
        </w:rPr>
        <w:t xml:space="preserve"> </w:t>
      </w:r>
      <w:r>
        <w:rPr>
          <w:rFonts w:hint="cs"/>
          <w:b/>
          <w:bCs/>
          <w:rtl/>
        </w:rPr>
        <w:t>עמר נ' מ.י.</w:t>
      </w:r>
      <w:r>
        <w:rPr>
          <w:rFonts w:hint="cs"/>
          <w:rtl/>
        </w:rPr>
        <w:t xml:space="preserve"> (2015) ו</w:t>
      </w:r>
      <w:hyperlink r:id="rId29" w:history="1">
        <w:r w:rsidR="00DA50C5" w:rsidRPr="00DA50C5">
          <w:rPr>
            <w:color w:val="0000FF"/>
            <w:u w:val="single"/>
            <w:rtl/>
          </w:rPr>
          <w:t>עפ"ג 46738-09-14</w:t>
        </w:r>
      </w:hyperlink>
      <w:r>
        <w:rPr>
          <w:rFonts w:hint="cs"/>
          <w:rtl/>
        </w:rPr>
        <w:t xml:space="preserve"> </w:t>
      </w:r>
      <w:r>
        <w:rPr>
          <w:rFonts w:hint="cs"/>
          <w:b/>
          <w:bCs/>
          <w:rtl/>
        </w:rPr>
        <w:t>מ.י. נ' צקבאשווילי</w:t>
      </w:r>
      <w:r>
        <w:rPr>
          <w:rFonts w:hint="cs"/>
          <w:rtl/>
        </w:rPr>
        <w:t xml:space="preserve"> (2014) – ענייניהן של שתיים ושלוש מעבדות סמים מסוג זה מובאים מדי שבוע בפני ערכאת הערעור בבית המשפט המחוזי בתל-אביב – יפו, כאמור בפסיקתו; וממחוזות אחרים – </w:t>
      </w:r>
      <w:hyperlink r:id="rId30" w:history="1">
        <w:r w:rsidR="00DA50C5" w:rsidRPr="00DA50C5">
          <w:rPr>
            <w:color w:val="0000FF"/>
            <w:u w:val="single"/>
            <w:rtl/>
          </w:rPr>
          <w:t>ת"פ (מרכז) 21059-03-16</w:t>
        </w:r>
      </w:hyperlink>
      <w:r>
        <w:rPr>
          <w:rFonts w:hint="cs"/>
          <w:rtl/>
        </w:rPr>
        <w:t xml:space="preserve"> </w:t>
      </w:r>
      <w:r>
        <w:rPr>
          <w:rFonts w:hint="cs"/>
          <w:b/>
          <w:bCs/>
          <w:rtl/>
        </w:rPr>
        <w:t>מ.י. נ' איליספוב</w:t>
      </w:r>
      <w:r>
        <w:rPr>
          <w:rFonts w:hint="cs"/>
          <w:rtl/>
        </w:rPr>
        <w:t xml:space="preserve"> (2017) וע"פ (מחוזי חיפה) 42358-10-14 </w:t>
      </w:r>
      <w:r>
        <w:rPr>
          <w:rFonts w:hint="cs"/>
          <w:b/>
          <w:bCs/>
          <w:rtl/>
        </w:rPr>
        <w:t>גיא נ' מ.י.</w:t>
      </w:r>
      <w:r>
        <w:rPr>
          <w:rFonts w:hint="cs"/>
          <w:rtl/>
        </w:rPr>
        <w:t xml:space="preserve"> (2015).</w:t>
      </w:r>
    </w:p>
    <w:p w14:paraId="637D0A9D" w14:textId="77777777" w:rsidR="00B42715" w:rsidRDefault="00B42715" w:rsidP="00B42715">
      <w:pPr>
        <w:numPr>
          <w:ilvl w:val="0"/>
          <w:numId w:val="1"/>
        </w:numPr>
        <w:spacing w:line="360" w:lineRule="auto"/>
        <w:ind w:left="0"/>
        <w:contextualSpacing/>
        <w:jc w:val="both"/>
      </w:pPr>
      <w:r>
        <w:rPr>
          <w:rFonts w:hint="cs"/>
          <w:rtl/>
        </w:rPr>
        <w:t xml:space="preserve">מדיניות הענישה שנקבעה על-ידי בית המשפט העליון ונוהגת בכל הערכאות, לעניין גידול קנבוס בסדרי גודל של קילוגרמים ספורים, מחייבת מאסר בפועל, בין שישה חודשי מאסר בכליאה ועד לשנתיים (וראו למשל </w:t>
      </w:r>
      <w:hyperlink r:id="rId31" w:history="1">
        <w:r w:rsidR="00DA50C5" w:rsidRPr="00DA50C5">
          <w:rPr>
            <w:color w:val="0000FF"/>
            <w:u w:val="single"/>
            <w:rtl/>
          </w:rPr>
          <w:t>ת"פ (מחוזי ת"א) 40182/05</w:t>
        </w:r>
      </w:hyperlink>
      <w:r>
        <w:rPr>
          <w:rFonts w:hint="cs"/>
          <w:rtl/>
        </w:rPr>
        <w:t xml:space="preserve"> </w:t>
      </w:r>
      <w:r>
        <w:rPr>
          <w:rFonts w:hint="cs"/>
          <w:b/>
          <w:bCs/>
          <w:rtl/>
        </w:rPr>
        <w:t>מ.י. נ' מטיס</w:t>
      </w:r>
      <w:r>
        <w:rPr>
          <w:rFonts w:hint="cs"/>
          <w:rtl/>
        </w:rPr>
        <w:t xml:space="preserve"> (2006), עניין </w:t>
      </w:r>
      <w:r>
        <w:rPr>
          <w:rFonts w:hint="cs"/>
          <w:b/>
          <w:bCs/>
          <w:rtl/>
        </w:rPr>
        <w:t>דגן</w:t>
      </w:r>
      <w:r>
        <w:rPr>
          <w:rFonts w:hint="cs"/>
          <w:rtl/>
        </w:rPr>
        <w:t xml:space="preserve"> הנ"ל, </w:t>
      </w:r>
      <w:hyperlink r:id="rId32" w:history="1">
        <w:r w:rsidR="00DA50C5" w:rsidRPr="00DA50C5">
          <w:rPr>
            <w:color w:val="0000FF"/>
            <w:u w:val="single"/>
            <w:rtl/>
          </w:rPr>
          <w:t>ת"פ 17043-07-13</w:t>
        </w:r>
      </w:hyperlink>
      <w:r>
        <w:rPr>
          <w:rFonts w:hint="cs"/>
          <w:rtl/>
        </w:rPr>
        <w:t xml:space="preserve"> </w:t>
      </w:r>
      <w:r>
        <w:rPr>
          <w:rFonts w:hint="cs"/>
          <w:b/>
          <w:bCs/>
          <w:rtl/>
        </w:rPr>
        <w:t>מ.י. נ' עמר</w:t>
      </w:r>
      <w:r>
        <w:rPr>
          <w:rFonts w:hint="cs"/>
          <w:rtl/>
        </w:rPr>
        <w:t xml:space="preserve"> (2014) ופסק הדין ב</w:t>
      </w:r>
      <w:hyperlink r:id="rId33" w:history="1">
        <w:r w:rsidR="00DA50C5" w:rsidRPr="00DA50C5">
          <w:rPr>
            <w:color w:val="0000FF"/>
            <w:u w:val="single"/>
            <w:rtl/>
          </w:rPr>
          <w:t>עפ"ג 24376-07-14</w:t>
        </w:r>
      </w:hyperlink>
      <w:r>
        <w:rPr>
          <w:rFonts w:hint="cs"/>
          <w:rtl/>
        </w:rPr>
        <w:t xml:space="preserve"> </w:t>
      </w:r>
      <w:r>
        <w:rPr>
          <w:rFonts w:hint="cs"/>
          <w:b/>
          <w:bCs/>
          <w:rtl/>
        </w:rPr>
        <w:t>עמר נ' מ.י.</w:t>
      </w:r>
      <w:r>
        <w:rPr>
          <w:rFonts w:hint="cs"/>
          <w:rtl/>
        </w:rPr>
        <w:t xml:space="preserve"> (2015), </w:t>
      </w:r>
      <w:hyperlink r:id="rId34" w:history="1">
        <w:r w:rsidR="00DA50C5" w:rsidRPr="00DA50C5">
          <w:rPr>
            <w:color w:val="0000FF"/>
            <w:u w:val="single"/>
            <w:rtl/>
          </w:rPr>
          <w:t>ת"פ 34134-01-15</w:t>
        </w:r>
      </w:hyperlink>
      <w:r>
        <w:rPr>
          <w:rFonts w:hint="cs"/>
          <w:rtl/>
        </w:rPr>
        <w:t xml:space="preserve"> </w:t>
      </w:r>
      <w:r>
        <w:rPr>
          <w:rFonts w:hint="cs"/>
          <w:b/>
          <w:bCs/>
          <w:rtl/>
        </w:rPr>
        <w:t>מ.י. נ' ארוסי</w:t>
      </w:r>
      <w:r>
        <w:rPr>
          <w:rFonts w:hint="cs"/>
          <w:rtl/>
        </w:rPr>
        <w:t xml:space="preserve"> (2017) לרבות האסמכתאות המובאות בו), </w:t>
      </w:r>
      <w:hyperlink r:id="rId35" w:history="1">
        <w:r w:rsidR="00DA50C5" w:rsidRPr="00DA50C5">
          <w:rPr>
            <w:color w:val="0000FF"/>
            <w:u w:val="single"/>
            <w:rtl/>
          </w:rPr>
          <w:t>ת"פ 13065-08-15</w:t>
        </w:r>
      </w:hyperlink>
      <w:r>
        <w:rPr>
          <w:rFonts w:hint="cs"/>
          <w:rtl/>
        </w:rPr>
        <w:t xml:space="preserve"> </w:t>
      </w:r>
      <w:r>
        <w:rPr>
          <w:rFonts w:hint="cs"/>
          <w:b/>
          <w:bCs/>
          <w:rtl/>
        </w:rPr>
        <w:t xml:space="preserve">מ.י. נ' דרורי </w:t>
      </w:r>
      <w:r>
        <w:rPr>
          <w:rFonts w:hint="cs"/>
          <w:rtl/>
        </w:rPr>
        <w:t xml:space="preserve">(2018)). </w:t>
      </w:r>
    </w:p>
    <w:p w14:paraId="4F0D092B" w14:textId="77777777" w:rsidR="00B42715" w:rsidRDefault="00B42715" w:rsidP="00B42715">
      <w:pPr>
        <w:numPr>
          <w:ilvl w:val="0"/>
          <w:numId w:val="1"/>
        </w:numPr>
        <w:spacing w:line="360" w:lineRule="auto"/>
        <w:ind w:left="0"/>
        <w:contextualSpacing/>
        <w:jc w:val="both"/>
      </w:pPr>
      <w:r w:rsidRPr="005A1F71">
        <w:rPr>
          <w:rtl/>
        </w:rPr>
        <w:t xml:space="preserve">לנוכח האמור, ובהתחשב  </w:t>
      </w:r>
      <w:r>
        <w:rPr>
          <w:rFonts w:hint="cs"/>
          <w:rtl/>
        </w:rPr>
        <w:t>במשקל הסם שנתפס</w:t>
      </w:r>
      <w:r w:rsidRPr="005A1F71">
        <w:rPr>
          <w:rtl/>
        </w:rPr>
        <w:t>, ייקבע מתחם העונש ההולם בין שמונה לבין 24 חודשי מאסר, כעונש עיקרי.</w:t>
      </w:r>
    </w:p>
    <w:p w14:paraId="4225922F" w14:textId="77777777" w:rsidR="00B42715" w:rsidRDefault="00B42715" w:rsidP="00B42715">
      <w:pPr>
        <w:numPr>
          <w:ilvl w:val="0"/>
          <w:numId w:val="1"/>
        </w:numPr>
        <w:spacing w:line="360" w:lineRule="auto"/>
        <w:ind w:left="0"/>
        <w:contextualSpacing/>
        <w:jc w:val="both"/>
      </w:pPr>
      <w:r>
        <w:rPr>
          <w:rFonts w:hint="cs"/>
          <w:rtl/>
        </w:rPr>
        <w:t>הסניגורית המלומדת ליקטה ביסודיות גזרי-דין ופסקי-דין בהם חויבו נאשמים בענישה שאינה מגיעה כדי כליאה, במקרים דומים ואחרים: הפסיקה, הנוגעת לחיים עצמם, משקפת גם את גיוונם; תמיד ניתן למצוא הכרעות מקצה זה ומקצה זה של מרחב שיקול הדעת, אולם ברור שעיקרה של הלכה הוא כפי שפורט לעיל.</w:t>
      </w:r>
    </w:p>
    <w:p w14:paraId="3665ED91" w14:textId="77777777" w:rsidR="00B42715" w:rsidRDefault="00B42715" w:rsidP="00B42715">
      <w:pPr>
        <w:numPr>
          <w:ilvl w:val="0"/>
          <w:numId w:val="1"/>
        </w:numPr>
        <w:spacing w:line="360" w:lineRule="auto"/>
        <w:ind w:left="0"/>
        <w:contextualSpacing/>
        <w:jc w:val="both"/>
      </w:pPr>
      <w:r>
        <w:rPr>
          <w:rFonts w:hint="cs"/>
          <w:rtl/>
        </w:rPr>
        <w:t>שיחק לנאשם מזלו, וללא כל נתון שניתן להוסיף לזכותו זכה בהקלה עונשית חריגה, שאין לה כל הצדקה עניינית, וניצל מכליאה לה הוא ראוי עקב מעשיו.</w:t>
      </w:r>
    </w:p>
    <w:p w14:paraId="7F579B01" w14:textId="77777777" w:rsidR="00B42715" w:rsidRPr="00F61545" w:rsidRDefault="00B42715" w:rsidP="00B42715">
      <w:pPr>
        <w:spacing w:line="360" w:lineRule="auto"/>
        <w:jc w:val="both"/>
        <w:rPr>
          <w:rFonts w:ascii="Arial" w:hAnsi="Arial"/>
          <w:rtl/>
        </w:rPr>
      </w:pPr>
    </w:p>
    <w:p w14:paraId="5EE27291" w14:textId="77777777" w:rsidR="00B42715" w:rsidRDefault="00B42715" w:rsidP="00B42715">
      <w:pPr>
        <w:spacing w:line="360" w:lineRule="auto"/>
        <w:jc w:val="both"/>
        <w:rPr>
          <w:rtl/>
        </w:rPr>
      </w:pPr>
      <w:r>
        <w:rPr>
          <w:rFonts w:hint="cs"/>
          <w:b/>
          <w:bCs/>
          <w:u w:val="single"/>
          <w:rtl/>
        </w:rPr>
        <w:t>שיקולי הטלת העונש</w:t>
      </w:r>
      <w:r>
        <w:rPr>
          <w:rFonts w:hint="cs"/>
          <w:rtl/>
        </w:rPr>
        <w:t>:</w:t>
      </w:r>
    </w:p>
    <w:p w14:paraId="30521299" w14:textId="77777777" w:rsidR="00B42715" w:rsidRDefault="00B42715" w:rsidP="00B42715">
      <w:pPr>
        <w:pStyle w:val="ae"/>
        <w:numPr>
          <w:ilvl w:val="0"/>
          <w:numId w:val="4"/>
        </w:numPr>
        <w:spacing w:line="360" w:lineRule="auto"/>
        <w:ind w:left="0"/>
        <w:jc w:val="both"/>
      </w:pPr>
      <w:r>
        <w:rPr>
          <w:rFonts w:hint="cs"/>
          <w:rtl/>
        </w:rPr>
        <w:t xml:space="preserve">הנאשם יליד 1974, כבן 44 כיום, נשוי ואב לשלושה ילדים, עובד כמנכ"ל בחברת הייטק [חוזה העסקה, נע/5] . מוצא הנאשם במשפחה נורמטיבית, שנאלצת להתמודד עם דיכאון קליני בו לוקים האם ואחד מאחיו של הנאשם [אישורי מל"ל, נע/2]. הנאשם שירת בצבא, למד בטכניון ולאורך השנים עבד והתקדם בחברות הייטק. </w:t>
      </w:r>
    </w:p>
    <w:p w14:paraId="57A03CF7" w14:textId="77777777" w:rsidR="00B42715" w:rsidRDefault="00B42715" w:rsidP="00B42715">
      <w:pPr>
        <w:pStyle w:val="ae"/>
        <w:numPr>
          <w:ilvl w:val="0"/>
          <w:numId w:val="4"/>
        </w:numPr>
        <w:spacing w:line="360" w:lineRule="auto"/>
        <w:ind w:left="0"/>
        <w:jc w:val="both"/>
      </w:pPr>
      <w:r>
        <w:rPr>
          <w:rFonts w:hint="cs"/>
          <w:rtl/>
        </w:rPr>
        <w:t>אין לנאשם עבר פלילי.</w:t>
      </w:r>
    </w:p>
    <w:p w14:paraId="394FB137" w14:textId="77777777" w:rsidR="00B42715" w:rsidRDefault="00B42715" w:rsidP="00B42715">
      <w:pPr>
        <w:pStyle w:val="ae"/>
        <w:numPr>
          <w:ilvl w:val="0"/>
          <w:numId w:val="4"/>
        </w:numPr>
        <w:spacing w:line="360" w:lineRule="auto"/>
        <w:ind w:left="0"/>
        <w:jc w:val="both"/>
      </w:pPr>
      <w:r>
        <w:rPr>
          <w:rFonts w:hint="cs"/>
          <w:rtl/>
        </w:rPr>
        <w:t xml:space="preserve">הנאשם לקה במחלה הנ"ל שהתפרצה כשהיה בטיול בחו"ל לאחר שחרורו, ומצא כי הקנבוס מקל על כאבי הבטן הקשים והממושכים מהם הוא סובל [מסמכים, נע/1]. לדבריו, הסותרים את הודאתו, גידל הנאשם את הסם לצריכתו העצמית, כדי לחסוך בעלויות ולהתרחק מסוחרי סמים </w:t>
      </w:r>
      <w:r>
        <w:rPr>
          <w:rtl/>
        </w:rPr>
        <w:t>–</w:t>
      </w:r>
      <w:r>
        <w:rPr>
          <w:rFonts w:hint="cs"/>
          <w:rtl/>
        </w:rPr>
        <w:t xml:space="preserve"> טענה אותה דחיתי, כמפורט לעיל.</w:t>
      </w:r>
    </w:p>
    <w:p w14:paraId="414E4A85" w14:textId="77777777" w:rsidR="00B42715" w:rsidRDefault="00B42715" w:rsidP="00B42715">
      <w:pPr>
        <w:pStyle w:val="ae"/>
        <w:numPr>
          <w:ilvl w:val="0"/>
          <w:numId w:val="4"/>
        </w:numPr>
        <w:spacing w:line="360" w:lineRule="auto"/>
        <w:ind w:left="0"/>
        <w:jc w:val="both"/>
      </w:pPr>
      <w:r>
        <w:rPr>
          <w:rFonts w:hint="cs"/>
          <w:rtl/>
        </w:rPr>
        <w:t>חשיפת מעשיו וההלם שבמעצר הובילו את הנאשם להבנה של משמעות מעשיו ולזעזוע מטלטל. הנאשם חש בושה וחרטה, ומצר על הפגיעה הרגשית בילדיו שנזקקים לטיפולים רגשיים [מסמכים, נע/3]. הנאשם מסר לשירות המבחן שהפסיק את השימוש בסם ואימץ אורח חיים ספורטיבי, וביטא רצון להשתלב בטיפול רגשי. בדיקות סמים מצאו כי הנאשם אינו משתמש בסמים [אישורים, נע/4].</w:t>
      </w:r>
    </w:p>
    <w:p w14:paraId="738DAB5A" w14:textId="77777777" w:rsidR="00B42715" w:rsidRDefault="00B42715" w:rsidP="00B42715">
      <w:pPr>
        <w:pStyle w:val="ae"/>
        <w:numPr>
          <w:ilvl w:val="0"/>
          <w:numId w:val="4"/>
        </w:numPr>
        <w:spacing w:line="360" w:lineRule="auto"/>
        <w:ind w:left="0"/>
        <w:jc w:val="both"/>
      </w:pPr>
      <w:r>
        <w:rPr>
          <w:rFonts w:hint="cs"/>
          <w:rtl/>
        </w:rPr>
        <w:t>שירות המבחן התרשם כי לנאשם מערכת ערכים תקינה ונורמטיבית, שהסתבך בעבירות בשל כאבים וחרדות שליוו אותו, ושהחשיפה והמעצר היוו גורם מרתיע. השירות מצא כי הסיכון להישנות עבירות הוא נמוך, והמליץ על ענישה שיקומית של צו מבחן וצו של"צ. עוד המליץ השירות על ביטול ההרשעה, מחמת החשש לפגיעה בתפיסתו העצמית של הנאשם.</w:t>
      </w:r>
    </w:p>
    <w:p w14:paraId="1CF39023" w14:textId="77777777" w:rsidR="00B42715" w:rsidRDefault="00B42715" w:rsidP="00B42715">
      <w:pPr>
        <w:pStyle w:val="ae"/>
        <w:numPr>
          <w:ilvl w:val="0"/>
          <w:numId w:val="4"/>
        </w:numPr>
        <w:spacing w:line="360" w:lineRule="auto"/>
        <w:ind w:left="0"/>
        <w:jc w:val="both"/>
      </w:pPr>
      <w:r>
        <w:rPr>
          <w:rFonts w:hint="cs"/>
          <w:rtl/>
        </w:rPr>
        <w:t xml:space="preserve">והנה, על-אף יכולתו של הנאשם לשכנע את שירות המבחן בדבר "מוטיבציה גבוהה" להשתלבות בטיפול, לא פנה הנאשם לטיפול כלשהו במהלך התקופה שחלפה מעת חשיפת המעשים, ואף לא במהלך השנה שחלפה מאז התסקיר הראשון. בחינה של המציאות לאשורה מעלה כי הנאשם לא שילב עצמו ולא שולב בכל טיפול שהוא עד לאחרונה (למען הדיוק </w:t>
      </w:r>
      <w:r>
        <w:rPr>
          <w:rtl/>
        </w:rPr>
        <w:t>–</w:t>
      </w:r>
      <w:r>
        <w:rPr>
          <w:rFonts w:hint="cs"/>
          <w:rtl/>
        </w:rPr>
        <w:t xml:space="preserve"> לאחר הטיעונים לעונש ובמהלך הדחייה לשם קבלתה של חוות דעתו של הממונה על עבודות השירות (היש הצתה מאוחרת מזו, המעידה היטב הן על המניע להשתלבות בטיפול והן על מידת הכנות שברצון בטיפול?). </w:t>
      </w:r>
      <w:r w:rsidRPr="00E41EB2">
        <w:rPr>
          <w:rtl/>
        </w:rPr>
        <w:t>הנאשם לא עבר עד-עתה את אותו שינוי לבבות שיכול להצדיק חריגה מסוג זה ("אינדיקציות לשינוי עמוק בהתנהגות ובדרך החשיבה", לפי הלכה שנפסקה ב</w:t>
      </w:r>
      <w:hyperlink r:id="rId36" w:history="1">
        <w:r w:rsidR="00DA50C5" w:rsidRPr="00DA50C5">
          <w:rPr>
            <w:color w:val="0000FF"/>
            <w:u w:val="single"/>
            <w:rtl/>
          </w:rPr>
          <w:t>ע"פ 6637/17</w:t>
        </w:r>
      </w:hyperlink>
      <w:r w:rsidRPr="00E41EB2">
        <w:rPr>
          <w:rtl/>
        </w:rPr>
        <w:t xml:space="preserve"> </w:t>
      </w:r>
      <w:r w:rsidRPr="004E3532">
        <w:rPr>
          <w:b/>
          <w:bCs/>
          <w:rtl/>
        </w:rPr>
        <w:t>קרנדל נ' מ.י.</w:t>
      </w:r>
      <w:r w:rsidRPr="00E41EB2">
        <w:rPr>
          <w:rtl/>
        </w:rPr>
        <w:t xml:space="preserve"> (2018)), ולמעשה הנאשם מבקש לשוב לשגר</w:t>
      </w:r>
      <w:r>
        <w:rPr>
          <w:rtl/>
        </w:rPr>
        <w:t>ת חייו ללא שינוי</w:t>
      </w:r>
      <w:r>
        <w:rPr>
          <w:rFonts w:hint="cs"/>
          <w:rtl/>
        </w:rPr>
        <w:t>.</w:t>
      </w:r>
    </w:p>
    <w:p w14:paraId="46ED4CAE" w14:textId="77777777" w:rsidR="00B42715" w:rsidRDefault="00B42715" w:rsidP="00B42715">
      <w:pPr>
        <w:pStyle w:val="ae"/>
        <w:numPr>
          <w:ilvl w:val="0"/>
          <w:numId w:val="4"/>
        </w:numPr>
        <w:spacing w:line="360" w:lineRule="auto"/>
        <w:ind w:left="0"/>
        <w:jc w:val="both"/>
      </w:pPr>
      <w:r>
        <w:rPr>
          <w:rFonts w:hint="cs"/>
          <w:rtl/>
        </w:rPr>
        <w:t xml:space="preserve">כאמור לעיל, עונשו הראוי של הנאשם הוא מאסר בכליאה, אך אקבל את עמדת התביעה מנימוקיה ולא אעשה עצמי "קטגור-על". עונשו העיקרי של הנאשם יהא מאסר לריצוי בעבודות שירות, , ולצדו יוטלו מאסר מותנה והתחייבות לתוספת הרתעה, וכן קנס המחויב מטיב העבירה בנסיבותיה </w:t>
      </w:r>
      <w:r w:rsidRPr="001674E0">
        <w:rPr>
          <w:rFonts w:ascii="Arial" w:hAnsi="Arial" w:hint="cs"/>
          <w:rtl/>
        </w:rPr>
        <w:t xml:space="preserve">(וראו למשל </w:t>
      </w:r>
      <w:hyperlink r:id="rId37" w:history="1">
        <w:r w:rsidR="00DA50C5" w:rsidRPr="00DA50C5">
          <w:rPr>
            <w:rFonts w:ascii="Arial" w:hAnsi="Arial"/>
            <w:color w:val="0000FF"/>
            <w:u w:val="single"/>
            <w:rtl/>
          </w:rPr>
          <w:t>עפ"ג 30016-07-17</w:t>
        </w:r>
      </w:hyperlink>
      <w:r w:rsidRPr="001674E0">
        <w:rPr>
          <w:rFonts w:ascii="Arial" w:hAnsi="Arial" w:hint="cs"/>
          <w:rtl/>
        </w:rPr>
        <w:t xml:space="preserve"> </w:t>
      </w:r>
      <w:r w:rsidRPr="001674E0">
        <w:rPr>
          <w:rFonts w:ascii="Arial" w:hAnsi="Arial" w:hint="cs"/>
          <w:b/>
          <w:bCs/>
          <w:rtl/>
        </w:rPr>
        <w:t>מ.י. נ' קנוש</w:t>
      </w:r>
      <w:r w:rsidRPr="001674E0">
        <w:rPr>
          <w:rFonts w:ascii="Arial" w:hAnsi="Arial" w:hint="cs"/>
          <w:rtl/>
        </w:rPr>
        <w:t xml:space="preserve"> (2017)). לנוכח הפסקת השימוש בסם תוטל פסילה מותנית בלבד</w:t>
      </w:r>
      <w:r>
        <w:rPr>
          <w:rFonts w:ascii="Arial" w:hAnsi="Arial" w:hint="cs"/>
          <w:rtl/>
        </w:rPr>
        <w:t>, כעתירת הסניגורית המלומדת</w:t>
      </w:r>
      <w:r w:rsidRPr="001674E0">
        <w:rPr>
          <w:rFonts w:ascii="Arial" w:hAnsi="Arial" w:hint="cs"/>
          <w:rtl/>
        </w:rPr>
        <w:t>.</w:t>
      </w:r>
    </w:p>
    <w:p w14:paraId="18A3915F" w14:textId="77777777" w:rsidR="00B42715" w:rsidRDefault="00B42715" w:rsidP="00B42715">
      <w:pPr>
        <w:spacing w:line="360" w:lineRule="auto"/>
        <w:jc w:val="both"/>
        <w:rPr>
          <w:rtl/>
        </w:rPr>
      </w:pPr>
    </w:p>
    <w:p w14:paraId="560C9B0A" w14:textId="77777777" w:rsidR="00B42715" w:rsidRDefault="00B42715" w:rsidP="00B42715">
      <w:pPr>
        <w:spacing w:line="360" w:lineRule="auto"/>
        <w:jc w:val="both"/>
        <w:rPr>
          <w:rtl/>
        </w:rPr>
      </w:pPr>
      <w:r>
        <w:rPr>
          <w:rFonts w:hint="cs"/>
          <w:b/>
          <w:bCs/>
          <w:u w:val="single"/>
          <w:rtl/>
        </w:rPr>
        <w:t>חילוט קטנוע</w:t>
      </w:r>
      <w:r>
        <w:rPr>
          <w:rFonts w:hint="cs"/>
          <w:rtl/>
        </w:rPr>
        <w:t>:</w:t>
      </w:r>
    </w:p>
    <w:p w14:paraId="3CA4AAF2" w14:textId="77777777" w:rsidR="00B42715" w:rsidRPr="0017361D" w:rsidRDefault="00B42715" w:rsidP="00B42715">
      <w:pPr>
        <w:spacing w:line="360" w:lineRule="auto"/>
        <w:jc w:val="both"/>
      </w:pPr>
      <w:r>
        <w:rPr>
          <w:rFonts w:hint="cs"/>
          <w:rtl/>
        </w:rPr>
        <w:t xml:space="preserve">בכתב האישום הודיעה התביעה כי תבקש לקבוע שהנאשם הוא "סוחר סמים" ולחלט שני כלי רכב שנתפסו מחזקתו </w:t>
      </w:r>
      <w:r>
        <w:rPr>
          <w:rtl/>
        </w:rPr>
        <w:t>–</w:t>
      </w:r>
      <w:r>
        <w:rPr>
          <w:rFonts w:hint="cs"/>
          <w:rtl/>
        </w:rPr>
        <w:t xml:space="preserve"> מכונית וקטנוע. הצדדים הסכימו כי המכונית תושב לחזקת הנאשם ללא כל מגבלה, והקטנוע יחולט. בנסיבות אלו אין צורך בקביעה שהנאשם הוא "סוחר סמים", והסכמת הצדדים תכובד.</w:t>
      </w:r>
    </w:p>
    <w:p w14:paraId="143ED75D" w14:textId="77777777" w:rsidR="00B42715" w:rsidRDefault="00B42715" w:rsidP="00B42715">
      <w:pPr>
        <w:spacing w:line="360" w:lineRule="auto"/>
        <w:jc w:val="both"/>
        <w:rPr>
          <w:rtl/>
        </w:rPr>
      </w:pPr>
    </w:p>
    <w:p w14:paraId="49D8CF45" w14:textId="77777777" w:rsidR="00B42715" w:rsidRDefault="00B42715" w:rsidP="00B42715">
      <w:pPr>
        <w:spacing w:line="360" w:lineRule="auto"/>
        <w:jc w:val="both"/>
        <w:rPr>
          <w:rFonts w:ascii="Arial" w:hAnsi="Arial"/>
          <w:rtl/>
        </w:rPr>
      </w:pPr>
      <w:r>
        <w:rPr>
          <w:rFonts w:ascii="Arial" w:hAnsi="Arial" w:hint="cs"/>
          <w:b/>
          <w:bCs/>
          <w:u w:val="single"/>
          <w:rtl/>
        </w:rPr>
        <w:t>סוף-דבר, אני גוזר על הנאשם את העונשים הבאים</w:t>
      </w:r>
      <w:r>
        <w:rPr>
          <w:rFonts w:ascii="Arial" w:hAnsi="Arial" w:hint="cs"/>
          <w:rtl/>
        </w:rPr>
        <w:t>:</w:t>
      </w:r>
    </w:p>
    <w:p w14:paraId="1D9464A8" w14:textId="77777777" w:rsidR="00B42715" w:rsidRPr="00C61EEA" w:rsidRDefault="00B42715" w:rsidP="00B42715">
      <w:pPr>
        <w:spacing w:line="360" w:lineRule="auto"/>
        <w:ind w:left="360"/>
        <w:jc w:val="both"/>
        <w:rPr>
          <w:rFonts w:ascii="Arial" w:hAnsi="Arial"/>
        </w:rPr>
      </w:pPr>
    </w:p>
    <w:p w14:paraId="60E64BA8" w14:textId="77777777" w:rsidR="00B42715" w:rsidRPr="00771623" w:rsidRDefault="00B42715" w:rsidP="00B42715">
      <w:pPr>
        <w:pStyle w:val="ae"/>
        <w:numPr>
          <w:ilvl w:val="0"/>
          <w:numId w:val="6"/>
        </w:numPr>
        <w:spacing w:line="360" w:lineRule="auto"/>
        <w:jc w:val="both"/>
        <w:rPr>
          <w:rFonts w:ascii="Arial" w:hAnsi="Arial"/>
          <w:rtl/>
        </w:rPr>
      </w:pPr>
      <w:r>
        <w:rPr>
          <w:rFonts w:ascii="Arial" w:hAnsi="Arial" w:hint="cs"/>
          <w:rtl/>
        </w:rPr>
        <w:t>שישה חודשי מאסר בפועל, שירוצו בעבודות שירות מיום 07.03.19 במרכז לקשיש ראש העין. הממונה יוכל להורות על בדיקות סמים לנאשם, לרבות בדיקות פתע. תשומת-לב הנאשם להוראות ולהתראות שבחוות דעתו של הממונה, לרבות האפשרות של הפסקה מנהלית של העבודות וכליאתו ליתרת התקופה;</w:t>
      </w:r>
    </w:p>
    <w:p w14:paraId="7DF168EF" w14:textId="77777777" w:rsidR="00B42715" w:rsidRPr="00C61EEA" w:rsidRDefault="00B42715" w:rsidP="00B42715">
      <w:pPr>
        <w:spacing w:line="360" w:lineRule="auto"/>
        <w:ind w:left="360"/>
        <w:jc w:val="both"/>
        <w:rPr>
          <w:rFonts w:ascii="Arial" w:hAnsi="Arial"/>
        </w:rPr>
      </w:pPr>
    </w:p>
    <w:p w14:paraId="31539129" w14:textId="77777777" w:rsidR="00B42715" w:rsidRPr="00771623" w:rsidRDefault="00B42715" w:rsidP="00B42715">
      <w:pPr>
        <w:pStyle w:val="ae"/>
        <w:numPr>
          <w:ilvl w:val="0"/>
          <w:numId w:val="6"/>
        </w:numPr>
        <w:spacing w:line="360" w:lineRule="auto"/>
        <w:jc w:val="both"/>
        <w:rPr>
          <w:rFonts w:ascii="Arial" w:hAnsi="Arial"/>
          <w:rtl/>
        </w:rPr>
      </w:pPr>
      <w:r>
        <w:rPr>
          <w:rFonts w:ascii="Arial" w:hAnsi="Arial" w:hint="cs"/>
          <w:rtl/>
        </w:rPr>
        <w:t>ארבעה</w:t>
      </w:r>
      <w:r w:rsidRPr="00771623">
        <w:rPr>
          <w:rFonts w:ascii="Arial" w:hAnsi="Arial" w:hint="cs"/>
          <w:rtl/>
        </w:rPr>
        <w:t xml:space="preserve"> חודשי מאסר על-תנאי למשך שנתיים מ</w:t>
      </w:r>
      <w:r>
        <w:rPr>
          <w:rFonts w:ascii="Arial" w:hAnsi="Arial" w:hint="cs"/>
          <w:rtl/>
        </w:rPr>
        <w:t>היום</w:t>
      </w:r>
      <w:r w:rsidRPr="00771623">
        <w:rPr>
          <w:rFonts w:ascii="Arial" w:hAnsi="Arial" w:hint="cs"/>
          <w:rtl/>
        </w:rPr>
        <w:t>, שלא יעבור עבירת סמים מסוג פשע;</w:t>
      </w:r>
    </w:p>
    <w:p w14:paraId="6DF4A0F1" w14:textId="77777777" w:rsidR="00B42715" w:rsidRPr="00C61EEA" w:rsidRDefault="00B42715" w:rsidP="00B42715">
      <w:pPr>
        <w:spacing w:line="360" w:lineRule="auto"/>
        <w:ind w:left="360"/>
        <w:jc w:val="both"/>
        <w:rPr>
          <w:rFonts w:ascii="Arial" w:hAnsi="Arial"/>
        </w:rPr>
      </w:pPr>
    </w:p>
    <w:p w14:paraId="5CCF2F97" w14:textId="77777777" w:rsidR="00B42715" w:rsidRPr="00771623" w:rsidRDefault="00B42715" w:rsidP="00B42715">
      <w:pPr>
        <w:pStyle w:val="ae"/>
        <w:numPr>
          <w:ilvl w:val="0"/>
          <w:numId w:val="6"/>
        </w:numPr>
        <w:spacing w:line="360" w:lineRule="auto"/>
        <w:jc w:val="both"/>
        <w:rPr>
          <w:rFonts w:ascii="Arial" w:hAnsi="Arial"/>
          <w:rtl/>
        </w:rPr>
      </w:pPr>
      <w:r w:rsidRPr="00771623">
        <w:rPr>
          <w:rFonts w:ascii="Arial" w:hAnsi="Arial" w:hint="cs"/>
          <w:rtl/>
        </w:rPr>
        <w:t xml:space="preserve">קנס בסך </w:t>
      </w:r>
      <w:r>
        <w:rPr>
          <w:rFonts w:ascii="Arial" w:hAnsi="Arial" w:hint="cs"/>
          <w:rtl/>
        </w:rPr>
        <w:t>30</w:t>
      </w:r>
      <w:r w:rsidRPr="00771623">
        <w:rPr>
          <w:rFonts w:ascii="Arial" w:hAnsi="Arial" w:hint="cs"/>
          <w:rtl/>
        </w:rPr>
        <w:t>,000 ₪ שישולם עד ליום 1.</w:t>
      </w:r>
      <w:r>
        <w:rPr>
          <w:rFonts w:ascii="Arial" w:hAnsi="Arial" w:hint="cs"/>
          <w:rtl/>
        </w:rPr>
        <w:t>4</w:t>
      </w:r>
      <w:r w:rsidRPr="00771623">
        <w:rPr>
          <w:rFonts w:ascii="Arial" w:hAnsi="Arial" w:hint="cs"/>
          <w:rtl/>
        </w:rPr>
        <w:t xml:space="preserve">.2019 ויועבר לזכות קרן הסמים, או </w:t>
      </w:r>
      <w:r>
        <w:rPr>
          <w:rFonts w:ascii="Arial" w:hAnsi="Arial" w:hint="cs"/>
          <w:rtl/>
        </w:rPr>
        <w:t>שלושה חודשי</w:t>
      </w:r>
      <w:r w:rsidRPr="00771623">
        <w:rPr>
          <w:rFonts w:ascii="Arial" w:hAnsi="Arial" w:hint="cs"/>
          <w:rtl/>
        </w:rPr>
        <w:t xml:space="preserve"> מאסר תמורתו. בקשות לדחייה נוספת של מועד תשלום הקנס או לפריסתו לתשלומים ניתן להגיש למרכז לגביית קנסות, אגרות והוצאות;</w:t>
      </w:r>
    </w:p>
    <w:p w14:paraId="13619F61" w14:textId="77777777" w:rsidR="00B42715" w:rsidRPr="00C61EEA" w:rsidRDefault="00B42715" w:rsidP="00B42715">
      <w:pPr>
        <w:spacing w:line="360" w:lineRule="auto"/>
        <w:ind w:left="360"/>
        <w:jc w:val="both"/>
        <w:rPr>
          <w:rFonts w:ascii="Arial" w:hAnsi="Arial"/>
        </w:rPr>
      </w:pPr>
    </w:p>
    <w:p w14:paraId="232C18D1" w14:textId="77777777" w:rsidR="00B42715" w:rsidRPr="00771623" w:rsidRDefault="00B42715" w:rsidP="00B42715">
      <w:pPr>
        <w:pStyle w:val="ae"/>
        <w:numPr>
          <w:ilvl w:val="0"/>
          <w:numId w:val="6"/>
        </w:numPr>
        <w:spacing w:line="360" w:lineRule="auto"/>
        <w:jc w:val="both"/>
        <w:rPr>
          <w:rFonts w:ascii="Arial" w:hAnsi="Arial"/>
          <w:rtl/>
        </w:rPr>
      </w:pPr>
      <w:r w:rsidRPr="00771623">
        <w:rPr>
          <w:rFonts w:ascii="Arial" w:hAnsi="Arial" w:hint="cs"/>
          <w:rtl/>
        </w:rPr>
        <w:t xml:space="preserve">התחייבות בסך 3,000 ₪ למשך שנתיים </w:t>
      </w:r>
      <w:r>
        <w:rPr>
          <w:rFonts w:ascii="Arial" w:hAnsi="Arial" w:hint="cs"/>
          <w:rtl/>
        </w:rPr>
        <w:t>מהיום</w:t>
      </w:r>
      <w:r w:rsidRPr="00771623">
        <w:rPr>
          <w:rFonts w:ascii="Arial" w:hAnsi="Arial" w:hint="cs"/>
          <w:rtl/>
        </w:rPr>
        <w:t>, שלא יעבור עבירת סמים מסוג פשע. לא תיחתם ההתחייבות, ייאסר הנאשם למשך חודשיים;</w:t>
      </w:r>
    </w:p>
    <w:p w14:paraId="6DC0D5D3" w14:textId="77777777" w:rsidR="00B42715" w:rsidRPr="00C61EEA" w:rsidRDefault="00B42715" w:rsidP="00B42715">
      <w:pPr>
        <w:spacing w:line="360" w:lineRule="auto"/>
        <w:ind w:left="360"/>
        <w:jc w:val="both"/>
        <w:rPr>
          <w:rFonts w:ascii="Arial" w:hAnsi="Arial"/>
        </w:rPr>
      </w:pPr>
    </w:p>
    <w:p w14:paraId="19D7FFEF" w14:textId="77777777" w:rsidR="00B42715" w:rsidRDefault="00B42715" w:rsidP="00B42715">
      <w:pPr>
        <w:pStyle w:val="ae"/>
        <w:numPr>
          <w:ilvl w:val="0"/>
          <w:numId w:val="6"/>
        </w:numPr>
        <w:spacing w:line="360" w:lineRule="auto"/>
        <w:jc w:val="both"/>
        <w:rPr>
          <w:rFonts w:ascii="Arial" w:hAnsi="Arial"/>
        </w:rPr>
      </w:pPr>
      <w:r w:rsidRPr="00771623">
        <w:rPr>
          <w:rFonts w:ascii="Arial" w:hAnsi="Arial" w:hint="cs"/>
          <w:rtl/>
        </w:rPr>
        <w:t>שישה חודשי פסילה על-תנאי למשך שנתיים מ</w:t>
      </w:r>
      <w:r>
        <w:rPr>
          <w:rFonts w:ascii="Arial" w:hAnsi="Arial" w:hint="cs"/>
          <w:rtl/>
        </w:rPr>
        <w:t>היום</w:t>
      </w:r>
      <w:r w:rsidRPr="00771623">
        <w:rPr>
          <w:rFonts w:ascii="Arial" w:hAnsi="Arial" w:hint="cs"/>
          <w:rtl/>
        </w:rPr>
        <w:t>, מלנהוג או לקבל רישיון נהיגה;</w:t>
      </w:r>
    </w:p>
    <w:p w14:paraId="0E82261B" w14:textId="77777777" w:rsidR="00B42715" w:rsidRPr="00C61EEA" w:rsidRDefault="00B42715" w:rsidP="00B42715">
      <w:pPr>
        <w:spacing w:line="360" w:lineRule="auto"/>
        <w:ind w:left="360"/>
        <w:jc w:val="both"/>
        <w:rPr>
          <w:rFonts w:ascii="Arial" w:hAnsi="Arial"/>
        </w:rPr>
      </w:pPr>
    </w:p>
    <w:p w14:paraId="31FC88B7" w14:textId="77777777" w:rsidR="00B42715" w:rsidRPr="00771623" w:rsidRDefault="00B42715" w:rsidP="00B42715">
      <w:pPr>
        <w:pStyle w:val="ae"/>
        <w:numPr>
          <w:ilvl w:val="0"/>
          <w:numId w:val="6"/>
        </w:numPr>
        <w:spacing w:line="360" w:lineRule="auto"/>
        <w:jc w:val="both"/>
        <w:rPr>
          <w:rFonts w:ascii="Arial" w:hAnsi="Arial"/>
          <w:rtl/>
        </w:rPr>
      </w:pPr>
      <w:r>
        <w:rPr>
          <w:rFonts w:ascii="Arial" w:hAnsi="Arial" w:hint="cs"/>
          <w:rtl/>
        </w:rPr>
        <w:t>בהסכמה, יחולט קטנוע מ.ר. 25-591-74, ואף זאת לזכות קרן הסמים;</w:t>
      </w:r>
    </w:p>
    <w:p w14:paraId="4015A315" w14:textId="77777777" w:rsidR="00B42715" w:rsidRDefault="00B42715" w:rsidP="00B42715">
      <w:pPr>
        <w:spacing w:line="360" w:lineRule="auto"/>
        <w:jc w:val="both"/>
        <w:rPr>
          <w:rFonts w:ascii="Arial" w:hAnsi="Arial"/>
          <w:rtl/>
        </w:rPr>
      </w:pPr>
    </w:p>
    <w:p w14:paraId="191E24DD" w14:textId="77777777" w:rsidR="00B42715" w:rsidRDefault="00B42715" w:rsidP="00B42715">
      <w:pPr>
        <w:spacing w:line="360" w:lineRule="auto"/>
        <w:jc w:val="both"/>
        <w:rPr>
          <w:rFonts w:ascii="Arial" w:hAnsi="Arial"/>
          <w:rtl/>
        </w:rPr>
      </w:pPr>
      <w:r>
        <w:rPr>
          <w:rFonts w:ascii="Arial" w:hAnsi="Arial" w:hint="cs"/>
          <w:b/>
          <w:bCs/>
          <w:u w:val="single"/>
          <w:rtl/>
        </w:rPr>
        <w:t>הוראות נלוות</w:t>
      </w:r>
      <w:r>
        <w:rPr>
          <w:rFonts w:ascii="Arial" w:hAnsi="Arial" w:hint="cs"/>
          <w:rtl/>
        </w:rPr>
        <w:t>:</w:t>
      </w:r>
    </w:p>
    <w:p w14:paraId="3478E9A8" w14:textId="77777777" w:rsidR="00B42715" w:rsidRPr="008A7EAC" w:rsidRDefault="00B42715" w:rsidP="00B42715">
      <w:pPr>
        <w:spacing w:line="360" w:lineRule="auto"/>
        <w:ind w:left="360"/>
        <w:jc w:val="both"/>
        <w:rPr>
          <w:rFonts w:ascii="Arial" w:hAnsi="Arial"/>
        </w:rPr>
      </w:pPr>
    </w:p>
    <w:p w14:paraId="1DA8B4CA" w14:textId="77777777" w:rsidR="00B42715" w:rsidRPr="00771623" w:rsidRDefault="00B42715" w:rsidP="00B42715">
      <w:pPr>
        <w:pStyle w:val="ae"/>
        <w:numPr>
          <w:ilvl w:val="0"/>
          <w:numId w:val="7"/>
        </w:numPr>
        <w:spacing w:line="360" w:lineRule="auto"/>
        <w:jc w:val="both"/>
        <w:rPr>
          <w:rFonts w:ascii="Arial" w:hAnsi="Arial"/>
          <w:rtl/>
        </w:rPr>
      </w:pPr>
      <w:r w:rsidRPr="00771623">
        <w:rPr>
          <w:rFonts w:ascii="Arial" w:hAnsi="Arial" w:hint="cs"/>
          <w:rtl/>
        </w:rPr>
        <w:t>מוצגים</w:t>
      </w:r>
      <w:r>
        <w:rPr>
          <w:rFonts w:ascii="Arial" w:hAnsi="Arial" w:hint="cs"/>
          <w:rtl/>
        </w:rPr>
        <w:t xml:space="preserve"> ותפוסים</w:t>
      </w:r>
      <w:r w:rsidRPr="00771623">
        <w:rPr>
          <w:rFonts w:ascii="Arial" w:hAnsi="Arial" w:hint="cs"/>
          <w:rtl/>
        </w:rPr>
        <w:t>: סמים וכלי גידול יושמדו</w:t>
      </w:r>
      <w:r>
        <w:rPr>
          <w:rFonts w:ascii="Arial" w:hAnsi="Arial" w:hint="cs"/>
          <w:rtl/>
        </w:rPr>
        <w:t xml:space="preserve">; קטנוע יחולט כאמור לעיל; רכב מ.ר. 19-637-66 יושב לנאשם בהסכמה ותוסר כל מגבלה על עבירותו; </w:t>
      </w:r>
      <w:r w:rsidRPr="00771623">
        <w:rPr>
          <w:rFonts w:ascii="Arial" w:hAnsi="Arial" w:hint="cs"/>
          <w:rtl/>
        </w:rPr>
        <w:t>כל מוצג אחר יועבר להכרעה פרטנית של קצין משטרה;</w:t>
      </w:r>
    </w:p>
    <w:p w14:paraId="6C2C6C4B" w14:textId="77777777" w:rsidR="00B42715" w:rsidRDefault="00B42715" w:rsidP="00B42715">
      <w:pPr>
        <w:pStyle w:val="ae"/>
        <w:numPr>
          <w:ilvl w:val="0"/>
          <w:numId w:val="7"/>
        </w:numPr>
        <w:spacing w:line="360" w:lineRule="auto"/>
        <w:jc w:val="both"/>
        <w:rPr>
          <w:rFonts w:ascii="Arial" w:hAnsi="Arial"/>
        </w:rPr>
      </w:pPr>
      <w:r w:rsidRPr="00771623">
        <w:rPr>
          <w:rFonts w:ascii="Arial" w:hAnsi="Arial" w:hint="cs"/>
          <w:rtl/>
        </w:rPr>
        <w:t>פיקדון</w:t>
      </w:r>
      <w:r>
        <w:rPr>
          <w:rFonts w:ascii="Arial" w:hAnsi="Arial" w:hint="cs"/>
          <w:rtl/>
        </w:rPr>
        <w:t xml:space="preserve"> בתיק </w:t>
      </w:r>
      <w:hyperlink r:id="rId38" w:history="1">
        <w:r w:rsidR="00DA50C5" w:rsidRPr="00DA50C5">
          <w:rPr>
            <w:rFonts w:ascii="Arial" w:hAnsi="Arial"/>
            <w:color w:val="0000FF"/>
            <w:u w:val="single"/>
            <w:rtl/>
          </w:rPr>
          <w:t>מ"ת 15177-01-16</w:t>
        </w:r>
      </w:hyperlink>
      <w:r w:rsidRPr="00771623">
        <w:rPr>
          <w:rFonts w:ascii="Arial" w:hAnsi="Arial" w:hint="cs"/>
          <w:rtl/>
        </w:rPr>
        <w:t xml:space="preserve"> יושב לנאשם;</w:t>
      </w:r>
    </w:p>
    <w:p w14:paraId="7F435AF3" w14:textId="77777777" w:rsidR="00B42715" w:rsidRPr="008A7EAC" w:rsidRDefault="00B42715" w:rsidP="00B42715">
      <w:pPr>
        <w:spacing w:line="360" w:lineRule="auto"/>
        <w:ind w:left="360"/>
        <w:jc w:val="both"/>
        <w:rPr>
          <w:rFonts w:ascii="Arial" w:hAnsi="Arial"/>
          <w:rtl/>
        </w:rPr>
      </w:pPr>
    </w:p>
    <w:p w14:paraId="56051715" w14:textId="77777777" w:rsidR="00B42715" w:rsidRPr="00771623" w:rsidRDefault="00B42715" w:rsidP="00B42715">
      <w:pPr>
        <w:pStyle w:val="ae"/>
        <w:numPr>
          <w:ilvl w:val="0"/>
          <w:numId w:val="7"/>
        </w:numPr>
        <w:spacing w:line="360" w:lineRule="auto"/>
        <w:jc w:val="both"/>
        <w:rPr>
          <w:rFonts w:ascii="Arial" w:hAnsi="Arial"/>
          <w:rtl/>
        </w:rPr>
      </w:pPr>
      <w:r w:rsidRPr="00771623">
        <w:rPr>
          <w:rFonts w:ascii="Arial" w:hAnsi="Arial" w:hint="cs"/>
          <w:rtl/>
        </w:rPr>
        <w:t>עותק גזר הדין יועבר לידיעת שירות המבחן</w:t>
      </w:r>
      <w:r>
        <w:rPr>
          <w:rFonts w:ascii="Arial" w:hAnsi="Arial" w:hint="cs"/>
          <w:rtl/>
        </w:rPr>
        <w:t xml:space="preserve"> והממונה על עבודות השירות</w:t>
      </w:r>
      <w:r w:rsidRPr="00771623">
        <w:rPr>
          <w:rFonts w:ascii="Arial" w:hAnsi="Arial" w:hint="cs"/>
          <w:rtl/>
        </w:rPr>
        <w:t>;</w:t>
      </w:r>
    </w:p>
    <w:p w14:paraId="1C5375BF" w14:textId="77777777" w:rsidR="00B42715" w:rsidRDefault="00B42715" w:rsidP="00B42715">
      <w:pPr>
        <w:spacing w:line="360" w:lineRule="auto"/>
        <w:jc w:val="both"/>
        <w:rPr>
          <w:rFonts w:ascii="Arial" w:hAnsi="Arial"/>
          <w:rtl/>
        </w:rPr>
      </w:pPr>
    </w:p>
    <w:p w14:paraId="48D8D031" w14:textId="77777777" w:rsidR="00B42715" w:rsidRDefault="00B42715" w:rsidP="00B42715">
      <w:pPr>
        <w:spacing w:line="360" w:lineRule="auto"/>
        <w:jc w:val="both"/>
        <w:rPr>
          <w:rFonts w:ascii="Arial" w:hAnsi="Arial"/>
          <w:rtl/>
        </w:rPr>
      </w:pPr>
      <w:r>
        <w:rPr>
          <w:rFonts w:ascii="Arial" w:hAnsi="Arial" w:hint="cs"/>
          <w:rtl/>
        </w:rPr>
        <w:t>זכות ערעור לבית המשפט המחוזי ותך 45 יום מהיום.</w:t>
      </w:r>
    </w:p>
    <w:p w14:paraId="40B7BD4B" w14:textId="77777777" w:rsidR="00B42715" w:rsidRPr="00DA50C5" w:rsidRDefault="00DA50C5" w:rsidP="00B42715">
      <w:pPr>
        <w:spacing w:line="360" w:lineRule="auto"/>
        <w:jc w:val="both"/>
        <w:rPr>
          <w:rFonts w:ascii="Arial" w:hAnsi="Arial"/>
          <w:color w:val="FFFFFF"/>
          <w:sz w:val="2"/>
          <w:szCs w:val="2"/>
          <w:rtl/>
        </w:rPr>
      </w:pPr>
      <w:r w:rsidRPr="00DA50C5">
        <w:rPr>
          <w:rFonts w:ascii="Arial" w:hAnsi="Arial"/>
          <w:color w:val="FFFFFF"/>
          <w:sz w:val="2"/>
          <w:szCs w:val="2"/>
          <w:rtl/>
        </w:rPr>
        <w:t>5129371</w:t>
      </w:r>
    </w:p>
    <w:p w14:paraId="63E5C9C0" w14:textId="77777777" w:rsidR="00B42715" w:rsidRPr="00250B83" w:rsidRDefault="00DA50C5" w:rsidP="00B42715">
      <w:pPr>
        <w:rPr>
          <w:rtl/>
        </w:rPr>
      </w:pPr>
      <w:r w:rsidRPr="00DA50C5">
        <w:rPr>
          <w:rFonts w:ascii="Arial" w:hAnsi="Arial"/>
          <w:color w:val="FFFFFF"/>
          <w:sz w:val="2"/>
          <w:szCs w:val="2"/>
          <w:rtl/>
        </w:rPr>
        <w:t>54678313</w:t>
      </w:r>
      <w:r>
        <w:rPr>
          <w:rFonts w:ascii="Arial" w:hAnsi="Arial"/>
          <w:rtl/>
        </w:rPr>
        <w:t xml:space="preserve">ניתן היום,  ה' אדר א' תשע"ט, 10 פברואר 2019, במעמד הצדדים. </w:t>
      </w:r>
    </w:p>
    <w:p w14:paraId="0179ACFC" w14:textId="77777777" w:rsidR="00B42715" w:rsidRPr="00250B83" w:rsidRDefault="00B42715" w:rsidP="00B42715">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r>
        <w:rPr>
          <w:rtl/>
        </w:rPr>
        <w:t xml:space="preserve">     </w:t>
      </w:r>
    </w:p>
    <w:p w14:paraId="33EDF80B" w14:textId="77777777" w:rsidR="00B42715" w:rsidRPr="00250B83" w:rsidRDefault="00B42715" w:rsidP="00B42715">
      <w:pPr>
        <w:jc w:val="center"/>
        <w:rPr>
          <w:rFonts w:ascii="Arial" w:hAnsi="Arial"/>
          <w:rtl/>
        </w:rPr>
      </w:pPr>
    </w:p>
    <w:p w14:paraId="4B519630" w14:textId="77777777" w:rsidR="00B42715" w:rsidRPr="00250B83" w:rsidRDefault="00B42715" w:rsidP="00B42715">
      <w:pPr>
        <w:rPr>
          <w:rtl/>
        </w:rPr>
      </w:pPr>
    </w:p>
    <w:p w14:paraId="13FB8CC4" w14:textId="77777777" w:rsidR="00B42715" w:rsidRDefault="00B42715" w:rsidP="00B42715">
      <w:pPr>
        <w:pStyle w:val="a3"/>
        <w:jc w:val="center"/>
        <w:rPr>
          <w:rtl/>
        </w:rPr>
      </w:pPr>
    </w:p>
    <w:p w14:paraId="3453E46A" w14:textId="77777777" w:rsidR="00880414" w:rsidRPr="00DA50C5" w:rsidRDefault="00880414" w:rsidP="00DA50C5">
      <w:pPr>
        <w:keepNext/>
        <w:rPr>
          <w:rFonts w:ascii="David" w:hAnsi="David"/>
          <w:color w:val="000000"/>
          <w:sz w:val="22"/>
          <w:szCs w:val="22"/>
          <w:rtl/>
        </w:rPr>
      </w:pPr>
    </w:p>
    <w:p w14:paraId="116E8C9B" w14:textId="77777777" w:rsidR="00DA50C5" w:rsidRPr="00DA50C5" w:rsidRDefault="00DA50C5" w:rsidP="00DA50C5">
      <w:pPr>
        <w:keepNext/>
        <w:rPr>
          <w:rFonts w:ascii="David" w:hAnsi="David"/>
          <w:color w:val="000000"/>
          <w:sz w:val="22"/>
          <w:szCs w:val="22"/>
          <w:rtl/>
        </w:rPr>
      </w:pPr>
      <w:r w:rsidRPr="00DA50C5">
        <w:rPr>
          <w:rFonts w:ascii="David" w:hAnsi="David"/>
          <w:color w:val="000000"/>
          <w:sz w:val="22"/>
          <w:szCs w:val="22"/>
          <w:rtl/>
        </w:rPr>
        <w:t>עידו דרויאן גמליאל 54678313</w:t>
      </w:r>
    </w:p>
    <w:p w14:paraId="5914BE78" w14:textId="77777777" w:rsidR="00DA50C5" w:rsidRDefault="00DA50C5" w:rsidP="00DA50C5">
      <w:r w:rsidRPr="00DA50C5">
        <w:rPr>
          <w:color w:val="000000"/>
          <w:rtl/>
        </w:rPr>
        <w:t>נוסח מסמך זה כפוף לשינויי ניסוח ועריכה</w:t>
      </w:r>
    </w:p>
    <w:p w14:paraId="0BDBE939" w14:textId="77777777" w:rsidR="00DA50C5" w:rsidRDefault="00DA50C5" w:rsidP="00DA50C5">
      <w:pPr>
        <w:rPr>
          <w:rtl/>
        </w:rPr>
      </w:pPr>
    </w:p>
    <w:p w14:paraId="0E8EEB34" w14:textId="77777777" w:rsidR="00DA50C5" w:rsidRDefault="00DA50C5" w:rsidP="00DA50C5">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1BE1E5E9" w14:textId="77777777" w:rsidR="00DA50C5" w:rsidRPr="00DA50C5" w:rsidRDefault="00DA50C5" w:rsidP="00DA50C5">
      <w:pPr>
        <w:jc w:val="center"/>
        <w:rPr>
          <w:color w:val="0000FF"/>
          <w:u w:val="single"/>
        </w:rPr>
      </w:pPr>
    </w:p>
    <w:sectPr w:rsidR="00DA50C5" w:rsidRPr="00DA50C5" w:rsidSect="00DA50C5">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D19809" w14:textId="77777777" w:rsidR="00F572E2" w:rsidRDefault="00F572E2" w:rsidP="00B42715">
      <w:r>
        <w:separator/>
      </w:r>
    </w:p>
  </w:endnote>
  <w:endnote w:type="continuationSeparator" w:id="0">
    <w:p w14:paraId="3AEAA17F" w14:textId="77777777" w:rsidR="00F572E2" w:rsidRDefault="00F572E2" w:rsidP="00B42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E3B62" w14:textId="77777777" w:rsidR="00DA50C5" w:rsidRDefault="00DA50C5" w:rsidP="00DA50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88FFA2" w14:textId="77777777" w:rsidR="00DF746E" w:rsidRPr="00DA50C5" w:rsidRDefault="00DA50C5" w:rsidP="00DA50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49FF8" w14:textId="77777777" w:rsidR="00DA50C5" w:rsidRDefault="00DA50C5" w:rsidP="00DA50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649B3">
      <w:rPr>
        <w:rFonts w:ascii="FrankRuehl" w:hAnsi="FrankRuehl" w:cs="FrankRuehl"/>
        <w:noProof/>
        <w:rtl/>
      </w:rPr>
      <w:t>1</w:t>
    </w:r>
    <w:r>
      <w:rPr>
        <w:rFonts w:ascii="FrankRuehl" w:hAnsi="FrankRuehl" w:cs="FrankRuehl"/>
        <w:rtl/>
      </w:rPr>
      <w:fldChar w:fldCharType="end"/>
    </w:r>
  </w:p>
  <w:p w14:paraId="08F9DB2B" w14:textId="77777777" w:rsidR="00DF746E" w:rsidRPr="00DA50C5" w:rsidRDefault="00DA50C5" w:rsidP="00DA50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BF26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16E938" w14:textId="77777777" w:rsidR="00F572E2" w:rsidRDefault="00F572E2" w:rsidP="00B42715">
      <w:r>
        <w:separator/>
      </w:r>
    </w:p>
  </w:footnote>
  <w:footnote w:type="continuationSeparator" w:id="0">
    <w:p w14:paraId="622AC281" w14:textId="77777777" w:rsidR="00F572E2" w:rsidRDefault="00F572E2" w:rsidP="00B42715">
      <w:r>
        <w:continuationSeparator/>
      </w:r>
    </w:p>
  </w:footnote>
  <w:footnote w:id="1">
    <w:p w14:paraId="2E4FE652" w14:textId="77777777" w:rsidR="00B42715" w:rsidRDefault="00B42715" w:rsidP="00B42715">
      <w:pPr>
        <w:pStyle w:val="a9"/>
        <w:ind w:left="720" w:hanging="720"/>
        <w:jc w:val="both"/>
      </w:pPr>
      <w:r>
        <w:rPr>
          <w:rStyle w:val="ad"/>
        </w:rPr>
        <w:t>[1]</w:t>
      </w:r>
      <w:r>
        <w:rPr>
          <w:rFonts w:cs="David" w:hint="cs"/>
          <w:rtl/>
        </w:rPr>
        <w:t xml:space="preserve">            </w:t>
      </w:r>
      <w:r>
        <w:rPr>
          <w:rFonts w:cs="David" w:hint="cs"/>
          <w:rtl/>
        </w:rPr>
        <w:tab/>
      </w:r>
      <w:r w:rsidRPr="00CB3363">
        <w:rPr>
          <w:rFonts w:cs="David" w:hint="cs"/>
          <w:rtl/>
        </w:rPr>
        <w:t>ההלכה הפסוקה מאפשרת לערכאה הדיונית, הנחשפת למספר גדול של כתבי אישום ותיקים דומים, מרווח שיקול דעת וגמישות להסיק מסקנות אודות התגברותה של תופעת פשיעה בתחום עבריינות מסוים, אף אם לא הובאו לפניה נתונים עובדתיים חד משמעיים (</w:t>
      </w:r>
      <w:hyperlink r:id="rId1" w:history="1">
        <w:r w:rsidR="00DA50C5" w:rsidRPr="00DA50C5">
          <w:rPr>
            <w:rFonts w:cs="David"/>
            <w:color w:val="0000FF"/>
            <w:u w:val="single"/>
            <w:rtl/>
          </w:rPr>
          <w:t>ע"פ 4841/13</w:t>
        </w:r>
      </w:hyperlink>
      <w:r w:rsidRPr="00CB3363">
        <w:rPr>
          <w:rFonts w:cs="David" w:hint="cs"/>
          <w:rtl/>
        </w:rPr>
        <w:t xml:space="preserve"> </w:t>
      </w:r>
      <w:r w:rsidRPr="00CB3363">
        <w:rPr>
          <w:rFonts w:cs="David" w:hint="cs"/>
          <w:b/>
          <w:bCs/>
          <w:rtl/>
        </w:rPr>
        <w:t xml:space="preserve">ספי נ' מ.י. </w:t>
      </w:r>
      <w:r w:rsidRPr="00CB3363">
        <w:rPr>
          <w:rFonts w:cs="David" w:hint="cs"/>
          <w:rtl/>
        </w:rPr>
        <w:t xml:space="preserve">(2014), </w:t>
      </w:r>
      <w:hyperlink r:id="rId2" w:history="1">
        <w:r w:rsidR="00DA50C5" w:rsidRPr="00DA50C5">
          <w:rPr>
            <w:rFonts w:cs="David"/>
            <w:color w:val="0000FF"/>
            <w:u w:val="single"/>
            <w:rtl/>
          </w:rPr>
          <w:t>ע"פ 5535/12</w:t>
        </w:r>
      </w:hyperlink>
      <w:r w:rsidRPr="00CB3363">
        <w:rPr>
          <w:rFonts w:cs="David" w:hint="cs"/>
          <w:rtl/>
        </w:rPr>
        <w:t xml:space="preserve"> </w:t>
      </w:r>
      <w:r w:rsidRPr="00CB3363">
        <w:rPr>
          <w:rFonts w:cs="David" w:hint="cs"/>
          <w:b/>
          <w:bCs/>
          <w:rtl/>
        </w:rPr>
        <w:t>כאברי נ' מ.י.</w:t>
      </w:r>
      <w:r w:rsidRPr="00CB3363">
        <w:rPr>
          <w:rFonts w:cs="David" w:hint="cs"/>
          <w:rtl/>
        </w:rPr>
        <w:t xml:space="preserve"> (2013), ו</w:t>
      </w:r>
      <w:hyperlink r:id="rId3" w:history="1">
        <w:r w:rsidR="00DA50C5" w:rsidRPr="00DA50C5">
          <w:rPr>
            <w:rFonts w:cs="David"/>
            <w:color w:val="0000FF"/>
            <w:u w:val="single"/>
            <w:rtl/>
          </w:rPr>
          <w:t>ע"פ 3160/12</w:t>
        </w:r>
      </w:hyperlink>
      <w:r w:rsidRPr="00CB3363">
        <w:rPr>
          <w:rFonts w:cs="David" w:hint="cs"/>
          <w:rtl/>
        </w:rPr>
        <w:t xml:space="preserve"> </w:t>
      </w:r>
      <w:r w:rsidRPr="00CB3363">
        <w:rPr>
          <w:rFonts w:cs="David" w:hint="cs"/>
          <w:b/>
          <w:bCs/>
          <w:rtl/>
        </w:rPr>
        <w:t>כריסטיאן נ' מ.י.</w:t>
      </w:r>
      <w:r w:rsidRPr="00CB3363">
        <w:rPr>
          <w:rFonts w:cs="David" w:hint="cs"/>
          <w:rtl/>
        </w:rPr>
        <w:t xml:space="preserve"> (2013));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4FE8E" w14:textId="77777777" w:rsidR="00DA50C5" w:rsidRPr="00DA50C5" w:rsidRDefault="00DA50C5" w:rsidP="00DA50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15172-01-16</w:t>
    </w:r>
    <w:r>
      <w:rPr>
        <w:rFonts w:ascii="David" w:hAnsi="David"/>
        <w:color w:val="000000"/>
        <w:sz w:val="22"/>
        <w:szCs w:val="22"/>
        <w:rtl/>
      </w:rPr>
      <w:tab/>
      <w:t xml:space="preserve"> מדינת ישראל נ' ליאור שמו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730660" w14:textId="77777777" w:rsidR="00DA50C5" w:rsidRPr="00DA50C5" w:rsidRDefault="00DA50C5" w:rsidP="00DA50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15172-01-16</w:t>
    </w:r>
    <w:r>
      <w:rPr>
        <w:rFonts w:ascii="David" w:hAnsi="David"/>
        <w:color w:val="000000"/>
        <w:sz w:val="22"/>
        <w:szCs w:val="22"/>
        <w:rtl/>
      </w:rPr>
      <w:tab/>
      <w:t xml:space="preserve"> מדינת ישראל נ' ליאור שמו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F3106"/>
    <w:multiLevelType w:val="hybridMultilevel"/>
    <w:tmpl w:val="B2947E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5FA511D"/>
    <w:multiLevelType w:val="hybridMultilevel"/>
    <w:tmpl w:val="3DB6BA3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54499"/>
    <w:multiLevelType w:val="hybridMultilevel"/>
    <w:tmpl w:val="BB72B7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FF046C"/>
    <w:multiLevelType w:val="hybridMultilevel"/>
    <w:tmpl w:val="A3FC833C"/>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BB701A"/>
    <w:multiLevelType w:val="hybridMultilevel"/>
    <w:tmpl w:val="C024A05A"/>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5" w15:restartNumberingAfterBreak="0">
    <w:nsid w:val="7BFD6B23"/>
    <w:multiLevelType w:val="hybridMultilevel"/>
    <w:tmpl w:val="C3147D1A"/>
    <w:lvl w:ilvl="0" w:tplc="04090013">
      <w:start w:val="1"/>
      <w:numFmt w:val="hebrew1"/>
      <w:lvlText w:val="%1."/>
      <w:lvlJc w:val="center"/>
      <w:pPr>
        <w:ind w:left="360" w:hanging="360"/>
      </w:pPr>
    </w:lvl>
    <w:lvl w:ilvl="1" w:tplc="04090013">
      <w:start w:val="1"/>
      <w:numFmt w:val="hebrew1"/>
      <w:lvlText w:val="%2."/>
      <w:lvlJc w:val="center"/>
      <w:pPr>
        <w:ind w:left="1080" w:hanging="360"/>
      </w:pPr>
    </w:lvl>
    <w:lvl w:ilvl="2" w:tplc="04090013">
      <w:start w:val="1"/>
      <w:numFmt w:val="hebrew1"/>
      <w:lvlText w:val="%3."/>
      <w:lvlJc w:val="center"/>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ED751AC"/>
    <w:multiLevelType w:val="hybridMultilevel"/>
    <w:tmpl w:val="E3B42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3172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30432185">
    <w:abstractNumId w:val="0"/>
  </w:num>
  <w:num w:numId="3" w16cid:durableId="1804539739">
    <w:abstractNumId w:val="2"/>
  </w:num>
  <w:num w:numId="4" w16cid:durableId="1057319577">
    <w:abstractNumId w:val="6"/>
  </w:num>
  <w:num w:numId="5" w16cid:durableId="1346900296">
    <w:abstractNumId w:val="5"/>
  </w:num>
  <w:num w:numId="6" w16cid:durableId="693657282">
    <w:abstractNumId w:val="3"/>
  </w:num>
  <w:num w:numId="7" w16cid:durableId="2006086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42715"/>
    <w:rsid w:val="00081B64"/>
    <w:rsid w:val="00381020"/>
    <w:rsid w:val="00880414"/>
    <w:rsid w:val="009F5732"/>
    <w:rsid w:val="00A9503E"/>
    <w:rsid w:val="00B37037"/>
    <w:rsid w:val="00B42715"/>
    <w:rsid w:val="00D24E00"/>
    <w:rsid w:val="00DA50C5"/>
    <w:rsid w:val="00DF746E"/>
    <w:rsid w:val="00E649B3"/>
    <w:rsid w:val="00F572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1A7A789F"/>
  <w15:chartTrackingRefBased/>
  <w15:docId w15:val="{27BBA156-C2A8-476A-AFE9-53F986562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4271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42715"/>
    <w:pPr>
      <w:tabs>
        <w:tab w:val="center" w:pos="4153"/>
        <w:tab w:val="right" w:pos="8306"/>
      </w:tabs>
    </w:pPr>
  </w:style>
  <w:style w:type="character" w:customStyle="1" w:styleId="a4">
    <w:name w:val="כותרת עליונה תו"/>
    <w:link w:val="a3"/>
    <w:rsid w:val="00B42715"/>
    <w:rPr>
      <w:rFonts w:ascii="Times New Roman" w:eastAsia="Times New Roman" w:hAnsi="Times New Roman" w:cs="David"/>
      <w:sz w:val="24"/>
      <w:szCs w:val="24"/>
    </w:rPr>
  </w:style>
  <w:style w:type="paragraph" w:styleId="a5">
    <w:name w:val="footer"/>
    <w:basedOn w:val="a"/>
    <w:link w:val="a6"/>
    <w:rsid w:val="00B42715"/>
    <w:pPr>
      <w:tabs>
        <w:tab w:val="center" w:pos="4153"/>
        <w:tab w:val="right" w:pos="8306"/>
      </w:tabs>
    </w:pPr>
  </w:style>
  <w:style w:type="character" w:customStyle="1" w:styleId="a6">
    <w:name w:val="כותרת תחתונה תו"/>
    <w:link w:val="a5"/>
    <w:rsid w:val="00B42715"/>
    <w:rPr>
      <w:rFonts w:ascii="Times New Roman" w:eastAsia="Times New Roman" w:hAnsi="Times New Roman" w:cs="David"/>
      <w:sz w:val="24"/>
      <w:szCs w:val="24"/>
    </w:rPr>
  </w:style>
  <w:style w:type="table" w:styleId="a7">
    <w:name w:val="Table Grid"/>
    <w:basedOn w:val="a1"/>
    <w:rsid w:val="00B4271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42715"/>
  </w:style>
  <w:style w:type="paragraph" w:styleId="a9">
    <w:name w:val="footnote text"/>
    <w:basedOn w:val="a"/>
    <w:link w:val="aa"/>
    <w:rsid w:val="00B42715"/>
    <w:rPr>
      <w:rFonts w:cs="Times New Roman"/>
      <w:sz w:val="20"/>
      <w:szCs w:val="20"/>
    </w:rPr>
  </w:style>
  <w:style w:type="character" w:customStyle="1" w:styleId="aa">
    <w:name w:val="טקסט הערת שוליים תו"/>
    <w:link w:val="a9"/>
    <w:rsid w:val="00B42715"/>
    <w:rPr>
      <w:rFonts w:ascii="Times New Roman" w:eastAsia="Times New Roman" w:hAnsi="Times New Roman" w:cs="Times New Roman"/>
      <w:sz w:val="20"/>
      <w:szCs w:val="20"/>
    </w:rPr>
  </w:style>
  <w:style w:type="paragraph" w:styleId="ab">
    <w:name w:val="Quote"/>
    <w:basedOn w:val="a"/>
    <w:next w:val="a"/>
    <w:link w:val="ac"/>
    <w:qFormat/>
    <w:rsid w:val="00B42715"/>
    <w:pPr>
      <w:spacing w:before="200" w:after="160"/>
      <w:ind w:left="864" w:right="864"/>
      <w:jc w:val="center"/>
    </w:pPr>
    <w:rPr>
      <w:i/>
      <w:iCs/>
      <w:color w:val="404040"/>
    </w:rPr>
  </w:style>
  <w:style w:type="character" w:customStyle="1" w:styleId="ac">
    <w:name w:val="ציטוט תו"/>
    <w:link w:val="ab"/>
    <w:rsid w:val="00B42715"/>
    <w:rPr>
      <w:rFonts w:ascii="Times New Roman" w:eastAsia="Times New Roman" w:hAnsi="Times New Roman" w:cs="David"/>
      <w:i/>
      <w:iCs/>
      <w:color w:val="404040"/>
      <w:sz w:val="24"/>
      <w:szCs w:val="24"/>
    </w:rPr>
  </w:style>
  <w:style w:type="character" w:styleId="ad">
    <w:name w:val="footnote reference"/>
    <w:rsid w:val="00B42715"/>
    <w:rPr>
      <w:rFonts w:ascii="Times New Roman" w:hAnsi="Times New Roman" w:cs="Times New Roman" w:hint="default"/>
      <w:vertAlign w:val="superscript"/>
    </w:rPr>
  </w:style>
  <w:style w:type="paragraph" w:styleId="ae">
    <w:name w:val="List Paragraph"/>
    <w:basedOn w:val="a"/>
    <w:qFormat/>
    <w:rsid w:val="00B42715"/>
    <w:pPr>
      <w:ind w:left="720"/>
      <w:contextualSpacing/>
    </w:pPr>
  </w:style>
  <w:style w:type="character" w:styleId="Hyperlink">
    <w:name w:val="Hyperlink"/>
    <w:rsid w:val="00DA50C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d" TargetMode="External"/><Relationship Id="rId18" Type="http://schemas.openxmlformats.org/officeDocument/2006/relationships/hyperlink" Target="http://www.nevo.co.il/law/70301/40j.b.2" TargetMode="External"/><Relationship Id="rId26" Type="http://schemas.openxmlformats.org/officeDocument/2006/relationships/hyperlink" Target="http://www.nevo.co.il/case/18090154"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case/24263578" TargetMode="External"/><Relationship Id="rId34" Type="http://schemas.openxmlformats.org/officeDocument/2006/relationships/hyperlink" Target="http://www.nevo.co.il/case/18823346" TargetMode="External"/><Relationship Id="rId42"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180458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11303846" TargetMode="External"/><Relationship Id="rId32" Type="http://schemas.openxmlformats.org/officeDocument/2006/relationships/hyperlink" Target="http://www.nevo.co.il/case/7779453" TargetMode="External"/><Relationship Id="rId37" Type="http://schemas.openxmlformats.org/officeDocument/2006/relationships/hyperlink" Target="http://www.nevo.co.il/case/22829462"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11291895" TargetMode="External"/><Relationship Id="rId28" Type="http://schemas.openxmlformats.org/officeDocument/2006/relationships/hyperlink" Target="http://www.nevo.co.il/case/17045282" TargetMode="External"/><Relationship Id="rId36" Type="http://schemas.openxmlformats.org/officeDocument/2006/relationships/hyperlink" Target="http://www.nevo.co.il/case/22938500"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70301/40j.d" TargetMode="External"/><Relationship Id="rId31" Type="http://schemas.openxmlformats.org/officeDocument/2006/relationships/hyperlink" Target="http://www.nevo.co.il/case/2236104"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13067614" TargetMode="External"/><Relationship Id="rId27" Type="http://schemas.openxmlformats.org/officeDocument/2006/relationships/hyperlink" Target="http://www.nevo.co.il/case/16938303" TargetMode="External"/><Relationship Id="rId30" Type="http://schemas.openxmlformats.org/officeDocument/2006/relationships/hyperlink" Target="http://www.nevo.co.il/case/21020095" TargetMode="External"/><Relationship Id="rId35" Type="http://schemas.openxmlformats.org/officeDocument/2006/relationships/hyperlink" Target="http://www.nevo.co.il/case/20490397" TargetMode="External"/><Relationship Id="rId43"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j.b.2"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0705570" TargetMode="External"/><Relationship Id="rId33" Type="http://schemas.openxmlformats.org/officeDocument/2006/relationships/hyperlink" Target="http://www.nevo.co.il/case/17045282" TargetMode="External"/><Relationship Id="rId38" Type="http://schemas.openxmlformats.org/officeDocument/2006/relationships/hyperlink" Target="http://www.nevo.co.il/case/20867063" TargetMode="External"/><Relationship Id="rId20" Type="http://schemas.openxmlformats.org/officeDocument/2006/relationships/hyperlink" Target="http://www.nevo.co.il/law/70301"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notes.xml.rels><?xml version="1.0" encoding="UTF-8" standalone="yes"?>
<Relationships xmlns="http://schemas.openxmlformats.org/package/2006/relationships"><Relationship Id="rId3" Type="http://schemas.openxmlformats.org/officeDocument/2006/relationships/hyperlink" Target="http://www.nevo.co.il/case/5583050" TargetMode="External"/><Relationship Id="rId2" Type="http://schemas.openxmlformats.org/officeDocument/2006/relationships/hyperlink" Target="http://www.nevo.co.il/case/5590454" TargetMode="External"/><Relationship Id="rId1" Type="http://schemas.openxmlformats.org/officeDocument/2006/relationships/hyperlink" Target="http://www.nevo.co.il/case/7773349"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2095</Words>
  <Characters>10476</Characters>
  <Application>Microsoft Office Word</Application>
  <DocSecurity>0</DocSecurity>
  <Lines>87</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12546</CharactersWithSpaces>
  <SharedDoc>false</SharedDoc>
  <HLinks>
    <vt:vector size="216" baseType="variant">
      <vt:variant>
        <vt:i4>393283</vt:i4>
      </vt:variant>
      <vt:variant>
        <vt:i4>96</vt:i4>
      </vt:variant>
      <vt:variant>
        <vt:i4>0</vt:i4>
      </vt:variant>
      <vt:variant>
        <vt:i4>5</vt:i4>
      </vt:variant>
      <vt:variant>
        <vt:lpwstr>http://www.nevo.co.il/advertisements/nevo-100.doc</vt:lpwstr>
      </vt:variant>
      <vt:variant>
        <vt:lpwstr/>
      </vt:variant>
      <vt:variant>
        <vt:i4>3866738</vt:i4>
      </vt:variant>
      <vt:variant>
        <vt:i4>93</vt:i4>
      </vt:variant>
      <vt:variant>
        <vt:i4>0</vt:i4>
      </vt:variant>
      <vt:variant>
        <vt:i4>5</vt:i4>
      </vt:variant>
      <vt:variant>
        <vt:lpwstr>http://www.nevo.co.il/case/20867063</vt:lpwstr>
      </vt:variant>
      <vt:variant>
        <vt:lpwstr/>
      </vt:variant>
      <vt:variant>
        <vt:i4>3473520</vt:i4>
      </vt:variant>
      <vt:variant>
        <vt:i4>90</vt:i4>
      </vt:variant>
      <vt:variant>
        <vt:i4>0</vt:i4>
      </vt:variant>
      <vt:variant>
        <vt:i4>5</vt:i4>
      </vt:variant>
      <vt:variant>
        <vt:lpwstr>http://www.nevo.co.il/case/22829462</vt:lpwstr>
      </vt:variant>
      <vt:variant>
        <vt:lpwstr/>
      </vt:variant>
      <vt:variant>
        <vt:i4>3342448</vt:i4>
      </vt:variant>
      <vt:variant>
        <vt:i4>87</vt:i4>
      </vt:variant>
      <vt:variant>
        <vt:i4>0</vt:i4>
      </vt:variant>
      <vt:variant>
        <vt:i4>5</vt:i4>
      </vt:variant>
      <vt:variant>
        <vt:lpwstr>http://www.nevo.co.il/case/22938500</vt:lpwstr>
      </vt:variant>
      <vt:variant>
        <vt:lpwstr/>
      </vt:variant>
      <vt:variant>
        <vt:i4>4128894</vt:i4>
      </vt:variant>
      <vt:variant>
        <vt:i4>84</vt:i4>
      </vt:variant>
      <vt:variant>
        <vt:i4>0</vt:i4>
      </vt:variant>
      <vt:variant>
        <vt:i4>5</vt:i4>
      </vt:variant>
      <vt:variant>
        <vt:lpwstr>http://www.nevo.co.il/case/20490397</vt:lpwstr>
      </vt:variant>
      <vt:variant>
        <vt:lpwstr/>
      </vt:variant>
      <vt:variant>
        <vt:i4>4063357</vt:i4>
      </vt:variant>
      <vt:variant>
        <vt:i4>81</vt:i4>
      </vt:variant>
      <vt:variant>
        <vt:i4>0</vt:i4>
      </vt:variant>
      <vt:variant>
        <vt:i4>5</vt:i4>
      </vt:variant>
      <vt:variant>
        <vt:lpwstr>http://www.nevo.co.il/case/18823346</vt:lpwstr>
      </vt:variant>
      <vt:variant>
        <vt:lpwstr/>
      </vt:variant>
      <vt:variant>
        <vt:i4>3932277</vt:i4>
      </vt:variant>
      <vt:variant>
        <vt:i4>78</vt:i4>
      </vt:variant>
      <vt:variant>
        <vt:i4>0</vt:i4>
      </vt:variant>
      <vt:variant>
        <vt:i4>5</vt:i4>
      </vt:variant>
      <vt:variant>
        <vt:lpwstr>http://www.nevo.co.il/case/17045282</vt:lpwstr>
      </vt:variant>
      <vt:variant>
        <vt:lpwstr/>
      </vt:variant>
      <vt:variant>
        <vt:i4>3604607</vt:i4>
      </vt:variant>
      <vt:variant>
        <vt:i4>75</vt:i4>
      </vt:variant>
      <vt:variant>
        <vt:i4>0</vt:i4>
      </vt:variant>
      <vt:variant>
        <vt:i4>5</vt:i4>
      </vt:variant>
      <vt:variant>
        <vt:lpwstr>http://www.nevo.co.il/case/7779453</vt:lpwstr>
      </vt:variant>
      <vt:variant>
        <vt:lpwstr/>
      </vt:variant>
      <vt:variant>
        <vt:i4>3407984</vt:i4>
      </vt:variant>
      <vt:variant>
        <vt:i4>72</vt:i4>
      </vt:variant>
      <vt:variant>
        <vt:i4>0</vt:i4>
      </vt:variant>
      <vt:variant>
        <vt:i4>5</vt:i4>
      </vt:variant>
      <vt:variant>
        <vt:lpwstr>http://www.nevo.co.il/case/2236104</vt:lpwstr>
      </vt:variant>
      <vt:variant>
        <vt:lpwstr/>
      </vt:variant>
      <vt:variant>
        <vt:i4>3866743</vt:i4>
      </vt:variant>
      <vt:variant>
        <vt:i4>69</vt:i4>
      </vt:variant>
      <vt:variant>
        <vt:i4>0</vt:i4>
      </vt:variant>
      <vt:variant>
        <vt:i4>5</vt:i4>
      </vt:variant>
      <vt:variant>
        <vt:lpwstr>http://www.nevo.co.il/case/21020095</vt:lpwstr>
      </vt:variant>
      <vt:variant>
        <vt:lpwstr/>
      </vt:variant>
      <vt:variant>
        <vt:i4>3145840</vt:i4>
      </vt:variant>
      <vt:variant>
        <vt:i4>66</vt:i4>
      </vt:variant>
      <vt:variant>
        <vt:i4>0</vt:i4>
      </vt:variant>
      <vt:variant>
        <vt:i4>5</vt:i4>
      </vt:variant>
      <vt:variant>
        <vt:lpwstr>http://www.nevo.co.il/case/18045843</vt:lpwstr>
      </vt:variant>
      <vt:variant>
        <vt:lpwstr/>
      </vt:variant>
      <vt:variant>
        <vt:i4>3932277</vt:i4>
      </vt:variant>
      <vt:variant>
        <vt:i4>63</vt:i4>
      </vt:variant>
      <vt:variant>
        <vt:i4>0</vt:i4>
      </vt:variant>
      <vt:variant>
        <vt:i4>5</vt:i4>
      </vt:variant>
      <vt:variant>
        <vt:lpwstr>http://www.nevo.co.il/case/17045282</vt:lpwstr>
      </vt:variant>
      <vt:variant>
        <vt:lpwstr/>
      </vt:variant>
      <vt:variant>
        <vt:i4>3145842</vt:i4>
      </vt:variant>
      <vt:variant>
        <vt:i4>60</vt:i4>
      </vt:variant>
      <vt:variant>
        <vt:i4>0</vt:i4>
      </vt:variant>
      <vt:variant>
        <vt:i4>5</vt:i4>
      </vt:variant>
      <vt:variant>
        <vt:lpwstr>http://www.nevo.co.il/case/16938303</vt:lpwstr>
      </vt:variant>
      <vt:variant>
        <vt:lpwstr/>
      </vt:variant>
      <vt:variant>
        <vt:i4>3407988</vt:i4>
      </vt:variant>
      <vt:variant>
        <vt:i4>57</vt:i4>
      </vt:variant>
      <vt:variant>
        <vt:i4>0</vt:i4>
      </vt:variant>
      <vt:variant>
        <vt:i4>5</vt:i4>
      </vt:variant>
      <vt:variant>
        <vt:lpwstr>http://www.nevo.co.il/case/18090154</vt:lpwstr>
      </vt:variant>
      <vt:variant>
        <vt:lpwstr/>
      </vt:variant>
      <vt:variant>
        <vt:i4>3604593</vt:i4>
      </vt:variant>
      <vt:variant>
        <vt:i4>54</vt:i4>
      </vt:variant>
      <vt:variant>
        <vt:i4>0</vt:i4>
      </vt:variant>
      <vt:variant>
        <vt:i4>5</vt:i4>
      </vt:variant>
      <vt:variant>
        <vt:lpwstr>http://www.nevo.co.il/case/20705570</vt:lpwstr>
      </vt:variant>
      <vt:variant>
        <vt:lpwstr/>
      </vt:variant>
      <vt:variant>
        <vt:i4>3473533</vt:i4>
      </vt:variant>
      <vt:variant>
        <vt:i4>51</vt:i4>
      </vt:variant>
      <vt:variant>
        <vt:i4>0</vt:i4>
      </vt:variant>
      <vt:variant>
        <vt:i4>5</vt:i4>
      </vt:variant>
      <vt:variant>
        <vt:lpwstr>http://www.nevo.co.il/case/11303846</vt:lpwstr>
      </vt:variant>
      <vt:variant>
        <vt:lpwstr/>
      </vt:variant>
      <vt:variant>
        <vt:i4>3866740</vt:i4>
      </vt:variant>
      <vt:variant>
        <vt:i4>48</vt:i4>
      </vt:variant>
      <vt:variant>
        <vt:i4>0</vt:i4>
      </vt:variant>
      <vt:variant>
        <vt:i4>5</vt:i4>
      </vt:variant>
      <vt:variant>
        <vt:lpwstr>http://www.nevo.co.il/case/11291895</vt:lpwstr>
      </vt:variant>
      <vt:variant>
        <vt:lpwstr/>
      </vt:variant>
      <vt:variant>
        <vt:i4>3604599</vt:i4>
      </vt:variant>
      <vt:variant>
        <vt:i4>45</vt:i4>
      </vt:variant>
      <vt:variant>
        <vt:i4>0</vt:i4>
      </vt:variant>
      <vt:variant>
        <vt:i4>5</vt:i4>
      </vt:variant>
      <vt:variant>
        <vt:lpwstr>http://www.nevo.co.il/case/13067614</vt:lpwstr>
      </vt:variant>
      <vt:variant>
        <vt:lpwstr/>
      </vt:variant>
      <vt:variant>
        <vt:i4>3407987</vt:i4>
      </vt:variant>
      <vt:variant>
        <vt:i4>42</vt:i4>
      </vt:variant>
      <vt:variant>
        <vt:i4>0</vt:i4>
      </vt:variant>
      <vt:variant>
        <vt:i4>5</vt:i4>
      </vt:variant>
      <vt:variant>
        <vt:lpwstr>http://www.nevo.co.il/case/24263578</vt:lpwstr>
      </vt:variant>
      <vt:variant>
        <vt:lpwstr/>
      </vt:variant>
      <vt:variant>
        <vt:i4>7995492</vt:i4>
      </vt:variant>
      <vt:variant>
        <vt:i4>39</vt:i4>
      </vt:variant>
      <vt:variant>
        <vt:i4>0</vt:i4>
      </vt:variant>
      <vt:variant>
        <vt:i4>5</vt:i4>
      </vt:variant>
      <vt:variant>
        <vt:lpwstr>http://www.nevo.co.il/law/70301</vt:lpwstr>
      </vt:variant>
      <vt:variant>
        <vt:lpwstr/>
      </vt:variant>
      <vt:variant>
        <vt:i4>4915211</vt:i4>
      </vt:variant>
      <vt:variant>
        <vt:i4>36</vt:i4>
      </vt:variant>
      <vt:variant>
        <vt:i4>0</vt:i4>
      </vt:variant>
      <vt:variant>
        <vt:i4>5</vt:i4>
      </vt:variant>
      <vt:variant>
        <vt:lpwstr>http://www.nevo.co.il/law/70301/40j.d</vt:lpwstr>
      </vt:variant>
      <vt:variant>
        <vt:lpwstr/>
      </vt:variant>
      <vt:variant>
        <vt:i4>6619241</vt:i4>
      </vt:variant>
      <vt:variant>
        <vt:i4>33</vt:i4>
      </vt:variant>
      <vt:variant>
        <vt:i4>0</vt:i4>
      </vt:variant>
      <vt:variant>
        <vt:i4>5</vt:i4>
      </vt:variant>
      <vt:variant>
        <vt:lpwstr>http://www.nevo.co.il/law/70301/40j.b.2</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4915211</vt:i4>
      </vt:variant>
      <vt:variant>
        <vt:i4>18</vt:i4>
      </vt:variant>
      <vt:variant>
        <vt:i4>0</vt:i4>
      </vt:variant>
      <vt:variant>
        <vt:i4>5</vt:i4>
      </vt:variant>
      <vt:variant>
        <vt:lpwstr>http://www.nevo.co.il/law/70301/40j.d</vt:lpwstr>
      </vt:variant>
      <vt:variant>
        <vt:lpwstr/>
      </vt:variant>
      <vt:variant>
        <vt:i4>6619241</vt:i4>
      </vt:variant>
      <vt:variant>
        <vt:i4>15</vt:i4>
      </vt:variant>
      <vt:variant>
        <vt:i4>0</vt:i4>
      </vt:variant>
      <vt:variant>
        <vt:i4>5</vt:i4>
      </vt:variant>
      <vt:variant>
        <vt:lpwstr>http://www.nevo.co.il/law/70301/40j.b.2</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ariant>
        <vt:i4>3997815</vt:i4>
      </vt:variant>
      <vt:variant>
        <vt:i4>6</vt:i4>
      </vt:variant>
      <vt:variant>
        <vt:i4>0</vt:i4>
      </vt:variant>
      <vt:variant>
        <vt:i4>5</vt:i4>
      </vt:variant>
      <vt:variant>
        <vt:lpwstr>http://www.nevo.co.il/case/5583050</vt:lpwstr>
      </vt:variant>
      <vt:variant>
        <vt:lpwstr/>
      </vt:variant>
      <vt:variant>
        <vt:i4>3932276</vt:i4>
      </vt:variant>
      <vt:variant>
        <vt:i4>3</vt:i4>
      </vt:variant>
      <vt:variant>
        <vt:i4>0</vt:i4>
      </vt:variant>
      <vt:variant>
        <vt:i4>5</vt:i4>
      </vt:variant>
      <vt:variant>
        <vt:lpwstr>http://www.nevo.co.il/case/5590454</vt:lpwstr>
      </vt:variant>
      <vt:variant>
        <vt:lpwstr/>
      </vt:variant>
      <vt:variant>
        <vt:i4>3801204</vt:i4>
      </vt:variant>
      <vt:variant>
        <vt:i4>0</vt:i4>
      </vt:variant>
      <vt:variant>
        <vt:i4>0</vt:i4>
      </vt:variant>
      <vt:variant>
        <vt:i4>5</vt:i4>
      </vt:variant>
      <vt:variant>
        <vt:lpwstr>http://www.nevo.co.il/case/7773349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2025-04-22T22:58:00Z</dcterms:created>
  <dcterms:modified xsi:type="dcterms:W3CDTF">2025-04-22T22:58:00Z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15172</vt:lpwstr>
  </property>
  <property fmtid="{D5CDD505-2E9C-101B-9397-08002B2CF9AE}" pid="6" name="NEWPARTB">
    <vt:lpwstr>01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ליאור שמו</vt:lpwstr>
  </property>
  <property fmtid="{D5CDD505-2E9C-101B-9397-08002B2CF9AE}" pid="10" name="LAWYER">
    <vt:lpwstr>הרצוג וחבר;טליה גרידיש</vt:lpwstr>
  </property>
  <property fmtid="{D5CDD505-2E9C-101B-9397-08002B2CF9AE}" pid="11" name="JUDGE">
    <vt:lpwstr>עידו דרויאן גמליאל</vt:lpwstr>
  </property>
  <property fmtid="{D5CDD505-2E9C-101B-9397-08002B2CF9AE}" pid="12" name="CITY">
    <vt:lpwstr>ת"א</vt:lpwstr>
  </property>
  <property fmtid="{D5CDD505-2E9C-101B-9397-08002B2CF9AE}" pid="13" name="DATE">
    <vt:lpwstr>20190210</vt:lpwstr>
  </property>
  <property fmtid="{D5CDD505-2E9C-101B-9397-08002B2CF9AE}" pid="14" name="TYPE_N_DATE">
    <vt:lpwstr>38020190210</vt:lpwstr>
  </property>
  <property fmtid="{D5CDD505-2E9C-101B-9397-08002B2CF9AE}" pid="15" name="CASESLISTTMP1">
    <vt:lpwstr>24263578;13067614;11291895;11303846;20705570;18090154;16938303;17045282:2;18045843;21020095;2236104;7779453;18823346;20490397;22938500;22829462;20867063;7773349;5590454;5583050</vt:lpwstr>
  </property>
  <property fmtid="{D5CDD505-2E9C-101B-9397-08002B2CF9AE}" pid="16" name="CASENOTES1">
    <vt:lpwstr>ProcID=133;209&amp;PartA=42358&amp;PartB=10&amp;PartC=14</vt:lpwstr>
  </property>
  <property fmtid="{D5CDD505-2E9C-101B-9397-08002B2CF9AE}" pid="17" name="WORDNUMPAGES">
    <vt:lpwstr>6</vt:lpwstr>
  </property>
  <property fmtid="{D5CDD505-2E9C-101B-9397-08002B2CF9AE}" pid="18" name="TYPE_ABS_DATE">
    <vt:lpwstr>380020190210</vt:lpwstr>
  </property>
  <property fmtid="{D5CDD505-2E9C-101B-9397-08002B2CF9AE}" pid="19" name="ISABSTRACT">
    <vt:lpwstr>Y</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4216/006:2;007.a:2;007.c:2</vt:lpwstr>
  </property>
  <property fmtid="{D5CDD505-2E9C-101B-9397-08002B2CF9AE}" pid="38" name="LAWLISTTMP2">
    <vt:lpwstr>70301/040j.b.2:2;040j.d:2</vt:lpwstr>
  </property>
</Properties>
</file>