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000000" w14:paraId="3FAFBE4F" w14:textId="77777777">
        <w:trPr>
          <w:trHeight w:hRule="exact" w:val="418"/>
          <w:jc w:val="center"/>
        </w:trPr>
        <w:tc>
          <w:tcPr>
            <w:tcW w:w="8721" w:type="dxa"/>
            <w:gridSpan w:val="2"/>
          </w:tcPr>
          <w:p w14:paraId="61E23FA0" w14:textId="77777777" w:rsidR="00965524" w:rsidRDefault="00965524">
            <w:pPr>
              <w:pStyle w:val="a3"/>
              <w:jc w:val="center"/>
              <w:rPr>
                <w:rFonts w:ascii="Tahoma" w:hAnsi="Tahoma" w:cs="Tahoma"/>
                <w:color w:val="000080"/>
                <w:rtl/>
              </w:rPr>
            </w:pPr>
            <w:bookmarkStart w:id="0" w:name="LastJudge"/>
            <w:r>
              <w:rPr>
                <w:rFonts w:ascii="Tahoma" w:hAnsi="Tahoma" w:cs="Tahoma"/>
                <w:b/>
                <w:bCs/>
                <w:color w:val="000080"/>
                <w:rtl/>
              </w:rPr>
              <w:t>בית משפט השלום בירושלים</w:t>
            </w:r>
          </w:p>
        </w:tc>
      </w:tr>
      <w:tr w:rsidR="00000000" w14:paraId="5D588183" w14:textId="77777777">
        <w:trPr>
          <w:trHeight w:val="337"/>
          <w:jc w:val="center"/>
        </w:trPr>
        <w:tc>
          <w:tcPr>
            <w:tcW w:w="5050" w:type="dxa"/>
          </w:tcPr>
          <w:p w14:paraId="5424A6BA" w14:textId="77777777" w:rsidR="00965524" w:rsidRDefault="00965524">
            <w:pPr>
              <w:rPr>
                <w:b/>
                <w:bCs/>
                <w:sz w:val="28"/>
                <w:szCs w:val="28"/>
                <w:rtl/>
              </w:rPr>
            </w:pPr>
            <w:r>
              <w:rPr>
                <w:b/>
                <w:bCs/>
                <w:sz w:val="28"/>
                <w:szCs w:val="28"/>
                <w:rtl/>
              </w:rPr>
              <w:t>ת"פ</w:t>
            </w:r>
            <w:r>
              <w:rPr>
                <w:rFonts w:hint="cs"/>
                <w:b/>
                <w:bCs/>
                <w:sz w:val="28"/>
                <w:szCs w:val="28"/>
                <w:rtl/>
              </w:rPr>
              <w:t xml:space="preserve"> </w:t>
            </w:r>
            <w:r>
              <w:rPr>
                <w:b/>
                <w:bCs/>
                <w:sz w:val="28"/>
                <w:szCs w:val="28"/>
                <w:rtl/>
              </w:rPr>
              <w:t>15277-01-16</w:t>
            </w:r>
            <w:r>
              <w:rPr>
                <w:rFonts w:hint="cs"/>
                <w:b/>
                <w:bCs/>
                <w:sz w:val="28"/>
                <w:szCs w:val="28"/>
                <w:rtl/>
              </w:rPr>
              <w:t xml:space="preserve"> </w:t>
            </w:r>
            <w:r>
              <w:rPr>
                <w:b/>
                <w:bCs/>
                <w:sz w:val="28"/>
                <w:szCs w:val="28"/>
                <w:rtl/>
              </w:rPr>
              <w:t>מדינת ישראל נ' כהן ואח'</w:t>
            </w:r>
          </w:p>
          <w:p w14:paraId="1D1D1918" w14:textId="77777777" w:rsidR="00965524" w:rsidRDefault="00965524">
            <w:pPr>
              <w:pStyle w:val="a3"/>
              <w:rPr>
                <w:rFonts w:hint="cs"/>
                <w:b/>
                <w:bCs/>
                <w:sz w:val="28"/>
                <w:szCs w:val="28"/>
                <w:rtl/>
              </w:rPr>
            </w:pPr>
          </w:p>
        </w:tc>
        <w:tc>
          <w:tcPr>
            <w:tcW w:w="3671" w:type="dxa"/>
          </w:tcPr>
          <w:p w14:paraId="00587A4D" w14:textId="77777777" w:rsidR="00965524" w:rsidRDefault="00965524">
            <w:pPr>
              <w:pStyle w:val="a3"/>
              <w:jc w:val="right"/>
              <w:rPr>
                <w:b/>
                <w:bCs/>
                <w:sz w:val="28"/>
                <w:szCs w:val="28"/>
                <w:rtl/>
              </w:rPr>
            </w:pPr>
            <w:r>
              <w:rPr>
                <w:b/>
                <w:bCs/>
                <w:sz w:val="28"/>
                <w:szCs w:val="28"/>
                <w:rtl/>
              </w:rPr>
              <w:t>03 ינואר 2018</w:t>
            </w:r>
          </w:p>
        </w:tc>
      </w:tr>
      <w:tr w:rsidR="00000000" w14:paraId="1578824E" w14:textId="77777777">
        <w:trPr>
          <w:trHeight w:val="337"/>
          <w:jc w:val="center"/>
        </w:trPr>
        <w:tc>
          <w:tcPr>
            <w:tcW w:w="5050" w:type="dxa"/>
          </w:tcPr>
          <w:p w14:paraId="276D5882" w14:textId="77777777" w:rsidR="00965524" w:rsidRDefault="00965524">
            <w:pPr>
              <w:rPr>
                <w:b/>
                <w:bCs/>
                <w:rtl/>
              </w:rPr>
            </w:pPr>
            <w:r>
              <w:rPr>
                <w:rFonts w:ascii="Arial" w:hAnsi="Arial" w:hint="cs"/>
                <w:b/>
                <w:bCs/>
                <w:sz w:val="28"/>
                <w:szCs w:val="28"/>
                <w:rtl/>
              </w:rPr>
              <w:t>ב</w:t>
            </w:r>
            <w:r>
              <w:rPr>
                <w:rFonts w:ascii="Arial" w:hAnsi="Arial"/>
                <w:b/>
                <w:bCs/>
                <w:sz w:val="28"/>
                <w:szCs w:val="28"/>
                <w:rtl/>
              </w:rPr>
              <w:t xml:space="preserve">פני </w:t>
            </w:r>
            <w:r>
              <w:rPr>
                <w:rFonts w:ascii="Arial" w:hAnsi="Arial" w:hint="cs"/>
                <w:b/>
                <w:bCs/>
                <w:sz w:val="28"/>
                <w:szCs w:val="28"/>
                <w:rtl/>
              </w:rPr>
              <w:t>כב' השופט יצחק שמעוני</w:t>
            </w:r>
          </w:p>
        </w:tc>
        <w:tc>
          <w:tcPr>
            <w:tcW w:w="3671" w:type="dxa"/>
          </w:tcPr>
          <w:p w14:paraId="28E933E4" w14:textId="77777777" w:rsidR="00965524" w:rsidRDefault="00965524">
            <w:pPr>
              <w:pStyle w:val="a3"/>
              <w:jc w:val="right"/>
              <w:rPr>
                <w:b/>
                <w:bCs/>
                <w:rtl/>
              </w:rPr>
            </w:pPr>
          </w:p>
        </w:tc>
      </w:tr>
    </w:tbl>
    <w:p w14:paraId="4B2BA0F5" w14:textId="77777777" w:rsidR="00965524" w:rsidRDefault="00965524">
      <w:pPr>
        <w:pStyle w:val="a3"/>
        <w:rPr>
          <w:rtl/>
        </w:rPr>
      </w:pPr>
      <w:r>
        <w:rPr>
          <w:rFonts w:hint="cs"/>
          <w:rtl/>
        </w:rPr>
        <w:t xml:space="preserve"> </w:t>
      </w:r>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639"/>
        <w:gridCol w:w="3236"/>
      </w:tblGrid>
      <w:tr w:rsidR="00000000" w14:paraId="3E52CBD4" w14:textId="77777777">
        <w:trPr>
          <w:trHeight w:val="355"/>
        </w:trPr>
        <w:tc>
          <w:tcPr>
            <w:tcW w:w="945" w:type="dxa"/>
            <w:tcBorders>
              <w:top w:val="nil"/>
              <w:left w:val="nil"/>
              <w:bottom w:val="nil"/>
              <w:right w:val="nil"/>
            </w:tcBorders>
            <w:shd w:val="clear" w:color="auto" w:fill="auto"/>
          </w:tcPr>
          <w:p w14:paraId="63CAC0CD" w14:textId="77777777" w:rsidR="00965524" w:rsidRDefault="00965524">
            <w:pPr>
              <w:spacing w:before="120" w:after="120"/>
              <w:jc w:val="both"/>
              <w:rPr>
                <w:rFonts w:ascii="Arial" w:hAnsi="Arial"/>
                <w:b/>
                <w:bCs/>
                <w:sz w:val="28"/>
                <w:szCs w:val="28"/>
              </w:rPr>
            </w:pPr>
            <w:bookmarkStart w:id="1" w:name="FirstAppellant"/>
            <w:bookmarkStart w:id="2" w:name="FirstLawyer"/>
            <w:r>
              <w:rPr>
                <w:rFonts w:ascii="Arial" w:hAnsi="Arial" w:hint="cs"/>
                <w:b/>
                <w:bCs/>
                <w:sz w:val="28"/>
                <w:szCs w:val="28"/>
                <w:rtl/>
              </w:rPr>
              <w:t>בעניין:</w:t>
            </w:r>
          </w:p>
        </w:tc>
        <w:tc>
          <w:tcPr>
            <w:tcW w:w="4639" w:type="dxa"/>
            <w:tcBorders>
              <w:top w:val="nil"/>
              <w:left w:val="nil"/>
              <w:bottom w:val="nil"/>
              <w:right w:val="nil"/>
            </w:tcBorders>
            <w:shd w:val="clear" w:color="auto" w:fill="auto"/>
          </w:tcPr>
          <w:p w14:paraId="74536497" w14:textId="77777777" w:rsidR="00965524" w:rsidRDefault="00965524">
            <w:pPr>
              <w:spacing w:before="120" w:after="120"/>
              <w:jc w:val="both"/>
              <w:rPr>
                <w:rFonts w:ascii="Arial" w:hAnsi="Arial"/>
                <w:b/>
                <w:bCs/>
                <w:sz w:val="28"/>
                <w:szCs w:val="28"/>
                <w:rtl/>
              </w:rPr>
            </w:pPr>
            <w:r>
              <w:rPr>
                <w:rFonts w:ascii="Arial" w:hAnsi="Arial" w:hint="cs"/>
                <w:b/>
                <w:bCs/>
                <w:sz w:val="28"/>
                <w:szCs w:val="28"/>
                <w:rtl/>
              </w:rPr>
              <w:t xml:space="preserve">מדינת ישראל </w:t>
            </w:r>
          </w:p>
          <w:p w14:paraId="3E46F92E" w14:textId="77777777" w:rsidR="00965524" w:rsidRDefault="00965524">
            <w:pPr>
              <w:spacing w:before="120" w:after="120"/>
              <w:jc w:val="both"/>
              <w:rPr>
                <w:rFonts w:ascii="Arial" w:hAnsi="Arial"/>
                <w:b/>
                <w:bCs/>
                <w:sz w:val="28"/>
                <w:szCs w:val="28"/>
                <w:rtl/>
              </w:rPr>
            </w:pPr>
            <w:r>
              <w:rPr>
                <w:rFonts w:ascii="Arial" w:hAnsi="Arial" w:hint="cs"/>
                <w:b/>
                <w:bCs/>
                <w:sz w:val="28"/>
                <w:szCs w:val="28"/>
                <w:rtl/>
              </w:rPr>
              <w:t>ע"י ענף תביעות</w:t>
            </w:r>
          </w:p>
          <w:p w14:paraId="43D22B28" w14:textId="77777777" w:rsidR="00965524" w:rsidRDefault="00965524">
            <w:pPr>
              <w:spacing w:before="120" w:after="120"/>
              <w:jc w:val="both"/>
              <w:rPr>
                <w:rFonts w:ascii="Arial" w:hAnsi="Arial"/>
                <w:sz w:val="28"/>
                <w:szCs w:val="28"/>
              </w:rPr>
            </w:pPr>
            <w:r>
              <w:rPr>
                <w:rFonts w:ascii="Arial" w:hAnsi="Arial" w:hint="cs"/>
                <w:b/>
                <w:bCs/>
                <w:sz w:val="28"/>
                <w:szCs w:val="28"/>
                <w:rtl/>
              </w:rPr>
              <w:t>משטרת ישראל</w:t>
            </w:r>
          </w:p>
        </w:tc>
        <w:tc>
          <w:tcPr>
            <w:tcW w:w="3236" w:type="dxa"/>
            <w:tcBorders>
              <w:top w:val="nil"/>
              <w:left w:val="nil"/>
              <w:bottom w:val="nil"/>
              <w:right w:val="nil"/>
            </w:tcBorders>
            <w:shd w:val="clear" w:color="auto" w:fill="auto"/>
          </w:tcPr>
          <w:p w14:paraId="70CE8860" w14:textId="77777777" w:rsidR="00965524" w:rsidRDefault="00965524">
            <w:pPr>
              <w:spacing w:before="120" w:after="120"/>
              <w:jc w:val="both"/>
              <w:rPr>
                <w:rFonts w:ascii="Arial" w:hAnsi="Arial"/>
                <w:sz w:val="28"/>
                <w:szCs w:val="28"/>
              </w:rPr>
            </w:pPr>
          </w:p>
        </w:tc>
      </w:tr>
      <w:bookmarkEnd w:id="1"/>
      <w:bookmarkEnd w:id="2"/>
      <w:tr w:rsidR="00000000" w14:paraId="63B5DFEB" w14:textId="77777777">
        <w:trPr>
          <w:trHeight w:val="355"/>
        </w:trPr>
        <w:tc>
          <w:tcPr>
            <w:tcW w:w="945" w:type="dxa"/>
            <w:tcBorders>
              <w:top w:val="nil"/>
              <w:left w:val="nil"/>
              <w:bottom w:val="nil"/>
              <w:right w:val="nil"/>
            </w:tcBorders>
            <w:shd w:val="clear" w:color="auto" w:fill="auto"/>
          </w:tcPr>
          <w:p w14:paraId="09624EB9" w14:textId="77777777" w:rsidR="00965524" w:rsidRDefault="00965524">
            <w:pPr>
              <w:spacing w:before="120" w:after="120"/>
              <w:jc w:val="both"/>
              <w:rPr>
                <w:rFonts w:ascii="Arial" w:hAnsi="Arial"/>
                <w:sz w:val="28"/>
                <w:szCs w:val="28"/>
                <w:rtl/>
              </w:rPr>
            </w:pPr>
          </w:p>
        </w:tc>
        <w:tc>
          <w:tcPr>
            <w:tcW w:w="4639" w:type="dxa"/>
            <w:tcBorders>
              <w:top w:val="nil"/>
              <w:left w:val="nil"/>
              <w:bottom w:val="nil"/>
              <w:right w:val="nil"/>
            </w:tcBorders>
            <w:shd w:val="clear" w:color="auto" w:fill="auto"/>
          </w:tcPr>
          <w:p w14:paraId="1B72C65B" w14:textId="77777777" w:rsidR="00965524" w:rsidRDefault="00965524">
            <w:pPr>
              <w:spacing w:before="120" w:after="120"/>
              <w:jc w:val="both"/>
              <w:rPr>
                <w:sz w:val="28"/>
                <w:szCs w:val="28"/>
                <w:rtl/>
              </w:rPr>
            </w:pPr>
          </w:p>
        </w:tc>
        <w:tc>
          <w:tcPr>
            <w:tcW w:w="3236" w:type="dxa"/>
            <w:tcBorders>
              <w:top w:val="nil"/>
              <w:left w:val="nil"/>
              <w:bottom w:val="nil"/>
              <w:right w:val="nil"/>
            </w:tcBorders>
            <w:shd w:val="clear" w:color="auto" w:fill="auto"/>
          </w:tcPr>
          <w:p w14:paraId="1D305EE9" w14:textId="77777777" w:rsidR="00965524" w:rsidRDefault="00965524">
            <w:pPr>
              <w:spacing w:before="120" w:after="120"/>
              <w:jc w:val="right"/>
              <w:rPr>
                <w:rFonts w:ascii="Arial" w:hAnsi="Arial"/>
                <w:sz w:val="28"/>
                <w:szCs w:val="28"/>
                <w:rtl/>
              </w:rPr>
            </w:pPr>
            <w:r>
              <w:rPr>
                <w:rFonts w:ascii="Arial" w:hAnsi="Arial" w:hint="cs"/>
                <w:b/>
                <w:bCs/>
                <w:sz w:val="28"/>
                <w:szCs w:val="28"/>
                <w:rtl/>
              </w:rPr>
              <w:t>ה</w:t>
            </w:r>
            <w:r>
              <w:rPr>
                <w:rFonts w:ascii="Arial" w:hAnsi="Arial"/>
                <w:b/>
                <w:bCs/>
                <w:sz w:val="28"/>
                <w:szCs w:val="28"/>
                <w:rtl/>
              </w:rPr>
              <w:t>מאשימה</w:t>
            </w:r>
          </w:p>
        </w:tc>
      </w:tr>
      <w:tr w:rsidR="00000000" w14:paraId="2B17836F" w14:textId="77777777">
        <w:trPr>
          <w:trHeight w:val="355"/>
        </w:trPr>
        <w:tc>
          <w:tcPr>
            <w:tcW w:w="8820" w:type="dxa"/>
            <w:gridSpan w:val="3"/>
            <w:tcBorders>
              <w:top w:val="nil"/>
              <w:left w:val="nil"/>
              <w:bottom w:val="nil"/>
              <w:right w:val="nil"/>
            </w:tcBorders>
            <w:shd w:val="clear" w:color="auto" w:fill="auto"/>
          </w:tcPr>
          <w:p w14:paraId="535C1AF4" w14:textId="77777777" w:rsidR="00965524" w:rsidRDefault="00965524">
            <w:pPr>
              <w:jc w:val="center"/>
              <w:rPr>
                <w:rFonts w:ascii="Arial" w:hAnsi="Arial"/>
                <w:b/>
                <w:bCs/>
                <w:sz w:val="28"/>
                <w:szCs w:val="28"/>
                <w:rtl/>
              </w:rPr>
            </w:pPr>
          </w:p>
          <w:p w14:paraId="0F82E1A7" w14:textId="77777777" w:rsidR="00965524" w:rsidRDefault="00965524">
            <w:pPr>
              <w:pStyle w:val="a8"/>
              <w:ind w:left="0"/>
              <w:jc w:val="center"/>
              <w:rPr>
                <w:rFonts w:ascii="Arial" w:hAnsi="Arial" w:cs="David" w:hint="cs"/>
                <w:b/>
                <w:bCs/>
                <w:sz w:val="28"/>
                <w:szCs w:val="28"/>
              </w:rPr>
            </w:pPr>
            <w:r>
              <w:rPr>
                <w:rFonts w:hint="cs"/>
                <w:b/>
                <w:bCs/>
                <w:rtl/>
              </w:rPr>
              <w:t>-נ ג ד -</w:t>
            </w:r>
          </w:p>
        </w:tc>
      </w:tr>
      <w:tr w:rsidR="00000000" w14:paraId="6D966F6B" w14:textId="77777777">
        <w:trPr>
          <w:trHeight w:val="355"/>
        </w:trPr>
        <w:tc>
          <w:tcPr>
            <w:tcW w:w="945" w:type="dxa"/>
            <w:tcBorders>
              <w:top w:val="nil"/>
              <w:left w:val="nil"/>
              <w:bottom w:val="nil"/>
              <w:right w:val="nil"/>
            </w:tcBorders>
            <w:shd w:val="clear" w:color="auto" w:fill="auto"/>
          </w:tcPr>
          <w:p w14:paraId="401A02E7" w14:textId="77777777" w:rsidR="00965524" w:rsidRDefault="00965524">
            <w:pPr>
              <w:spacing w:before="120" w:after="120"/>
              <w:jc w:val="both"/>
              <w:rPr>
                <w:rFonts w:ascii="Arial" w:hAnsi="Arial"/>
                <w:sz w:val="28"/>
                <w:szCs w:val="28"/>
                <w:rtl/>
              </w:rPr>
            </w:pPr>
          </w:p>
        </w:tc>
        <w:tc>
          <w:tcPr>
            <w:tcW w:w="4639" w:type="dxa"/>
            <w:tcBorders>
              <w:top w:val="nil"/>
              <w:left w:val="nil"/>
              <w:bottom w:val="nil"/>
              <w:right w:val="nil"/>
            </w:tcBorders>
            <w:shd w:val="clear" w:color="auto" w:fill="auto"/>
          </w:tcPr>
          <w:p w14:paraId="40EE3FFE" w14:textId="77777777" w:rsidR="00965524" w:rsidRDefault="00965524">
            <w:pPr>
              <w:spacing w:before="120" w:after="120"/>
              <w:rPr>
                <w:sz w:val="28"/>
                <w:szCs w:val="28"/>
                <w:rtl/>
              </w:rPr>
            </w:pPr>
            <w:r>
              <w:rPr>
                <w:rFonts w:ascii="Arial" w:hAnsi="Arial"/>
                <w:b/>
                <w:bCs/>
                <w:sz w:val="28"/>
                <w:szCs w:val="28"/>
                <w:rtl/>
              </w:rPr>
              <w:t>יוסי</w:t>
            </w:r>
            <w:r>
              <w:rPr>
                <w:rFonts w:ascii="Arial" w:hAnsi="Arial" w:hint="cs"/>
                <w:b/>
                <w:bCs/>
                <w:sz w:val="28"/>
                <w:szCs w:val="28"/>
                <w:rtl/>
              </w:rPr>
              <w:t xml:space="preserve"> </w:t>
            </w:r>
            <w:r>
              <w:rPr>
                <w:rFonts w:ascii="Arial" w:hAnsi="Arial"/>
                <w:b/>
                <w:bCs/>
                <w:sz w:val="28"/>
                <w:szCs w:val="28"/>
                <w:rtl/>
              </w:rPr>
              <w:t>אילישייב</w:t>
            </w:r>
            <w:r>
              <w:rPr>
                <w:rFonts w:ascii="Arial" w:hAnsi="Arial"/>
                <w:b/>
                <w:bCs/>
                <w:sz w:val="28"/>
                <w:szCs w:val="28"/>
                <w:rtl/>
              </w:rPr>
              <w:br/>
            </w:r>
            <w:r>
              <w:rPr>
                <w:rFonts w:hint="cs"/>
                <w:b/>
                <w:bCs/>
                <w:sz w:val="28"/>
                <w:szCs w:val="28"/>
                <w:rtl/>
              </w:rPr>
              <w:t>ע"י עו"ד רותם כהן ועו"ד סיבוני</w:t>
            </w:r>
          </w:p>
        </w:tc>
        <w:tc>
          <w:tcPr>
            <w:tcW w:w="3236" w:type="dxa"/>
            <w:tcBorders>
              <w:top w:val="nil"/>
              <w:left w:val="nil"/>
              <w:bottom w:val="nil"/>
              <w:right w:val="nil"/>
            </w:tcBorders>
            <w:shd w:val="clear" w:color="auto" w:fill="auto"/>
          </w:tcPr>
          <w:p w14:paraId="0F19D894" w14:textId="77777777" w:rsidR="00965524" w:rsidRDefault="00965524">
            <w:pPr>
              <w:spacing w:before="120" w:after="120"/>
              <w:jc w:val="both"/>
              <w:rPr>
                <w:rFonts w:ascii="Arial" w:hAnsi="Arial"/>
                <w:sz w:val="28"/>
                <w:szCs w:val="28"/>
              </w:rPr>
            </w:pPr>
          </w:p>
        </w:tc>
      </w:tr>
      <w:tr w:rsidR="00000000" w14:paraId="3340F552" w14:textId="77777777">
        <w:trPr>
          <w:trHeight w:val="355"/>
        </w:trPr>
        <w:tc>
          <w:tcPr>
            <w:tcW w:w="945" w:type="dxa"/>
            <w:tcBorders>
              <w:top w:val="nil"/>
              <w:left w:val="nil"/>
              <w:bottom w:val="nil"/>
              <w:right w:val="nil"/>
            </w:tcBorders>
            <w:shd w:val="clear" w:color="auto" w:fill="auto"/>
          </w:tcPr>
          <w:p w14:paraId="3F3D4AEA" w14:textId="77777777" w:rsidR="00965524" w:rsidRDefault="00965524">
            <w:pPr>
              <w:spacing w:before="120" w:after="120"/>
              <w:jc w:val="both"/>
              <w:rPr>
                <w:rFonts w:ascii="Arial" w:hAnsi="Arial"/>
                <w:sz w:val="28"/>
                <w:szCs w:val="28"/>
                <w:rtl/>
              </w:rPr>
            </w:pPr>
          </w:p>
        </w:tc>
        <w:tc>
          <w:tcPr>
            <w:tcW w:w="4639" w:type="dxa"/>
            <w:tcBorders>
              <w:top w:val="nil"/>
              <w:left w:val="nil"/>
              <w:bottom w:val="nil"/>
              <w:right w:val="nil"/>
            </w:tcBorders>
            <w:shd w:val="clear" w:color="auto" w:fill="auto"/>
          </w:tcPr>
          <w:p w14:paraId="2D6FD457" w14:textId="77777777" w:rsidR="00965524" w:rsidRDefault="00965524">
            <w:pPr>
              <w:spacing w:before="120" w:after="120"/>
              <w:jc w:val="both"/>
              <w:rPr>
                <w:sz w:val="28"/>
                <w:szCs w:val="28"/>
                <w:rtl/>
              </w:rPr>
            </w:pPr>
          </w:p>
        </w:tc>
        <w:tc>
          <w:tcPr>
            <w:tcW w:w="3236" w:type="dxa"/>
            <w:tcBorders>
              <w:top w:val="nil"/>
              <w:left w:val="nil"/>
              <w:bottom w:val="nil"/>
              <w:right w:val="nil"/>
            </w:tcBorders>
            <w:shd w:val="clear" w:color="auto" w:fill="auto"/>
          </w:tcPr>
          <w:p w14:paraId="3631E592" w14:textId="77777777" w:rsidR="00965524" w:rsidRDefault="00965524">
            <w:pPr>
              <w:spacing w:before="120" w:after="120"/>
              <w:jc w:val="right"/>
              <w:rPr>
                <w:rFonts w:ascii="Arial" w:hAnsi="Arial"/>
                <w:sz w:val="28"/>
                <w:szCs w:val="28"/>
              </w:rPr>
            </w:pPr>
            <w:r>
              <w:rPr>
                <w:rFonts w:ascii="Arial" w:hAnsi="Arial" w:hint="cs"/>
                <w:b/>
                <w:bCs/>
                <w:sz w:val="28"/>
                <w:szCs w:val="28"/>
                <w:rtl/>
              </w:rPr>
              <w:t>ה</w:t>
            </w:r>
            <w:r>
              <w:rPr>
                <w:rFonts w:ascii="Arial" w:hAnsi="Arial"/>
                <w:b/>
                <w:bCs/>
                <w:sz w:val="28"/>
                <w:szCs w:val="28"/>
                <w:rtl/>
              </w:rPr>
              <w:t>נאשם</w:t>
            </w:r>
          </w:p>
        </w:tc>
      </w:tr>
    </w:tbl>
    <w:p w14:paraId="5E10181D" w14:textId="77777777" w:rsidR="00965524" w:rsidRDefault="00965524">
      <w:pPr>
        <w:spacing w:after="120" w:line="240" w:lineRule="exact"/>
        <w:ind w:left="283" w:hanging="283"/>
        <w:jc w:val="both"/>
        <w:rPr>
          <w:rFonts w:ascii="FrankRuehl" w:hAnsi="FrankRuehl" w:cs="FrankRuehl"/>
          <w:rtl/>
        </w:rPr>
      </w:pPr>
      <w:bookmarkStart w:id="3" w:name="LawTable"/>
      <w:bookmarkEnd w:id="0"/>
      <w:bookmarkEnd w:id="3"/>
    </w:p>
    <w:p w14:paraId="2A79FBC2" w14:textId="77777777" w:rsidR="00965524" w:rsidRDefault="00965524">
      <w:pPr>
        <w:spacing w:after="120" w:line="240" w:lineRule="exact"/>
        <w:ind w:left="283" w:hanging="283"/>
        <w:jc w:val="both"/>
        <w:rPr>
          <w:rFonts w:ascii="FrankRuehl" w:hAnsi="FrankRuehl" w:cs="FrankRuehl"/>
          <w:rtl/>
        </w:rPr>
      </w:pPr>
      <w:r>
        <w:rPr>
          <w:rFonts w:ascii="FrankRuehl" w:hAnsi="FrankRuehl" w:cs="FrankRuehl"/>
          <w:rtl/>
        </w:rPr>
        <w:t>חקיקה שאוזכרה:</w:t>
      </w:r>
      <w:r>
        <w:rPr>
          <w:rFonts w:ascii="FrankRuehl" w:hAnsi="FrankRuehl" w:cs="FrankRuehl"/>
          <w:rtl/>
        </w:rPr>
        <w:t xml:space="preserve"> </w:t>
      </w:r>
    </w:p>
    <w:p w14:paraId="24BC188C" w14:textId="77777777" w:rsidR="00965524" w:rsidRDefault="00965524">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פקודת הסמים המסוכנים [נוסח חדש], תשל"ג-1973</w:t>
        </w:r>
      </w:hyperlink>
      <w:r>
        <w:rPr>
          <w:rFonts w:ascii="FrankRuehl" w:hAnsi="FrankRuehl" w:cs="FrankRuehl"/>
          <w:rtl/>
        </w:rPr>
        <w:t xml:space="preserve">: סע'  </w:t>
      </w:r>
      <w:hyperlink r:id="rId8" w:history="1">
        <w:r>
          <w:rPr>
            <w:rFonts w:ascii="FrankRuehl" w:hAnsi="FrankRuehl" w:cs="FrankRuehl"/>
            <w:color w:val="0000FF"/>
            <w:u w:val="single"/>
            <w:rtl/>
          </w:rPr>
          <w:t>13</w:t>
        </w:r>
      </w:hyperlink>
      <w:r>
        <w:rPr>
          <w:rFonts w:ascii="FrankRuehl" w:hAnsi="FrankRuehl" w:cs="FrankRuehl"/>
          <w:rtl/>
        </w:rPr>
        <w:t xml:space="preserve">, </w:t>
      </w:r>
      <w:hyperlink r:id="rId9" w:history="1">
        <w:r>
          <w:rPr>
            <w:rFonts w:ascii="FrankRuehl" w:hAnsi="FrankRuehl" w:cs="FrankRuehl"/>
            <w:color w:val="0000FF"/>
            <w:u w:val="single"/>
            <w:rtl/>
          </w:rPr>
          <w:t>19א'</w:t>
        </w:r>
      </w:hyperlink>
    </w:p>
    <w:p w14:paraId="5F0668E2" w14:textId="77777777" w:rsidR="00965524" w:rsidRDefault="00965524">
      <w:pPr>
        <w:spacing w:after="120" w:line="240" w:lineRule="exact"/>
        <w:ind w:left="283" w:hanging="283"/>
        <w:jc w:val="both"/>
        <w:rPr>
          <w:rFonts w:ascii="FrankRuehl" w:hAnsi="FrankRuehl" w:cs="FrankRuehl"/>
          <w:rtl/>
        </w:rPr>
      </w:pPr>
      <w:hyperlink r:id="rId10"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11" w:history="1">
        <w:r>
          <w:rPr>
            <w:rFonts w:ascii="FrankRuehl" w:hAnsi="FrankRuehl" w:cs="FrankRuehl"/>
            <w:color w:val="0000FF"/>
            <w:u w:val="single"/>
            <w:rtl/>
          </w:rPr>
          <w:t>40ב'</w:t>
        </w:r>
      </w:hyperlink>
      <w:r>
        <w:rPr>
          <w:rFonts w:ascii="FrankRuehl" w:hAnsi="FrankRuehl" w:cs="FrankRuehl"/>
          <w:rtl/>
        </w:rPr>
        <w:t xml:space="preserve">, </w:t>
      </w:r>
      <w:hyperlink r:id="rId12" w:history="1">
        <w:r>
          <w:rPr>
            <w:rFonts w:ascii="FrankRuehl" w:hAnsi="FrankRuehl" w:cs="FrankRuehl"/>
            <w:color w:val="0000FF"/>
            <w:u w:val="single"/>
            <w:rtl/>
          </w:rPr>
          <w:t>40ג'</w:t>
        </w:r>
      </w:hyperlink>
      <w:r>
        <w:rPr>
          <w:rFonts w:ascii="FrankRuehl" w:hAnsi="FrankRuehl" w:cs="FrankRuehl"/>
          <w:rtl/>
        </w:rPr>
        <w:t xml:space="preserve">, </w:t>
      </w:r>
      <w:hyperlink r:id="rId13" w:history="1">
        <w:r>
          <w:rPr>
            <w:rFonts w:ascii="FrankRuehl" w:hAnsi="FrankRuehl" w:cs="FrankRuehl"/>
            <w:color w:val="0000FF"/>
            <w:u w:val="single"/>
            <w:rtl/>
          </w:rPr>
          <w:t>40ד'</w:t>
        </w:r>
      </w:hyperlink>
      <w:r>
        <w:rPr>
          <w:rFonts w:ascii="FrankRuehl" w:hAnsi="FrankRuehl" w:cs="FrankRuehl"/>
          <w:rtl/>
        </w:rPr>
        <w:t xml:space="preserve">, </w:t>
      </w:r>
      <w:hyperlink r:id="rId14" w:history="1">
        <w:r>
          <w:rPr>
            <w:rFonts w:ascii="FrankRuehl" w:hAnsi="FrankRuehl" w:cs="FrankRuehl"/>
            <w:color w:val="0000FF"/>
            <w:u w:val="single"/>
            <w:rtl/>
          </w:rPr>
          <w:t>275</w:t>
        </w:r>
      </w:hyperlink>
    </w:p>
    <w:p w14:paraId="13F27E85" w14:textId="77777777" w:rsidR="00965524" w:rsidRDefault="00965524">
      <w:pPr>
        <w:spacing w:after="120" w:line="240" w:lineRule="exact"/>
        <w:ind w:left="283" w:hanging="283"/>
        <w:jc w:val="both"/>
        <w:rPr>
          <w:rFonts w:ascii="FrankRuehl" w:hAnsi="FrankRuehl" w:cs="FrankRuehl" w:hint="cs"/>
          <w:rtl/>
        </w:rPr>
      </w:pPr>
    </w:p>
    <w:p w14:paraId="58EC74AE" w14:textId="77777777" w:rsidR="00965524" w:rsidRDefault="00965524">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0245122E" w14:textId="77777777" w:rsidR="00965524" w:rsidRDefault="0096552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Pr>
          <w:rFonts w:cs="FrankRuehl"/>
          <w:szCs w:val="26"/>
          <w:rtl/>
        </w:rPr>
        <w:t>בית המשפט גזר על הנאשם שהורשע, על פי הודאתו, במסגרת הסדר טיעון בעבירת סמים ועבירה של הפרעת שוטר, עונש של מאסר למשך 3 חודשים אותם ירצה בעבודות שירות, מאסר על תנאי וקנס.</w:t>
      </w:r>
    </w:p>
    <w:p w14:paraId="2ED70F75" w14:textId="77777777" w:rsidR="00965524" w:rsidRDefault="0096552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B78BD72" w14:textId="77777777" w:rsidR="00965524" w:rsidRDefault="0096552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20882E6" w14:textId="77777777" w:rsidR="00965524" w:rsidRDefault="00965524">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נדרש לגזור את דינו של הנשאם, שהורשע, על פי הודאתו, במסגרת הסדר טיעון בשתי עבירות. האחת  ניסיון ליצוא, יבוא, סחר והספקה, והשנייה עבירה של הפרעת שוטר במילוי תפקידו.</w:t>
      </w:r>
    </w:p>
    <w:p w14:paraId="0B928C26" w14:textId="77777777" w:rsidR="00965524" w:rsidRDefault="0096552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0173213" w14:textId="77777777" w:rsidR="00965524" w:rsidRDefault="00965524">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14:paraId="64E8B314" w14:textId="77777777" w:rsidR="00965524" w:rsidRDefault="00965524">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הערך החברתי שנפגע במקרה זה, הוא פגיעה בשלום הציבור ובסדר הציבורי; מדובר בשתי עבירות, האחת ניסיון להספקה במשקל כולל של 1.03 גרם, והשנייה הפרעת שוטר. העבירות נעשו בסמיכות זו לזו וניתן להתייחס אליהן כאל אירוע אחד. בנסיבות העניין נראה כי יש להתחשב בסוג ובכמות הלא גדולה של הסם אותה ניסה לספק הנאשם לשוטר ובכך שהעבירה לא הושלמה עד לכדי עבירה מוגמרת. </w:t>
      </w:r>
    </w:p>
    <w:p w14:paraId="4E2AFE9A" w14:textId="77777777" w:rsidR="00965524" w:rsidRDefault="00965524">
      <w:pPr>
        <w:pBdr>
          <w:top w:val="single" w:sz="4" w:space="1" w:color="auto"/>
          <w:bottom w:val="single" w:sz="4" w:space="1" w:color="auto"/>
        </w:pBdr>
        <w:spacing w:after="120" w:line="320" w:lineRule="exact"/>
        <w:jc w:val="both"/>
        <w:rPr>
          <w:rFonts w:cs="FrankRuehl"/>
          <w:szCs w:val="26"/>
          <w:rtl/>
        </w:rPr>
      </w:pPr>
      <w:r>
        <w:rPr>
          <w:rFonts w:cs="FrankRuehl"/>
          <w:szCs w:val="26"/>
          <w:rtl/>
        </w:rPr>
        <w:lastRenderedPageBreak/>
        <w:t>בשל סמיכות האירועים המפורטים בכתב האישום, יש לראות בכולם אירוע אחד, ועל כן מתחם הענישה בגין שתי העבירות, נע בין 6 חודשים ל</w:t>
      </w:r>
      <w:r>
        <w:rPr>
          <w:rFonts w:cs="FrankRuehl" w:hint="cs"/>
          <w:szCs w:val="26"/>
          <w:rtl/>
        </w:rPr>
        <w:t>-</w:t>
      </w:r>
      <w:r>
        <w:rPr>
          <w:rFonts w:cs="FrankRuehl"/>
          <w:szCs w:val="26"/>
          <w:rtl/>
        </w:rPr>
        <w:t xml:space="preserve">12 חודשי מאסר. באשר לעבירת הפרעת שוטר, המתחם נע בין מאסר על תנאי לבין חודשיים מעצר בנסיבות העניין. </w:t>
      </w:r>
    </w:p>
    <w:p w14:paraId="627628D8" w14:textId="77777777" w:rsidR="00965524" w:rsidRDefault="00965524">
      <w:pPr>
        <w:pBdr>
          <w:top w:val="single" w:sz="4" w:space="1" w:color="auto"/>
          <w:bottom w:val="single" w:sz="4" w:space="1" w:color="auto"/>
        </w:pBdr>
        <w:spacing w:after="120" w:line="320" w:lineRule="exact"/>
        <w:jc w:val="both"/>
        <w:rPr>
          <w:rFonts w:cs="FrankRuehl"/>
          <w:szCs w:val="26"/>
        </w:rPr>
      </w:pPr>
      <w:r>
        <w:rPr>
          <w:rFonts w:cs="FrankRuehl"/>
          <w:szCs w:val="26"/>
          <w:rtl/>
        </w:rPr>
        <w:t xml:space="preserve">במקרה בו מעשה העבירה ומידת אשמתו של הנאשם הם בעלי חומרה יתירה, הרי שאם הנאשם השתקם או שיש סיכוי של ממש שישתקם, ובנסיבות מיוחדות ויוצאות דופן, יכול בית המשפט לקבוע כי העונש שיוטל על הנאשם יחרוג ממתחם העונש ההולם. </w:t>
      </w:r>
    </w:p>
    <w:p w14:paraId="6A09CA92" w14:textId="77777777" w:rsidR="00965524" w:rsidRDefault="00965524">
      <w:pPr>
        <w:jc w:val="center"/>
        <w:rPr>
          <w:rFonts w:ascii="Arial" w:hAnsi="Arial" w:cs="Arial"/>
          <w:sz w:val="40"/>
          <w:szCs w:val="40"/>
          <w:rtl/>
        </w:rPr>
      </w:pPr>
      <w:bookmarkStart w:id="5" w:name="LawTable_End"/>
      <w:bookmarkStart w:id="6" w:name="ABSTRACT_END"/>
      <w:bookmarkEnd w:id="5"/>
      <w:bookmarkEnd w:id="6"/>
    </w:p>
    <w:p w14:paraId="14AD36A8" w14:textId="77777777" w:rsidR="00965524" w:rsidRDefault="00965524">
      <w:pPr>
        <w:jc w:val="center"/>
        <w:rPr>
          <w:rFonts w:ascii="Arial" w:hAnsi="Arial" w:cs="Arial"/>
          <w:b/>
          <w:bCs/>
          <w:sz w:val="40"/>
          <w:szCs w:val="40"/>
          <w:u w:val="single"/>
          <w:rtl/>
        </w:rPr>
      </w:pPr>
      <w:bookmarkStart w:id="7" w:name="PsakDin"/>
      <w:r>
        <w:rPr>
          <w:rFonts w:ascii="Arial" w:hAnsi="Arial" w:cs="Arial"/>
          <w:b/>
          <w:bCs/>
          <w:sz w:val="40"/>
          <w:szCs w:val="40"/>
          <w:u w:val="single"/>
          <w:rtl/>
        </w:rPr>
        <w:t>גזר-דין</w:t>
      </w:r>
    </w:p>
    <w:bookmarkEnd w:id="7"/>
    <w:p w14:paraId="541688EC" w14:textId="77777777" w:rsidR="00965524" w:rsidRDefault="00965524">
      <w:pPr>
        <w:jc w:val="both"/>
        <w:rPr>
          <w:rFonts w:ascii="Arial" w:hAnsi="Arial" w:cs="FrankRuehl"/>
          <w:sz w:val="28"/>
          <w:szCs w:val="28"/>
          <w:rtl/>
        </w:rPr>
      </w:pPr>
    </w:p>
    <w:p w14:paraId="7F8FA0EB" w14:textId="77777777" w:rsidR="00965524" w:rsidRDefault="00965524">
      <w:pPr>
        <w:jc w:val="both"/>
        <w:rPr>
          <w:rFonts w:cs="Cambria"/>
          <w:b/>
          <w:bCs/>
          <w:sz w:val="26"/>
          <w:szCs w:val="26"/>
          <w:rtl/>
        </w:rPr>
      </w:pPr>
      <w:r>
        <w:rPr>
          <w:rFonts w:cs="Cambria"/>
          <w:b/>
          <w:bCs/>
          <w:sz w:val="26"/>
          <w:szCs w:val="26"/>
          <w:rtl/>
        </w:rPr>
        <w:t>כתב האישום</w:t>
      </w:r>
    </w:p>
    <w:p w14:paraId="441D59BF" w14:textId="77777777" w:rsidR="00965524" w:rsidRDefault="00965524">
      <w:pPr>
        <w:jc w:val="both"/>
        <w:rPr>
          <w:rFonts w:cs="Cambria"/>
          <w:b/>
          <w:bCs/>
          <w:sz w:val="26"/>
          <w:szCs w:val="26"/>
          <w:rtl/>
        </w:rPr>
      </w:pPr>
    </w:p>
    <w:p w14:paraId="3508D053" w14:textId="77777777" w:rsidR="00965524" w:rsidRDefault="00965524">
      <w:pPr>
        <w:pStyle w:val="a8"/>
        <w:numPr>
          <w:ilvl w:val="0"/>
          <w:numId w:val="1"/>
        </w:numPr>
        <w:spacing w:line="360" w:lineRule="auto"/>
        <w:jc w:val="both"/>
        <w:rPr>
          <w:rFonts w:ascii="Times New Roman" w:hAnsi="Times New Roman" w:cs="Cambria"/>
          <w:sz w:val="26"/>
          <w:szCs w:val="26"/>
        </w:rPr>
      </w:pPr>
      <w:r>
        <w:rPr>
          <w:rFonts w:ascii="Times New Roman" w:hAnsi="Times New Roman" w:cs="Cambria"/>
          <w:sz w:val="26"/>
          <w:szCs w:val="26"/>
          <w:rtl/>
        </w:rPr>
        <w:t>הנאשם, תושב חדרה יליד 1994</w:t>
      </w:r>
      <w:r>
        <w:rPr>
          <w:rFonts w:ascii="Times New Roman" w:hAnsi="Times New Roman" w:cs="Cambria" w:hint="cs"/>
          <w:sz w:val="26"/>
          <w:szCs w:val="26"/>
          <w:rtl/>
        </w:rPr>
        <w:t>,</w:t>
      </w:r>
      <w:r>
        <w:rPr>
          <w:rFonts w:ascii="Times New Roman" w:hAnsi="Times New Roman" w:cs="Cambria"/>
          <w:sz w:val="26"/>
          <w:szCs w:val="26"/>
          <w:rtl/>
        </w:rPr>
        <w:t xml:space="preserve"> הורשע על פי הודאתו בשתי עבירות. האחת  ניסיון ליצוא, יבוא, סחר והספקה לפי </w:t>
      </w:r>
      <w:hyperlink r:id="rId15" w:history="1">
        <w:r>
          <w:rPr>
            <w:rFonts w:ascii="Times New Roman" w:hAnsi="Times New Roman" w:cs="Times New Roman"/>
            <w:color w:val="0000FF"/>
            <w:sz w:val="26"/>
            <w:szCs w:val="26"/>
            <w:u w:val="single"/>
            <w:rtl/>
          </w:rPr>
          <w:t>סעיפים 13</w:t>
        </w:r>
      </w:hyperlink>
      <w:r>
        <w:rPr>
          <w:rFonts w:ascii="Times New Roman" w:hAnsi="Times New Roman" w:cs="Cambria"/>
          <w:sz w:val="26"/>
          <w:szCs w:val="26"/>
          <w:rtl/>
        </w:rPr>
        <w:t xml:space="preserve">, </w:t>
      </w:r>
      <w:hyperlink r:id="rId16" w:history="1">
        <w:r>
          <w:rPr>
            <w:rFonts w:ascii="Times New Roman" w:hAnsi="Times New Roman" w:cs="Times New Roman"/>
            <w:color w:val="0000FF"/>
            <w:sz w:val="26"/>
            <w:szCs w:val="26"/>
            <w:u w:val="single"/>
            <w:rtl/>
          </w:rPr>
          <w:t>19א'</w:t>
        </w:r>
      </w:hyperlink>
      <w:r>
        <w:rPr>
          <w:rFonts w:ascii="Times New Roman" w:hAnsi="Times New Roman" w:cs="Cambria"/>
          <w:sz w:val="26"/>
          <w:szCs w:val="26"/>
          <w:rtl/>
        </w:rPr>
        <w:t xml:space="preserve"> ל</w:t>
      </w:r>
      <w:hyperlink r:id="rId17" w:history="1">
        <w:r>
          <w:rPr>
            <w:rFonts w:ascii="Times New Roman" w:hAnsi="Times New Roman" w:cs="Times New Roman"/>
            <w:color w:val="0000FF"/>
            <w:sz w:val="26"/>
            <w:szCs w:val="26"/>
            <w:u w:val="single"/>
            <w:rtl/>
          </w:rPr>
          <w:t>פקודת הסמים המסוכנים</w:t>
        </w:r>
      </w:hyperlink>
      <w:r>
        <w:rPr>
          <w:rFonts w:ascii="Times New Roman" w:hAnsi="Times New Roman" w:cs="Cambria"/>
          <w:sz w:val="26"/>
          <w:szCs w:val="26"/>
          <w:rtl/>
        </w:rPr>
        <w:t xml:space="preserve"> (נוסח חדש) תשל"ג-1973, והשנייה עבירה של הפרעת שוטר במילוי תפקידו לפי </w:t>
      </w:r>
      <w:hyperlink r:id="rId18" w:history="1">
        <w:r>
          <w:rPr>
            <w:rFonts w:ascii="Times New Roman" w:hAnsi="Times New Roman" w:cs="Times New Roman"/>
            <w:color w:val="0000FF"/>
            <w:sz w:val="26"/>
            <w:szCs w:val="26"/>
            <w:u w:val="single"/>
            <w:rtl/>
          </w:rPr>
          <w:t>סעיף 275</w:t>
        </w:r>
      </w:hyperlink>
      <w:r>
        <w:rPr>
          <w:rFonts w:ascii="Times New Roman" w:hAnsi="Times New Roman" w:cs="Cambria"/>
          <w:sz w:val="26"/>
          <w:szCs w:val="26"/>
          <w:rtl/>
        </w:rPr>
        <w:t xml:space="preserve"> ל</w:t>
      </w:r>
      <w:hyperlink r:id="rId19" w:history="1">
        <w:r>
          <w:rPr>
            <w:rFonts w:ascii="Times New Roman" w:hAnsi="Times New Roman" w:cs="Times New Roman"/>
            <w:color w:val="0000FF"/>
            <w:sz w:val="26"/>
            <w:szCs w:val="26"/>
            <w:u w:val="single"/>
            <w:rtl/>
          </w:rPr>
          <w:t>חוק העונשין</w:t>
        </w:r>
      </w:hyperlink>
      <w:r>
        <w:rPr>
          <w:rFonts w:ascii="Times New Roman" w:hAnsi="Times New Roman" w:cs="Cambria"/>
          <w:sz w:val="26"/>
          <w:szCs w:val="26"/>
          <w:rtl/>
        </w:rPr>
        <w:t xml:space="preserve">, תשל"ז- 1977. </w:t>
      </w:r>
    </w:p>
    <w:p w14:paraId="2E2CD51F" w14:textId="77777777" w:rsidR="00965524" w:rsidRDefault="00965524">
      <w:pPr>
        <w:pStyle w:val="a8"/>
        <w:spacing w:line="360" w:lineRule="auto"/>
        <w:jc w:val="both"/>
        <w:rPr>
          <w:rFonts w:ascii="Times New Roman" w:hAnsi="Times New Roman" w:cs="Cambria"/>
          <w:sz w:val="26"/>
          <w:szCs w:val="26"/>
          <w:rtl/>
        </w:rPr>
      </w:pPr>
    </w:p>
    <w:p w14:paraId="08F8DF5B"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הודאתו של הנאשם ניתנה במסגרת הסדר טיעון אליו הגיעו הצדדים בדיון מיום 28.9.16, בו סוכם כי כתב האישום יתוקן והנאשם יישלח לשירות המבחן לצורך הכנת תסקיר, וכן יישלח לממונה על עבודות שירות להכנת חוות דעת. </w:t>
      </w:r>
    </w:p>
    <w:p w14:paraId="4E9D5869" w14:textId="77777777" w:rsidR="00965524" w:rsidRDefault="00965524">
      <w:pPr>
        <w:spacing w:line="360" w:lineRule="auto"/>
        <w:jc w:val="both"/>
        <w:rPr>
          <w:rFonts w:cs="Cambria"/>
          <w:sz w:val="26"/>
          <w:szCs w:val="26"/>
          <w:rtl/>
        </w:rPr>
      </w:pPr>
    </w:p>
    <w:p w14:paraId="05559063" w14:textId="77777777" w:rsidR="00965524" w:rsidRDefault="00965524">
      <w:pPr>
        <w:pStyle w:val="a8"/>
        <w:numPr>
          <w:ilvl w:val="0"/>
          <w:numId w:val="1"/>
        </w:numPr>
        <w:spacing w:line="360" w:lineRule="auto"/>
        <w:jc w:val="both"/>
        <w:rPr>
          <w:rFonts w:ascii="Times New Roman" w:hAnsi="Times New Roman" w:cs="Cambria"/>
          <w:sz w:val="26"/>
          <w:szCs w:val="26"/>
        </w:rPr>
      </w:pPr>
      <w:r>
        <w:rPr>
          <w:rFonts w:ascii="Times New Roman" w:hAnsi="Times New Roman" w:cs="Cambria"/>
          <w:sz w:val="26"/>
          <w:szCs w:val="26"/>
          <w:rtl/>
        </w:rPr>
        <w:t>מכתב האישום המתוקן עולה</w:t>
      </w:r>
      <w:r>
        <w:rPr>
          <w:rFonts w:ascii="Times New Roman" w:hAnsi="Times New Roman" w:cs="Cambria" w:hint="cs"/>
          <w:sz w:val="26"/>
          <w:szCs w:val="26"/>
          <w:rtl/>
        </w:rPr>
        <w:t xml:space="preserve">, </w:t>
      </w:r>
      <w:r>
        <w:rPr>
          <w:rFonts w:ascii="Times New Roman" w:hAnsi="Times New Roman" w:cs="Cambria"/>
          <w:sz w:val="26"/>
          <w:szCs w:val="26"/>
          <w:rtl/>
        </w:rPr>
        <w:t xml:space="preserve">כי בתאריך 26.1.15 בשעה 19:00 או בסמוך לכך, ברחוב ארנון שבירושלים (להלן: </w:t>
      </w:r>
      <w:r>
        <w:rPr>
          <w:rFonts w:ascii="Times New Roman" w:hAnsi="Times New Roman" w:cs="Cambria"/>
          <w:b/>
          <w:bCs/>
          <w:sz w:val="26"/>
          <w:szCs w:val="26"/>
          <w:rtl/>
        </w:rPr>
        <w:t>"המקום"</w:t>
      </w:r>
      <w:r>
        <w:rPr>
          <w:rFonts w:ascii="Times New Roman" w:hAnsi="Times New Roman" w:cs="Cambria"/>
          <w:sz w:val="26"/>
          <w:szCs w:val="26"/>
          <w:rtl/>
        </w:rPr>
        <w:t xml:space="preserve"> ) ניסה הנאשם למכור לשוטר ארז (להלן: </w:t>
      </w:r>
      <w:r>
        <w:rPr>
          <w:rFonts w:ascii="Times New Roman" w:hAnsi="Times New Roman" w:cs="Cambria"/>
          <w:b/>
          <w:bCs/>
          <w:sz w:val="26"/>
          <w:szCs w:val="26"/>
          <w:rtl/>
        </w:rPr>
        <w:t>"השוטר"</w:t>
      </w:r>
      <w:r>
        <w:rPr>
          <w:rFonts w:ascii="Times New Roman" w:hAnsi="Times New Roman" w:cs="Cambria"/>
          <w:sz w:val="26"/>
          <w:szCs w:val="26"/>
          <w:rtl/>
        </w:rPr>
        <w:t>)</w:t>
      </w:r>
      <w:r>
        <w:rPr>
          <w:rFonts w:ascii="Times New Roman" w:hAnsi="Times New Roman" w:cs="Cambria"/>
          <w:b/>
          <w:bCs/>
          <w:sz w:val="26"/>
          <w:szCs w:val="26"/>
          <w:rtl/>
        </w:rPr>
        <w:t>,</w:t>
      </w:r>
      <w:r>
        <w:rPr>
          <w:rFonts w:ascii="Times New Roman" w:hAnsi="Times New Roman" w:cs="Cambria"/>
          <w:sz w:val="26"/>
          <w:szCs w:val="26"/>
          <w:rtl/>
        </w:rPr>
        <w:t xml:space="preserve"> סם  מסוג קנבוס שהוא סם מסוכן לפי </w:t>
      </w:r>
      <w:hyperlink r:id="rId20" w:history="1">
        <w:r>
          <w:rPr>
            <w:rFonts w:ascii="Times New Roman" w:hAnsi="Times New Roman" w:cs="Times New Roman"/>
            <w:color w:val="0000FF"/>
            <w:sz w:val="26"/>
            <w:szCs w:val="26"/>
            <w:u w:val="single"/>
            <w:rtl/>
          </w:rPr>
          <w:t>פקודת הסמים המסוכנים</w:t>
        </w:r>
      </w:hyperlink>
      <w:r>
        <w:rPr>
          <w:rFonts w:ascii="Times New Roman" w:hAnsi="Times New Roman" w:cs="Cambria"/>
          <w:sz w:val="26"/>
          <w:szCs w:val="26"/>
          <w:rtl/>
        </w:rPr>
        <w:t xml:space="preserve"> במשקל 1.03 גרם, וזאת מבלי שהדבר הותר לו בפקודה או בתקנות לפיה וללא רישיון מאת המנהל. כמו כן, הכשיל הנאשם את השוטרים מלמלא תפקידם כדין. באותן נסיבות, הנאשם הגיע למקום לאחר תיאום באינטרנט ובטלפון שנעשה בינו לבין השוטרים אלון חמדני וורד אוזן (להלן: </w:t>
      </w:r>
      <w:r>
        <w:rPr>
          <w:rFonts w:ascii="Times New Roman" w:hAnsi="Times New Roman" w:cs="Cambria"/>
          <w:b/>
          <w:bCs/>
          <w:sz w:val="26"/>
          <w:szCs w:val="26"/>
          <w:rtl/>
        </w:rPr>
        <w:t>"השוטרים"</w:t>
      </w:r>
      <w:r>
        <w:rPr>
          <w:rFonts w:ascii="Times New Roman" w:hAnsi="Times New Roman" w:cs="Cambria"/>
          <w:sz w:val="26"/>
          <w:szCs w:val="26"/>
          <w:rtl/>
        </w:rPr>
        <w:t>). התיאום כלל מכירה של 50 גרם מסוג קנבוס בתמורה ל</w:t>
      </w:r>
      <w:r>
        <w:rPr>
          <w:rFonts w:ascii="Times New Roman" w:hAnsi="Times New Roman" w:cs="Cambria" w:hint="cs"/>
          <w:sz w:val="26"/>
          <w:szCs w:val="26"/>
          <w:rtl/>
        </w:rPr>
        <w:t xml:space="preserve">- </w:t>
      </w:r>
      <w:r>
        <w:rPr>
          <w:rFonts w:ascii="Times New Roman" w:hAnsi="Times New Roman" w:cs="Cambria"/>
          <w:sz w:val="26"/>
          <w:szCs w:val="26"/>
          <w:rtl/>
        </w:rPr>
        <w:t>4</w:t>
      </w:r>
      <w:r>
        <w:rPr>
          <w:rFonts w:ascii="Times New Roman" w:hAnsi="Times New Roman" w:cs="Cambria" w:hint="cs"/>
          <w:sz w:val="26"/>
          <w:szCs w:val="26"/>
          <w:rtl/>
        </w:rPr>
        <w:t>,</w:t>
      </w:r>
      <w:r>
        <w:rPr>
          <w:rFonts w:ascii="Times New Roman" w:hAnsi="Times New Roman" w:cs="Cambria"/>
          <w:sz w:val="26"/>
          <w:szCs w:val="26"/>
          <w:rtl/>
        </w:rPr>
        <w:t xml:space="preserve">100 ₪. הנאשם ירד מהרכב וניגש אל השוטר ומסר לידו את הסם. השוטר אמר לנאשם כי הכמות שבידיו זו לא הכמות עליה </w:t>
      </w:r>
      <w:r>
        <w:rPr>
          <w:rFonts w:ascii="Times New Roman" w:hAnsi="Times New Roman" w:cs="Cambria"/>
          <w:sz w:val="26"/>
          <w:szCs w:val="26"/>
          <w:rtl/>
        </w:rPr>
        <w:lastRenderedPageBreak/>
        <w:t>סיכמו. הנאשם השיב לו כי יתר הסם נמצא ברכב ודרש את מלוא התשלום מראש. השוטר הח</w:t>
      </w:r>
      <w:r>
        <w:rPr>
          <w:rFonts w:ascii="Times New Roman" w:hAnsi="Times New Roman" w:cs="Cambria"/>
          <w:sz w:val="26"/>
          <w:szCs w:val="26"/>
          <w:rtl/>
        </w:rPr>
        <w:t xml:space="preserve">זיר לנאשם את הסם, ומשהבחין הנאשם בשאר השוטרים, החל לברוח ונתפס על ידי השוטרים מרחק קצר לאחר מכן. בנסיבות העניין, הפריע הנאשם לשוטרים במהלך מילוי תפקידם כחוק. </w:t>
      </w:r>
    </w:p>
    <w:p w14:paraId="3E90CA15" w14:textId="77777777" w:rsidR="00965524" w:rsidRDefault="00965524">
      <w:pPr>
        <w:pStyle w:val="a8"/>
        <w:spacing w:line="360" w:lineRule="auto"/>
        <w:jc w:val="both"/>
        <w:rPr>
          <w:rFonts w:ascii="Times New Roman" w:hAnsi="Times New Roman" w:cs="Cambria"/>
          <w:sz w:val="26"/>
          <w:szCs w:val="26"/>
          <w:rtl/>
        </w:rPr>
      </w:pPr>
    </w:p>
    <w:p w14:paraId="53A5503C" w14:textId="77777777" w:rsidR="00965524" w:rsidRDefault="00965524">
      <w:pPr>
        <w:spacing w:line="360" w:lineRule="auto"/>
        <w:jc w:val="both"/>
        <w:rPr>
          <w:rFonts w:cs="Cambria"/>
          <w:b/>
          <w:bCs/>
          <w:sz w:val="26"/>
          <w:szCs w:val="26"/>
          <w:rtl/>
        </w:rPr>
      </w:pPr>
      <w:r>
        <w:rPr>
          <w:rFonts w:cs="Cambria"/>
          <w:b/>
          <w:bCs/>
          <w:sz w:val="26"/>
          <w:szCs w:val="26"/>
          <w:rtl/>
        </w:rPr>
        <w:t xml:space="preserve">תסקיר שירות המבחן </w:t>
      </w:r>
    </w:p>
    <w:p w14:paraId="0803E804" w14:textId="77777777" w:rsidR="00965524" w:rsidRDefault="00965524">
      <w:pPr>
        <w:spacing w:line="360" w:lineRule="auto"/>
        <w:jc w:val="both"/>
        <w:rPr>
          <w:rFonts w:cs="Cambria"/>
          <w:b/>
          <w:bCs/>
          <w:sz w:val="26"/>
          <w:szCs w:val="26"/>
          <w:rtl/>
        </w:rPr>
      </w:pPr>
    </w:p>
    <w:p w14:paraId="18E8893E" w14:textId="77777777" w:rsidR="00965524" w:rsidRDefault="00965524">
      <w:pPr>
        <w:pStyle w:val="a8"/>
        <w:numPr>
          <w:ilvl w:val="0"/>
          <w:numId w:val="1"/>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הנאשם, בן 23, נשוי ואב לילד בן שנה וחצי. בנוסף מגדל יחד עם אשתו את שני ילדיה הקטינים. מתסקיר שירות המבחן עולה כי הנאשם לא סיים 12 שנות לימוד על רקע בעיות משמעת והתנהגות, ולימים שירת בחיל החימוש. </w:t>
      </w:r>
    </w:p>
    <w:p w14:paraId="2BE5D44F"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הנאשם הינו הצעיר במשפחתו, ובהיותו נער צעיר איבד את אביו בעקבות אירוע דום לב שעבר. לצד זה, מתואר קשר מכיל ותומך מול האם, שעובדת כאחות בבית חולים שיקומי. </w:t>
      </w:r>
    </w:p>
    <w:p w14:paraId="2B0EAACD" w14:textId="77777777" w:rsidR="00965524" w:rsidRDefault="00965524">
      <w:pPr>
        <w:pStyle w:val="a8"/>
        <w:spacing w:line="360" w:lineRule="auto"/>
        <w:jc w:val="both"/>
        <w:rPr>
          <w:rFonts w:ascii="Times New Roman" w:hAnsi="Times New Roman" w:cs="Cambria"/>
          <w:sz w:val="26"/>
          <w:szCs w:val="26"/>
          <w:rtl/>
        </w:rPr>
      </w:pPr>
    </w:p>
    <w:p w14:paraId="6CBB349D"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הנאשם נישא לפני כשלוש שנים, ויחד עם אשתו, כאמור, מגדל את ילדם המשותף וכן את ילדיה של זו מנישואיה הקודמים. מתסקיר שירות המבחן עולה כי בין השניים קיימת מערכת יחסים המבוססת על כבוד ותמיכה הדדיים. </w:t>
      </w:r>
    </w:p>
    <w:p w14:paraId="64DE6970"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כמו כן עולה, כי לאורך השנים צבר הנאשם חובות כספיים לרשויות ולגורמים "בשוק האפור". יש לציין כי בעניין אחר, שהה הנאשם בתנאי מעצר בית, דבר שהכביד על הנאשם להצליח לכלכל עצמו באופן עצמאי ואמו ומשפחת אשתו תמכו בו כלכלית. </w:t>
      </w:r>
    </w:p>
    <w:p w14:paraId="437FD803" w14:textId="77777777" w:rsidR="00965524" w:rsidRDefault="00965524">
      <w:pPr>
        <w:pStyle w:val="a8"/>
        <w:spacing w:line="360" w:lineRule="auto"/>
        <w:jc w:val="both"/>
        <w:rPr>
          <w:rFonts w:ascii="Times New Roman" w:hAnsi="Times New Roman" w:cs="Cambria"/>
          <w:sz w:val="26"/>
          <w:szCs w:val="26"/>
          <w:rtl/>
        </w:rPr>
      </w:pPr>
    </w:p>
    <w:p w14:paraId="1A8EBB44"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אשר לתפקודו התעסוקתי, עולה כי לאחר שחרורו מצה"ל עבד במפעל ייצור ועזב את מקום עבודתו בשל נסיבות כלכליות ולאחר מכן החל הנאשם לעבוד במסעדה בנתניה. נדמה כי הרקע לביצוע העבירות הנידונות הינו מצבו הכלכלי של הנאשם, כאשר העבירות נתנו מענה, כביכול, לבעיותיו הכלכליות להשגת "כסף קל". </w:t>
      </w:r>
    </w:p>
    <w:p w14:paraId="70B2E0D0" w14:textId="77777777" w:rsidR="00965524" w:rsidRDefault="00965524">
      <w:pPr>
        <w:pStyle w:val="a8"/>
        <w:spacing w:line="360" w:lineRule="auto"/>
        <w:jc w:val="both"/>
        <w:rPr>
          <w:rFonts w:ascii="Times New Roman" w:hAnsi="Times New Roman" w:cs="Cambria"/>
          <w:sz w:val="26"/>
          <w:szCs w:val="26"/>
          <w:rtl/>
        </w:rPr>
      </w:pPr>
    </w:p>
    <w:p w14:paraId="196785D9"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הנאשם זומן לביצוע 2 בדיקות שתן לאיתור שרידי סם. תוצאת בדיקת השתן הראשונה העידה על ממצא שלילי להימצאות שרידי סם. אולם לבדיקה השנייה לא הופיע הנאשם בשל מצבו הרפואי ולא המציא אישור רפואי על כך. </w:t>
      </w:r>
    </w:p>
    <w:p w14:paraId="33869A18" w14:textId="77777777" w:rsidR="00965524" w:rsidRDefault="00965524">
      <w:pPr>
        <w:pStyle w:val="a8"/>
        <w:spacing w:line="360" w:lineRule="auto"/>
        <w:jc w:val="both"/>
        <w:rPr>
          <w:rFonts w:ascii="Times New Roman" w:hAnsi="Times New Roman" w:cs="Cambria"/>
          <w:sz w:val="26"/>
          <w:szCs w:val="26"/>
          <w:rtl/>
        </w:rPr>
      </w:pPr>
    </w:p>
    <w:p w14:paraId="4DD25067"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לעניין העבירה נשוא דיון זה, לקח הנאשם אחריות על מעשיו והביע צער וחרטה על התנהלותו. הנאשם מבין את החומרה שבמעשיו כשבחר להתמודד עם מצוקה כלכלית משמעותית בהתנהלות פלילית. </w:t>
      </w:r>
    </w:p>
    <w:p w14:paraId="1863566A" w14:textId="77777777" w:rsidR="00965524" w:rsidRDefault="00965524">
      <w:pPr>
        <w:pStyle w:val="a8"/>
        <w:spacing w:line="360" w:lineRule="auto"/>
        <w:jc w:val="both"/>
        <w:rPr>
          <w:rFonts w:ascii="Times New Roman" w:hAnsi="Times New Roman" w:cs="Cambria"/>
          <w:sz w:val="26"/>
          <w:szCs w:val="26"/>
          <w:rtl/>
        </w:rPr>
      </w:pPr>
    </w:p>
    <w:p w14:paraId="35F6CF90"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שירות המבחן התרשם משיתוף הפעולה של הנאשם, גורם המעיד על נכונותו של הנאשם להיעזר בגורמי תמיכה וטיפול, לצד סיכון משמעותי להישנות עבירות וחריגה מגבולות החוק, כאשר שילובו בהליך טיפולי עשוי לסייע בהפחתת סיכון זה. לפיכך, מומלץ להימנע מהטלת ענישה מכבידה שתרוצה בין כותלי בית הסוהר ותספח את הנאשם לסביבה שלילית. לדעת שירות המבחן, יש לשקול ענישה משולבת שתיתן אפיק שיקומי מחד, והיבט עונשי מאידך. על כן, ממליץ שירות המבחן להטיל על הנאשם צו מבחן למשך שנה, במהלכה ישתלב הנאשם בטיפול על מנת לסייע בביסוס יכולתו להתמודד עם מצבי</w:t>
      </w:r>
      <w:r>
        <w:rPr>
          <w:rFonts w:ascii="Times New Roman" w:hAnsi="Times New Roman" w:cs="Cambria"/>
          <w:sz w:val="26"/>
          <w:szCs w:val="26"/>
          <w:rtl/>
        </w:rPr>
        <w:t xml:space="preserve"> סיכון ובהפחתת נטייתו לתגובות אימפולסיביות. בנוסף, צו המבחן יהיה משולב בבדיקות שתן מעקביות, ובמידת הצורך, באם תחול נסיגה במצבו, תישקל הפניה לטיפול ייעודי. באשר להיבט העונשי, המלצת שירות המבחן היא להטלת מאסר שירוצה בעבודות שירות. </w:t>
      </w:r>
    </w:p>
    <w:p w14:paraId="5885A3D9" w14:textId="77777777" w:rsidR="00965524" w:rsidRDefault="00965524">
      <w:pPr>
        <w:pStyle w:val="a8"/>
        <w:spacing w:line="360" w:lineRule="auto"/>
        <w:jc w:val="both"/>
        <w:rPr>
          <w:rFonts w:ascii="Times New Roman" w:hAnsi="Times New Roman" w:cs="Cambria"/>
          <w:sz w:val="26"/>
          <w:szCs w:val="26"/>
          <w:rtl/>
        </w:rPr>
      </w:pPr>
    </w:p>
    <w:p w14:paraId="19EBA230" w14:textId="77777777" w:rsidR="00965524" w:rsidRDefault="00965524">
      <w:pPr>
        <w:pStyle w:val="a8"/>
        <w:spacing w:line="360" w:lineRule="auto"/>
        <w:ind w:left="0"/>
        <w:rPr>
          <w:rFonts w:ascii="Times New Roman" w:hAnsi="Times New Roman" w:cs="Cambria"/>
          <w:b/>
          <w:bCs/>
          <w:sz w:val="26"/>
          <w:szCs w:val="26"/>
          <w:rtl/>
        </w:rPr>
      </w:pPr>
      <w:r>
        <w:rPr>
          <w:rFonts w:ascii="Times New Roman" w:hAnsi="Times New Roman" w:cs="Cambria"/>
          <w:b/>
          <w:bCs/>
          <w:sz w:val="26"/>
          <w:szCs w:val="26"/>
          <w:rtl/>
        </w:rPr>
        <w:t xml:space="preserve">חוות דעת הממונה </w:t>
      </w:r>
    </w:p>
    <w:p w14:paraId="7FB9C38E" w14:textId="77777777" w:rsidR="00965524" w:rsidRDefault="00965524">
      <w:pPr>
        <w:pStyle w:val="a8"/>
        <w:spacing w:line="360" w:lineRule="auto"/>
        <w:jc w:val="both"/>
        <w:rPr>
          <w:rFonts w:ascii="Times New Roman" w:hAnsi="Times New Roman" w:cs="Cambria"/>
          <w:sz w:val="26"/>
          <w:szCs w:val="26"/>
          <w:rtl/>
        </w:rPr>
      </w:pPr>
    </w:p>
    <w:p w14:paraId="149020AA" w14:textId="77777777" w:rsidR="00965524" w:rsidRDefault="00965524">
      <w:pPr>
        <w:pStyle w:val="a8"/>
        <w:numPr>
          <w:ilvl w:val="0"/>
          <w:numId w:val="1"/>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בחוות דעת הממונה על עבודות שירות מיום 11.6.17 הנאשם הביע הסכמתו לריצוי מאסר בעבודות שירות. לנאשם נערכה בדיקה רפואית ולאור תוצאותיה, נמצא הנאשם כשיר לביצוע עבודות שירות ללא מגבלה. </w:t>
      </w:r>
    </w:p>
    <w:p w14:paraId="7841D9D2" w14:textId="77777777" w:rsidR="00965524" w:rsidRDefault="00965524">
      <w:pPr>
        <w:pStyle w:val="a8"/>
        <w:spacing w:line="360" w:lineRule="auto"/>
        <w:jc w:val="both"/>
        <w:rPr>
          <w:rFonts w:ascii="Times New Roman" w:hAnsi="Times New Roman" w:cs="Cambria"/>
          <w:sz w:val="26"/>
          <w:szCs w:val="26"/>
          <w:rtl/>
        </w:rPr>
      </w:pPr>
    </w:p>
    <w:p w14:paraId="114E32BF" w14:textId="77777777" w:rsidR="00965524" w:rsidRDefault="00965524">
      <w:pPr>
        <w:pStyle w:val="a8"/>
        <w:spacing w:line="360" w:lineRule="auto"/>
        <w:ind w:left="0"/>
        <w:jc w:val="both"/>
        <w:rPr>
          <w:rFonts w:ascii="Times New Roman" w:hAnsi="Times New Roman" w:cs="Cambria"/>
          <w:b/>
          <w:bCs/>
          <w:sz w:val="26"/>
          <w:szCs w:val="26"/>
          <w:rtl/>
        </w:rPr>
      </w:pPr>
      <w:r>
        <w:rPr>
          <w:rFonts w:ascii="Times New Roman" w:hAnsi="Times New Roman" w:cs="Cambria"/>
          <w:b/>
          <w:bCs/>
          <w:sz w:val="26"/>
          <w:szCs w:val="26"/>
          <w:rtl/>
        </w:rPr>
        <w:t xml:space="preserve">טיעוני הצדדים לעונש </w:t>
      </w:r>
    </w:p>
    <w:p w14:paraId="7FFD7AC3" w14:textId="77777777" w:rsidR="00965524" w:rsidRDefault="00965524">
      <w:pPr>
        <w:pStyle w:val="a8"/>
        <w:spacing w:line="360" w:lineRule="auto"/>
        <w:jc w:val="both"/>
        <w:rPr>
          <w:rFonts w:ascii="Times New Roman" w:hAnsi="Times New Roman" w:cs="Cambria"/>
          <w:sz w:val="26"/>
          <w:szCs w:val="26"/>
          <w:rtl/>
        </w:rPr>
      </w:pPr>
    </w:p>
    <w:p w14:paraId="3A5B7F94" w14:textId="77777777" w:rsidR="00965524" w:rsidRDefault="00965524">
      <w:pPr>
        <w:pStyle w:val="a8"/>
        <w:numPr>
          <w:ilvl w:val="0"/>
          <w:numId w:val="1"/>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ב"כ המאשימה בטיעוניה לעונש ציינה בראש ובראשונה את החומרה שבעבירות הסחר בסמים. בנוסף לחומרה זו, ציינה כי ישנן נסיבות רבות ונוספות בהן הנאשם תיאם מול שוטר באמצעות הטלפון שימכור לו סם בכמות של 50 גרם עליהן יש לתת את הדעת לעניין הענישה. בנוסף, עסקת הסחר לא התבצעה מכיוון שהנאשם הבחין בשוטרים, והמשטרה פעלה לסיכול העבירה מבעוד מועד. </w:t>
      </w:r>
    </w:p>
    <w:p w14:paraId="633A2A9A"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כמו כן, טענה ב"כ המאשימה כי ככל שתעלה הטענה לפיה אין מדובר בעבירה מוגמרת, תטען כי עבירת הניסיון היא עבירה נגזרת, כך שניסיון לסחר בסמים, כמוהו כעבירת הסחר. </w:t>
      </w:r>
    </w:p>
    <w:p w14:paraId="49814DFB" w14:textId="77777777" w:rsidR="00965524" w:rsidRDefault="00965524">
      <w:pPr>
        <w:pStyle w:val="a8"/>
        <w:spacing w:line="360" w:lineRule="auto"/>
        <w:jc w:val="both"/>
        <w:rPr>
          <w:rFonts w:ascii="Times New Roman" w:hAnsi="Times New Roman" w:cs="Cambria"/>
          <w:sz w:val="26"/>
          <w:szCs w:val="26"/>
          <w:rtl/>
        </w:rPr>
      </w:pPr>
    </w:p>
    <w:p w14:paraId="00996F94"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ב"כ המאשימה מפנה לתסקיר שירות המבחן ולקביעה לפיה קיימת לנאשם נטייה לפתור מצוקותיו באמצעות השגת "כסף קל", נטייה המשקפת קושי בהתמודדות עם פיתויים, נטילת סיכונים ונטייה לפריצת גבולות. כמו כן, התנהלות זו מלמדת על העדפת תועלתו הכלכלית של הנאשם על פני האינטרס הציבורי. </w:t>
      </w:r>
    </w:p>
    <w:p w14:paraId="195A28A1" w14:textId="77777777" w:rsidR="00965524" w:rsidRDefault="00965524">
      <w:pPr>
        <w:pStyle w:val="a8"/>
        <w:spacing w:line="360" w:lineRule="auto"/>
        <w:jc w:val="both"/>
        <w:rPr>
          <w:rFonts w:ascii="Times New Roman" w:hAnsi="Times New Roman" w:cs="Cambria"/>
          <w:sz w:val="26"/>
          <w:szCs w:val="26"/>
          <w:rtl/>
        </w:rPr>
      </w:pPr>
    </w:p>
    <w:p w14:paraId="32D5743E"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לאור חומרת העבירה, הרי שבמסגרת המלחמה בנגע הסמים, יש להעדיף את האינטרס הציבורי מפ</w:t>
      </w:r>
      <w:r>
        <w:rPr>
          <w:rFonts w:ascii="Times New Roman" w:hAnsi="Times New Roman" w:cs="Cambria"/>
          <w:sz w:val="26"/>
          <w:szCs w:val="26"/>
          <w:rtl/>
        </w:rPr>
        <w:t>ני הנסיבות האישיות של הנאשם. מתחם הענישה הכולל ניסיון סחר והפרעה לשוטר נע בין 6 חודשים ל-12 חודשים של מאסר בפועל. ב"כ המאשימה טוענת למיקום הנאשם ברף הנמוך של מתחם הענישה והשתה של 6 חודשי מאסר בפועל, מאסר על תנאי וקנס משמעותי. נוסף על כך, מפנה ב"כ המאשימה ל</w:t>
      </w:r>
      <w:hyperlink r:id="rId21" w:history="1">
        <w:r>
          <w:rPr>
            <w:rFonts w:ascii="Times New Roman" w:hAnsi="Times New Roman" w:cs="Times New Roman"/>
            <w:b/>
            <w:bCs/>
            <w:color w:val="0000FF"/>
            <w:sz w:val="26"/>
            <w:szCs w:val="26"/>
            <w:u w:val="single"/>
            <w:rtl/>
          </w:rPr>
          <w:t>רע"פ 799</w:t>
        </w:r>
        <w:r>
          <w:rPr>
            <w:rFonts w:ascii="Times New Roman" w:hAnsi="Times New Roman" w:cs="Times New Roman"/>
            <w:b/>
            <w:bCs/>
            <w:color w:val="0000FF"/>
            <w:sz w:val="26"/>
            <w:szCs w:val="26"/>
            <w:u w:val="single"/>
            <w:rtl/>
          </w:rPr>
          <w:t>6</w:t>
        </w:r>
        <w:r>
          <w:rPr>
            <w:rFonts w:ascii="Times New Roman" w:hAnsi="Times New Roman" w:cs="Times New Roman"/>
            <w:b/>
            <w:bCs/>
            <w:color w:val="0000FF"/>
            <w:sz w:val="26"/>
            <w:szCs w:val="26"/>
            <w:u w:val="single"/>
            <w:rtl/>
          </w:rPr>
          <w:t>/12</w:t>
        </w:r>
      </w:hyperlink>
      <w:r>
        <w:rPr>
          <w:rFonts w:ascii="Times New Roman" w:hAnsi="Times New Roman" w:cs="Cambria"/>
          <w:b/>
          <w:bCs/>
          <w:sz w:val="26"/>
          <w:szCs w:val="26"/>
          <w:rtl/>
        </w:rPr>
        <w:t xml:space="preserve"> </w:t>
      </w:r>
      <w:r>
        <w:rPr>
          <w:rFonts w:ascii="Times New Roman" w:hAnsi="Times New Roman" w:cs="David"/>
          <w:szCs w:val="24"/>
          <w:rtl/>
        </w:rPr>
        <w:t xml:space="preserve">[פורסם בנבו] </w:t>
      </w:r>
      <w:r>
        <w:rPr>
          <w:rFonts w:ascii="Times New Roman" w:hAnsi="Times New Roman" w:cs="Cambria"/>
          <w:sz w:val="26"/>
          <w:szCs w:val="26"/>
          <w:rtl/>
        </w:rPr>
        <w:t>שם קובע בית המשפט העליון כי אף אם כמויות הסמים נושאי העבירה קטנות, אין בכך כדי להפחית מחומרת העבירות ומצביע על הצורך למגרם באמצעות עונש בעל היבט הרתעתי. כמו כן, הפנתה המאשימה ל</w:t>
      </w:r>
      <w:hyperlink r:id="rId22" w:history="1">
        <w:r>
          <w:rPr>
            <w:rFonts w:ascii="Times New Roman" w:hAnsi="Times New Roman" w:cs="Times New Roman"/>
            <w:b/>
            <w:bCs/>
            <w:color w:val="0000FF"/>
            <w:sz w:val="26"/>
            <w:szCs w:val="26"/>
            <w:u w:val="single"/>
            <w:rtl/>
          </w:rPr>
          <w:t>רע"</w:t>
        </w:r>
        <w:r>
          <w:rPr>
            <w:rFonts w:ascii="Times New Roman" w:hAnsi="Times New Roman" w:cs="Times New Roman"/>
            <w:b/>
            <w:bCs/>
            <w:color w:val="0000FF"/>
            <w:sz w:val="26"/>
            <w:szCs w:val="26"/>
            <w:u w:val="single"/>
            <w:rtl/>
          </w:rPr>
          <w:t>פ</w:t>
        </w:r>
        <w:r>
          <w:rPr>
            <w:rFonts w:ascii="Times New Roman" w:hAnsi="Times New Roman" w:cs="Times New Roman"/>
            <w:b/>
            <w:bCs/>
            <w:color w:val="0000FF"/>
            <w:sz w:val="26"/>
            <w:szCs w:val="26"/>
            <w:u w:val="single"/>
            <w:rtl/>
          </w:rPr>
          <w:t xml:space="preserve"> 677/07</w:t>
        </w:r>
      </w:hyperlink>
      <w:r>
        <w:rPr>
          <w:rFonts w:ascii="Times New Roman" w:hAnsi="Times New Roman" w:cs="Cambria"/>
          <w:b/>
          <w:bCs/>
          <w:sz w:val="26"/>
          <w:szCs w:val="26"/>
          <w:rtl/>
        </w:rPr>
        <w:t xml:space="preserve"> </w:t>
      </w:r>
      <w:r>
        <w:rPr>
          <w:rFonts w:ascii="Times New Roman" w:hAnsi="Times New Roman" w:cs="David"/>
          <w:szCs w:val="24"/>
          <w:rtl/>
        </w:rPr>
        <w:t xml:space="preserve">[פורסם בנבו] </w:t>
      </w:r>
      <w:r>
        <w:rPr>
          <w:rFonts w:ascii="Times New Roman" w:hAnsi="Times New Roman" w:cs="Cambria"/>
          <w:sz w:val="26"/>
          <w:szCs w:val="26"/>
          <w:rtl/>
        </w:rPr>
        <w:t xml:space="preserve">בו נגזר עונש מחמיר בנוסף לקנס בסך 8,000 ₪. </w:t>
      </w:r>
    </w:p>
    <w:p w14:paraId="41D94601" w14:textId="77777777" w:rsidR="00965524" w:rsidRDefault="00965524">
      <w:pPr>
        <w:pStyle w:val="a8"/>
        <w:spacing w:line="360" w:lineRule="auto"/>
        <w:jc w:val="both"/>
        <w:rPr>
          <w:rFonts w:ascii="Times New Roman" w:hAnsi="Times New Roman" w:cs="Cambria"/>
          <w:sz w:val="26"/>
          <w:szCs w:val="26"/>
          <w:rtl/>
        </w:rPr>
      </w:pPr>
    </w:p>
    <w:p w14:paraId="475F5D88"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ב"כ הנאשם בטיעוניו לעונש ציין תחילה כי לפני ביהמ"ש עומד נאשם נטול עבר פלילי, וכי זו הפעם הראשונה בה סרח. כמו כן, התיק לא הגיע לידי עבירה מוגמרת, והנאשם שוחרר אחרי 3 ימים במעצר, דבר המעיד שגם היחידה החוקרת לא התייחסה לתיק בחומרה כפי שב"כ המאשימה טוענת. </w:t>
      </w:r>
    </w:p>
    <w:p w14:paraId="3093FF60"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הנאשם הודה בהזדמנות הראשונה, עוד בשלב חקירתו, לקח אחריות מלאה והביע חרטה גם בפני בית המשפט. התנהגות זו מלמדת על הבנת הפסול במעשיו. </w:t>
      </w:r>
    </w:p>
    <w:p w14:paraId="38B8DEF7" w14:textId="77777777" w:rsidR="00965524" w:rsidRDefault="00965524">
      <w:pPr>
        <w:pStyle w:val="a8"/>
        <w:spacing w:line="360" w:lineRule="auto"/>
        <w:jc w:val="both"/>
        <w:rPr>
          <w:rFonts w:ascii="Times New Roman" w:hAnsi="Times New Roman" w:cs="Cambria"/>
          <w:sz w:val="26"/>
          <w:szCs w:val="26"/>
          <w:rtl/>
        </w:rPr>
      </w:pPr>
    </w:p>
    <w:p w14:paraId="274E8273"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מתסקיר שירות המבחן, עולה תמונה המציגה מסכת חיים קשה של הנאשם, שאיבד את אביו בגיל צעיר ובאופן פתאומי, גדל ללא דמות אב ומתמודד עם קשיים כלכליים יום- יום. שירות המבחן מצביע על קיומם של גורמי סיכון בחייו של הנאשם, כאשר שילובו של הנאשם בטיפול עשוי להפחית גורמים אלו. ב"כ הנאשם מבקש לאמץ המלצה זו. ענישה מכבידה שתרוצה בין כותלי בית הסוהר עלולה להוביל לתוצאה הפוכה. מעבר לפגיעה בשיקום, תהיה פגיעה ישירה ובלתי מידתית בילדיו ובאשתו של הנאשם. </w:t>
      </w:r>
    </w:p>
    <w:p w14:paraId="09EF2BA8" w14:textId="77777777" w:rsidR="00965524" w:rsidRDefault="00965524">
      <w:pPr>
        <w:pStyle w:val="a8"/>
        <w:spacing w:line="360" w:lineRule="auto"/>
        <w:jc w:val="both"/>
        <w:rPr>
          <w:rFonts w:ascii="Times New Roman" w:hAnsi="Times New Roman" w:cs="Cambria"/>
          <w:sz w:val="26"/>
          <w:szCs w:val="26"/>
          <w:rtl/>
        </w:rPr>
      </w:pPr>
    </w:p>
    <w:p w14:paraId="376A7026"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בנוסף על כך, מפנה ב"כ הנאשם למספר פסקי דין בעניין מכירת סם מסוכן. </w:t>
      </w:r>
    </w:p>
    <w:p w14:paraId="095D2A6A"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ב</w:t>
      </w:r>
      <w:hyperlink r:id="rId23" w:history="1">
        <w:r>
          <w:rPr>
            <w:rFonts w:ascii="Times New Roman" w:hAnsi="Times New Roman" w:cs="Times New Roman"/>
            <w:b/>
            <w:bCs/>
            <w:color w:val="0000FF"/>
            <w:sz w:val="26"/>
            <w:szCs w:val="26"/>
            <w:u w:val="single"/>
            <w:rtl/>
          </w:rPr>
          <w:t>ת"פ 35</w:t>
        </w:r>
        <w:r>
          <w:rPr>
            <w:rFonts w:ascii="Times New Roman" w:hAnsi="Times New Roman" w:cs="Times New Roman"/>
            <w:b/>
            <w:bCs/>
            <w:color w:val="0000FF"/>
            <w:sz w:val="26"/>
            <w:szCs w:val="26"/>
            <w:u w:val="single"/>
            <w:rtl/>
          </w:rPr>
          <w:t>8</w:t>
        </w:r>
        <w:r>
          <w:rPr>
            <w:rFonts w:ascii="Times New Roman" w:hAnsi="Times New Roman" w:cs="Times New Roman"/>
            <w:b/>
            <w:bCs/>
            <w:color w:val="0000FF"/>
            <w:sz w:val="26"/>
            <w:szCs w:val="26"/>
            <w:u w:val="single"/>
            <w:rtl/>
          </w:rPr>
          <w:t>04-11-16</w:t>
        </w:r>
      </w:hyperlink>
      <w:r>
        <w:rPr>
          <w:rFonts w:ascii="Times New Roman" w:hAnsi="Times New Roman" w:cs="Cambria"/>
          <w:b/>
          <w:bCs/>
          <w:sz w:val="26"/>
          <w:szCs w:val="26"/>
          <w:rtl/>
        </w:rPr>
        <w:t xml:space="preserve"> </w:t>
      </w:r>
      <w:r>
        <w:rPr>
          <w:rFonts w:ascii="Times New Roman" w:hAnsi="Times New Roman" w:cs="Cambria"/>
          <w:sz w:val="26"/>
          <w:szCs w:val="26"/>
          <w:rtl/>
        </w:rPr>
        <w:t>שם מדובר באירוע חמור של סחר בסמים, אך מן הרף התחתון ביותר, הן מבחינת הכמות והן מבחינת נסיבותיו. הוחלט לסטות לקולא ממתחם הענישה ולאמץ ענישה שיקומית, כפי שהמליץ שירות המבחן, וה</w:t>
      </w:r>
      <w:r>
        <w:rPr>
          <w:rFonts w:ascii="Times New Roman" w:hAnsi="Times New Roman" w:cs="Cambria" w:hint="cs"/>
          <w:sz w:val="26"/>
          <w:szCs w:val="26"/>
          <w:rtl/>
        </w:rPr>
        <w:t>הרשע</w:t>
      </w:r>
      <w:r>
        <w:rPr>
          <w:rFonts w:ascii="Times New Roman" w:hAnsi="Times New Roman" w:cs="Cambria"/>
          <w:sz w:val="26"/>
          <w:szCs w:val="26"/>
          <w:rtl/>
        </w:rPr>
        <w:t xml:space="preserve">ה בוטלה. </w:t>
      </w:r>
    </w:p>
    <w:p w14:paraId="5630D85B"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ב</w:t>
      </w:r>
      <w:r>
        <w:rPr>
          <w:rFonts w:ascii="Times New Roman" w:hAnsi="Times New Roman" w:cs="Cambria"/>
          <w:b/>
          <w:bCs/>
          <w:sz w:val="26"/>
          <w:szCs w:val="26"/>
          <w:rtl/>
        </w:rPr>
        <w:t xml:space="preserve">ת"פ 38934-06-12 </w:t>
      </w:r>
      <w:r>
        <w:rPr>
          <w:rFonts w:ascii="Times New Roman" w:hAnsi="Times New Roman" w:cs="Cambria"/>
          <w:sz w:val="26"/>
          <w:szCs w:val="26"/>
          <w:rtl/>
        </w:rPr>
        <w:t xml:space="preserve">במקרה זה, טען בית המשפט כי כאשר עסקינן בצעירים המבצעים עבירות סמים בנסיבות חברתיות ועל רקע מצוקה אישית ואי בשלות נפשית, ובפרט כאשר מדובר בכמויות זעירות, הרף נוטה לעבר התמודדות מרובדת שתחילתה מניעתית, בהמשך הפניה לטיפול ושיקום, ובעת הצורך ובנסיבות המתאימות, סופה יכול שיהא גם מאחורי סורג ובריח. במקרה זה בוטלה ההרשעה, והוטל על הנאשם של"צ בהיקף של 250 שעות. </w:t>
      </w:r>
    </w:p>
    <w:p w14:paraId="2AE90F93" w14:textId="77777777" w:rsidR="00965524" w:rsidRDefault="00965524">
      <w:pPr>
        <w:pStyle w:val="a8"/>
        <w:spacing w:line="360" w:lineRule="auto"/>
        <w:jc w:val="both"/>
        <w:rPr>
          <w:rFonts w:ascii="Times New Roman" w:hAnsi="Times New Roman" w:cs="Cambria"/>
          <w:sz w:val="26"/>
          <w:szCs w:val="26"/>
          <w:rtl/>
        </w:rPr>
      </w:pPr>
    </w:p>
    <w:p w14:paraId="4A073F30"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ב"כ הנאשם טוען שבמידה ובית המשפט יסבור שיש מקום לגזור מאסר בעבודות שירות, שלא יהא זה ברף של 6 חודשים, בשל מצבו הכלכלי הקשה של הנאשם ובשל תפקידו הבלעדי לפרנס את משפחתו.</w:t>
      </w:r>
    </w:p>
    <w:p w14:paraId="130FE48A" w14:textId="77777777" w:rsidR="00965524" w:rsidRDefault="00965524">
      <w:pPr>
        <w:pStyle w:val="a8"/>
        <w:spacing w:line="360" w:lineRule="auto"/>
        <w:jc w:val="both"/>
        <w:rPr>
          <w:rFonts w:ascii="Times New Roman" w:hAnsi="Times New Roman" w:cs="Cambria"/>
          <w:sz w:val="26"/>
          <w:szCs w:val="26"/>
          <w:rtl/>
        </w:rPr>
      </w:pPr>
    </w:p>
    <w:p w14:paraId="63BF3C46"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הנאשם בדבריו האחרונים, ציין כי "נפל" ומאז התקדם. יש לו 3 ילדים ואישה לגדל ולפרנס, וכי היום הוא עובד ולוקח אחריות מלאה על מעשיו ומכיר בטעותו. </w:t>
      </w:r>
    </w:p>
    <w:p w14:paraId="3A7847D6" w14:textId="77777777" w:rsidR="00965524" w:rsidRDefault="00965524">
      <w:pPr>
        <w:pStyle w:val="a8"/>
        <w:spacing w:line="360" w:lineRule="auto"/>
        <w:jc w:val="both"/>
        <w:rPr>
          <w:rFonts w:ascii="Times New Roman" w:hAnsi="Times New Roman" w:cs="Cambria"/>
          <w:sz w:val="26"/>
          <w:szCs w:val="26"/>
          <w:rtl/>
        </w:rPr>
      </w:pPr>
    </w:p>
    <w:p w14:paraId="3368A0A1" w14:textId="77777777" w:rsidR="00965524" w:rsidRDefault="00965524">
      <w:pPr>
        <w:pStyle w:val="a8"/>
        <w:spacing w:line="360" w:lineRule="auto"/>
        <w:ind w:left="0"/>
        <w:jc w:val="both"/>
        <w:rPr>
          <w:rFonts w:ascii="Times New Roman" w:hAnsi="Times New Roman" w:cs="Cambria"/>
          <w:b/>
          <w:bCs/>
          <w:sz w:val="26"/>
          <w:szCs w:val="26"/>
          <w:rtl/>
        </w:rPr>
      </w:pPr>
      <w:r>
        <w:rPr>
          <w:rFonts w:ascii="Times New Roman" w:hAnsi="Times New Roman" w:cs="Cambria"/>
          <w:b/>
          <w:bCs/>
          <w:sz w:val="26"/>
          <w:szCs w:val="26"/>
          <w:rtl/>
        </w:rPr>
        <w:t>מתחם העונש ההולם</w:t>
      </w:r>
    </w:p>
    <w:p w14:paraId="4FE709B1" w14:textId="77777777" w:rsidR="00965524" w:rsidRDefault="00965524">
      <w:pPr>
        <w:pStyle w:val="a8"/>
        <w:spacing w:line="360" w:lineRule="auto"/>
        <w:jc w:val="both"/>
        <w:rPr>
          <w:rFonts w:ascii="Times New Roman" w:hAnsi="Times New Roman" w:cs="Cambria"/>
          <w:b/>
          <w:bCs/>
          <w:sz w:val="26"/>
          <w:szCs w:val="26"/>
          <w:rtl/>
        </w:rPr>
      </w:pPr>
    </w:p>
    <w:p w14:paraId="6D6BB6E5" w14:textId="77777777" w:rsidR="00965524" w:rsidRDefault="00965524">
      <w:pPr>
        <w:pStyle w:val="a8"/>
        <w:numPr>
          <w:ilvl w:val="0"/>
          <w:numId w:val="1"/>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בהתאם </w:t>
      </w:r>
      <w:hyperlink r:id="rId24" w:history="1">
        <w:r>
          <w:rPr>
            <w:rFonts w:ascii="Times New Roman" w:hAnsi="Times New Roman" w:cs="Times New Roman"/>
            <w:color w:val="0000FF"/>
            <w:sz w:val="26"/>
            <w:szCs w:val="26"/>
            <w:u w:val="single"/>
            <w:rtl/>
          </w:rPr>
          <w:t>לסעיף 40ב'</w:t>
        </w:r>
      </w:hyperlink>
      <w:r>
        <w:rPr>
          <w:rFonts w:ascii="Times New Roman" w:hAnsi="Times New Roman" w:cs="Cambria"/>
          <w:sz w:val="26"/>
          <w:szCs w:val="26"/>
          <w:rtl/>
        </w:rPr>
        <w:t xml:space="preserve"> ל</w:t>
      </w:r>
      <w:hyperlink r:id="rId25" w:history="1">
        <w:r>
          <w:rPr>
            <w:rFonts w:ascii="Times New Roman" w:hAnsi="Times New Roman" w:cs="Times New Roman"/>
            <w:color w:val="0000FF"/>
            <w:sz w:val="26"/>
            <w:szCs w:val="26"/>
            <w:u w:val="single"/>
            <w:rtl/>
          </w:rPr>
          <w:t>חוק העונשין</w:t>
        </w:r>
      </w:hyperlink>
      <w:r>
        <w:rPr>
          <w:rFonts w:ascii="Times New Roman" w:hAnsi="Times New Roman" w:cs="Cambria"/>
          <w:sz w:val="26"/>
          <w:szCs w:val="26"/>
          <w:rtl/>
        </w:rPr>
        <w:t xml:space="preserve">, העיקרון המנחה בענישה הוא ההלימה, היינו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58546919" w14:textId="77777777" w:rsidR="00965524" w:rsidRDefault="00965524">
      <w:pPr>
        <w:spacing w:line="360" w:lineRule="auto"/>
        <w:jc w:val="both"/>
        <w:rPr>
          <w:rFonts w:cs="Cambria"/>
          <w:sz w:val="26"/>
          <w:szCs w:val="26"/>
          <w:rtl/>
        </w:rPr>
      </w:pPr>
    </w:p>
    <w:p w14:paraId="3950D24D" w14:textId="77777777" w:rsidR="00965524" w:rsidRDefault="00965524">
      <w:pPr>
        <w:spacing w:line="360" w:lineRule="auto"/>
        <w:ind w:left="720"/>
        <w:jc w:val="both"/>
        <w:rPr>
          <w:rFonts w:cs="Cambria"/>
          <w:sz w:val="26"/>
          <w:szCs w:val="26"/>
          <w:rtl/>
        </w:rPr>
      </w:pPr>
      <w:r>
        <w:rPr>
          <w:rFonts w:cs="Cambria"/>
          <w:sz w:val="26"/>
          <w:szCs w:val="26"/>
          <w:rtl/>
        </w:rPr>
        <w:t xml:space="preserve">הערך החברתי שנפגע במקרה שלפנינו, הוא פגיעה בשלום הציבור ובסדר הציבורי, שכן להפצת הסם השלכות חברתיות וכלכליות, המגבירות פשיעה ויוצרות מעגלי עבריינות בתחום הרכוש, הסמים והאלימות. </w:t>
      </w:r>
    </w:p>
    <w:p w14:paraId="6CA0B53A" w14:textId="77777777" w:rsidR="00965524" w:rsidRDefault="00965524">
      <w:pPr>
        <w:spacing w:line="360" w:lineRule="auto"/>
        <w:ind w:left="720"/>
        <w:jc w:val="both"/>
        <w:rPr>
          <w:rFonts w:cs="Cambria"/>
          <w:sz w:val="26"/>
          <w:szCs w:val="26"/>
          <w:rtl/>
        </w:rPr>
      </w:pPr>
    </w:p>
    <w:p w14:paraId="6C55696E" w14:textId="77777777" w:rsidR="00965524" w:rsidRDefault="00965524">
      <w:pPr>
        <w:spacing w:line="360" w:lineRule="auto"/>
        <w:ind w:left="720"/>
        <w:jc w:val="both"/>
        <w:rPr>
          <w:rFonts w:cs="Cambria"/>
          <w:sz w:val="26"/>
          <w:szCs w:val="26"/>
          <w:rtl/>
        </w:rPr>
      </w:pPr>
      <w:r>
        <w:rPr>
          <w:rFonts w:cs="Cambria"/>
          <w:sz w:val="26"/>
          <w:szCs w:val="26"/>
          <w:rtl/>
        </w:rPr>
        <w:t>יפים לעניין זה דברי בית המשפט העליון ב</w:t>
      </w:r>
      <w:hyperlink r:id="rId26" w:history="1">
        <w:r>
          <w:rPr>
            <w:rFonts w:cs="Times New Roman"/>
            <w:color w:val="0000FF"/>
            <w:sz w:val="26"/>
            <w:szCs w:val="26"/>
            <w:u w:val="single"/>
            <w:rtl/>
          </w:rPr>
          <w:t>רע"פ 6373/06</w:t>
        </w:r>
      </w:hyperlink>
      <w:r>
        <w:rPr>
          <w:rFonts w:cs="Cambria"/>
          <w:sz w:val="26"/>
          <w:szCs w:val="26"/>
          <w:rtl/>
        </w:rPr>
        <w:t xml:space="preserve"> </w:t>
      </w:r>
      <w:r>
        <w:rPr>
          <w:rFonts w:cs="Cambria"/>
          <w:b/>
          <w:bCs/>
          <w:sz w:val="26"/>
          <w:szCs w:val="26"/>
          <w:rtl/>
        </w:rPr>
        <w:t>מדינת ישראל נ' אלנשמי</w:t>
      </w:r>
      <w:r>
        <w:rPr>
          <w:rFonts w:cs="Cambria" w:hint="cs"/>
          <w:b/>
          <w:bCs/>
          <w:sz w:val="26"/>
          <w:szCs w:val="26"/>
          <w:rtl/>
        </w:rPr>
        <w:t xml:space="preserve"> </w:t>
      </w:r>
      <w:r>
        <w:rPr>
          <w:sz w:val="22"/>
          <w:rtl/>
        </w:rPr>
        <w:t>[פורסם בנבו]</w:t>
      </w:r>
      <w:r>
        <w:rPr>
          <w:rFonts w:cs="Cambria"/>
          <w:b/>
          <w:bCs/>
          <w:sz w:val="26"/>
          <w:szCs w:val="26"/>
          <w:rtl/>
        </w:rPr>
        <w:t>:</w:t>
      </w:r>
    </w:p>
    <w:p w14:paraId="23BA8870" w14:textId="77777777" w:rsidR="00965524" w:rsidRDefault="00965524">
      <w:pPr>
        <w:spacing w:line="360" w:lineRule="auto"/>
        <w:ind w:left="720"/>
        <w:jc w:val="both"/>
        <w:rPr>
          <w:rFonts w:cs="Cambria"/>
          <w:sz w:val="26"/>
          <w:szCs w:val="26"/>
          <w:rtl/>
        </w:rPr>
      </w:pPr>
    </w:p>
    <w:p w14:paraId="461104AF" w14:textId="77777777" w:rsidR="00965524" w:rsidRDefault="00965524">
      <w:pPr>
        <w:spacing w:line="360" w:lineRule="auto"/>
        <w:ind w:left="720"/>
        <w:jc w:val="both"/>
        <w:rPr>
          <w:rFonts w:cs="Cambria"/>
          <w:b/>
          <w:bCs/>
          <w:sz w:val="26"/>
          <w:szCs w:val="26"/>
          <w:rtl/>
        </w:rPr>
      </w:pPr>
      <w:r>
        <w:rPr>
          <w:rFonts w:cs="Cambria"/>
          <w:b/>
          <w:bCs/>
          <w:sz w:val="26"/>
          <w:szCs w:val="26"/>
          <w:rtl/>
        </w:rPr>
        <w:t xml:space="preserve">"כאשר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את הסיכון של שהיה ממושכת מאחורי סורג ובריח". </w:t>
      </w:r>
    </w:p>
    <w:p w14:paraId="15ED78CE" w14:textId="77777777" w:rsidR="00965524" w:rsidRDefault="00965524">
      <w:pPr>
        <w:spacing w:line="360" w:lineRule="auto"/>
        <w:ind w:left="720"/>
        <w:jc w:val="both"/>
        <w:rPr>
          <w:rFonts w:cs="Cambria"/>
          <w:b/>
          <w:bCs/>
          <w:sz w:val="26"/>
          <w:szCs w:val="26"/>
          <w:rtl/>
        </w:rPr>
      </w:pPr>
    </w:p>
    <w:p w14:paraId="52403866" w14:textId="77777777" w:rsidR="00965524" w:rsidRDefault="00965524">
      <w:pPr>
        <w:spacing w:line="360" w:lineRule="auto"/>
        <w:ind w:left="720"/>
        <w:jc w:val="both"/>
        <w:rPr>
          <w:rFonts w:cs="Cambria"/>
          <w:sz w:val="26"/>
          <w:szCs w:val="26"/>
          <w:rtl/>
        </w:rPr>
      </w:pPr>
      <w:r>
        <w:rPr>
          <w:rFonts w:cs="Cambria"/>
          <w:sz w:val="26"/>
          <w:szCs w:val="26"/>
          <w:rtl/>
        </w:rPr>
        <w:t xml:space="preserve">בהתאם </w:t>
      </w:r>
      <w:hyperlink r:id="rId27" w:history="1">
        <w:r>
          <w:rPr>
            <w:rFonts w:cs="Times New Roman"/>
            <w:color w:val="0000FF"/>
            <w:sz w:val="26"/>
            <w:szCs w:val="26"/>
            <w:u w:val="single"/>
            <w:rtl/>
          </w:rPr>
          <w:t>לסעיף 40ג'</w:t>
        </w:r>
      </w:hyperlink>
      <w:r>
        <w:rPr>
          <w:rFonts w:cs="Cambria"/>
          <w:sz w:val="26"/>
          <w:szCs w:val="26"/>
          <w:rtl/>
        </w:rPr>
        <w:t xml:space="preserve"> לחוק נקבע כי בעת קביעת מתחם העונש ההולם, על בית המשפט להתחשב גם בנסיבות הקשורות בביצוע העבירה.</w:t>
      </w:r>
    </w:p>
    <w:p w14:paraId="04C0786D" w14:textId="77777777" w:rsidR="00965524" w:rsidRDefault="00965524">
      <w:pPr>
        <w:spacing w:line="360" w:lineRule="auto"/>
        <w:ind w:left="720"/>
        <w:jc w:val="both"/>
        <w:rPr>
          <w:rFonts w:cs="Cambria"/>
          <w:sz w:val="26"/>
          <w:szCs w:val="26"/>
          <w:rtl/>
        </w:rPr>
      </w:pPr>
    </w:p>
    <w:p w14:paraId="66D89921" w14:textId="77777777" w:rsidR="00965524" w:rsidRDefault="00965524">
      <w:pPr>
        <w:spacing w:line="360" w:lineRule="auto"/>
        <w:ind w:left="720"/>
        <w:jc w:val="both"/>
        <w:rPr>
          <w:rFonts w:cs="Cambria"/>
          <w:sz w:val="26"/>
          <w:szCs w:val="26"/>
          <w:rtl/>
        </w:rPr>
      </w:pPr>
      <w:r>
        <w:rPr>
          <w:rFonts w:cs="Cambria"/>
          <w:sz w:val="26"/>
          <w:szCs w:val="26"/>
          <w:rtl/>
        </w:rPr>
        <w:t xml:space="preserve">בענייננו, מדובר בשתי עבירות, האחת ניסיון להספקה במשקל כולל של 1.03 גרם, והשנייה הפרעת שוטר. העבירות נעשו בסמיכות זו לזו וניתן להתייחס אליהן כאל אירוע אחד. בנסיבות העניין נראה כי יש להתחשב בסוג ובכמות הלא גדולה של הסם אותה ניסה לספק הנאשם לשוטר ובכך שהעבירה לא הושלמה עד לכדי עבירה מוגמרת. </w:t>
      </w:r>
    </w:p>
    <w:p w14:paraId="1E777549" w14:textId="77777777" w:rsidR="00965524" w:rsidRDefault="00965524">
      <w:pPr>
        <w:spacing w:line="360" w:lineRule="auto"/>
        <w:ind w:left="720"/>
        <w:jc w:val="both"/>
        <w:rPr>
          <w:rFonts w:cs="Cambria"/>
          <w:sz w:val="26"/>
          <w:szCs w:val="26"/>
          <w:rtl/>
        </w:rPr>
      </w:pPr>
    </w:p>
    <w:p w14:paraId="67DB3361" w14:textId="77777777" w:rsidR="00965524" w:rsidRDefault="00965524">
      <w:pPr>
        <w:spacing w:line="360" w:lineRule="auto"/>
        <w:ind w:left="720"/>
        <w:jc w:val="both"/>
        <w:rPr>
          <w:rFonts w:cs="Cambria"/>
          <w:sz w:val="26"/>
          <w:szCs w:val="26"/>
          <w:rtl/>
        </w:rPr>
      </w:pPr>
      <w:r>
        <w:rPr>
          <w:rFonts w:cs="Cambria"/>
          <w:sz w:val="26"/>
          <w:szCs w:val="26"/>
          <w:rtl/>
        </w:rPr>
        <w:t>אשר למתחם הענישה, קיימת פסיקה ענפה לכאן ולכאן. אני סבור כי בשל סמיכות האירועים המפורטים בכתב האישום, יש לראות בכולם אירוע אחד, ועל כן מתחם הענישה בגין שתי העבירות, נע בין 6 חודשים ל12 חודשי מאסר. באשר לעבירת הפרעת שוטר, המתחם נע בין מ</w:t>
      </w:r>
      <w:r>
        <w:rPr>
          <w:rFonts w:cs="Cambria" w:hint="cs"/>
          <w:sz w:val="26"/>
          <w:szCs w:val="26"/>
          <w:rtl/>
        </w:rPr>
        <w:t>אסר</w:t>
      </w:r>
      <w:r>
        <w:rPr>
          <w:rFonts w:cs="Cambria"/>
          <w:sz w:val="26"/>
          <w:szCs w:val="26"/>
          <w:rtl/>
        </w:rPr>
        <w:t xml:space="preserve"> על תנאי לבין חודשיים מעצר בנסיבות העניין. </w:t>
      </w:r>
    </w:p>
    <w:p w14:paraId="5F4F037A" w14:textId="77777777" w:rsidR="00965524" w:rsidRDefault="00965524">
      <w:pPr>
        <w:spacing w:line="360" w:lineRule="auto"/>
        <w:ind w:left="720"/>
        <w:jc w:val="both"/>
        <w:rPr>
          <w:rFonts w:cs="Cambria"/>
          <w:sz w:val="26"/>
          <w:szCs w:val="26"/>
          <w:rtl/>
        </w:rPr>
      </w:pPr>
    </w:p>
    <w:p w14:paraId="75454718" w14:textId="77777777" w:rsidR="00965524" w:rsidRDefault="00965524">
      <w:pPr>
        <w:spacing w:line="360" w:lineRule="auto"/>
        <w:jc w:val="both"/>
        <w:rPr>
          <w:rFonts w:cs="Cambria"/>
          <w:b/>
          <w:bCs/>
          <w:sz w:val="26"/>
          <w:szCs w:val="26"/>
          <w:rtl/>
        </w:rPr>
      </w:pPr>
      <w:r>
        <w:rPr>
          <w:rFonts w:cs="Cambria"/>
          <w:b/>
          <w:bCs/>
          <w:sz w:val="26"/>
          <w:szCs w:val="26"/>
          <w:rtl/>
        </w:rPr>
        <w:t xml:space="preserve">חריגה ממתחם העונש ההולם </w:t>
      </w:r>
    </w:p>
    <w:p w14:paraId="7DC55382" w14:textId="77777777" w:rsidR="00965524" w:rsidRDefault="00965524">
      <w:pPr>
        <w:spacing w:line="360" w:lineRule="auto"/>
        <w:ind w:left="720"/>
        <w:jc w:val="both"/>
        <w:rPr>
          <w:rFonts w:cs="Cambria"/>
          <w:b/>
          <w:bCs/>
          <w:sz w:val="26"/>
          <w:szCs w:val="26"/>
          <w:rtl/>
        </w:rPr>
      </w:pPr>
    </w:p>
    <w:p w14:paraId="1621A2BB" w14:textId="77777777" w:rsidR="00965524" w:rsidRDefault="00965524">
      <w:pPr>
        <w:pStyle w:val="a8"/>
        <w:numPr>
          <w:ilvl w:val="0"/>
          <w:numId w:val="1"/>
        </w:numPr>
        <w:spacing w:line="360" w:lineRule="auto"/>
        <w:jc w:val="both"/>
        <w:rPr>
          <w:rFonts w:ascii="Times New Roman" w:hAnsi="Times New Roman" w:cs="Cambria"/>
          <w:sz w:val="26"/>
          <w:szCs w:val="26"/>
        </w:rPr>
      </w:pPr>
      <w:hyperlink r:id="rId28" w:history="1">
        <w:r>
          <w:rPr>
            <w:rFonts w:ascii="Times New Roman" w:hAnsi="Times New Roman" w:cs="Times New Roman"/>
            <w:color w:val="0000FF"/>
            <w:sz w:val="26"/>
            <w:szCs w:val="26"/>
            <w:u w:val="single"/>
            <w:rtl/>
          </w:rPr>
          <w:t>בסעיף 40ד'</w:t>
        </w:r>
      </w:hyperlink>
      <w:r>
        <w:rPr>
          <w:rFonts w:ascii="Times New Roman" w:hAnsi="Times New Roman" w:cs="Cambria"/>
          <w:sz w:val="26"/>
          <w:szCs w:val="26"/>
          <w:rtl/>
        </w:rPr>
        <w:t xml:space="preserve"> לחוק נקבע, כי במקרה בו מעשה העבירה ומידת אשמתו של הנאשם הם בעלי חומרה יתירה, הרי שאם הנאשם השתקם או שיש סיכוי של ממש שישתקם, ובנסיבות מיוחדות ויוצאות דופן, יכול בית המשפט לקבוע כי העונש שיוטל על הנאשם יחרוג ממתחם העונש ההולם. </w:t>
      </w:r>
    </w:p>
    <w:p w14:paraId="236CA731" w14:textId="77777777" w:rsidR="00965524" w:rsidRDefault="00965524">
      <w:pPr>
        <w:pStyle w:val="a8"/>
        <w:spacing w:line="360" w:lineRule="auto"/>
        <w:jc w:val="both"/>
        <w:rPr>
          <w:rFonts w:ascii="Times New Roman" w:hAnsi="Times New Roman" w:cs="Cambria"/>
          <w:sz w:val="26"/>
          <w:szCs w:val="26"/>
          <w:rtl/>
        </w:rPr>
      </w:pPr>
    </w:p>
    <w:p w14:paraId="1A56D2AD"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הסניגור המלומד בטיעוניו טען, כי הנאשם כיום מבין את השלכות מעשיו ועומד על טעותו. כמו כן, שירות המבחן מצביע על אפיק שיקומי עבור הנאשם, המצדיק חריגה ממתחם העונש ההולם. </w:t>
      </w:r>
    </w:p>
    <w:p w14:paraId="0FDD0274" w14:textId="77777777" w:rsidR="00965524" w:rsidRDefault="00965524">
      <w:pPr>
        <w:pStyle w:val="a8"/>
        <w:spacing w:line="360" w:lineRule="auto"/>
        <w:jc w:val="both"/>
        <w:rPr>
          <w:rFonts w:ascii="Times New Roman" w:hAnsi="Times New Roman" w:cs="Cambria"/>
          <w:sz w:val="26"/>
          <w:szCs w:val="26"/>
          <w:rtl/>
        </w:rPr>
      </w:pPr>
    </w:p>
    <w:p w14:paraId="2CB3DA2F"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 xml:space="preserve">אני ער לחומרת העבירות אותן ביצע הנאשם ולפסיקה הנוהגת בעבירות של סחר בסם מסוכן. עם זאת, נתתי דעתי למצבו הכלכלי הקשה של הנאשם, בהיותו מפרנס עיקרי ולעובדה שהשתת מאסר בפועל עלולה לפגוע בנאשם במובן הכלכלי ולהשפיע לרעה על אשתו וילדיו. </w:t>
      </w:r>
    </w:p>
    <w:p w14:paraId="0AC5FFD7" w14:textId="77777777" w:rsidR="00965524" w:rsidRDefault="00965524">
      <w:pPr>
        <w:pStyle w:val="a8"/>
        <w:spacing w:line="360" w:lineRule="auto"/>
        <w:jc w:val="both"/>
        <w:rPr>
          <w:rFonts w:ascii="Times New Roman" w:hAnsi="Times New Roman" w:cs="Cambria"/>
          <w:sz w:val="26"/>
          <w:szCs w:val="26"/>
          <w:rtl/>
        </w:rPr>
      </w:pPr>
    </w:p>
    <w:p w14:paraId="68F48883" w14:textId="77777777" w:rsidR="00965524" w:rsidRDefault="00965524">
      <w:pPr>
        <w:pStyle w:val="a8"/>
        <w:spacing w:line="360" w:lineRule="auto"/>
        <w:jc w:val="both"/>
        <w:rPr>
          <w:rFonts w:ascii="Times New Roman" w:hAnsi="Times New Roman" w:cs="Cambria"/>
          <w:sz w:val="26"/>
          <w:szCs w:val="26"/>
          <w:rtl/>
        </w:rPr>
      </w:pPr>
      <w:r>
        <w:rPr>
          <w:rFonts w:ascii="Times New Roman" w:hAnsi="Times New Roman" w:cs="Cambria"/>
          <w:sz w:val="26"/>
          <w:szCs w:val="26"/>
          <w:rtl/>
        </w:rPr>
        <w:t>נוכח כל האמור לע</w:t>
      </w:r>
      <w:r>
        <w:rPr>
          <w:rFonts w:ascii="Times New Roman" w:hAnsi="Times New Roman" w:cs="Cambria" w:hint="cs"/>
          <w:sz w:val="26"/>
          <w:szCs w:val="26"/>
          <w:rtl/>
        </w:rPr>
        <w:t>י</w:t>
      </w:r>
      <w:r>
        <w:rPr>
          <w:rFonts w:ascii="Times New Roman" w:hAnsi="Times New Roman" w:cs="Cambria"/>
          <w:sz w:val="26"/>
          <w:szCs w:val="26"/>
          <w:rtl/>
        </w:rPr>
        <w:t xml:space="preserve">ל, ולאחר ששקלתי את כל השיקולים לקולא ולחומרה, אני גוזר על הנאשם את העונשים הבאים: </w:t>
      </w:r>
    </w:p>
    <w:p w14:paraId="0825E648" w14:textId="77777777" w:rsidR="00965524" w:rsidRDefault="00965524">
      <w:pPr>
        <w:pStyle w:val="a8"/>
        <w:spacing w:line="360" w:lineRule="auto"/>
        <w:jc w:val="both"/>
        <w:rPr>
          <w:rFonts w:ascii="Times New Roman" w:hAnsi="Times New Roman" w:cs="Cambria"/>
          <w:sz w:val="26"/>
          <w:szCs w:val="26"/>
          <w:rtl/>
        </w:rPr>
      </w:pPr>
    </w:p>
    <w:p w14:paraId="30FFFFB8" w14:textId="77777777" w:rsidR="00965524" w:rsidRDefault="00965524">
      <w:pPr>
        <w:pStyle w:val="a8"/>
        <w:numPr>
          <w:ilvl w:val="0"/>
          <w:numId w:val="2"/>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מאסר למשך 3 חודשים אותם ירצה הנאשם בעבודות שירות במסגרת "חברת קדישא" בכתובת: רוטשילד 19, חדרה. </w:t>
      </w:r>
    </w:p>
    <w:p w14:paraId="68020C16" w14:textId="77777777" w:rsidR="00965524" w:rsidRDefault="00965524">
      <w:pPr>
        <w:pStyle w:val="a8"/>
        <w:spacing w:line="360" w:lineRule="auto"/>
        <w:ind w:left="1080"/>
        <w:jc w:val="both"/>
        <w:rPr>
          <w:rFonts w:ascii="Times New Roman" w:hAnsi="Times New Roman" w:cs="Cambria"/>
          <w:sz w:val="26"/>
          <w:szCs w:val="26"/>
          <w:rtl/>
        </w:rPr>
      </w:pPr>
      <w:r>
        <w:rPr>
          <w:rFonts w:ascii="Times New Roman" w:hAnsi="Times New Roman" w:cs="Cambria"/>
          <w:sz w:val="26"/>
          <w:szCs w:val="26"/>
          <w:rtl/>
        </w:rPr>
        <w:t xml:space="preserve">משחלף המועד לביצוע עבודות השירות, מתבקש לקבוע מועד חדש ללא צורך בקיום דיון נוסף. </w:t>
      </w:r>
      <w:r>
        <w:rPr>
          <w:rFonts w:ascii="Times New Roman" w:hAnsi="Times New Roman" w:cs="Cambria" w:hint="cs"/>
          <w:sz w:val="26"/>
          <w:szCs w:val="26"/>
          <w:rtl/>
        </w:rPr>
        <w:t>לבקשת הסנגור מתבקש לקבוע תחילת ביצוע לעוד מספר חודשים.</w:t>
      </w:r>
    </w:p>
    <w:p w14:paraId="31968474" w14:textId="77777777" w:rsidR="00965524" w:rsidRDefault="00965524">
      <w:pPr>
        <w:pStyle w:val="a8"/>
        <w:spacing w:line="360" w:lineRule="auto"/>
        <w:ind w:left="1080"/>
        <w:jc w:val="both"/>
        <w:rPr>
          <w:rFonts w:ascii="Times New Roman" w:hAnsi="Times New Roman" w:cs="Cambria"/>
          <w:sz w:val="26"/>
          <w:szCs w:val="26"/>
        </w:rPr>
      </w:pPr>
    </w:p>
    <w:p w14:paraId="76643585" w14:textId="77777777" w:rsidR="00965524" w:rsidRDefault="00965524">
      <w:pPr>
        <w:pStyle w:val="a8"/>
        <w:numPr>
          <w:ilvl w:val="0"/>
          <w:numId w:val="2"/>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מאסר על תנאי לתקופה של 4 חודשים. הנאשם לא ירצה עונש זה אלא אם יעבור תוך שנתיים על כל עבירה לפי </w:t>
      </w:r>
      <w:hyperlink r:id="rId29" w:history="1">
        <w:r>
          <w:rPr>
            <w:rFonts w:ascii="Times New Roman" w:hAnsi="Times New Roman" w:cs="Times New Roman"/>
            <w:color w:val="0000FF"/>
            <w:sz w:val="26"/>
            <w:szCs w:val="26"/>
            <w:u w:val="single"/>
            <w:rtl/>
          </w:rPr>
          <w:t>פקודת הסמים המסוכנים</w:t>
        </w:r>
      </w:hyperlink>
      <w:r>
        <w:rPr>
          <w:rFonts w:ascii="Times New Roman" w:hAnsi="Times New Roman" w:cs="Cambria"/>
          <w:sz w:val="26"/>
          <w:szCs w:val="26"/>
          <w:rtl/>
        </w:rPr>
        <w:t xml:space="preserve">, וכן עבירה לפי </w:t>
      </w:r>
      <w:hyperlink r:id="rId30" w:history="1">
        <w:r>
          <w:rPr>
            <w:rFonts w:ascii="Times New Roman" w:hAnsi="Times New Roman" w:cs="Times New Roman"/>
            <w:color w:val="0000FF"/>
            <w:sz w:val="26"/>
            <w:szCs w:val="26"/>
            <w:u w:val="single"/>
            <w:rtl/>
          </w:rPr>
          <w:t>סעיף 275</w:t>
        </w:r>
      </w:hyperlink>
      <w:r>
        <w:rPr>
          <w:rFonts w:ascii="Times New Roman" w:hAnsi="Times New Roman" w:cs="Cambria"/>
          <w:sz w:val="26"/>
          <w:szCs w:val="26"/>
          <w:rtl/>
        </w:rPr>
        <w:t xml:space="preserve"> ל</w:t>
      </w:r>
      <w:hyperlink r:id="rId31" w:history="1">
        <w:r>
          <w:rPr>
            <w:rFonts w:ascii="Times New Roman" w:hAnsi="Times New Roman" w:cs="Times New Roman"/>
            <w:color w:val="0000FF"/>
            <w:sz w:val="26"/>
            <w:szCs w:val="26"/>
            <w:u w:val="single"/>
            <w:rtl/>
          </w:rPr>
          <w:t>חוק העונשין</w:t>
        </w:r>
      </w:hyperlink>
      <w:r>
        <w:rPr>
          <w:rFonts w:ascii="Times New Roman" w:hAnsi="Times New Roman" w:cs="Cambria"/>
          <w:sz w:val="26"/>
          <w:szCs w:val="26"/>
          <w:rtl/>
        </w:rPr>
        <w:t xml:space="preserve">-התשל"ז  1977. </w:t>
      </w:r>
    </w:p>
    <w:p w14:paraId="7D663848" w14:textId="77777777" w:rsidR="00965524" w:rsidRDefault="00965524">
      <w:pPr>
        <w:pStyle w:val="a8"/>
        <w:spacing w:line="360" w:lineRule="auto"/>
        <w:ind w:left="1080"/>
        <w:jc w:val="both"/>
        <w:rPr>
          <w:rFonts w:ascii="Times New Roman" w:hAnsi="Times New Roman" w:cs="Cambria"/>
          <w:sz w:val="26"/>
          <w:szCs w:val="26"/>
        </w:rPr>
      </w:pPr>
    </w:p>
    <w:p w14:paraId="558A23DB" w14:textId="77777777" w:rsidR="00965524" w:rsidRDefault="00965524">
      <w:pPr>
        <w:pStyle w:val="a8"/>
        <w:numPr>
          <w:ilvl w:val="0"/>
          <w:numId w:val="2"/>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ניתן צו מבחן למשך שנה אחת. הנאשם מצווה להיות בקשר עם שירות המבחן ככל שיידרש. הובהר לנאשם כי אם לא ימלא אחר הוראות השירות, תהא המאשימה רשאית לגזור על הנאשם עונש אחר. </w:t>
      </w:r>
    </w:p>
    <w:p w14:paraId="2F8E7295" w14:textId="77777777" w:rsidR="00965524" w:rsidRDefault="00965524">
      <w:pPr>
        <w:pStyle w:val="a8"/>
        <w:spacing w:line="360" w:lineRule="auto"/>
        <w:ind w:left="1080"/>
        <w:jc w:val="both"/>
        <w:rPr>
          <w:rFonts w:ascii="Times New Roman" w:hAnsi="Times New Roman" w:cs="Cambria"/>
          <w:sz w:val="26"/>
          <w:szCs w:val="26"/>
        </w:rPr>
      </w:pPr>
    </w:p>
    <w:p w14:paraId="06CE98CC" w14:textId="77777777" w:rsidR="00965524" w:rsidRDefault="00965524">
      <w:pPr>
        <w:pStyle w:val="a8"/>
        <w:numPr>
          <w:ilvl w:val="0"/>
          <w:numId w:val="2"/>
        </w:numPr>
        <w:spacing w:line="360" w:lineRule="auto"/>
        <w:jc w:val="both"/>
        <w:rPr>
          <w:rFonts w:ascii="Times New Roman" w:hAnsi="Times New Roman" w:cs="Cambria"/>
          <w:sz w:val="26"/>
          <w:szCs w:val="26"/>
        </w:rPr>
      </w:pPr>
      <w:r>
        <w:rPr>
          <w:rFonts w:ascii="Times New Roman" w:hAnsi="Times New Roman" w:cs="Cambria"/>
          <w:sz w:val="26"/>
          <w:szCs w:val="26"/>
          <w:rtl/>
        </w:rPr>
        <w:t xml:space="preserve"> קנס כספי בסך 2,000 ₪ או מאסר של 30 יום תחתיו הקנס ישולם ב- 5 תשלומים שווים החל </w:t>
      </w:r>
      <w:r>
        <w:rPr>
          <w:rFonts w:ascii="Times New Roman" w:hAnsi="Times New Roman" w:cs="Cambria" w:hint="cs"/>
          <w:sz w:val="26"/>
          <w:szCs w:val="26"/>
          <w:rtl/>
        </w:rPr>
        <w:t xml:space="preserve">מ- </w:t>
      </w:r>
      <w:r>
        <w:rPr>
          <w:rFonts w:ascii="Times New Roman" w:hAnsi="Times New Roman" w:cs="Cambria"/>
          <w:sz w:val="26"/>
          <w:szCs w:val="26"/>
          <w:rtl/>
        </w:rPr>
        <w:t xml:space="preserve">1.2.18 ובכל ראשון לחודש שאחריו. </w:t>
      </w:r>
    </w:p>
    <w:p w14:paraId="3EC87558" w14:textId="77777777" w:rsidR="00965524" w:rsidRDefault="00965524">
      <w:pPr>
        <w:pStyle w:val="a8"/>
        <w:spacing w:line="360" w:lineRule="auto"/>
        <w:ind w:left="1080"/>
        <w:jc w:val="both"/>
        <w:rPr>
          <w:rFonts w:ascii="Times New Roman" w:hAnsi="Times New Roman" w:cs="Cambria"/>
          <w:sz w:val="26"/>
          <w:szCs w:val="26"/>
        </w:rPr>
      </w:pPr>
    </w:p>
    <w:p w14:paraId="2B4A8364" w14:textId="77777777" w:rsidR="00965524" w:rsidRDefault="00965524">
      <w:pPr>
        <w:pStyle w:val="a8"/>
        <w:numPr>
          <w:ilvl w:val="0"/>
          <w:numId w:val="2"/>
        </w:numPr>
        <w:spacing w:line="360" w:lineRule="auto"/>
        <w:jc w:val="both"/>
        <w:rPr>
          <w:rFonts w:ascii="Times New Roman" w:hAnsi="Times New Roman" w:cs="Cambria"/>
          <w:sz w:val="26"/>
          <w:szCs w:val="26"/>
        </w:rPr>
      </w:pPr>
      <w:r>
        <w:rPr>
          <w:rFonts w:ascii="Times New Roman" w:hAnsi="Times New Roman" w:cs="Cambria"/>
          <w:sz w:val="26"/>
          <w:szCs w:val="26"/>
          <w:rtl/>
        </w:rPr>
        <w:t xml:space="preserve">אני מורה על השמדת הסם. </w:t>
      </w:r>
    </w:p>
    <w:p w14:paraId="649F65AC" w14:textId="77777777" w:rsidR="00965524" w:rsidRDefault="00965524">
      <w:pPr>
        <w:pStyle w:val="a8"/>
        <w:spacing w:line="360" w:lineRule="auto"/>
        <w:ind w:left="1080"/>
        <w:jc w:val="both"/>
        <w:rPr>
          <w:rFonts w:ascii="Times New Roman" w:hAnsi="Times New Roman" w:cs="Cambria"/>
          <w:color w:val="FFFFFF"/>
          <w:sz w:val="2"/>
          <w:szCs w:val="2"/>
          <w:rtl/>
        </w:rPr>
      </w:pPr>
      <w:r>
        <w:rPr>
          <w:rFonts w:ascii="Times New Roman" w:hAnsi="Times New Roman" w:cs="Times New Roman"/>
          <w:color w:val="FFFFFF"/>
          <w:sz w:val="2"/>
          <w:szCs w:val="2"/>
          <w:rtl/>
        </w:rPr>
        <w:t>5129371</w:t>
      </w:r>
    </w:p>
    <w:p w14:paraId="520C693A" w14:textId="77777777" w:rsidR="00965524" w:rsidRDefault="00965524">
      <w:pPr>
        <w:spacing w:line="360" w:lineRule="auto"/>
        <w:jc w:val="both"/>
        <w:rPr>
          <w:rFonts w:cs="Cambria"/>
          <w:b/>
          <w:bCs/>
          <w:sz w:val="26"/>
          <w:szCs w:val="26"/>
          <w:rtl/>
        </w:rPr>
      </w:pPr>
      <w:r>
        <w:rPr>
          <w:rFonts w:cs="Times New Roman"/>
          <w:b/>
          <w:bCs/>
          <w:color w:val="FFFFFF"/>
          <w:sz w:val="2"/>
          <w:szCs w:val="2"/>
          <w:rtl/>
        </w:rPr>
        <w:t>54678313</w:t>
      </w:r>
      <w:r>
        <w:rPr>
          <w:rFonts w:cs="Cambria"/>
          <w:b/>
          <w:bCs/>
          <w:sz w:val="26"/>
          <w:szCs w:val="26"/>
          <w:rtl/>
        </w:rPr>
        <w:t xml:space="preserve">זכות ערעור לבית המשפט המחוזי בירושלים בתוך 45 יום מהיום. </w:t>
      </w:r>
    </w:p>
    <w:p w14:paraId="412DA592" w14:textId="77777777" w:rsidR="00965524" w:rsidRDefault="00965524">
      <w:pPr>
        <w:spacing w:line="360" w:lineRule="auto"/>
        <w:jc w:val="both"/>
        <w:rPr>
          <w:rFonts w:cs="FrankRuehl"/>
          <w:sz w:val="28"/>
          <w:szCs w:val="28"/>
          <w:rtl/>
        </w:rPr>
      </w:pPr>
    </w:p>
    <w:p w14:paraId="0F35A12B" w14:textId="77777777" w:rsidR="00965524" w:rsidRDefault="00965524">
      <w:pPr>
        <w:spacing w:line="360" w:lineRule="auto"/>
        <w:jc w:val="both"/>
        <w:rPr>
          <w:rFonts w:ascii="Arial" w:hAnsi="Arial"/>
          <w:sz w:val="28"/>
          <w:szCs w:val="28"/>
          <w:rtl/>
        </w:rPr>
      </w:pPr>
      <w:r>
        <w:rPr>
          <w:rFonts w:ascii="Arial" w:hAnsi="Arial"/>
          <w:sz w:val="28"/>
          <w:szCs w:val="28"/>
          <w:rtl/>
        </w:rPr>
        <w:t xml:space="preserve">ניתן היום,  ט"ז טבת תשע"ח, 03 ינואר 2018, במעמד ב"כ המאשימה עו"ד נעמה </w:t>
      </w:r>
      <w:r>
        <w:rPr>
          <w:rFonts w:ascii="Arial" w:hAnsi="Arial" w:hint="cs"/>
          <w:sz w:val="28"/>
          <w:szCs w:val="28"/>
          <w:rtl/>
        </w:rPr>
        <w:t>ישראל ועו"ד אלעד לוריא, הנאשם וב"כ עו"ד סיבוני.</w:t>
      </w:r>
    </w:p>
    <w:p w14:paraId="17749AE8" w14:textId="77777777" w:rsidR="00965524" w:rsidRDefault="00965524">
      <w:pPr>
        <w:spacing w:line="360" w:lineRule="auto"/>
        <w:jc w:val="both"/>
        <w:rPr>
          <w:rFonts w:ascii="Arial" w:hAnsi="Arial"/>
          <w:sz w:val="28"/>
          <w:szCs w:val="28"/>
        </w:rPr>
      </w:pPr>
    </w:p>
    <w:p w14:paraId="6F67772B" w14:textId="77777777" w:rsidR="00965524" w:rsidRDefault="00965524">
      <w:pPr>
        <w:pStyle w:val="a3"/>
        <w:jc w:val="both"/>
        <w:rPr>
          <w:color w:val="FFFFFF"/>
          <w:sz w:val="2"/>
          <w:szCs w:val="2"/>
          <w:rtl/>
        </w:rPr>
      </w:pPr>
      <w:r>
        <w:rPr>
          <w:color w:val="FFFFFF"/>
          <w:sz w:val="2"/>
          <w:szCs w:val="2"/>
          <w:rtl/>
        </w:rPr>
        <w:t>51293715129371</w:t>
      </w:r>
    </w:p>
    <w:p w14:paraId="6F5391FF" w14:textId="77777777" w:rsidR="00965524" w:rsidRDefault="00965524">
      <w:pPr>
        <w:keepNext/>
        <w:rPr>
          <w:rFonts w:ascii="David" w:hAnsi="David"/>
          <w:color w:val="FFFFFF"/>
          <w:sz w:val="2"/>
          <w:szCs w:val="2"/>
          <w:rtl/>
        </w:rPr>
      </w:pPr>
      <w:r>
        <w:rPr>
          <w:rFonts w:ascii="David" w:hAnsi="David"/>
          <w:color w:val="FFFFFF"/>
          <w:sz w:val="2"/>
          <w:szCs w:val="2"/>
          <w:rtl/>
        </w:rPr>
        <w:t>5467831354678313</w:t>
      </w:r>
    </w:p>
    <w:p w14:paraId="7414DAB2" w14:textId="77777777" w:rsidR="00965524" w:rsidRDefault="00965524">
      <w:pPr>
        <w:rPr>
          <w:rtl/>
        </w:rPr>
      </w:pPr>
    </w:p>
    <w:p w14:paraId="5F16D0A1" w14:textId="77777777" w:rsidR="00965524" w:rsidRDefault="0096552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94E94F9" w14:textId="77777777" w:rsidR="00965524" w:rsidRDefault="00965524">
      <w:pPr>
        <w:keepNext/>
        <w:rPr>
          <w:rFonts w:ascii="David" w:hAnsi="David"/>
          <w:color w:val="000000"/>
          <w:sz w:val="22"/>
          <w:szCs w:val="22"/>
          <w:rtl/>
        </w:rPr>
      </w:pPr>
    </w:p>
    <w:p w14:paraId="26B5B7D3" w14:textId="77777777" w:rsidR="00965524" w:rsidRDefault="00965524">
      <w:pPr>
        <w:keepNext/>
        <w:rPr>
          <w:rFonts w:ascii="David" w:hAnsi="David"/>
          <w:color w:val="000000"/>
          <w:sz w:val="22"/>
          <w:szCs w:val="22"/>
          <w:rtl/>
        </w:rPr>
      </w:pPr>
      <w:r>
        <w:rPr>
          <w:rFonts w:ascii="David" w:hAnsi="David"/>
          <w:color w:val="000000"/>
          <w:sz w:val="22"/>
          <w:szCs w:val="22"/>
          <w:rtl/>
        </w:rPr>
        <w:t>יצחק שמעוני 54678313-/</w:t>
      </w:r>
    </w:p>
    <w:p w14:paraId="2459E94E" w14:textId="77777777" w:rsidR="00965524" w:rsidRDefault="00965524">
      <w:pPr>
        <w:keepNext/>
        <w:rPr>
          <w:rFonts w:ascii="David" w:hAnsi="David"/>
          <w:color w:val="000000"/>
          <w:sz w:val="22"/>
          <w:szCs w:val="22"/>
          <w:rtl/>
        </w:rPr>
      </w:pPr>
      <w:r>
        <w:rPr>
          <w:rFonts w:ascii="David" w:hAnsi="David"/>
          <w:color w:val="000000"/>
          <w:sz w:val="22"/>
          <w:szCs w:val="22"/>
          <w:rtl/>
        </w:rPr>
        <w:t>נוסח מסמך זה כפוף לשינויי ניסוח ועריכה</w:t>
      </w:r>
    </w:p>
    <w:sectPr w:rsidR="00000000">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21AB1" w14:textId="77777777" w:rsidR="00965524" w:rsidRDefault="00965524">
      <w:r>
        <w:separator/>
      </w:r>
    </w:p>
  </w:endnote>
  <w:endnote w:type="continuationSeparator" w:id="0">
    <w:p w14:paraId="040FF5F2" w14:textId="77777777" w:rsidR="00965524" w:rsidRDefault="00965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96C2F" w14:textId="77777777" w:rsidR="00965524" w:rsidRDefault="009655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D082362" w14:textId="77777777" w:rsidR="00965524" w:rsidRDefault="009655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CCCFE" w14:textId="77777777" w:rsidR="00965524" w:rsidRDefault="009655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6C106DE" w14:textId="77777777" w:rsidR="00965524" w:rsidRDefault="009655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9B2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27FAC" w14:textId="77777777" w:rsidR="00965524" w:rsidRDefault="00965524">
      <w:r>
        <w:separator/>
      </w:r>
    </w:p>
  </w:footnote>
  <w:footnote w:type="continuationSeparator" w:id="0">
    <w:p w14:paraId="78096061" w14:textId="77777777" w:rsidR="00965524" w:rsidRDefault="00965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3296C" w14:textId="77777777" w:rsidR="00965524" w:rsidRDefault="009655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15277-01-16</w:t>
    </w:r>
    <w:r>
      <w:rPr>
        <w:rFonts w:ascii="David" w:hAnsi="David"/>
        <w:color w:val="000000"/>
        <w:sz w:val="22"/>
        <w:szCs w:val="22"/>
        <w:rtl/>
      </w:rPr>
      <w:tab/>
      <w:t xml:space="preserve"> מדינת ישראל נ' יוסי אילישייב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2523C" w14:textId="77777777" w:rsidR="00965524" w:rsidRDefault="009655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15277-01-16</w:t>
    </w:r>
    <w:r>
      <w:rPr>
        <w:rFonts w:ascii="David" w:hAnsi="David"/>
        <w:color w:val="000000"/>
        <w:sz w:val="22"/>
        <w:szCs w:val="22"/>
        <w:rtl/>
      </w:rPr>
      <w:tab/>
      <w:t xml:space="preserve"> מדינת ישראל נ' יוסי אילישייב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B0622"/>
    <w:multiLevelType w:val="hybridMultilevel"/>
    <w:tmpl w:val="824C1676"/>
    <w:lvl w:ilvl="0" w:tplc="D6C6163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776F2C3C"/>
    <w:multiLevelType w:val="hybridMultilevel"/>
    <w:tmpl w:val="FDBE07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61984957">
    <w:abstractNumId w:val="1"/>
  </w:num>
  <w:num w:numId="2" w16cid:durableId="136998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273C"/>
    <w:rsid w:val="00965524"/>
    <w:rsid w:val="00E927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4086EB"/>
  <w15:chartTrackingRefBased/>
  <w15:docId w15:val="{8E26366B-5B3A-4434-BEAF-01FF9134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noProof/>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noProof/>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qFormat/>
    <w:pPr>
      <w:spacing w:after="160" w:line="259" w:lineRule="auto"/>
      <w:ind w:left="720"/>
      <w:contextualSpacing/>
    </w:pPr>
    <w:rPr>
      <w:rFonts w:ascii="Calibri" w:hAnsi="Calibri" w:cs="Arial"/>
      <w:noProof w:val="0"/>
      <w:sz w:val="22"/>
      <w:szCs w:val="22"/>
    </w:rPr>
  </w:style>
  <w:style w:type="character" w:styleId="a9">
    <w:name w:val="page number"/>
  </w:style>
  <w:style w:type="character" w:styleId="Hyperlink">
    <w:name w:val="Hyperlink"/>
    <w:rPr>
      <w:color w:val="0563C1"/>
      <w:u w:val="single"/>
    </w:r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6062217" TargetMode="External"/><Relationship Id="rId21" Type="http://schemas.openxmlformats.org/officeDocument/2006/relationships/hyperlink" Target="http://www.nevo.co.il/case/5605484"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law/70301/40b"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1623143" TargetMode="External"/><Relationship Id="rId28" Type="http://schemas.openxmlformats.org/officeDocument/2006/relationships/hyperlink" Target="http://www.nevo.co.il/law/70301/40d"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5718884" TargetMode="External"/><Relationship Id="rId27" Type="http://schemas.openxmlformats.org/officeDocument/2006/relationships/hyperlink" Target="http://www.nevo.co.il/law/70301/40c" TargetMode="External"/><Relationship Id="rId30" Type="http://schemas.openxmlformats.org/officeDocument/2006/relationships/hyperlink" Target="http://www.nevo.co.il/law/70301/275"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2222</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13307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8257637</vt:i4>
      </vt:variant>
      <vt:variant>
        <vt:i4>66</vt:i4>
      </vt:variant>
      <vt:variant>
        <vt:i4>0</vt:i4>
      </vt:variant>
      <vt:variant>
        <vt:i4>5</vt:i4>
      </vt:variant>
      <vt:variant>
        <vt:lpwstr>http://www.nevo.co.il/law/4216</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6619233</vt:i4>
      </vt:variant>
      <vt:variant>
        <vt:i4>60</vt:i4>
      </vt:variant>
      <vt:variant>
        <vt:i4>0</vt:i4>
      </vt:variant>
      <vt:variant>
        <vt:i4>5</vt:i4>
      </vt:variant>
      <vt:variant>
        <vt:lpwstr>http://www.nevo.co.il/law/70301/40c</vt:lpwstr>
      </vt:variant>
      <vt:variant>
        <vt:lpwstr/>
      </vt:variant>
      <vt:variant>
        <vt:i4>3473527</vt:i4>
      </vt:variant>
      <vt:variant>
        <vt:i4>57</vt:i4>
      </vt:variant>
      <vt:variant>
        <vt:i4>0</vt:i4>
      </vt:variant>
      <vt:variant>
        <vt:i4>5</vt:i4>
      </vt:variant>
      <vt:variant>
        <vt:lpwstr>http://www.nevo.co.il/case/6062217</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3342454</vt:i4>
      </vt:variant>
      <vt:variant>
        <vt:i4>48</vt:i4>
      </vt:variant>
      <vt:variant>
        <vt:i4>0</vt:i4>
      </vt:variant>
      <vt:variant>
        <vt:i4>5</vt:i4>
      </vt:variant>
      <vt:variant>
        <vt:lpwstr>http://www.nevo.co.il/case/21623143</vt:lpwstr>
      </vt:variant>
      <vt:variant>
        <vt:lpwstr/>
      </vt:variant>
      <vt:variant>
        <vt:i4>3670131</vt:i4>
      </vt:variant>
      <vt:variant>
        <vt:i4>45</vt:i4>
      </vt:variant>
      <vt:variant>
        <vt:i4>0</vt:i4>
      </vt:variant>
      <vt:variant>
        <vt:i4>5</vt:i4>
      </vt:variant>
      <vt:variant>
        <vt:lpwstr>http://www.nevo.co.il/case/5718884</vt:lpwstr>
      </vt:variant>
      <vt:variant>
        <vt:lpwstr/>
      </vt:variant>
      <vt:variant>
        <vt:i4>3473535</vt:i4>
      </vt:variant>
      <vt:variant>
        <vt:i4>42</vt:i4>
      </vt:variant>
      <vt:variant>
        <vt:i4>0</vt:i4>
      </vt:variant>
      <vt:variant>
        <vt:i4>5</vt:i4>
      </vt:variant>
      <vt:variant>
        <vt:lpwstr>http://www.nevo.co.il/case/5605484</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15277</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יוסי אילישייב</vt:lpwstr>
  </property>
  <property fmtid="{D5CDD505-2E9C-101B-9397-08002B2CF9AE}" pid="10" name="LAWYER">
    <vt:lpwstr>רותם כהן; סיבוני</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20180103</vt:lpwstr>
  </property>
  <property fmtid="{D5CDD505-2E9C-101B-9397-08002B2CF9AE}" pid="14" name="TYPE_N_DATE">
    <vt:lpwstr>38020180103</vt:lpwstr>
  </property>
  <property fmtid="{D5CDD505-2E9C-101B-9397-08002B2CF9AE}" pid="15" name="WORDNUMPAGES">
    <vt:lpwstr>9</vt:lpwstr>
  </property>
  <property fmtid="{D5CDD505-2E9C-101B-9397-08002B2CF9AE}" pid="16" name="TYPE_ABS_DATE">
    <vt:lpwstr>380120180103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5605484;5718884;21623143;6062217</vt:lpwstr>
  </property>
  <property fmtid="{D5CDD505-2E9C-101B-9397-08002B2CF9AE}" pid="36" name="LAWLISTTMP1">
    <vt:lpwstr>4216/013;019a</vt:lpwstr>
  </property>
  <property fmtid="{D5CDD505-2E9C-101B-9397-08002B2CF9AE}" pid="37" name="LAWLISTTMP2">
    <vt:lpwstr>70301/275:2;040b;040c;040d</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20180123</vt:lpwstr>
  </property>
  <property fmtid="{D5CDD505-2E9C-101B-9397-08002B2CF9AE}" pid="72" name="METAKZER">
    <vt:lpwstr>עומרי</vt:lpwstr>
  </property>
</Properties>
</file>