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0A14D7" w:rsidRPr="00785330" w14:paraId="634E82EF" w14:textId="77777777" w:rsidTr="00C52A97">
        <w:trPr>
          <w:trHeight w:hRule="exact" w:val="418"/>
          <w:jc w:val="center"/>
        </w:trPr>
        <w:tc>
          <w:tcPr>
            <w:tcW w:w="8721" w:type="dxa"/>
            <w:gridSpan w:val="2"/>
          </w:tcPr>
          <w:p w14:paraId="470699FE" w14:textId="77777777" w:rsidR="000A14D7" w:rsidRPr="00785330" w:rsidRDefault="000A14D7" w:rsidP="00785330">
            <w:pPr>
              <w:pStyle w:val="a3"/>
              <w:jc w:val="center"/>
              <w:rPr>
                <w:rFonts w:ascii="Tahoma" w:hAnsi="Tahoma" w:cs="Tahoma"/>
                <w:color w:val="000080"/>
                <w:rtl/>
              </w:rPr>
            </w:pPr>
            <w:bookmarkStart w:id="0" w:name="LastJudge"/>
            <w:r w:rsidRPr="00785330">
              <w:rPr>
                <w:rFonts w:ascii="Tahoma" w:hAnsi="Tahoma" w:cs="Tahoma"/>
                <w:b/>
                <w:bCs/>
                <w:color w:val="000080"/>
                <w:rtl/>
              </w:rPr>
              <w:t>בית משפט השלום בקריות</w:t>
            </w:r>
          </w:p>
        </w:tc>
      </w:tr>
      <w:tr w:rsidR="000A14D7" w:rsidRPr="00785330" w14:paraId="44B9A831" w14:textId="77777777" w:rsidTr="00C52A97">
        <w:trPr>
          <w:trHeight w:val="337"/>
          <w:jc w:val="center"/>
        </w:trPr>
        <w:tc>
          <w:tcPr>
            <w:tcW w:w="5054" w:type="dxa"/>
          </w:tcPr>
          <w:p w14:paraId="5601E69C" w14:textId="77777777" w:rsidR="000A14D7" w:rsidRPr="00262FBF" w:rsidRDefault="000A14D7" w:rsidP="00785330">
            <w:pPr>
              <w:rPr>
                <w:b/>
                <w:bCs/>
                <w:sz w:val="26"/>
                <w:szCs w:val="26"/>
                <w:rtl/>
              </w:rPr>
            </w:pPr>
            <w:r w:rsidRPr="00262FBF">
              <w:rPr>
                <w:b/>
                <w:bCs/>
                <w:sz w:val="26"/>
                <w:szCs w:val="26"/>
                <w:rtl/>
              </w:rPr>
              <w:t>ת"פ</w:t>
            </w:r>
            <w:r w:rsidRPr="00262FBF">
              <w:rPr>
                <w:rFonts w:hint="cs"/>
                <w:b/>
                <w:bCs/>
                <w:sz w:val="26"/>
                <w:szCs w:val="26"/>
                <w:rtl/>
              </w:rPr>
              <w:t xml:space="preserve"> </w:t>
            </w:r>
            <w:r w:rsidRPr="00262FBF">
              <w:rPr>
                <w:b/>
                <w:bCs/>
                <w:sz w:val="26"/>
                <w:szCs w:val="26"/>
                <w:rtl/>
              </w:rPr>
              <w:t>33382-01-16</w:t>
            </w:r>
            <w:r w:rsidRPr="00262FBF">
              <w:rPr>
                <w:rFonts w:hint="cs"/>
                <w:b/>
                <w:bCs/>
                <w:sz w:val="26"/>
                <w:szCs w:val="26"/>
                <w:rtl/>
              </w:rPr>
              <w:t xml:space="preserve"> </w:t>
            </w:r>
            <w:r w:rsidRPr="00262FBF">
              <w:rPr>
                <w:b/>
                <w:bCs/>
                <w:sz w:val="26"/>
                <w:szCs w:val="26"/>
                <w:rtl/>
              </w:rPr>
              <w:t>מדינת ישראל נ' שיר-אליזדה</w:t>
            </w:r>
          </w:p>
          <w:p w14:paraId="21F8DC12" w14:textId="77777777" w:rsidR="000A14D7" w:rsidRPr="00785330" w:rsidRDefault="000A14D7" w:rsidP="00785330">
            <w:pPr>
              <w:pStyle w:val="a3"/>
              <w:rPr>
                <w:rFonts w:cs="FrankRuehl"/>
                <w:sz w:val="28"/>
                <w:szCs w:val="28"/>
                <w:rtl/>
              </w:rPr>
            </w:pPr>
          </w:p>
        </w:tc>
        <w:tc>
          <w:tcPr>
            <w:tcW w:w="3667" w:type="dxa"/>
          </w:tcPr>
          <w:p w14:paraId="631F5981" w14:textId="77777777" w:rsidR="000A14D7" w:rsidRPr="00785330" w:rsidRDefault="000A14D7" w:rsidP="00785330">
            <w:pPr>
              <w:pStyle w:val="a3"/>
              <w:jc w:val="right"/>
              <w:rPr>
                <w:rFonts w:cs="FrankRuehl"/>
                <w:sz w:val="28"/>
                <w:szCs w:val="28"/>
                <w:rtl/>
              </w:rPr>
            </w:pPr>
          </w:p>
        </w:tc>
      </w:tr>
    </w:tbl>
    <w:p w14:paraId="21764315" w14:textId="77777777" w:rsidR="000A14D7" w:rsidRPr="00785330" w:rsidRDefault="000A14D7" w:rsidP="000A14D7">
      <w:pPr>
        <w:pStyle w:val="a3"/>
        <w:rPr>
          <w:rtl/>
        </w:rPr>
      </w:pPr>
      <w:r w:rsidRPr="00785330">
        <w:rPr>
          <w:rFonts w:hint="cs"/>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0A14D7" w:rsidRPr="00785330" w14:paraId="1DF0B00C" w14:textId="77777777" w:rsidTr="00785330">
        <w:trPr>
          <w:trHeight w:val="295"/>
          <w:jc w:val="center"/>
        </w:trPr>
        <w:tc>
          <w:tcPr>
            <w:tcW w:w="923" w:type="dxa"/>
            <w:tcBorders>
              <w:top w:val="nil"/>
              <w:left w:val="nil"/>
              <w:bottom w:val="nil"/>
              <w:right w:val="nil"/>
            </w:tcBorders>
            <w:shd w:val="clear" w:color="auto" w:fill="auto"/>
          </w:tcPr>
          <w:p w14:paraId="50F849F4" w14:textId="77777777" w:rsidR="000A14D7" w:rsidRPr="00785330" w:rsidRDefault="000A14D7" w:rsidP="00785330">
            <w:pPr>
              <w:jc w:val="both"/>
              <w:rPr>
                <w:rFonts w:ascii="Arial" w:hAnsi="Arial"/>
                <w:b/>
                <w:bCs/>
              </w:rPr>
            </w:pPr>
            <w:r w:rsidRPr="00785330">
              <w:rPr>
                <w:rFonts w:ascii="Arial" w:hAnsi="Arial" w:hint="cs"/>
                <w:b/>
                <w:bCs/>
                <w:rtl/>
              </w:rPr>
              <w:t>ב</w:t>
            </w:r>
            <w:r w:rsidRPr="00785330">
              <w:rPr>
                <w:rFonts w:ascii="Arial" w:hAnsi="Arial"/>
                <w:b/>
                <w:bCs/>
                <w:rtl/>
              </w:rPr>
              <w:t xml:space="preserve">פני </w:t>
            </w:r>
          </w:p>
        </w:tc>
        <w:tc>
          <w:tcPr>
            <w:tcW w:w="7897" w:type="dxa"/>
            <w:gridSpan w:val="2"/>
            <w:tcBorders>
              <w:top w:val="nil"/>
              <w:left w:val="nil"/>
              <w:bottom w:val="nil"/>
              <w:right w:val="nil"/>
            </w:tcBorders>
            <w:shd w:val="clear" w:color="auto" w:fill="auto"/>
          </w:tcPr>
          <w:p w14:paraId="603A00DD" w14:textId="77777777" w:rsidR="000A14D7" w:rsidRPr="00785330" w:rsidRDefault="000A14D7" w:rsidP="00785330">
            <w:pPr>
              <w:rPr>
                <w:rFonts w:ascii="Arial" w:hAnsi="Arial"/>
                <w:b/>
                <w:bCs/>
                <w:rtl/>
              </w:rPr>
            </w:pPr>
            <w:r w:rsidRPr="00785330">
              <w:rPr>
                <w:rFonts w:ascii="Arial" w:hAnsi="Arial" w:hint="cs"/>
                <w:b/>
                <w:bCs/>
                <w:rtl/>
              </w:rPr>
              <w:t>כבוד ה</w:t>
            </w:r>
            <w:r w:rsidRPr="00785330">
              <w:rPr>
                <w:rFonts w:hint="cs"/>
                <w:b/>
                <w:bCs/>
                <w:rtl/>
              </w:rPr>
              <w:t>שופט</w:t>
            </w:r>
            <w:r w:rsidRPr="00785330">
              <w:rPr>
                <w:rFonts w:ascii="Arial" w:hAnsi="Arial" w:hint="cs"/>
                <w:b/>
                <w:bCs/>
                <w:rtl/>
              </w:rPr>
              <w:t xml:space="preserve">  </w:t>
            </w:r>
            <w:r w:rsidRPr="00785330">
              <w:rPr>
                <w:rFonts w:hint="cs"/>
                <w:b/>
                <w:bCs/>
                <w:rtl/>
              </w:rPr>
              <w:t>יוסי טורס</w:t>
            </w:r>
          </w:p>
          <w:p w14:paraId="2C3FF55A" w14:textId="77777777" w:rsidR="000A14D7" w:rsidRPr="00785330" w:rsidRDefault="000A14D7" w:rsidP="00785330">
            <w:pPr>
              <w:rPr>
                <w:b/>
                <w:bCs/>
                <w:rtl/>
              </w:rPr>
            </w:pPr>
          </w:p>
          <w:p w14:paraId="2CB45A15" w14:textId="77777777" w:rsidR="000A14D7" w:rsidRPr="00785330" w:rsidRDefault="000A14D7" w:rsidP="00785330">
            <w:pPr>
              <w:jc w:val="both"/>
              <w:rPr>
                <w:rFonts w:ascii="Arial" w:hAnsi="Arial"/>
                <w:b/>
                <w:bCs/>
              </w:rPr>
            </w:pPr>
          </w:p>
        </w:tc>
      </w:tr>
      <w:tr w:rsidR="000A14D7" w:rsidRPr="00785330" w14:paraId="164C7DA9" w14:textId="77777777" w:rsidTr="00785330">
        <w:trPr>
          <w:trHeight w:val="355"/>
          <w:jc w:val="center"/>
        </w:trPr>
        <w:tc>
          <w:tcPr>
            <w:tcW w:w="923" w:type="dxa"/>
            <w:tcBorders>
              <w:top w:val="nil"/>
              <w:left w:val="nil"/>
              <w:bottom w:val="nil"/>
              <w:right w:val="nil"/>
            </w:tcBorders>
            <w:shd w:val="clear" w:color="auto" w:fill="auto"/>
          </w:tcPr>
          <w:p w14:paraId="359E7CB9" w14:textId="77777777" w:rsidR="000A14D7" w:rsidRPr="00785330" w:rsidRDefault="000A14D7" w:rsidP="00785330">
            <w:pPr>
              <w:jc w:val="both"/>
              <w:rPr>
                <w:rFonts w:ascii="Arial" w:hAnsi="Arial"/>
                <w:b/>
                <w:bCs/>
              </w:rPr>
            </w:pPr>
            <w:bookmarkStart w:id="1" w:name="FirstAppellant"/>
            <w:r w:rsidRPr="00785330">
              <w:rPr>
                <w:rFonts w:ascii="Arial" w:hAnsi="Arial" w:hint="cs"/>
                <w:b/>
                <w:bCs/>
                <w:rtl/>
              </w:rPr>
              <w:t>בעניין:</w:t>
            </w:r>
          </w:p>
        </w:tc>
        <w:tc>
          <w:tcPr>
            <w:tcW w:w="4126" w:type="dxa"/>
            <w:tcBorders>
              <w:top w:val="nil"/>
              <w:left w:val="nil"/>
              <w:bottom w:val="nil"/>
              <w:right w:val="nil"/>
            </w:tcBorders>
            <w:shd w:val="clear" w:color="auto" w:fill="auto"/>
          </w:tcPr>
          <w:p w14:paraId="1C23A02C" w14:textId="77777777" w:rsidR="000A14D7" w:rsidRPr="00785330" w:rsidRDefault="000A14D7" w:rsidP="00785330">
            <w:pPr>
              <w:rPr>
                <w:b/>
                <w:bCs/>
              </w:rPr>
            </w:pPr>
            <w:r w:rsidRPr="00785330">
              <w:rPr>
                <w:rFonts w:hint="cs"/>
                <w:b/>
                <w:bCs/>
                <w:rtl/>
              </w:rPr>
              <w:t>מדינת ישראל</w:t>
            </w:r>
          </w:p>
        </w:tc>
        <w:tc>
          <w:tcPr>
            <w:tcW w:w="3771" w:type="dxa"/>
            <w:tcBorders>
              <w:top w:val="nil"/>
              <w:left w:val="nil"/>
              <w:bottom w:val="nil"/>
              <w:right w:val="nil"/>
            </w:tcBorders>
            <w:shd w:val="clear" w:color="auto" w:fill="auto"/>
          </w:tcPr>
          <w:p w14:paraId="1DC47F18" w14:textId="77777777" w:rsidR="000A14D7" w:rsidRPr="00785330" w:rsidRDefault="000A14D7" w:rsidP="00785330">
            <w:pPr>
              <w:jc w:val="both"/>
              <w:rPr>
                <w:rFonts w:ascii="Arial" w:hAnsi="Arial"/>
                <w:b/>
                <w:bCs/>
              </w:rPr>
            </w:pPr>
          </w:p>
        </w:tc>
      </w:tr>
      <w:bookmarkEnd w:id="1"/>
      <w:tr w:rsidR="000A14D7" w:rsidRPr="00785330" w14:paraId="43FA92BC" w14:textId="77777777" w:rsidTr="00785330">
        <w:trPr>
          <w:trHeight w:val="355"/>
          <w:jc w:val="center"/>
        </w:trPr>
        <w:tc>
          <w:tcPr>
            <w:tcW w:w="923" w:type="dxa"/>
            <w:tcBorders>
              <w:top w:val="nil"/>
              <w:left w:val="nil"/>
              <w:bottom w:val="nil"/>
              <w:right w:val="nil"/>
            </w:tcBorders>
            <w:shd w:val="clear" w:color="auto" w:fill="auto"/>
          </w:tcPr>
          <w:p w14:paraId="0F7D69E1" w14:textId="77777777" w:rsidR="000A14D7" w:rsidRPr="00785330" w:rsidRDefault="000A14D7" w:rsidP="00785330">
            <w:pPr>
              <w:jc w:val="both"/>
              <w:rPr>
                <w:rFonts w:ascii="Arial" w:hAnsi="Arial"/>
                <w:b/>
                <w:bCs/>
                <w:rtl/>
              </w:rPr>
            </w:pPr>
          </w:p>
        </w:tc>
        <w:tc>
          <w:tcPr>
            <w:tcW w:w="4126" w:type="dxa"/>
            <w:tcBorders>
              <w:top w:val="nil"/>
              <w:left w:val="nil"/>
              <w:bottom w:val="nil"/>
              <w:right w:val="nil"/>
            </w:tcBorders>
            <w:shd w:val="clear" w:color="auto" w:fill="auto"/>
          </w:tcPr>
          <w:p w14:paraId="59539A07" w14:textId="77777777" w:rsidR="000A14D7" w:rsidRPr="00785330" w:rsidRDefault="000A14D7" w:rsidP="00785330">
            <w:pPr>
              <w:jc w:val="both"/>
              <w:rPr>
                <w:b/>
                <w:bCs/>
                <w:rtl/>
              </w:rPr>
            </w:pPr>
          </w:p>
        </w:tc>
        <w:tc>
          <w:tcPr>
            <w:tcW w:w="3771" w:type="dxa"/>
            <w:tcBorders>
              <w:top w:val="nil"/>
              <w:left w:val="nil"/>
              <w:bottom w:val="nil"/>
              <w:right w:val="nil"/>
            </w:tcBorders>
            <w:shd w:val="clear" w:color="auto" w:fill="auto"/>
          </w:tcPr>
          <w:p w14:paraId="7748EEB5" w14:textId="77777777" w:rsidR="000A14D7" w:rsidRPr="00785330" w:rsidRDefault="000A14D7" w:rsidP="00785330">
            <w:pPr>
              <w:jc w:val="right"/>
              <w:rPr>
                <w:rFonts w:ascii="Arial" w:hAnsi="Arial"/>
                <w:b/>
                <w:bCs/>
                <w:rtl/>
              </w:rPr>
            </w:pPr>
            <w:r w:rsidRPr="00785330">
              <w:rPr>
                <w:rFonts w:ascii="Arial" w:hAnsi="Arial" w:hint="cs"/>
                <w:b/>
                <w:bCs/>
                <w:rtl/>
              </w:rPr>
              <w:t>ה</w:t>
            </w:r>
            <w:r w:rsidRPr="00785330">
              <w:rPr>
                <w:rFonts w:hint="cs"/>
                <w:b/>
                <w:bCs/>
                <w:rtl/>
              </w:rPr>
              <w:t>מאשימה</w:t>
            </w:r>
          </w:p>
        </w:tc>
      </w:tr>
      <w:tr w:rsidR="000A14D7" w:rsidRPr="00785330" w14:paraId="275E4BC7" w14:textId="77777777" w:rsidTr="00785330">
        <w:trPr>
          <w:trHeight w:val="355"/>
          <w:jc w:val="center"/>
        </w:trPr>
        <w:tc>
          <w:tcPr>
            <w:tcW w:w="923" w:type="dxa"/>
            <w:tcBorders>
              <w:top w:val="nil"/>
              <w:left w:val="nil"/>
              <w:bottom w:val="nil"/>
              <w:right w:val="nil"/>
            </w:tcBorders>
            <w:shd w:val="clear" w:color="auto" w:fill="auto"/>
          </w:tcPr>
          <w:p w14:paraId="7EDC0F3C" w14:textId="77777777" w:rsidR="000A14D7" w:rsidRPr="00785330" w:rsidRDefault="000A14D7" w:rsidP="00785330">
            <w:pPr>
              <w:jc w:val="both"/>
              <w:rPr>
                <w:rFonts w:ascii="Arial" w:hAnsi="Arial"/>
                <w:b/>
                <w:bCs/>
                <w:rtl/>
              </w:rPr>
            </w:pPr>
          </w:p>
        </w:tc>
        <w:tc>
          <w:tcPr>
            <w:tcW w:w="7897" w:type="dxa"/>
            <w:gridSpan w:val="2"/>
            <w:tcBorders>
              <w:top w:val="nil"/>
              <w:left w:val="nil"/>
              <w:bottom w:val="nil"/>
              <w:right w:val="nil"/>
            </w:tcBorders>
            <w:shd w:val="clear" w:color="auto" w:fill="auto"/>
          </w:tcPr>
          <w:p w14:paraId="5B4161F0" w14:textId="77777777" w:rsidR="000A14D7" w:rsidRPr="00785330" w:rsidRDefault="000A14D7" w:rsidP="00785330">
            <w:pPr>
              <w:jc w:val="center"/>
              <w:rPr>
                <w:rFonts w:ascii="Arial" w:hAnsi="Arial"/>
                <w:b/>
                <w:bCs/>
                <w:rtl/>
              </w:rPr>
            </w:pPr>
          </w:p>
          <w:p w14:paraId="765718D0" w14:textId="77777777" w:rsidR="000A14D7" w:rsidRPr="00785330" w:rsidRDefault="000A14D7" w:rsidP="00785330">
            <w:pPr>
              <w:jc w:val="center"/>
              <w:rPr>
                <w:rFonts w:ascii="Arial" w:hAnsi="Arial"/>
                <w:b/>
                <w:bCs/>
                <w:rtl/>
              </w:rPr>
            </w:pPr>
            <w:r w:rsidRPr="00785330">
              <w:rPr>
                <w:rFonts w:ascii="Arial" w:hAnsi="Arial"/>
                <w:b/>
                <w:bCs/>
                <w:rtl/>
              </w:rPr>
              <w:t>נגד</w:t>
            </w:r>
          </w:p>
          <w:p w14:paraId="065FE199" w14:textId="77777777" w:rsidR="000A14D7" w:rsidRPr="00785330" w:rsidRDefault="000A14D7" w:rsidP="00785330">
            <w:pPr>
              <w:jc w:val="both"/>
              <w:rPr>
                <w:rFonts w:ascii="Arial" w:hAnsi="Arial"/>
                <w:b/>
                <w:bCs/>
              </w:rPr>
            </w:pPr>
          </w:p>
        </w:tc>
      </w:tr>
      <w:tr w:rsidR="000A14D7" w:rsidRPr="00785330" w14:paraId="1C49DBE9" w14:textId="77777777" w:rsidTr="00785330">
        <w:trPr>
          <w:trHeight w:val="355"/>
          <w:jc w:val="center"/>
        </w:trPr>
        <w:tc>
          <w:tcPr>
            <w:tcW w:w="923" w:type="dxa"/>
            <w:tcBorders>
              <w:top w:val="nil"/>
              <w:left w:val="nil"/>
              <w:bottom w:val="nil"/>
              <w:right w:val="nil"/>
            </w:tcBorders>
            <w:shd w:val="clear" w:color="auto" w:fill="auto"/>
          </w:tcPr>
          <w:p w14:paraId="678DD6AD" w14:textId="77777777" w:rsidR="000A14D7" w:rsidRPr="00785330" w:rsidRDefault="000A14D7" w:rsidP="00785330">
            <w:pPr>
              <w:rPr>
                <w:rFonts w:ascii="Arial" w:hAnsi="Arial"/>
                <w:b/>
                <w:bCs/>
                <w:rtl/>
              </w:rPr>
            </w:pPr>
          </w:p>
        </w:tc>
        <w:tc>
          <w:tcPr>
            <w:tcW w:w="4126" w:type="dxa"/>
            <w:tcBorders>
              <w:top w:val="nil"/>
              <w:left w:val="nil"/>
              <w:bottom w:val="nil"/>
              <w:right w:val="nil"/>
            </w:tcBorders>
            <w:shd w:val="clear" w:color="auto" w:fill="auto"/>
          </w:tcPr>
          <w:p w14:paraId="47718C54" w14:textId="77777777" w:rsidR="000A14D7" w:rsidRPr="00785330" w:rsidRDefault="000A14D7" w:rsidP="00785330">
            <w:pPr>
              <w:rPr>
                <w:b/>
                <w:bCs/>
                <w:rtl/>
              </w:rPr>
            </w:pPr>
            <w:r w:rsidRPr="00785330">
              <w:rPr>
                <w:rFonts w:hint="cs"/>
                <w:b/>
                <w:bCs/>
                <w:rtl/>
              </w:rPr>
              <w:t>אנר שיר-אליזדה</w:t>
            </w:r>
          </w:p>
        </w:tc>
        <w:tc>
          <w:tcPr>
            <w:tcW w:w="3771" w:type="dxa"/>
            <w:tcBorders>
              <w:top w:val="nil"/>
              <w:left w:val="nil"/>
              <w:bottom w:val="nil"/>
              <w:right w:val="nil"/>
            </w:tcBorders>
            <w:shd w:val="clear" w:color="auto" w:fill="auto"/>
          </w:tcPr>
          <w:p w14:paraId="6A21586A" w14:textId="77777777" w:rsidR="000A14D7" w:rsidRPr="00785330" w:rsidRDefault="000A14D7" w:rsidP="00785330">
            <w:pPr>
              <w:jc w:val="right"/>
              <w:rPr>
                <w:rFonts w:ascii="Arial" w:hAnsi="Arial"/>
                <w:b/>
                <w:bCs/>
              </w:rPr>
            </w:pPr>
          </w:p>
        </w:tc>
      </w:tr>
      <w:tr w:rsidR="000A14D7" w:rsidRPr="00785330" w14:paraId="1B6C8D31" w14:textId="77777777" w:rsidTr="00785330">
        <w:trPr>
          <w:trHeight w:val="355"/>
          <w:jc w:val="center"/>
        </w:trPr>
        <w:tc>
          <w:tcPr>
            <w:tcW w:w="923" w:type="dxa"/>
            <w:tcBorders>
              <w:top w:val="nil"/>
              <w:left w:val="nil"/>
              <w:bottom w:val="nil"/>
              <w:right w:val="nil"/>
            </w:tcBorders>
            <w:shd w:val="clear" w:color="auto" w:fill="auto"/>
          </w:tcPr>
          <w:p w14:paraId="588647B8" w14:textId="77777777" w:rsidR="000A14D7" w:rsidRPr="00785330" w:rsidRDefault="000A14D7" w:rsidP="00785330">
            <w:pPr>
              <w:jc w:val="both"/>
              <w:rPr>
                <w:rFonts w:ascii="Arial" w:hAnsi="Arial"/>
                <w:b/>
                <w:bCs/>
                <w:rtl/>
              </w:rPr>
            </w:pPr>
          </w:p>
        </w:tc>
        <w:tc>
          <w:tcPr>
            <w:tcW w:w="4126" w:type="dxa"/>
            <w:tcBorders>
              <w:top w:val="nil"/>
              <w:left w:val="nil"/>
              <w:bottom w:val="nil"/>
              <w:right w:val="nil"/>
            </w:tcBorders>
            <w:shd w:val="clear" w:color="auto" w:fill="auto"/>
          </w:tcPr>
          <w:p w14:paraId="327A4206" w14:textId="77777777" w:rsidR="000A14D7" w:rsidRPr="00785330" w:rsidRDefault="000A14D7" w:rsidP="00785330">
            <w:pPr>
              <w:jc w:val="both"/>
              <w:rPr>
                <w:b/>
                <w:bCs/>
                <w:rtl/>
              </w:rPr>
            </w:pPr>
          </w:p>
        </w:tc>
        <w:tc>
          <w:tcPr>
            <w:tcW w:w="3771" w:type="dxa"/>
            <w:tcBorders>
              <w:top w:val="nil"/>
              <w:left w:val="nil"/>
              <w:bottom w:val="nil"/>
              <w:right w:val="nil"/>
            </w:tcBorders>
            <w:shd w:val="clear" w:color="auto" w:fill="auto"/>
          </w:tcPr>
          <w:p w14:paraId="1743B467" w14:textId="77777777" w:rsidR="000A14D7" w:rsidRPr="00785330" w:rsidRDefault="000A14D7" w:rsidP="00785330">
            <w:pPr>
              <w:jc w:val="right"/>
              <w:rPr>
                <w:rFonts w:ascii="Arial" w:hAnsi="Arial"/>
                <w:b/>
                <w:bCs/>
              </w:rPr>
            </w:pPr>
            <w:r w:rsidRPr="00785330">
              <w:rPr>
                <w:rFonts w:ascii="Arial" w:hAnsi="Arial" w:hint="cs"/>
                <w:b/>
                <w:bCs/>
                <w:rtl/>
              </w:rPr>
              <w:t>ה</w:t>
            </w:r>
            <w:r w:rsidRPr="00785330">
              <w:rPr>
                <w:rFonts w:hint="cs"/>
                <w:b/>
                <w:bCs/>
                <w:rtl/>
              </w:rPr>
              <w:t>נאשם</w:t>
            </w:r>
          </w:p>
        </w:tc>
      </w:tr>
    </w:tbl>
    <w:p w14:paraId="2E714600" w14:textId="77777777" w:rsidR="00262FBF" w:rsidRPr="00262FBF" w:rsidRDefault="00262FBF" w:rsidP="00262FBF">
      <w:pPr>
        <w:spacing w:after="120" w:line="240" w:lineRule="exact"/>
        <w:ind w:left="283" w:hanging="283"/>
        <w:jc w:val="both"/>
        <w:rPr>
          <w:rFonts w:ascii="FrankRuehl" w:hAnsi="FrankRuehl" w:cs="FrankRuehl"/>
          <w:rtl/>
        </w:rPr>
      </w:pPr>
      <w:bookmarkStart w:id="2" w:name="LawTable"/>
      <w:bookmarkEnd w:id="0"/>
      <w:bookmarkEnd w:id="2"/>
    </w:p>
    <w:p w14:paraId="4A97467D" w14:textId="77777777" w:rsidR="00262FBF" w:rsidRPr="00262FBF" w:rsidRDefault="00262FBF" w:rsidP="00262FBF">
      <w:pPr>
        <w:spacing w:after="120" w:line="240" w:lineRule="exact"/>
        <w:ind w:left="283" w:hanging="283"/>
        <w:jc w:val="both"/>
        <w:rPr>
          <w:rFonts w:ascii="FrankRuehl" w:hAnsi="FrankRuehl" w:cs="FrankRuehl"/>
          <w:rtl/>
        </w:rPr>
      </w:pPr>
      <w:r w:rsidRPr="00262FBF">
        <w:rPr>
          <w:rFonts w:ascii="FrankRuehl" w:hAnsi="FrankRuehl" w:cs="FrankRuehl"/>
          <w:rtl/>
        </w:rPr>
        <w:t xml:space="preserve">חקיקה שאוזכרה: </w:t>
      </w:r>
    </w:p>
    <w:p w14:paraId="2878171B" w14:textId="77777777" w:rsidR="00262FBF" w:rsidRPr="00262FBF" w:rsidRDefault="00262FBF" w:rsidP="00262FBF">
      <w:pPr>
        <w:spacing w:after="120" w:line="240" w:lineRule="exact"/>
        <w:ind w:left="283" w:hanging="283"/>
        <w:jc w:val="both"/>
        <w:rPr>
          <w:rFonts w:ascii="FrankRuehl" w:hAnsi="FrankRuehl" w:cs="FrankRuehl"/>
          <w:rtl/>
        </w:rPr>
      </w:pPr>
      <w:hyperlink r:id="rId7" w:history="1">
        <w:r w:rsidRPr="00262FBF">
          <w:rPr>
            <w:rFonts w:ascii="FrankRuehl" w:hAnsi="FrankRuehl" w:cs="FrankRuehl"/>
            <w:color w:val="0000FF"/>
            <w:u w:val="single"/>
            <w:rtl/>
          </w:rPr>
          <w:t>פקודת הסמים המסוכנים [נוסח חדש], תשל"ג-1973</w:t>
        </w:r>
      </w:hyperlink>
      <w:r w:rsidRPr="00262FBF">
        <w:rPr>
          <w:rFonts w:ascii="FrankRuehl" w:hAnsi="FrankRuehl" w:cs="FrankRuehl"/>
          <w:rtl/>
        </w:rPr>
        <w:t xml:space="preserve">: סע'  </w:t>
      </w:r>
      <w:hyperlink r:id="rId8" w:history="1">
        <w:r w:rsidRPr="00262FBF">
          <w:rPr>
            <w:rFonts w:ascii="FrankRuehl" w:hAnsi="FrankRuehl" w:cs="FrankRuehl"/>
            <w:color w:val="0000FF"/>
            <w:u w:val="single"/>
            <w:rtl/>
          </w:rPr>
          <w:t>6</w:t>
        </w:r>
      </w:hyperlink>
      <w:r w:rsidRPr="00262FBF">
        <w:rPr>
          <w:rFonts w:ascii="FrankRuehl" w:hAnsi="FrankRuehl" w:cs="FrankRuehl"/>
          <w:rtl/>
        </w:rPr>
        <w:t xml:space="preserve">, </w:t>
      </w:r>
      <w:hyperlink r:id="rId9" w:history="1">
        <w:r w:rsidRPr="00262FBF">
          <w:rPr>
            <w:rFonts w:ascii="FrankRuehl" w:hAnsi="FrankRuehl" w:cs="FrankRuehl"/>
            <w:color w:val="0000FF"/>
            <w:u w:val="single"/>
            <w:rtl/>
          </w:rPr>
          <w:t>10</w:t>
        </w:r>
      </w:hyperlink>
    </w:p>
    <w:p w14:paraId="221B3DA7" w14:textId="77777777" w:rsidR="00262FBF" w:rsidRPr="00262FBF" w:rsidRDefault="00262FBF" w:rsidP="00262FBF">
      <w:pPr>
        <w:spacing w:after="120" w:line="240" w:lineRule="exact"/>
        <w:ind w:left="283" w:hanging="283"/>
        <w:jc w:val="both"/>
        <w:rPr>
          <w:rFonts w:ascii="FrankRuehl" w:hAnsi="FrankRuehl" w:cs="FrankRuehl"/>
          <w:rtl/>
        </w:rPr>
      </w:pPr>
      <w:hyperlink r:id="rId10" w:history="1">
        <w:r w:rsidRPr="00262FBF">
          <w:rPr>
            <w:rFonts w:ascii="FrankRuehl" w:hAnsi="FrankRuehl" w:cs="FrankRuehl"/>
            <w:color w:val="0000FF"/>
            <w:u w:val="single"/>
            <w:rtl/>
          </w:rPr>
          <w:t>חוק העונשין, תשל"ז-1977</w:t>
        </w:r>
      </w:hyperlink>
      <w:r w:rsidRPr="00262FBF">
        <w:rPr>
          <w:rFonts w:ascii="FrankRuehl" w:hAnsi="FrankRuehl" w:cs="FrankRuehl"/>
          <w:rtl/>
        </w:rPr>
        <w:t xml:space="preserve">: סע'  </w:t>
      </w:r>
      <w:hyperlink r:id="rId11" w:history="1">
        <w:r w:rsidRPr="00262FBF">
          <w:rPr>
            <w:rFonts w:ascii="FrankRuehl" w:hAnsi="FrankRuehl" w:cs="FrankRuehl"/>
            <w:color w:val="0000FF"/>
            <w:u w:val="single"/>
            <w:rtl/>
          </w:rPr>
          <w:t>40י'</w:t>
        </w:r>
      </w:hyperlink>
      <w:r w:rsidRPr="00262FBF">
        <w:rPr>
          <w:rFonts w:ascii="FrankRuehl" w:hAnsi="FrankRuehl" w:cs="FrankRuehl"/>
          <w:rtl/>
        </w:rPr>
        <w:t xml:space="preserve">, </w:t>
      </w:r>
      <w:hyperlink r:id="rId12" w:history="1">
        <w:r w:rsidRPr="00262FBF">
          <w:rPr>
            <w:rFonts w:ascii="FrankRuehl" w:hAnsi="FrankRuehl" w:cs="FrankRuehl"/>
            <w:color w:val="0000FF"/>
            <w:u w:val="single"/>
            <w:rtl/>
          </w:rPr>
          <w:t>40י'(ג)</w:t>
        </w:r>
      </w:hyperlink>
    </w:p>
    <w:p w14:paraId="0A18F727" w14:textId="77777777" w:rsidR="00262FBF" w:rsidRDefault="00262FBF" w:rsidP="00262FBF">
      <w:pPr>
        <w:spacing w:after="120" w:line="240" w:lineRule="exact"/>
        <w:ind w:left="283" w:hanging="283"/>
        <w:jc w:val="both"/>
        <w:rPr>
          <w:rFonts w:ascii="FrankRuehl" w:hAnsi="FrankRuehl" w:cs="FrankRuehl" w:hint="cs"/>
          <w:rtl/>
        </w:rPr>
      </w:pPr>
    </w:p>
    <w:p w14:paraId="7ACE5194" w14:textId="77777777" w:rsidR="00262FBF" w:rsidRDefault="00262FBF" w:rsidP="00262FBF">
      <w:pPr>
        <w:pBdr>
          <w:top w:val="single" w:sz="4" w:space="1" w:color="auto"/>
          <w:bottom w:val="single" w:sz="4" w:space="1" w:color="auto"/>
        </w:pBdr>
        <w:spacing w:after="120" w:line="320" w:lineRule="exact"/>
        <w:jc w:val="both"/>
        <w:rPr>
          <w:rFonts w:eastAsia="Yu Gothic UI Semilight" w:cs="FrankRuehl" w:hint="cs"/>
          <w:szCs w:val="26"/>
          <w:rtl/>
        </w:rPr>
      </w:pPr>
      <w:bookmarkStart w:id="3" w:name="ABSTRACT_START"/>
      <w:bookmarkEnd w:id="3"/>
      <w:r>
        <w:rPr>
          <w:rFonts w:eastAsia="Yu Gothic UI Semilight" w:cs="FrankRuehl"/>
          <w:szCs w:val="26"/>
          <w:rtl/>
        </w:rPr>
        <w:t>מיני-רציו:</w:t>
      </w:r>
    </w:p>
    <w:p w14:paraId="581CA6BB" w14:textId="77777777" w:rsidR="00262FBF" w:rsidRPr="00262FBF" w:rsidRDefault="00262FBF" w:rsidP="00262FBF">
      <w:pPr>
        <w:pBdr>
          <w:top w:val="single" w:sz="4" w:space="1" w:color="auto"/>
          <w:bottom w:val="single" w:sz="4" w:space="1" w:color="auto"/>
        </w:pBdr>
        <w:spacing w:after="120" w:line="320" w:lineRule="exact"/>
        <w:jc w:val="both"/>
        <w:rPr>
          <w:rFonts w:eastAsia="Yu Gothic UI Semilight" w:cs="FrankRuehl"/>
          <w:szCs w:val="26"/>
          <w:rtl/>
        </w:rPr>
      </w:pPr>
      <w:r>
        <w:rPr>
          <w:rFonts w:eastAsia="Yu Gothic UI Semilight" w:cs="FrankRuehl" w:hint="cs"/>
          <w:szCs w:val="26"/>
          <w:rtl/>
        </w:rPr>
        <w:t xml:space="preserve">* </w:t>
      </w:r>
      <w:r w:rsidRPr="00262FBF">
        <w:rPr>
          <w:rFonts w:eastAsia="Yu Gothic UI Semilight" w:cs="FrankRuehl"/>
          <w:szCs w:val="26"/>
          <w:rtl/>
        </w:rPr>
        <w:t xml:space="preserve">בית המשפט גזר על הנאשם שהורשע על פי הודאתו בעבירות של גידול סמים, לפי </w:t>
      </w:r>
      <w:hyperlink r:id="rId13" w:history="1">
        <w:r w:rsidRPr="00262FBF">
          <w:rPr>
            <w:rFonts w:eastAsia="Yu Gothic UI Semilight" w:cs="FrankRuehl"/>
            <w:szCs w:val="26"/>
            <w:rtl/>
          </w:rPr>
          <w:t>סעיף 6</w:t>
        </w:r>
      </w:hyperlink>
      <w:r w:rsidRPr="00262FBF">
        <w:rPr>
          <w:rFonts w:eastAsia="Yu Gothic UI Semilight" w:cs="FrankRuehl"/>
          <w:szCs w:val="26"/>
          <w:rtl/>
        </w:rPr>
        <w:t xml:space="preserve"> ל</w:t>
      </w:r>
      <w:hyperlink r:id="rId14" w:history="1">
        <w:r w:rsidRPr="00262FBF">
          <w:rPr>
            <w:rFonts w:eastAsia="Yu Gothic UI Semilight" w:cs="FrankRuehl"/>
            <w:szCs w:val="26"/>
            <w:rtl/>
          </w:rPr>
          <w:t>פקודת הסמים המסוכנים</w:t>
        </w:r>
      </w:hyperlink>
      <w:r w:rsidRPr="00262FBF">
        <w:rPr>
          <w:rFonts w:eastAsia="Yu Gothic UI Semilight" w:cs="FrankRuehl"/>
          <w:szCs w:val="26"/>
          <w:rtl/>
        </w:rPr>
        <w:t xml:space="preserve"> (נוסח חדש) וכן החזקת כלים להכנת סם שלא לצריכה עצמית, לפי </w:t>
      </w:r>
      <w:hyperlink r:id="rId15" w:history="1">
        <w:r w:rsidRPr="00262FBF">
          <w:rPr>
            <w:rFonts w:eastAsia="Yu Gothic UI Semilight" w:cs="FrankRuehl"/>
            <w:szCs w:val="26"/>
            <w:rtl/>
          </w:rPr>
          <w:t>סעיף 10</w:t>
        </w:r>
      </w:hyperlink>
      <w:r w:rsidRPr="00262FBF">
        <w:rPr>
          <w:rFonts w:eastAsia="Yu Gothic UI Semilight" w:cs="FrankRuehl"/>
          <w:szCs w:val="26"/>
          <w:rtl/>
        </w:rPr>
        <w:t xml:space="preserve"> לפקודת הסמים עונש של </w:t>
      </w:r>
      <w:r w:rsidRPr="00262FBF">
        <w:rPr>
          <w:rFonts w:cs="FrankRuehl"/>
          <w:szCs w:val="26"/>
          <w:rtl/>
        </w:rPr>
        <w:t xml:space="preserve">מאסר בפועל למשך 10 חודשים, קנס ומאסר על תנאי. </w:t>
      </w:r>
    </w:p>
    <w:p w14:paraId="5E353976" w14:textId="77777777" w:rsidR="00262FBF" w:rsidRDefault="00262FBF" w:rsidP="00262FBF">
      <w:pPr>
        <w:pBdr>
          <w:top w:val="single" w:sz="4" w:space="1" w:color="auto"/>
          <w:bottom w:val="single" w:sz="4" w:space="1" w:color="auto"/>
        </w:pBdr>
        <w:spacing w:after="120" w:line="320" w:lineRule="exact"/>
        <w:jc w:val="both"/>
        <w:rPr>
          <w:rFonts w:eastAsia="Yu Gothic UI Semilight" w:cs="FrankRuehl" w:hint="cs"/>
          <w:szCs w:val="26"/>
          <w:rtl/>
        </w:rPr>
      </w:pPr>
      <w:r>
        <w:rPr>
          <w:rFonts w:eastAsia="Yu Gothic UI Semilight" w:cs="FrankRuehl"/>
          <w:szCs w:val="26"/>
          <w:rtl/>
        </w:rPr>
        <w:t>* עונשין – ענישה – מדיניות ענישה: עבירות סמים</w:t>
      </w:r>
    </w:p>
    <w:p w14:paraId="3AEA426D" w14:textId="77777777" w:rsidR="00262FBF" w:rsidRDefault="00262FBF" w:rsidP="00262FBF">
      <w:pPr>
        <w:pBdr>
          <w:top w:val="single" w:sz="4" w:space="1" w:color="auto"/>
          <w:bottom w:val="single" w:sz="4" w:space="1" w:color="auto"/>
        </w:pBdr>
        <w:spacing w:after="120" w:line="320" w:lineRule="exact"/>
        <w:jc w:val="both"/>
        <w:rPr>
          <w:rFonts w:eastAsia="Yu Gothic UI Semilight" w:cs="FrankRuehl" w:hint="cs"/>
          <w:szCs w:val="26"/>
          <w:rtl/>
        </w:rPr>
      </w:pPr>
      <w:r>
        <w:rPr>
          <w:rFonts w:eastAsia="Yu Gothic UI Semilight" w:cs="FrankRuehl" w:hint="cs"/>
          <w:szCs w:val="26"/>
          <w:rtl/>
        </w:rPr>
        <w:t>.</w:t>
      </w:r>
    </w:p>
    <w:p w14:paraId="48033247" w14:textId="77777777" w:rsidR="00262FBF" w:rsidRPr="00262FBF" w:rsidRDefault="00262FBF" w:rsidP="00262FBF">
      <w:pPr>
        <w:pBdr>
          <w:top w:val="single" w:sz="4" w:space="1" w:color="auto"/>
          <w:bottom w:val="single" w:sz="4" w:space="1" w:color="auto"/>
        </w:pBdr>
        <w:spacing w:after="120" w:line="320" w:lineRule="exact"/>
        <w:jc w:val="both"/>
        <w:rPr>
          <w:rFonts w:eastAsia="Yu Gothic UI Semilight" w:cs="FrankRuehl"/>
          <w:szCs w:val="26"/>
        </w:rPr>
      </w:pPr>
      <w:r w:rsidRPr="00262FBF">
        <w:rPr>
          <w:rFonts w:eastAsia="Yu Gothic UI Semilight" w:cs="FrankRuehl"/>
          <w:szCs w:val="26"/>
          <w:rtl/>
        </w:rPr>
        <w:t xml:space="preserve">בית המשפט נדרש לגזור את דינו של הנאשם שהורשע על פי הודאתו בעבירות של גידול סמים, לפי </w:t>
      </w:r>
      <w:hyperlink r:id="rId16" w:history="1">
        <w:r w:rsidRPr="00262FBF">
          <w:rPr>
            <w:rFonts w:eastAsia="Yu Gothic UI Semilight" w:cs="FrankRuehl"/>
            <w:szCs w:val="26"/>
            <w:rtl/>
          </w:rPr>
          <w:t>סעיף 6</w:t>
        </w:r>
      </w:hyperlink>
      <w:r w:rsidRPr="00262FBF">
        <w:rPr>
          <w:rFonts w:eastAsia="Yu Gothic UI Semilight" w:cs="FrankRuehl"/>
          <w:szCs w:val="26"/>
          <w:rtl/>
        </w:rPr>
        <w:t xml:space="preserve"> ל</w:t>
      </w:r>
      <w:hyperlink r:id="rId17" w:history="1">
        <w:r w:rsidRPr="00262FBF">
          <w:rPr>
            <w:rFonts w:eastAsia="Yu Gothic UI Semilight" w:cs="FrankRuehl"/>
            <w:szCs w:val="26"/>
            <w:rtl/>
          </w:rPr>
          <w:t>פקודת הסמים המסוכנים</w:t>
        </w:r>
      </w:hyperlink>
      <w:r w:rsidRPr="00262FBF">
        <w:rPr>
          <w:rFonts w:eastAsia="Yu Gothic UI Semilight" w:cs="FrankRuehl"/>
          <w:szCs w:val="26"/>
          <w:rtl/>
        </w:rPr>
        <w:t xml:space="preserve"> (נוסח חדש) וכן החזקת כלים להכנת סם שלא לצריכה עצמית, לפי </w:t>
      </w:r>
      <w:hyperlink r:id="rId18" w:history="1">
        <w:r w:rsidRPr="00262FBF">
          <w:rPr>
            <w:rFonts w:eastAsia="Yu Gothic UI Semilight" w:cs="FrankRuehl"/>
            <w:szCs w:val="26"/>
            <w:rtl/>
          </w:rPr>
          <w:t>סעיף 10</w:t>
        </w:r>
      </w:hyperlink>
      <w:r w:rsidRPr="00262FBF">
        <w:rPr>
          <w:rFonts w:eastAsia="Yu Gothic UI Semilight" w:cs="FrankRuehl"/>
          <w:szCs w:val="26"/>
          <w:rtl/>
        </w:rPr>
        <w:t xml:space="preserve"> לפקודת הסמים.</w:t>
      </w:r>
    </w:p>
    <w:p w14:paraId="3DACB019" w14:textId="77777777" w:rsidR="00262FBF" w:rsidRPr="00262FBF" w:rsidRDefault="00262FBF" w:rsidP="00262FBF">
      <w:pPr>
        <w:pBdr>
          <w:top w:val="single" w:sz="4" w:space="1" w:color="auto"/>
          <w:bottom w:val="single" w:sz="4" w:space="1" w:color="auto"/>
        </w:pBdr>
        <w:spacing w:after="120" w:line="320" w:lineRule="exact"/>
        <w:jc w:val="both"/>
        <w:rPr>
          <w:rFonts w:eastAsia="Yu Gothic UI Semilight" w:cs="FrankRuehl" w:hint="cs"/>
          <w:szCs w:val="26"/>
          <w:rtl/>
        </w:rPr>
      </w:pPr>
      <w:r>
        <w:rPr>
          <w:rFonts w:eastAsia="Yu Gothic UI Semilight" w:cs="FrankRuehl" w:hint="cs"/>
          <w:szCs w:val="26"/>
          <w:rtl/>
        </w:rPr>
        <w:t>.</w:t>
      </w:r>
    </w:p>
    <w:p w14:paraId="24EC94E9" w14:textId="77777777" w:rsidR="00262FBF" w:rsidRPr="00262FBF" w:rsidRDefault="00262FBF" w:rsidP="00262FBF">
      <w:pPr>
        <w:pBdr>
          <w:top w:val="single" w:sz="4" w:space="1" w:color="auto"/>
          <w:bottom w:val="single" w:sz="4" w:space="1" w:color="auto"/>
        </w:pBdr>
        <w:spacing w:after="120" w:line="320" w:lineRule="exact"/>
        <w:jc w:val="both"/>
        <w:rPr>
          <w:rFonts w:eastAsia="Yu Gothic UI Semilight" w:cs="FrankRuehl"/>
          <w:szCs w:val="26"/>
          <w:rtl/>
        </w:rPr>
      </w:pPr>
      <w:r w:rsidRPr="00262FBF">
        <w:rPr>
          <w:rFonts w:eastAsia="Yu Gothic UI Semilight" w:cs="FrankRuehl"/>
          <w:szCs w:val="26"/>
          <w:rtl/>
        </w:rPr>
        <w:t>בית המשפט פסק כלהלן:</w:t>
      </w:r>
    </w:p>
    <w:p w14:paraId="231982B7" w14:textId="77777777" w:rsidR="00262FBF" w:rsidRPr="00262FBF" w:rsidRDefault="00262FBF" w:rsidP="00262FBF">
      <w:pPr>
        <w:pBdr>
          <w:top w:val="single" w:sz="4" w:space="1" w:color="auto"/>
          <w:bottom w:val="single" w:sz="4" w:space="1" w:color="auto"/>
        </w:pBdr>
        <w:spacing w:after="120" w:line="320" w:lineRule="exact"/>
        <w:jc w:val="both"/>
        <w:rPr>
          <w:rFonts w:cs="FrankRuehl"/>
          <w:szCs w:val="26"/>
          <w:rtl/>
        </w:rPr>
      </w:pPr>
      <w:r w:rsidRPr="00262FBF">
        <w:rPr>
          <w:rFonts w:cs="FrankRuehl"/>
          <w:szCs w:val="26"/>
          <w:rtl/>
        </w:rPr>
        <w:t>נסיבות העניין, כמו גם ההרשעה בעבירה של החזקת כלים שלא לשימוש עצמי, מביאות למסקנה שמדובר בגידול שאינו לשימוש עצמי בלבד.</w:t>
      </w:r>
    </w:p>
    <w:p w14:paraId="24B878AE" w14:textId="77777777" w:rsidR="00262FBF" w:rsidRPr="00262FBF" w:rsidRDefault="00262FBF" w:rsidP="00262FBF">
      <w:pPr>
        <w:pBdr>
          <w:top w:val="single" w:sz="4" w:space="1" w:color="auto"/>
          <w:bottom w:val="single" w:sz="4" w:space="1" w:color="auto"/>
        </w:pBdr>
        <w:spacing w:after="120" w:line="320" w:lineRule="exact"/>
        <w:jc w:val="both"/>
        <w:rPr>
          <w:rFonts w:cs="FrankRuehl"/>
          <w:szCs w:val="26"/>
          <w:rtl/>
        </w:rPr>
      </w:pPr>
      <w:r w:rsidRPr="00262FBF">
        <w:rPr>
          <w:rFonts w:cs="FrankRuehl"/>
          <w:szCs w:val="26"/>
          <w:rtl/>
        </w:rPr>
        <w:t xml:space="preserve">מדיניות הענישה בעבירות סמים הקשורות לשרשרת ההפצה היא ככלל מחמירה ולנסיבות האישיות ניתן משקל מופחת. </w:t>
      </w:r>
    </w:p>
    <w:p w14:paraId="53FA68A7" w14:textId="77777777" w:rsidR="00262FBF" w:rsidRPr="00262FBF" w:rsidRDefault="00262FBF" w:rsidP="00262FBF">
      <w:pPr>
        <w:pBdr>
          <w:top w:val="single" w:sz="4" w:space="1" w:color="auto"/>
          <w:bottom w:val="single" w:sz="4" w:space="1" w:color="auto"/>
        </w:pBdr>
        <w:spacing w:after="120" w:line="320" w:lineRule="exact"/>
        <w:jc w:val="both"/>
        <w:rPr>
          <w:rFonts w:cs="FrankRuehl"/>
          <w:szCs w:val="26"/>
          <w:rtl/>
        </w:rPr>
      </w:pPr>
      <w:r w:rsidRPr="00262FBF">
        <w:rPr>
          <w:rFonts w:cs="FrankRuehl"/>
          <w:szCs w:val="26"/>
          <w:rtl/>
        </w:rPr>
        <w:t xml:space="preserve">מתחם הענישה ההולם את העבירה מושא ענייננו נע בין 9 חודשי מאסר בפועל ועד 24 חודשי מאסר בפועל וכן ענישה כלכלית הולמת. </w:t>
      </w:r>
    </w:p>
    <w:p w14:paraId="488DA669" w14:textId="77777777" w:rsidR="00262FBF" w:rsidRPr="00262FBF" w:rsidRDefault="00262FBF" w:rsidP="00262FBF">
      <w:pPr>
        <w:pBdr>
          <w:top w:val="single" w:sz="4" w:space="1" w:color="auto"/>
          <w:bottom w:val="single" w:sz="4" w:space="1" w:color="auto"/>
        </w:pBdr>
        <w:spacing w:after="120" w:line="320" w:lineRule="exact"/>
        <w:jc w:val="both"/>
        <w:rPr>
          <w:rFonts w:cs="FrankRuehl"/>
          <w:szCs w:val="26"/>
          <w:rtl/>
        </w:rPr>
      </w:pPr>
      <w:r w:rsidRPr="00262FBF">
        <w:rPr>
          <w:rFonts w:cs="FrankRuehl"/>
          <w:szCs w:val="26"/>
          <w:rtl/>
        </w:rPr>
        <w:lastRenderedPageBreak/>
        <w:t>אין מקום להעדיף, במקרה זה, את שיקולי השיקום על פני שיקולי ההלימה. בנסיבותיו של עניין זה, על עונשו של הנאשם להיגזר בגדרי המתחם, תוך מתן דגש לשיקולי הרתעה, כאשר סיכויי שיקומו יובאו בחשבון בקביעת העונש בתוך המתחם.</w:t>
      </w:r>
    </w:p>
    <w:p w14:paraId="7D35D884" w14:textId="77777777" w:rsidR="00262FBF" w:rsidRPr="00262FBF" w:rsidRDefault="00262FBF" w:rsidP="00262FBF">
      <w:pPr>
        <w:jc w:val="center"/>
        <w:rPr>
          <w:rFonts w:ascii="Arial" w:hAnsi="Arial"/>
          <w:sz w:val="32"/>
          <w:szCs w:val="32"/>
          <w:rtl/>
        </w:rPr>
      </w:pPr>
      <w:bookmarkStart w:id="4" w:name="LawTable_End"/>
      <w:bookmarkStart w:id="5" w:name="ABSTRACT_END"/>
      <w:bookmarkEnd w:id="4"/>
      <w:bookmarkEnd w:id="5"/>
    </w:p>
    <w:p w14:paraId="15C04002" w14:textId="77777777" w:rsidR="00262FBF" w:rsidRPr="00785330" w:rsidRDefault="00262FBF" w:rsidP="00262FBF">
      <w:pPr>
        <w:jc w:val="center"/>
        <w:rPr>
          <w:rFonts w:ascii="Arial" w:hAnsi="Arial"/>
          <w:b/>
          <w:bCs/>
          <w:sz w:val="32"/>
          <w:szCs w:val="32"/>
          <w:u w:val="single"/>
          <w:rtl/>
        </w:rPr>
      </w:pPr>
      <w:bookmarkStart w:id="6" w:name="PsakDin"/>
      <w:r w:rsidRPr="00785330">
        <w:rPr>
          <w:rFonts w:ascii="Arial" w:hAnsi="Arial"/>
          <w:b/>
          <w:bCs/>
          <w:sz w:val="32"/>
          <w:szCs w:val="32"/>
          <w:u w:val="single"/>
          <w:rtl/>
        </w:rPr>
        <w:t>גזר דין</w:t>
      </w:r>
    </w:p>
    <w:bookmarkEnd w:id="6"/>
    <w:p w14:paraId="0B64508A" w14:textId="77777777" w:rsidR="000A14D7" w:rsidRPr="00B05847" w:rsidRDefault="000A14D7" w:rsidP="000A14D7">
      <w:pPr>
        <w:rPr>
          <w:rtl/>
        </w:rPr>
      </w:pPr>
    </w:p>
    <w:p w14:paraId="2272805F" w14:textId="77777777" w:rsidR="000A14D7" w:rsidRDefault="000A14D7" w:rsidP="000A14D7">
      <w:pPr>
        <w:ind w:firstLine="360"/>
        <w:rPr>
          <w:b/>
          <w:bCs/>
          <w:u w:val="single"/>
          <w:rtl/>
        </w:rPr>
      </w:pPr>
      <w:r>
        <w:rPr>
          <w:b/>
          <w:bCs/>
          <w:u w:val="single"/>
          <w:rtl/>
        </w:rPr>
        <w:t xml:space="preserve">כתב האישום </w:t>
      </w:r>
    </w:p>
    <w:p w14:paraId="1DB385DE" w14:textId="77777777" w:rsidR="000A14D7" w:rsidRDefault="000A14D7" w:rsidP="000A14D7">
      <w:pPr>
        <w:rPr>
          <w:rtl/>
        </w:rPr>
      </w:pPr>
    </w:p>
    <w:p w14:paraId="0B2368D3" w14:textId="77777777" w:rsidR="000A14D7" w:rsidRDefault="000A14D7" w:rsidP="000A14D7">
      <w:pPr>
        <w:rPr>
          <w:rtl/>
        </w:rPr>
      </w:pPr>
    </w:p>
    <w:p w14:paraId="68790B97" w14:textId="77777777" w:rsidR="000A14D7" w:rsidRDefault="000A14D7" w:rsidP="000A14D7">
      <w:pPr>
        <w:numPr>
          <w:ilvl w:val="0"/>
          <w:numId w:val="1"/>
        </w:numPr>
        <w:spacing w:line="360" w:lineRule="auto"/>
        <w:contextualSpacing/>
        <w:jc w:val="both"/>
      </w:pPr>
      <w:r>
        <w:rPr>
          <w:rtl/>
        </w:rPr>
        <w:t xml:space="preserve">הנאשם הורשע על פי הודאתו בעבירות של גידול סמים, לפי </w:t>
      </w:r>
      <w:hyperlink r:id="rId19" w:history="1">
        <w:r w:rsidR="00C52A97" w:rsidRPr="00C52A97">
          <w:rPr>
            <w:color w:val="0000FF"/>
            <w:u w:val="single"/>
            <w:rtl/>
          </w:rPr>
          <w:t>סעיף 6</w:t>
        </w:r>
      </w:hyperlink>
      <w:r>
        <w:rPr>
          <w:rtl/>
        </w:rPr>
        <w:t xml:space="preserve"> </w:t>
      </w:r>
      <w:r w:rsidR="00C52A97" w:rsidRPr="00C52A97">
        <w:rPr>
          <w:rtl/>
        </w:rPr>
        <w:t>ל</w:t>
      </w:r>
      <w:hyperlink r:id="rId20" w:history="1">
        <w:r w:rsidR="00C52A97" w:rsidRPr="00C52A97">
          <w:rPr>
            <w:color w:val="0000FF"/>
            <w:u w:val="single"/>
            <w:rtl/>
          </w:rPr>
          <w:t>פקודת הסמים המסוכנים</w:t>
        </w:r>
      </w:hyperlink>
      <w:r w:rsidR="00C52A97" w:rsidRPr="00C52A97">
        <w:rPr>
          <w:rtl/>
        </w:rPr>
        <w:t xml:space="preserve"> (נוסח חדש) תשל"ג-1973</w:t>
      </w:r>
      <w:r>
        <w:rPr>
          <w:rtl/>
        </w:rPr>
        <w:t xml:space="preserve"> (להלן: </w:t>
      </w:r>
      <w:r w:rsidRPr="00BB1172">
        <w:rPr>
          <w:rFonts w:cs="Miriam"/>
          <w:rtl/>
        </w:rPr>
        <w:t>"פקודת הסמים</w:t>
      </w:r>
      <w:r w:rsidRPr="00234F27">
        <w:rPr>
          <w:rFonts w:cs="Miriam"/>
          <w:rtl/>
        </w:rPr>
        <w:t>"</w:t>
      </w:r>
      <w:r>
        <w:rPr>
          <w:rtl/>
        </w:rPr>
        <w:t>)</w:t>
      </w:r>
      <w:r>
        <w:rPr>
          <w:rFonts w:hint="cs"/>
          <w:rtl/>
        </w:rPr>
        <w:t xml:space="preserve"> וכן</w:t>
      </w:r>
      <w:r>
        <w:rPr>
          <w:rtl/>
        </w:rPr>
        <w:t xml:space="preserve"> החזקת כלים להכנת סם שלא לצריכה עצמית, לפי </w:t>
      </w:r>
      <w:hyperlink r:id="rId21" w:history="1">
        <w:r w:rsidR="00C52A97" w:rsidRPr="00C52A97">
          <w:rPr>
            <w:color w:val="0000FF"/>
            <w:u w:val="single"/>
            <w:rtl/>
          </w:rPr>
          <w:t>סעיף 10</w:t>
        </w:r>
      </w:hyperlink>
      <w:r>
        <w:rPr>
          <w:rtl/>
        </w:rPr>
        <w:t xml:space="preserve"> לפקודת הסמים</w:t>
      </w:r>
      <w:r>
        <w:rPr>
          <w:rFonts w:hint="cs"/>
          <w:rtl/>
        </w:rPr>
        <w:t>.</w:t>
      </w:r>
    </w:p>
    <w:p w14:paraId="06BE8EC1" w14:textId="77777777" w:rsidR="000A14D7" w:rsidRPr="00234F27" w:rsidRDefault="000A14D7" w:rsidP="000A14D7">
      <w:pPr>
        <w:spacing w:line="360" w:lineRule="auto"/>
        <w:ind w:left="720"/>
        <w:contextualSpacing/>
        <w:jc w:val="both"/>
      </w:pPr>
    </w:p>
    <w:p w14:paraId="57772EFF" w14:textId="77777777" w:rsidR="000A14D7" w:rsidRDefault="000A14D7" w:rsidP="000A14D7">
      <w:pPr>
        <w:numPr>
          <w:ilvl w:val="0"/>
          <w:numId w:val="1"/>
        </w:numPr>
        <w:spacing w:line="360" w:lineRule="auto"/>
        <w:contextualSpacing/>
        <w:jc w:val="both"/>
      </w:pPr>
      <w:r>
        <w:rPr>
          <w:rFonts w:hint="cs"/>
          <w:rtl/>
        </w:rPr>
        <w:t xml:space="preserve">מכתב </w:t>
      </w:r>
      <w:r>
        <w:rPr>
          <w:rtl/>
        </w:rPr>
        <w:t>האישום</w:t>
      </w:r>
      <w:r>
        <w:rPr>
          <w:rFonts w:hint="cs"/>
          <w:rtl/>
        </w:rPr>
        <w:t xml:space="preserve"> המתוקן, שבעובדותיו הודה הנאשם, עולה התמונה הבאה: </w:t>
      </w:r>
    </w:p>
    <w:p w14:paraId="1252BEE9" w14:textId="77777777" w:rsidR="000A14D7" w:rsidRPr="00A0301B" w:rsidRDefault="000A14D7" w:rsidP="000A14D7">
      <w:pPr>
        <w:spacing w:line="360" w:lineRule="auto"/>
        <w:ind w:left="720"/>
        <w:contextualSpacing/>
        <w:jc w:val="both"/>
        <w:rPr>
          <w:rtl/>
        </w:rPr>
      </w:pPr>
    </w:p>
    <w:p w14:paraId="0B72B50F" w14:textId="77777777" w:rsidR="000A14D7" w:rsidRDefault="000A14D7" w:rsidP="000A14D7">
      <w:pPr>
        <w:pStyle w:val="ListParagraph"/>
        <w:numPr>
          <w:ilvl w:val="0"/>
          <w:numId w:val="2"/>
        </w:numPr>
        <w:spacing w:line="360" w:lineRule="auto"/>
        <w:jc w:val="both"/>
        <w:rPr>
          <w:rFonts w:cs="David"/>
        </w:rPr>
      </w:pPr>
      <w:r w:rsidRPr="008678B9">
        <w:rPr>
          <w:rFonts w:cs="David" w:hint="cs"/>
          <w:rtl/>
        </w:rPr>
        <w:t xml:space="preserve">בחודש 10/14 שכר הנאשם דירת 3 חדרים בקריית אתא והחל מחודש 9/15 ייעד אותה לצורך הקמת מעבדה לגידול שתילי קנאביס, </w:t>
      </w:r>
      <w:r>
        <w:rPr>
          <w:rFonts w:cs="David" w:hint="cs"/>
          <w:rtl/>
        </w:rPr>
        <w:t xml:space="preserve">וזאת </w:t>
      </w:r>
      <w:r w:rsidRPr="008678B9">
        <w:rPr>
          <w:rFonts w:cs="David" w:hint="cs"/>
          <w:rtl/>
        </w:rPr>
        <w:t xml:space="preserve">ללא ידיעת המשכיר. </w:t>
      </w:r>
    </w:p>
    <w:p w14:paraId="4A98ADB5" w14:textId="77777777" w:rsidR="000A14D7" w:rsidRDefault="000A14D7" w:rsidP="000A14D7">
      <w:pPr>
        <w:pStyle w:val="ListParagraph"/>
        <w:spacing w:line="360" w:lineRule="auto"/>
        <w:ind w:left="1440"/>
        <w:jc w:val="both"/>
        <w:rPr>
          <w:rFonts w:cs="David"/>
        </w:rPr>
      </w:pPr>
    </w:p>
    <w:p w14:paraId="5E4CC781" w14:textId="77777777" w:rsidR="000A14D7" w:rsidRDefault="000A14D7" w:rsidP="000A14D7">
      <w:pPr>
        <w:pStyle w:val="ListParagraph"/>
        <w:numPr>
          <w:ilvl w:val="0"/>
          <w:numId w:val="2"/>
        </w:numPr>
        <w:spacing w:line="360" w:lineRule="auto"/>
        <w:jc w:val="both"/>
        <w:rPr>
          <w:rFonts w:cs="David"/>
        </w:rPr>
      </w:pPr>
      <w:r>
        <w:rPr>
          <w:rFonts w:cs="David" w:hint="cs"/>
          <w:rtl/>
        </w:rPr>
        <w:t xml:space="preserve">בתאריך 10.1.16 נמצא הנאשם מגדל בדירה 48 שתילים של סם מסוג קנאביס במשקל כולל של 5.25 ק"ג. </w:t>
      </w:r>
    </w:p>
    <w:p w14:paraId="428E7608" w14:textId="77777777" w:rsidR="000A14D7" w:rsidRDefault="000A14D7" w:rsidP="000A14D7">
      <w:pPr>
        <w:pStyle w:val="ListParagraph"/>
        <w:spacing w:line="360" w:lineRule="auto"/>
        <w:ind w:left="1440"/>
        <w:jc w:val="both"/>
        <w:rPr>
          <w:rFonts w:cs="David"/>
        </w:rPr>
      </w:pPr>
    </w:p>
    <w:p w14:paraId="6E52E666" w14:textId="77777777" w:rsidR="000A14D7" w:rsidRPr="008678B9" w:rsidRDefault="000A14D7" w:rsidP="000A14D7">
      <w:pPr>
        <w:pStyle w:val="ListParagraph"/>
        <w:numPr>
          <w:ilvl w:val="0"/>
          <w:numId w:val="2"/>
        </w:numPr>
        <w:spacing w:line="360" w:lineRule="auto"/>
        <w:jc w:val="both"/>
        <w:rPr>
          <w:rFonts w:cs="David"/>
        </w:rPr>
      </w:pPr>
      <w:r>
        <w:rPr>
          <w:rFonts w:cs="David" w:hint="cs"/>
          <w:rtl/>
        </w:rPr>
        <w:t xml:space="preserve">בנוסף, נמצאו בדירה כלים המשמשים להכנת הסמים ובהם: שנאים, נורות חימום, צינורות אוורור, מפוחים, משקל אלקטרוני, מדי לחות, מערכת השקיה, חומרי דישון ושעוני שבת. בכתב האישום צוין כי כלים אלו הוחזקו </w:t>
      </w:r>
      <w:r w:rsidRPr="00E16BE6">
        <w:rPr>
          <w:rFonts w:cs="David" w:hint="cs"/>
          <w:u w:val="single"/>
          <w:rtl/>
        </w:rPr>
        <w:t>שלא</w:t>
      </w:r>
      <w:r>
        <w:rPr>
          <w:rFonts w:cs="David" w:hint="cs"/>
          <w:rtl/>
        </w:rPr>
        <w:t xml:space="preserve"> לשימוש עצמי בלבד.</w:t>
      </w:r>
    </w:p>
    <w:p w14:paraId="7D5DBA8E" w14:textId="77777777" w:rsidR="000A14D7" w:rsidRPr="002213F0" w:rsidRDefault="000A14D7" w:rsidP="000A14D7">
      <w:pPr>
        <w:spacing w:line="360" w:lineRule="auto"/>
        <w:ind w:left="720"/>
        <w:contextualSpacing/>
        <w:jc w:val="both"/>
      </w:pPr>
    </w:p>
    <w:p w14:paraId="0FCAE22F" w14:textId="77777777" w:rsidR="000A14D7" w:rsidRDefault="000A14D7" w:rsidP="000A14D7">
      <w:pPr>
        <w:spacing w:line="360" w:lineRule="auto"/>
        <w:ind w:firstLine="360"/>
        <w:contextualSpacing/>
        <w:jc w:val="both"/>
        <w:rPr>
          <w:b/>
          <w:bCs/>
          <w:u w:val="single"/>
          <w:rtl/>
        </w:rPr>
      </w:pPr>
      <w:r>
        <w:rPr>
          <w:b/>
          <w:bCs/>
          <w:u w:val="single"/>
          <w:rtl/>
        </w:rPr>
        <w:t>תסקיר שירות המבחן</w:t>
      </w:r>
    </w:p>
    <w:p w14:paraId="7553DDA4" w14:textId="77777777" w:rsidR="000A14D7" w:rsidRDefault="000A14D7" w:rsidP="000A14D7">
      <w:pPr>
        <w:spacing w:line="360" w:lineRule="auto"/>
        <w:contextualSpacing/>
        <w:jc w:val="both"/>
        <w:rPr>
          <w:b/>
          <w:bCs/>
          <w:u w:val="single"/>
          <w:rtl/>
        </w:rPr>
      </w:pPr>
    </w:p>
    <w:p w14:paraId="2D6AE21A" w14:textId="77777777" w:rsidR="000A14D7" w:rsidRDefault="000A14D7" w:rsidP="000A14D7">
      <w:pPr>
        <w:pStyle w:val="ListParagraph"/>
        <w:numPr>
          <w:ilvl w:val="0"/>
          <w:numId w:val="1"/>
        </w:numPr>
        <w:spacing w:line="360" w:lineRule="auto"/>
        <w:jc w:val="both"/>
      </w:pPr>
      <w:r>
        <w:rPr>
          <w:rFonts w:cs="David"/>
          <w:rtl/>
        </w:rPr>
        <w:t>שירות המבחן הגיש</w:t>
      </w:r>
      <w:r>
        <w:rPr>
          <w:rFonts w:cs="David" w:hint="cs"/>
          <w:rtl/>
        </w:rPr>
        <w:t xml:space="preserve"> תסקיר על אודות הנאשם. בתסקיר פורטו נסיבות חייו של הנאשם, אשר גדל במשפחה נורמטיבית שעלתה ארצה בשנות ה - 90. שירות המבחן התרשם כי הנאשם מקבל אחריות לביצוע העבירות ומביע חרטה. הנאשם הסביר כי נהג להשתמש בסמים משך שנים והדבר הצריך ממון רב. לאור כך החליט הנאשם (כדבריו) לגדל סמים לשימושו האישי בלבד. הנאשם הביע נזקקות טיפולית בבעיית הסמים ושירות המבחן התרשם כי הנאשם מבין את חומרת מצבו והצורך בשינוי ולכן סבר שיש מקום לשלבו בהליך טיפולי בתחום הסמים. לאור כך, נדחה הדיון במספר חודשים ובתסקיר נוסף שהוגש </w:t>
      </w:r>
      <w:r>
        <w:rPr>
          <w:rFonts w:cs="David" w:hint="cs"/>
          <w:rtl/>
        </w:rPr>
        <w:lastRenderedPageBreak/>
        <w:t xml:space="preserve">צוין כי הנאשם מקפיד להגיע למפגשים ביחידה לטיפול בהתמכרויות וכי כל בדיקות השתן שמסר היו נקיות מסמים. הנאשם הביע חרדה מהאפשרות שיוטל עליו עונש מאסר וטען כי הוא נתרם מהטיפול. לאור כך העריך שירות המבחן כי הנאשם מקבל אחריות על מעשיו ועושה מאמצים לשיקום חייו ולכן המליץ להעמידו בצו מבחן למשך שנה וכן להטיל עליו ענישה בעבודות שירות. </w:t>
      </w:r>
    </w:p>
    <w:p w14:paraId="7870CD4B" w14:textId="77777777" w:rsidR="000A14D7" w:rsidRPr="00E50800" w:rsidRDefault="000A14D7" w:rsidP="000A14D7">
      <w:pPr>
        <w:pStyle w:val="ListParagraph"/>
        <w:spacing w:line="360" w:lineRule="auto"/>
        <w:jc w:val="both"/>
        <w:rPr>
          <w:rtl/>
        </w:rPr>
      </w:pPr>
    </w:p>
    <w:p w14:paraId="1A80ABE3" w14:textId="77777777" w:rsidR="000A14D7" w:rsidRDefault="000A14D7" w:rsidP="000A14D7">
      <w:pPr>
        <w:spacing w:line="360" w:lineRule="auto"/>
        <w:ind w:firstLine="360"/>
        <w:contextualSpacing/>
        <w:jc w:val="both"/>
        <w:rPr>
          <w:b/>
          <w:bCs/>
          <w:u w:val="single"/>
          <w:rtl/>
        </w:rPr>
      </w:pPr>
      <w:r>
        <w:rPr>
          <w:b/>
          <w:bCs/>
          <w:u w:val="single"/>
          <w:rtl/>
        </w:rPr>
        <w:t>טיעוני הצדדים לעונש</w:t>
      </w:r>
      <w:r>
        <w:rPr>
          <w:rFonts w:hint="cs"/>
          <w:b/>
          <w:bCs/>
          <w:u w:val="single"/>
          <w:rtl/>
        </w:rPr>
        <w:t xml:space="preserve"> והראיות</w:t>
      </w:r>
    </w:p>
    <w:p w14:paraId="554EDDD5" w14:textId="77777777" w:rsidR="000A14D7" w:rsidRDefault="000A14D7" w:rsidP="000A14D7">
      <w:pPr>
        <w:spacing w:line="360" w:lineRule="auto"/>
        <w:ind w:left="720"/>
        <w:contextualSpacing/>
        <w:jc w:val="both"/>
        <w:rPr>
          <w:b/>
          <w:bCs/>
          <w:u w:val="single"/>
          <w:rtl/>
        </w:rPr>
      </w:pPr>
    </w:p>
    <w:p w14:paraId="4DA12153" w14:textId="77777777" w:rsidR="000A14D7" w:rsidRDefault="000A14D7" w:rsidP="000A14D7">
      <w:pPr>
        <w:numPr>
          <w:ilvl w:val="0"/>
          <w:numId w:val="1"/>
        </w:numPr>
        <w:spacing w:line="360" w:lineRule="auto"/>
        <w:contextualSpacing/>
        <w:jc w:val="both"/>
      </w:pPr>
      <w:r>
        <w:rPr>
          <w:rFonts w:hint="cs"/>
          <w:rtl/>
        </w:rPr>
        <w:t xml:space="preserve">מטעם הנאשם העידו לעונש אשתו ואחיו. השניים ציינו את השינוי שחל בנאשם מאז שנעצר ושוחרר בתנאי מעצר בית. אחיו של הנאשם הדגיש את הפגיעה שתגרם למשפחה באם יוטל על הנאשם עונש מאסר. אשת הנאשם תיארה אף היא את התרומה הממשית שקיבלה המשפחה מהנאשם מאז שוחרר בתנאי מעצר בית וביקשה שלא יוטל עונש מאסר. </w:t>
      </w:r>
    </w:p>
    <w:p w14:paraId="39884B0A" w14:textId="77777777" w:rsidR="000A14D7" w:rsidRDefault="000A14D7" w:rsidP="000A14D7">
      <w:pPr>
        <w:spacing w:line="360" w:lineRule="auto"/>
        <w:ind w:left="720"/>
        <w:contextualSpacing/>
        <w:jc w:val="both"/>
      </w:pPr>
    </w:p>
    <w:p w14:paraId="3CB388F6" w14:textId="77777777" w:rsidR="000A14D7" w:rsidRDefault="000A14D7" w:rsidP="000A14D7">
      <w:pPr>
        <w:numPr>
          <w:ilvl w:val="0"/>
          <w:numId w:val="1"/>
        </w:numPr>
        <w:spacing w:line="360" w:lineRule="auto"/>
        <w:contextualSpacing/>
        <w:jc w:val="both"/>
      </w:pPr>
      <w:r w:rsidRPr="00C95B30">
        <w:rPr>
          <w:rtl/>
        </w:rPr>
        <w:t>ב"כ המאשימה</w:t>
      </w:r>
      <w:r>
        <w:rPr>
          <w:rFonts w:hint="cs"/>
          <w:rtl/>
        </w:rPr>
        <w:t xml:space="preserve"> הדגיש את נסיבות ביצוע העבירה שכללו הקמת מעבדה משוכללת שיש בכוחה לפעול בעצמה ללא צורך בנוכחות אדם בדירה. נטען כי יש לראות את העבירה של גידול סמים בחומרה זהה לעבירת הסחר וכי מי שמקים מעבדה לגידול סמים </w:t>
      </w:r>
      <w:r w:rsidRPr="001729E4">
        <w:rPr>
          <w:rFonts w:cs="Miriam" w:hint="cs"/>
          <w:rtl/>
        </w:rPr>
        <w:t>"יידע שיקבל ענישה מחמירה".</w:t>
      </w:r>
      <w:r>
        <w:rPr>
          <w:rFonts w:hint="cs"/>
          <w:rtl/>
        </w:rPr>
        <w:t xml:space="preserve"> עוד נטען כי </w:t>
      </w:r>
      <w:r w:rsidRPr="00655AB0">
        <w:rPr>
          <w:rFonts w:cs="Miriam" w:hint="cs"/>
          <w:rtl/>
        </w:rPr>
        <w:t xml:space="preserve">"אין שבוע שבפני בית המשפט לא מונחים מספר תיקים של מעבדות סמים" </w:t>
      </w:r>
      <w:r>
        <w:rPr>
          <w:rFonts w:hint="cs"/>
          <w:rtl/>
        </w:rPr>
        <w:t xml:space="preserve">ומשכך נטען כי נדרשת החמרה ועל מתחם הענישה לעמוד על עונש מאסר בין 18 חודשים ועד 36 חודשים. ביחס לעונש הראוי לנאשם, צוין כי אין מקום לסטייה ממתחם הענישה. בעניין המלצת שירות המבחן צוין כי אין כל אינדיקציה להתמכרות הנאשם לסמים ומשכך אין ערך ממשי להמלצה השיקומית. בסיכום הדברים התבקש עונש בגדרי המתחם, מאסר מותנה וכן קנס שישקף את הרווח הכספי שהיה צפוי מהעבירה. </w:t>
      </w:r>
    </w:p>
    <w:p w14:paraId="4E9A2666" w14:textId="77777777" w:rsidR="000A14D7" w:rsidRDefault="000A14D7" w:rsidP="000A14D7">
      <w:pPr>
        <w:spacing w:line="360" w:lineRule="auto"/>
        <w:ind w:left="720"/>
        <w:contextualSpacing/>
        <w:jc w:val="both"/>
        <w:rPr>
          <w:rtl/>
        </w:rPr>
      </w:pPr>
    </w:p>
    <w:p w14:paraId="0ABFF984" w14:textId="77777777" w:rsidR="000A14D7" w:rsidRDefault="000A14D7" w:rsidP="000A14D7">
      <w:pPr>
        <w:spacing w:line="360" w:lineRule="auto"/>
        <w:ind w:left="720"/>
        <w:contextualSpacing/>
        <w:jc w:val="both"/>
      </w:pPr>
    </w:p>
    <w:p w14:paraId="01D3E3FF" w14:textId="77777777" w:rsidR="000A14D7" w:rsidRDefault="000A14D7" w:rsidP="000A14D7">
      <w:pPr>
        <w:numPr>
          <w:ilvl w:val="0"/>
          <w:numId w:val="1"/>
        </w:numPr>
        <w:spacing w:line="360" w:lineRule="auto"/>
        <w:contextualSpacing/>
        <w:jc w:val="both"/>
      </w:pPr>
      <w:r w:rsidRPr="00C95B30">
        <w:rPr>
          <w:rtl/>
        </w:rPr>
        <w:t xml:space="preserve">ב"כ הנאשם </w:t>
      </w:r>
      <w:r>
        <w:rPr>
          <w:rFonts w:hint="cs"/>
          <w:rtl/>
        </w:rPr>
        <w:t xml:space="preserve">ציין כי תסקיר שירות המבחן מלמד על סיכויי שיקומו וראוי לאפשר לו להמשיך בהליך בו החל. צוין כי מדובר באדם נעדר עבר פלילי אשר נהג לצרוך סמים תקופה ארוכה וכי </w:t>
      </w:r>
      <w:r w:rsidRPr="00C04AB3">
        <w:rPr>
          <w:rFonts w:cs="Miriam" w:hint="cs"/>
          <w:rtl/>
        </w:rPr>
        <w:t>"</w:t>
      </w:r>
      <w:r w:rsidRPr="009512E0">
        <w:rPr>
          <w:rFonts w:cs="Miriam" w:hint="cs"/>
          <w:rtl/>
        </w:rPr>
        <w:t>התיק הזה הציל את חייו</w:t>
      </w:r>
      <w:r w:rsidRPr="00C04AB3">
        <w:rPr>
          <w:rFonts w:cs="Miriam" w:hint="cs"/>
          <w:rtl/>
        </w:rPr>
        <w:t>"</w:t>
      </w:r>
      <w:r>
        <w:rPr>
          <w:rFonts w:hint="cs"/>
          <w:rtl/>
        </w:rPr>
        <w:t xml:space="preserve">. ביחס למתחם הענישה, טען הסנגור שיש לאמץ מתחם קל יותר מהמתחם לו עתרה המאשימה והוצע מתחם הנע בין 3 חודשי מאסר ועד 12 חודשי מאסר. לגופו של עניין ביקש הסנגור לאמץ את המלצת שירות המבחן ולהטיל על הנאשם מאסר בעבודות שירות, בצד צו מבחן. </w:t>
      </w:r>
    </w:p>
    <w:p w14:paraId="38DE531A" w14:textId="77777777" w:rsidR="000A14D7" w:rsidRPr="00E208AC" w:rsidRDefault="000A14D7" w:rsidP="000A14D7">
      <w:pPr>
        <w:spacing w:line="360" w:lineRule="auto"/>
        <w:ind w:left="720"/>
        <w:contextualSpacing/>
        <w:jc w:val="both"/>
      </w:pPr>
    </w:p>
    <w:p w14:paraId="4426DF65" w14:textId="77777777" w:rsidR="000A14D7" w:rsidRPr="00E56A15" w:rsidRDefault="000A14D7" w:rsidP="000A14D7">
      <w:pPr>
        <w:numPr>
          <w:ilvl w:val="0"/>
          <w:numId w:val="1"/>
        </w:numPr>
        <w:spacing w:line="360" w:lineRule="auto"/>
        <w:contextualSpacing/>
        <w:jc w:val="both"/>
        <w:rPr>
          <w:rtl/>
        </w:rPr>
      </w:pPr>
      <w:r w:rsidRPr="00C95B30">
        <w:rPr>
          <w:rtl/>
        </w:rPr>
        <w:t xml:space="preserve">הנאשם </w:t>
      </w:r>
      <w:r>
        <w:rPr>
          <w:rtl/>
        </w:rPr>
        <w:t xml:space="preserve">בדברו האחרון  הביע צער וחרטה על מעשיו. </w:t>
      </w:r>
      <w:r>
        <w:rPr>
          <w:rFonts w:hint="cs"/>
          <w:rtl/>
        </w:rPr>
        <w:t xml:space="preserve">הנאשם תיאר את החיים בצל הסם ואת התרומה שהוא מפיק מהטיפול כיום. </w:t>
      </w:r>
    </w:p>
    <w:p w14:paraId="2254F318" w14:textId="77777777" w:rsidR="000A14D7" w:rsidRDefault="000A14D7" w:rsidP="000A14D7">
      <w:pPr>
        <w:spacing w:line="360" w:lineRule="auto"/>
        <w:ind w:left="720"/>
        <w:contextualSpacing/>
        <w:jc w:val="both"/>
        <w:rPr>
          <w:b/>
          <w:bCs/>
          <w:u w:val="single"/>
          <w:rtl/>
        </w:rPr>
      </w:pPr>
    </w:p>
    <w:p w14:paraId="2FFEAB8C" w14:textId="77777777" w:rsidR="000A14D7" w:rsidRDefault="000A14D7" w:rsidP="000A14D7">
      <w:pPr>
        <w:spacing w:line="360" w:lineRule="auto"/>
        <w:ind w:firstLine="360"/>
        <w:contextualSpacing/>
        <w:jc w:val="both"/>
        <w:rPr>
          <w:b/>
          <w:bCs/>
          <w:u w:val="single"/>
          <w:rtl/>
        </w:rPr>
      </w:pPr>
      <w:r>
        <w:rPr>
          <w:b/>
          <w:bCs/>
          <w:u w:val="single"/>
          <w:rtl/>
        </w:rPr>
        <w:t>דיון והכרעה</w:t>
      </w:r>
    </w:p>
    <w:p w14:paraId="5807ECCE" w14:textId="77777777" w:rsidR="000A14D7" w:rsidRPr="003C12C5" w:rsidRDefault="000A14D7" w:rsidP="000A14D7">
      <w:pPr>
        <w:spacing w:line="360" w:lineRule="auto"/>
        <w:ind w:left="720"/>
        <w:contextualSpacing/>
        <w:jc w:val="both"/>
      </w:pPr>
    </w:p>
    <w:p w14:paraId="43147799" w14:textId="77777777" w:rsidR="000A14D7" w:rsidRPr="003C12C5" w:rsidRDefault="000A14D7" w:rsidP="000A14D7">
      <w:pPr>
        <w:pStyle w:val="ListParagraph"/>
        <w:numPr>
          <w:ilvl w:val="0"/>
          <w:numId w:val="1"/>
        </w:numPr>
        <w:spacing w:line="360" w:lineRule="auto"/>
        <w:jc w:val="both"/>
        <w:rPr>
          <w:rFonts w:cs="David"/>
          <w:rtl/>
        </w:rPr>
      </w:pPr>
      <w:r w:rsidRPr="003C12C5">
        <w:rPr>
          <w:rFonts w:cs="David"/>
          <w:rtl/>
        </w:rPr>
        <w:t>כידוע, מאז תיקון 113 ל</w:t>
      </w:r>
      <w:hyperlink r:id="rId22" w:history="1">
        <w:r w:rsidR="00C52A97" w:rsidRPr="00C52A97">
          <w:rPr>
            <w:rFonts w:cs="David"/>
            <w:color w:val="0000FF"/>
            <w:u w:val="single"/>
            <w:rtl/>
          </w:rPr>
          <w:t>חוק העונשין</w:t>
        </w:r>
      </w:hyperlink>
      <w:r w:rsidRPr="003C12C5">
        <w:rPr>
          <w:rFonts w:cs="David"/>
          <w:rtl/>
        </w:rPr>
        <w:t xml:space="preserve"> גזר הדין ניתן במסגרת הליך תלת שלבי. בשלב הראשון יש לקבוע אם כתב האישום מתאר אירוע אחד או מספר אירועים. לאחר מכן יש לקבוע את מתחם הענישה ההולם את האירוע ובסופו של תהליך, יש להחליט אם נכון לחרוג מהמתחם שנקבע, שאחרת ייגזר העונש בגדרי המתחם. </w:t>
      </w:r>
      <w:r>
        <w:rPr>
          <w:rFonts w:cs="David" w:hint="cs"/>
          <w:rtl/>
        </w:rPr>
        <w:t xml:space="preserve">בענייננו, </w:t>
      </w:r>
      <w:r w:rsidRPr="003C12C5">
        <w:rPr>
          <w:rFonts w:cs="David"/>
          <w:rtl/>
        </w:rPr>
        <w:t xml:space="preserve">ברי כי </w:t>
      </w:r>
      <w:r>
        <w:rPr>
          <w:rFonts w:cs="David"/>
          <w:rtl/>
        </w:rPr>
        <w:t>מדובר באירוע אחד ומשכך ייקבע מתחם אחד (</w:t>
      </w:r>
      <w:hyperlink r:id="rId23" w:history="1">
        <w:r w:rsidR="00785330" w:rsidRPr="00785330">
          <w:rPr>
            <w:rStyle w:val="Hyperlink"/>
            <w:rFonts w:cs="David"/>
            <w:rtl/>
          </w:rPr>
          <w:t>ע"פ 4910/13</w:t>
        </w:r>
      </w:hyperlink>
      <w:r w:rsidRPr="003C12C5">
        <w:rPr>
          <w:rFonts w:cs="David"/>
          <w:rtl/>
        </w:rPr>
        <w:t xml:space="preserve"> </w:t>
      </w:r>
      <w:r w:rsidRPr="003C12C5">
        <w:rPr>
          <w:rFonts w:cs="David"/>
          <w:b/>
          <w:bCs/>
          <w:rtl/>
        </w:rPr>
        <w:t>ג'אבר נ' מדינת ישראל</w:t>
      </w:r>
      <w:r w:rsidRPr="003C12C5">
        <w:rPr>
          <w:rFonts w:cs="David"/>
          <w:rtl/>
        </w:rPr>
        <w:t xml:space="preserve"> </w:t>
      </w:r>
      <w:r w:rsidR="00262FBF" w:rsidRPr="00262FBF">
        <w:rPr>
          <w:rFonts w:cs="David"/>
          <w:sz w:val="22"/>
          <w:rtl/>
        </w:rPr>
        <w:t xml:space="preserve">[פורסם בנבו] </w:t>
      </w:r>
      <w:r w:rsidRPr="003C12C5">
        <w:rPr>
          <w:rFonts w:cs="David"/>
          <w:rtl/>
        </w:rPr>
        <w:t>(29.10.14)).</w:t>
      </w:r>
    </w:p>
    <w:p w14:paraId="033CFD7B" w14:textId="77777777" w:rsidR="000A14D7" w:rsidRPr="003C12C5" w:rsidRDefault="000A14D7" w:rsidP="000A14D7">
      <w:pPr>
        <w:spacing w:line="360" w:lineRule="auto"/>
        <w:jc w:val="both"/>
        <w:rPr>
          <w:rFonts w:ascii="David" w:hAnsi="David"/>
        </w:rPr>
      </w:pPr>
    </w:p>
    <w:p w14:paraId="55D50371" w14:textId="77777777" w:rsidR="000A14D7" w:rsidRDefault="000A14D7" w:rsidP="000A14D7">
      <w:pPr>
        <w:pStyle w:val="ListParagraph"/>
        <w:numPr>
          <w:ilvl w:val="0"/>
          <w:numId w:val="1"/>
        </w:numPr>
        <w:spacing w:line="360" w:lineRule="auto"/>
        <w:jc w:val="both"/>
        <w:rPr>
          <w:rFonts w:ascii="David" w:hAnsi="David" w:cs="David"/>
        </w:rPr>
      </w:pPr>
      <w:r w:rsidRPr="00E0447C">
        <w:rPr>
          <w:rFonts w:cs="David"/>
          <w:b/>
          <w:bCs/>
          <w:rtl/>
        </w:rPr>
        <w:t xml:space="preserve">הערכים המוגנים בבסיס העבירה: </w:t>
      </w:r>
      <w:r w:rsidRPr="00E0447C">
        <w:rPr>
          <w:rFonts w:ascii="David" w:hAnsi="David" w:cs="David" w:hint="cs"/>
          <w:rtl/>
        </w:rPr>
        <w:t>אין צורך להרחיב מילים על אודות פגיעת</w:t>
      </w:r>
      <w:r>
        <w:rPr>
          <w:rFonts w:ascii="David" w:hAnsi="David" w:cs="David" w:hint="cs"/>
          <w:rtl/>
        </w:rPr>
        <w:t>ו</w:t>
      </w:r>
      <w:r w:rsidRPr="00E0447C">
        <w:rPr>
          <w:rFonts w:ascii="David" w:hAnsi="David" w:cs="David" w:hint="cs"/>
          <w:rtl/>
        </w:rPr>
        <w:t xml:space="preserve"> האנושה של נגע הסמים לחברה ולפרטיה. מדובר על פגיעה בריאותית, המביאה </w:t>
      </w:r>
      <w:r>
        <w:rPr>
          <w:rFonts w:ascii="David" w:hAnsi="David" w:cs="David" w:hint="cs"/>
          <w:rtl/>
        </w:rPr>
        <w:t xml:space="preserve">רבים לכדי </w:t>
      </w:r>
      <w:r w:rsidRPr="00E0447C">
        <w:rPr>
          <w:rFonts w:ascii="David" w:hAnsi="David" w:cs="David" w:hint="cs"/>
          <w:rtl/>
        </w:rPr>
        <w:t xml:space="preserve">התמכרות, ולא אחת פונים צרכני הסמים (ובעיקר המכורים שבהם) לביצוע עבירות רכוש לצורך מימונם. </w:t>
      </w:r>
      <w:r>
        <w:rPr>
          <w:rFonts w:ascii="David" w:hAnsi="David" w:cs="David" w:hint="cs"/>
          <w:rtl/>
        </w:rPr>
        <w:t xml:space="preserve">מעגל הקסמים: סמים </w:t>
      </w:r>
      <w:r>
        <w:rPr>
          <w:rFonts w:ascii="David" w:hAnsi="David" w:cs="David"/>
          <w:rtl/>
        </w:rPr>
        <w:t>–</w:t>
      </w:r>
      <w:r>
        <w:rPr>
          <w:rFonts w:ascii="David" w:hAnsi="David" w:cs="David" w:hint="cs"/>
          <w:rtl/>
        </w:rPr>
        <w:t xml:space="preserve"> עבירות רכוש </w:t>
      </w:r>
      <w:r>
        <w:rPr>
          <w:rFonts w:ascii="David" w:hAnsi="David" w:cs="David"/>
          <w:rtl/>
        </w:rPr>
        <w:t>–</w:t>
      </w:r>
      <w:r>
        <w:rPr>
          <w:rFonts w:ascii="David" w:hAnsi="David" w:cs="David" w:hint="cs"/>
          <w:rtl/>
        </w:rPr>
        <w:t xml:space="preserve"> סמים, ידוע לכל מי אשר עוסק בתחום ואין בכך כל חדש.</w:t>
      </w:r>
    </w:p>
    <w:p w14:paraId="67F1E2E3" w14:textId="77777777" w:rsidR="000A14D7" w:rsidRPr="00E16BE6" w:rsidRDefault="000A14D7" w:rsidP="000A14D7">
      <w:pPr>
        <w:pStyle w:val="ListParagraph"/>
        <w:spacing w:line="360" w:lineRule="auto"/>
        <w:jc w:val="both"/>
        <w:rPr>
          <w:rFonts w:ascii="David" w:hAnsi="David" w:cs="David"/>
        </w:rPr>
      </w:pPr>
    </w:p>
    <w:p w14:paraId="459A1154" w14:textId="77777777" w:rsidR="000A14D7" w:rsidRPr="00F12386" w:rsidRDefault="000A14D7" w:rsidP="000A14D7">
      <w:pPr>
        <w:pStyle w:val="ListParagraph"/>
        <w:numPr>
          <w:ilvl w:val="0"/>
          <w:numId w:val="1"/>
        </w:numPr>
        <w:spacing w:line="360" w:lineRule="auto"/>
        <w:jc w:val="both"/>
        <w:rPr>
          <w:rFonts w:ascii="David" w:hAnsi="David" w:cs="David"/>
        </w:rPr>
      </w:pPr>
      <w:r w:rsidRPr="00D756ED">
        <w:rPr>
          <w:rFonts w:cs="David"/>
          <w:b/>
          <w:bCs/>
          <w:rtl/>
        </w:rPr>
        <w:t xml:space="preserve">נסיבות </w:t>
      </w:r>
      <w:r>
        <w:rPr>
          <w:rFonts w:cs="David" w:hint="cs"/>
          <w:b/>
          <w:bCs/>
          <w:rtl/>
        </w:rPr>
        <w:t>הקשורות ב</w:t>
      </w:r>
      <w:r>
        <w:rPr>
          <w:rFonts w:cs="David"/>
          <w:b/>
          <w:bCs/>
          <w:rtl/>
        </w:rPr>
        <w:t>ביצוע העבירה</w:t>
      </w:r>
      <w:r>
        <w:rPr>
          <w:rFonts w:cs="David" w:hint="cs"/>
          <w:b/>
          <w:bCs/>
          <w:rtl/>
        </w:rPr>
        <w:t xml:space="preserve">:  </w:t>
      </w:r>
    </w:p>
    <w:p w14:paraId="4297AED0" w14:textId="77777777" w:rsidR="000A14D7" w:rsidRPr="00F12386" w:rsidRDefault="000A14D7" w:rsidP="000A14D7">
      <w:pPr>
        <w:pStyle w:val="ListParagraph"/>
        <w:spacing w:line="360" w:lineRule="auto"/>
        <w:jc w:val="both"/>
        <w:rPr>
          <w:rFonts w:ascii="David" w:hAnsi="David" w:cs="David"/>
        </w:rPr>
      </w:pPr>
    </w:p>
    <w:p w14:paraId="501A3F99" w14:textId="77777777" w:rsidR="000A14D7" w:rsidRDefault="000A14D7" w:rsidP="000A14D7">
      <w:pPr>
        <w:spacing w:line="360" w:lineRule="auto"/>
        <w:ind w:left="720"/>
        <w:jc w:val="both"/>
        <w:rPr>
          <w:rFonts w:ascii="David" w:hAnsi="David"/>
          <w:rtl/>
        </w:rPr>
      </w:pPr>
      <w:r>
        <w:rPr>
          <w:rFonts w:hint="cs"/>
          <w:u w:val="single"/>
          <w:rtl/>
        </w:rPr>
        <w:t xml:space="preserve">א. </w:t>
      </w:r>
      <w:r w:rsidRPr="00673ADB">
        <w:rPr>
          <w:rFonts w:hint="cs"/>
          <w:u w:val="single"/>
          <w:rtl/>
        </w:rPr>
        <w:t>התכנון שקדם לביצוע העבירה</w:t>
      </w:r>
      <w:r w:rsidRPr="00673ADB">
        <w:rPr>
          <w:rFonts w:hint="cs"/>
          <w:rtl/>
        </w:rPr>
        <w:t xml:space="preserve"> </w:t>
      </w:r>
      <w:r w:rsidRPr="00673ADB">
        <w:rPr>
          <w:rtl/>
        </w:rPr>
        <w:t>–</w:t>
      </w:r>
      <w:r w:rsidRPr="00673ADB">
        <w:rPr>
          <w:rFonts w:hint="cs"/>
          <w:rtl/>
        </w:rPr>
        <w:t xml:space="preserve"> </w:t>
      </w:r>
      <w:r w:rsidRPr="00673ADB">
        <w:rPr>
          <w:rtl/>
        </w:rPr>
        <w:t>נסיבות ביצוע העבירה מלמדות בבירור על תכנון מוקדם, שהתבטא</w:t>
      </w:r>
      <w:r w:rsidRPr="00673ADB">
        <w:rPr>
          <w:b/>
          <w:bCs/>
          <w:rtl/>
        </w:rPr>
        <w:t xml:space="preserve"> </w:t>
      </w:r>
      <w:r w:rsidRPr="00673ADB">
        <w:rPr>
          <w:rtl/>
        </w:rPr>
        <w:t xml:space="preserve">בהצטיידות בכלים מתאימים לצורך גידול השתילים. </w:t>
      </w:r>
      <w:r w:rsidRPr="00673ADB">
        <w:rPr>
          <w:rFonts w:hint="cs"/>
          <w:rtl/>
        </w:rPr>
        <w:t xml:space="preserve">מדובר בציוד משוכלל שיש בו ללמד על השקעה מחשבתית וכספית, רצינות וידע רב בנושא. </w:t>
      </w:r>
      <w:r w:rsidRPr="00673ADB">
        <w:rPr>
          <w:rtl/>
        </w:rPr>
        <w:t>כמות השתילים ומשקלם משמעותיים ומעיון בתמונות ניתן לראות בבירור מעבדה מקצועית יחסית, בה הוסב</w:t>
      </w:r>
      <w:r w:rsidRPr="00673ADB">
        <w:rPr>
          <w:rFonts w:hint="cs"/>
          <w:rtl/>
        </w:rPr>
        <w:t xml:space="preserve">ה הדירה </w:t>
      </w:r>
      <w:r w:rsidRPr="00673ADB">
        <w:rPr>
          <w:rtl/>
        </w:rPr>
        <w:t>לכדי "חממת גידול קנב</w:t>
      </w:r>
      <w:r w:rsidRPr="00673ADB">
        <w:rPr>
          <w:rFonts w:hint="cs"/>
          <w:rtl/>
        </w:rPr>
        <w:t>י</w:t>
      </w:r>
      <w:r w:rsidRPr="00673ADB">
        <w:rPr>
          <w:rtl/>
        </w:rPr>
        <w:t xml:space="preserve">ס". </w:t>
      </w:r>
      <w:r w:rsidRPr="00673ADB">
        <w:rPr>
          <w:rFonts w:hint="cs"/>
          <w:rtl/>
        </w:rPr>
        <w:t>אמנם, צוין בכתב האישום כי הדירה הוסבה לכדי עיסוק בגידול סמים, רק לאחר תחילת השכירות, ואולם אין בכך לשנות את אופיים של הדברים, מהם עולה תכנון ברור.</w:t>
      </w:r>
    </w:p>
    <w:p w14:paraId="1A06A8DA" w14:textId="77777777" w:rsidR="000A14D7" w:rsidRDefault="000A14D7" w:rsidP="000A14D7">
      <w:pPr>
        <w:spacing w:line="360" w:lineRule="auto"/>
        <w:ind w:left="720"/>
        <w:jc w:val="both"/>
        <w:rPr>
          <w:rFonts w:ascii="David" w:hAnsi="David"/>
          <w:rtl/>
        </w:rPr>
      </w:pPr>
      <w:r>
        <w:rPr>
          <w:rFonts w:hint="cs"/>
          <w:u w:val="single"/>
          <w:rtl/>
        </w:rPr>
        <w:t>ב</w:t>
      </w:r>
      <w:r w:rsidRPr="00673ADB">
        <w:rPr>
          <w:rFonts w:ascii="David" w:hAnsi="David" w:hint="cs"/>
          <w:u w:val="single"/>
          <w:rtl/>
        </w:rPr>
        <w:t>.</w:t>
      </w:r>
      <w:r>
        <w:rPr>
          <w:rFonts w:ascii="David" w:hAnsi="David" w:hint="cs"/>
          <w:u w:val="single"/>
          <w:rtl/>
        </w:rPr>
        <w:t xml:space="preserve"> </w:t>
      </w:r>
      <w:r w:rsidRPr="00673ADB">
        <w:rPr>
          <w:rFonts w:ascii="David" w:hAnsi="David" w:hint="cs"/>
          <w:u w:val="single"/>
          <w:rtl/>
        </w:rPr>
        <w:t>הנזק שנגרם וכן שהיה צפוי מביצוע העבירה</w:t>
      </w:r>
      <w:r w:rsidRPr="00673ADB">
        <w:rPr>
          <w:rFonts w:ascii="David" w:hAnsi="David" w:hint="cs"/>
          <w:rtl/>
        </w:rPr>
        <w:t xml:space="preserve"> </w:t>
      </w:r>
      <w:r w:rsidRPr="00673ADB">
        <w:rPr>
          <w:rFonts w:ascii="David" w:hAnsi="David"/>
          <w:rtl/>
        </w:rPr>
        <w:t>–</w:t>
      </w:r>
      <w:r w:rsidRPr="00673ADB">
        <w:rPr>
          <w:rFonts w:ascii="David" w:hAnsi="David" w:hint="cs"/>
          <w:rtl/>
        </w:rPr>
        <w:t xml:space="preserve">  הנאשם החזיק ותחזק מיזם פרטי לייצור סמים. כמות השתילים ממשית (48). בעניין זה אדגיש כי אין ללכת שבי אחר משקל הצמחים (הנמוך יחסית) שצוין בכתב האישום, שהרי מדובר בנתון שאינו מלמד דבר, זולת השלב במחזור חייו של הצמח, בו פשטה המשטרה על המעבדה. מהתמונות שהוגשו (ע/1) עולה שהמעבדה נחשפה בשלב בו הצמחים היו קטנים עדין ורחוקים משיא גדילתם. בחישוב פשוט ניתן להגיע למסקנה כי משקלו הממוצע של כל צמח היה כ-110 גרם בלבד. מובן כי מדובר בצמח בתחילת מחזור הגדילה וכי אם הייתה המשטרה פושטת על מעבדה זו לאחר מספר שבועות או חודשים, היה מתקבל משקל גדול יותר בצורה משמעותית. לאור כך, לא רק המשקל הוא הקובע לעניין קביעת מתחם הענישה, אלא גם (ובעיקר) מספר השתילים. בענייננו, מדובר כאמור, ב- 48 שתילים ומשכך, הנזק הפוטנציאלי הוא ממשי.  </w:t>
      </w:r>
    </w:p>
    <w:p w14:paraId="0C8865A0" w14:textId="77777777" w:rsidR="000A14D7" w:rsidRDefault="000A14D7" w:rsidP="000A14D7">
      <w:pPr>
        <w:spacing w:line="360" w:lineRule="auto"/>
        <w:jc w:val="both"/>
        <w:rPr>
          <w:rFonts w:ascii="David" w:hAnsi="David"/>
          <w:rtl/>
        </w:rPr>
      </w:pPr>
    </w:p>
    <w:p w14:paraId="67AF67F7" w14:textId="77777777" w:rsidR="000A14D7" w:rsidRDefault="000A14D7" w:rsidP="000A14D7">
      <w:pPr>
        <w:spacing w:line="360" w:lineRule="auto"/>
        <w:ind w:left="720"/>
        <w:jc w:val="both"/>
        <w:rPr>
          <w:rFonts w:ascii="David" w:hAnsi="David"/>
          <w:rtl/>
        </w:rPr>
      </w:pPr>
      <w:r>
        <w:rPr>
          <w:rFonts w:ascii="David" w:hAnsi="David" w:hint="cs"/>
          <w:u w:val="single"/>
          <w:rtl/>
        </w:rPr>
        <w:t xml:space="preserve">ג. </w:t>
      </w:r>
      <w:r w:rsidRPr="00673ADB">
        <w:rPr>
          <w:rFonts w:ascii="David" w:hAnsi="David" w:hint="cs"/>
          <w:u w:val="single"/>
          <w:rtl/>
        </w:rPr>
        <w:t>הסיבות שהביאו את הנאשם לביצוע העבירה</w:t>
      </w:r>
      <w:r w:rsidRPr="00673ADB">
        <w:rPr>
          <w:rFonts w:ascii="David" w:hAnsi="David" w:hint="cs"/>
          <w:rtl/>
        </w:rPr>
        <w:t xml:space="preserve"> </w:t>
      </w:r>
      <w:r w:rsidRPr="00673ADB">
        <w:rPr>
          <w:rFonts w:ascii="David" w:hAnsi="David"/>
          <w:rtl/>
        </w:rPr>
        <w:t>–</w:t>
      </w:r>
      <w:r w:rsidRPr="00673ADB">
        <w:rPr>
          <w:rFonts w:ascii="David" w:hAnsi="David" w:hint="cs"/>
          <w:rtl/>
        </w:rPr>
        <w:t xml:space="preserve"> כתב האישום אינו מפרט את סיבת גידול הסמים. אכן, לפי נוסחו של </w:t>
      </w:r>
      <w:hyperlink r:id="rId24" w:history="1">
        <w:r w:rsidR="00C52A97" w:rsidRPr="00C52A97">
          <w:rPr>
            <w:rFonts w:ascii="David" w:hAnsi="David"/>
            <w:color w:val="0000FF"/>
            <w:u w:val="single"/>
            <w:rtl/>
          </w:rPr>
          <w:t>סעיף 6</w:t>
        </w:r>
      </w:hyperlink>
      <w:r w:rsidRPr="00673ADB">
        <w:rPr>
          <w:rFonts w:ascii="David" w:hAnsi="David" w:hint="cs"/>
          <w:rtl/>
        </w:rPr>
        <w:t xml:space="preserve"> לפקודת הסמים, אין לנושא כל חשיבות לצורך השתכללות יסודות העבירה. עם זאת ברור שיש לכך חשיבות ממשית לצורך קביעת נסיבות ביצוע העבירה, שכן לעניין העונש, לא הרי גידול סם לצורך שימוש עצמי, כגידול שלא למטרה זו (ראו בעניין זה גם דברים שציינתי ב</w:t>
      </w:r>
      <w:hyperlink r:id="rId25" w:history="1">
        <w:r w:rsidR="00785330" w:rsidRPr="00785330">
          <w:rPr>
            <w:rStyle w:val="Hyperlink"/>
            <w:rFonts w:ascii="David" w:hAnsi="David"/>
            <w:rtl/>
          </w:rPr>
          <w:t>ת"פ 37259-10-15</w:t>
        </w:r>
      </w:hyperlink>
      <w:r w:rsidRPr="00673ADB">
        <w:rPr>
          <w:rFonts w:ascii="David" w:hAnsi="David"/>
          <w:rtl/>
        </w:rPr>
        <w:t xml:space="preserve"> </w:t>
      </w:r>
      <w:r w:rsidRPr="00673ADB">
        <w:rPr>
          <w:rFonts w:ascii="David" w:hAnsi="David" w:hint="eastAsia"/>
          <w:b/>
          <w:bCs/>
          <w:rtl/>
        </w:rPr>
        <w:t>מדינת</w:t>
      </w:r>
      <w:r w:rsidRPr="00673ADB">
        <w:rPr>
          <w:rFonts w:ascii="David" w:hAnsi="David"/>
          <w:b/>
          <w:bCs/>
          <w:rtl/>
        </w:rPr>
        <w:t xml:space="preserve"> </w:t>
      </w:r>
      <w:r w:rsidRPr="00673ADB">
        <w:rPr>
          <w:rFonts w:ascii="David" w:hAnsi="David" w:hint="eastAsia"/>
          <w:b/>
          <w:bCs/>
          <w:rtl/>
        </w:rPr>
        <w:t>ישראל</w:t>
      </w:r>
      <w:r w:rsidRPr="00673ADB">
        <w:rPr>
          <w:rFonts w:ascii="David" w:hAnsi="David"/>
          <w:b/>
          <w:bCs/>
          <w:rtl/>
        </w:rPr>
        <w:t xml:space="preserve"> </w:t>
      </w:r>
      <w:r w:rsidRPr="00673ADB">
        <w:rPr>
          <w:rFonts w:ascii="David" w:hAnsi="David" w:hint="eastAsia"/>
          <w:b/>
          <w:bCs/>
          <w:rtl/>
        </w:rPr>
        <w:t>נ</w:t>
      </w:r>
      <w:r w:rsidRPr="00673ADB">
        <w:rPr>
          <w:rFonts w:ascii="David" w:hAnsi="David"/>
          <w:b/>
          <w:bCs/>
          <w:rtl/>
        </w:rPr>
        <w:t xml:space="preserve">' </w:t>
      </w:r>
      <w:r w:rsidRPr="00673ADB">
        <w:rPr>
          <w:rFonts w:ascii="David" w:hAnsi="David" w:hint="eastAsia"/>
          <w:b/>
          <w:bCs/>
          <w:rtl/>
        </w:rPr>
        <w:t>אוחנה</w:t>
      </w:r>
      <w:r w:rsidRPr="00673ADB">
        <w:rPr>
          <w:rFonts w:ascii="David" w:hAnsi="David" w:hint="cs"/>
          <w:rtl/>
        </w:rPr>
        <w:t xml:space="preserve"> </w:t>
      </w:r>
      <w:r w:rsidR="00262FBF" w:rsidRPr="00262FBF">
        <w:rPr>
          <w:sz w:val="22"/>
          <w:rtl/>
        </w:rPr>
        <w:t xml:space="preserve">[פורסם בנבו] </w:t>
      </w:r>
      <w:r w:rsidRPr="00673ADB">
        <w:rPr>
          <w:rFonts w:ascii="David" w:hAnsi="David" w:hint="cs"/>
          <w:rtl/>
        </w:rPr>
        <w:t xml:space="preserve">(15.3.17)). בענייננו, הורשע הנאשם על פי הודאתו גם בעבירה של החזקת כלים להכנת סם </w:t>
      </w:r>
      <w:r w:rsidRPr="00673ADB">
        <w:rPr>
          <w:rFonts w:ascii="David" w:hAnsi="David" w:hint="cs"/>
          <w:u w:val="single"/>
          <w:rtl/>
        </w:rPr>
        <w:t>שלא</w:t>
      </w:r>
      <w:r w:rsidRPr="00673ADB">
        <w:rPr>
          <w:rFonts w:ascii="David" w:hAnsi="David" w:hint="cs"/>
          <w:rtl/>
        </w:rPr>
        <w:t xml:space="preserve"> לשימוש עצמי בלבד. כלים אלו, הם הציוד באמצעותו גידל הנאשם את הצמחים ומכאן שברי שהוכחה ברמה הנדרשת גם מטרת גידול הסמים עצמם. מסקנה אחרת אינה אפשרית, שהרי הא בהא תליא. </w:t>
      </w:r>
    </w:p>
    <w:p w14:paraId="4F345B73" w14:textId="77777777" w:rsidR="000A14D7" w:rsidRDefault="000A14D7" w:rsidP="000A14D7">
      <w:pPr>
        <w:spacing w:line="360" w:lineRule="auto"/>
        <w:jc w:val="both"/>
        <w:rPr>
          <w:rFonts w:ascii="David" w:hAnsi="David"/>
          <w:rtl/>
        </w:rPr>
      </w:pPr>
    </w:p>
    <w:p w14:paraId="26A53A1F" w14:textId="77777777" w:rsidR="000A14D7" w:rsidRDefault="000A14D7" w:rsidP="000A14D7">
      <w:pPr>
        <w:spacing w:line="360" w:lineRule="auto"/>
        <w:ind w:left="720"/>
        <w:jc w:val="both"/>
        <w:rPr>
          <w:rFonts w:ascii="David" w:hAnsi="David"/>
          <w:rtl/>
        </w:rPr>
      </w:pPr>
      <w:r w:rsidRPr="00673ADB">
        <w:rPr>
          <w:rFonts w:ascii="David" w:hAnsi="David" w:hint="cs"/>
          <w:rtl/>
        </w:rPr>
        <w:t xml:space="preserve">כמו כן, ברי לכל כי </w:t>
      </w:r>
      <w:r w:rsidRPr="00673ADB">
        <w:rPr>
          <w:rFonts w:ascii="David" w:hAnsi="David" w:cs="Miriam" w:hint="cs"/>
          <w:rtl/>
        </w:rPr>
        <w:t xml:space="preserve">"מי שמגדל סם בכמויות כאלה חזקה עליו שאיננו מתכוון רק לשימוש עצמי" </w:t>
      </w:r>
      <w:r w:rsidRPr="00673ADB">
        <w:rPr>
          <w:rFonts w:ascii="David" w:hAnsi="David" w:hint="cs"/>
          <w:rtl/>
        </w:rPr>
        <w:t>(</w:t>
      </w:r>
      <w:hyperlink r:id="rId26" w:history="1">
        <w:r w:rsidR="00785330" w:rsidRPr="00785330">
          <w:rPr>
            <w:rStyle w:val="Hyperlink"/>
            <w:rFonts w:ascii="David" w:hAnsi="David" w:hint="eastAsia"/>
            <w:rtl/>
          </w:rPr>
          <w:t>עפ</w:t>
        </w:r>
        <w:r w:rsidR="00785330" w:rsidRPr="00785330">
          <w:rPr>
            <w:rStyle w:val="Hyperlink"/>
            <w:rFonts w:ascii="David" w:hAnsi="David"/>
            <w:rtl/>
          </w:rPr>
          <w:t>"ג 12819-11-15</w:t>
        </w:r>
      </w:hyperlink>
      <w:r w:rsidRPr="00673ADB">
        <w:rPr>
          <w:rFonts w:ascii="David" w:hAnsi="David" w:hint="cs"/>
          <w:rtl/>
        </w:rPr>
        <w:t xml:space="preserve"> </w:t>
      </w:r>
      <w:r w:rsidRPr="00673ADB">
        <w:rPr>
          <w:rFonts w:ascii="David" w:hAnsi="David" w:hint="cs"/>
          <w:b/>
          <w:bCs/>
          <w:rtl/>
        </w:rPr>
        <w:t>מדינת ישראל נ' בן צבי</w:t>
      </w:r>
      <w:r w:rsidRPr="00673ADB">
        <w:rPr>
          <w:rFonts w:ascii="David" w:hAnsi="David" w:hint="cs"/>
          <w:rtl/>
        </w:rPr>
        <w:t xml:space="preserve"> </w:t>
      </w:r>
      <w:r w:rsidR="00262FBF" w:rsidRPr="00262FBF">
        <w:rPr>
          <w:sz w:val="22"/>
          <w:rtl/>
        </w:rPr>
        <w:t xml:space="preserve">[פורסם בנבו] </w:t>
      </w:r>
      <w:r w:rsidRPr="00673ADB">
        <w:rPr>
          <w:rFonts w:ascii="David" w:hAnsi="David" w:hint="cs"/>
          <w:rtl/>
        </w:rPr>
        <w:t xml:space="preserve">(16.12.15)) והדברים שם נאמרו ביחס ל-9 שתילים בלבד, ובעניינו מדובר ב-48 שתילים (!). בעניין זה ראוי לציין עוד את העלויות הכספיות שנדרשו לצורך ביצוע העבירה ובהן שכירת דירה שיוחדה לשם כך (גם אם רק משלב מסוים) ותשלום חשמל הנדרש להפעלת נורות התאורה הרבות בהן עושה שימוש מיזם מסוג זה (ע/2). עלויות אלו (שכירות, ארנונה וחשמל) מגיעות כדי אלפי שקלים בחודש והן מתיישבות היטב עם גידול שלא לשימוש עצמי בלבד ועם ציפייה לרווח. </w:t>
      </w:r>
    </w:p>
    <w:p w14:paraId="2BB38DF5" w14:textId="77777777" w:rsidR="000A14D7" w:rsidRDefault="000A14D7" w:rsidP="000A14D7">
      <w:pPr>
        <w:spacing w:line="360" w:lineRule="auto"/>
        <w:jc w:val="both"/>
        <w:rPr>
          <w:rFonts w:ascii="David" w:hAnsi="David"/>
          <w:rtl/>
        </w:rPr>
      </w:pPr>
    </w:p>
    <w:p w14:paraId="2259A98D" w14:textId="77777777" w:rsidR="000A14D7" w:rsidRDefault="000A14D7" w:rsidP="000A14D7">
      <w:pPr>
        <w:spacing w:line="360" w:lineRule="auto"/>
        <w:ind w:left="720"/>
        <w:jc w:val="both"/>
        <w:rPr>
          <w:rFonts w:ascii="David" w:hAnsi="David"/>
          <w:rtl/>
        </w:rPr>
      </w:pPr>
      <w:r w:rsidRPr="00673ADB">
        <w:rPr>
          <w:rFonts w:ascii="David" w:hAnsi="David" w:hint="cs"/>
          <w:rtl/>
        </w:rPr>
        <w:t xml:space="preserve">סיכומו של דבר: נסיבות העניין, כמו גם ההרשעה בעבירה של החזקת כלים </w:t>
      </w:r>
      <w:r w:rsidRPr="00673ADB">
        <w:rPr>
          <w:rFonts w:ascii="David" w:hAnsi="David" w:hint="cs"/>
          <w:u w:val="single"/>
          <w:rtl/>
        </w:rPr>
        <w:t>שלא</w:t>
      </w:r>
      <w:r w:rsidRPr="00673ADB">
        <w:rPr>
          <w:rFonts w:ascii="David" w:hAnsi="David" w:hint="cs"/>
          <w:rtl/>
        </w:rPr>
        <w:t xml:space="preserve"> לשימוש עצמי, מביאות למסקנה שמדובר בגידול שאינו לשימוש עצמי בלבד. לאפשרות הסקת מסקנות בעניין זה מנסיבות החזקת הסם והכמות, ראו למשל: </w:t>
      </w:r>
      <w:hyperlink r:id="rId27" w:history="1">
        <w:r w:rsidR="00785330" w:rsidRPr="00785330">
          <w:rPr>
            <w:rStyle w:val="Hyperlink"/>
            <w:rFonts w:ascii="David" w:hAnsi="David" w:hint="eastAsia"/>
            <w:rtl/>
          </w:rPr>
          <w:t>דנ</w:t>
        </w:r>
        <w:r w:rsidR="00785330" w:rsidRPr="00785330">
          <w:rPr>
            <w:rStyle w:val="Hyperlink"/>
            <w:rFonts w:ascii="David" w:hAnsi="David"/>
            <w:rtl/>
          </w:rPr>
          <w:t>"פ 10402/07</w:t>
        </w:r>
      </w:hyperlink>
      <w:r w:rsidRPr="00673ADB">
        <w:rPr>
          <w:rFonts w:ascii="David" w:hAnsi="David" w:hint="cs"/>
          <w:rtl/>
        </w:rPr>
        <w:t xml:space="preserve"> </w:t>
      </w:r>
      <w:r w:rsidRPr="00673ADB">
        <w:rPr>
          <w:rFonts w:ascii="David" w:hAnsi="David" w:hint="cs"/>
          <w:b/>
          <w:bCs/>
          <w:rtl/>
        </w:rPr>
        <w:t>מטיס נ' מדינת ישראל</w:t>
      </w:r>
      <w:r w:rsidRPr="00673ADB">
        <w:rPr>
          <w:rFonts w:ascii="David" w:hAnsi="David" w:hint="cs"/>
          <w:rtl/>
        </w:rPr>
        <w:t xml:space="preserve"> </w:t>
      </w:r>
      <w:r w:rsidR="00262FBF" w:rsidRPr="00262FBF">
        <w:rPr>
          <w:sz w:val="22"/>
          <w:rtl/>
        </w:rPr>
        <w:t xml:space="preserve">[פורסם בנבו] </w:t>
      </w:r>
      <w:r w:rsidRPr="00673ADB">
        <w:rPr>
          <w:rFonts w:ascii="David" w:hAnsi="David" w:hint="cs"/>
          <w:rtl/>
        </w:rPr>
        <w:t>(29.1.08); (</w:t>
      </w:r>
      <w:hyperlink r:id="rId28" w:history="1">
        <w:r w:rsidR="00262FBF" w:rsidRPr="00262FBF">
          <w:rPr>
            <w:rStyle w:val="Hyperlink"/>
            <w:rFonts w:ascii="David" w:hAnsi="David" w:hint="eastAsia"/>
            <w:rtl/>
          </w:rPr>
          <w:t>ת</w:t>
        </w:r>
        <w:r w:rsidR="00262FBF" w:rsidRPr="00262FBF">
          <w:rPr>
            <w:rStyle w:val="Hyperlink"/>
            <w:rFonts w:ascii="David" w:hAnsi="David"/>
            <w:rtl/>
          </w:rPr>
          <w:t>"פ (חי) 4720/02</w:t>
        </w:r>
      </w:hyperlink>
      <w:r w:rsidRPr="00673ADB">
        <w:rPr>
          <w:rFonts w:ascii="David" w:hAnsi="David" w:hint="cs"/>
          <w:rtl/>
        </w:rPr>
        <w:t xml:space="preserve"> </w:t>
      </w:r>
      <w:r w:rsidRPr="00673ADB">
        <w:rPr>
          <w:rFonts w:ascii="David" w:hAnsi="David" w:hint="cs"/>
          <w:b/>
          <w:bCs/>
          <w:rtl/>
        </w:rPr>
        <w:t>מדינת ישראל נ' עבד אל רחמן תאפל</w:t>
      </w:r>
      <w:r w:rsidRPr="00673ADB">
        <w:rPr>
          <w:rFonts w:ascii="David" w:hAnsi="David" w:hint="cs"/>
          <w:rtl/>
        </w:rPr>
        <w:t xml:space="preserve"> </w:t>
      </w:r>
      <w:r w:rsidR="00262FBF" w:rsidRPr="00262FBF">
        <w:rPr>
          <w:sz w:val="22"/>
          <w:rtl/>
        </w:rPr>
        <w:t xml:space="preserve">[פורסם בנבו] </w:t>
      </w:r>
      <w:r w:rsidRPr="00673ADB">
        <w:rPr>
          <w:rFonts w:ascii="David" w:hAnsi="David" w:hint="cs"/>
          <w:rtl/>
        </w:rPr>
        <w:t>(16.5.05); כב' השופט עמית). כן אפנה בעניין זה לדברים שצוינו ב</w:t>
      </w:r>
      <w:hyperlink r:id="rId29" w:history="1">
        <w:r w:rsidR="00785330" w:rsidRPr="00785330">
          <w:rPr>
            <w:rStyle w:val="Hyperlink"/>
            <w:rtl/>
          </w:rPr>
          <w:t>עפ"ג 31126-05-14</w:t>
        </w:r>
      </w:hyperlink>
      <w:r w:rsidRPr="00673ADB">
        <w:rPr>
          <w:rtl/>
        </w:rPr>
        <w:t xml:space="preserve"> </w:t>
      </w:r>
      <w:r w:rsidRPr="00673ADB">
        <w:rPr>
          <w:b/>
          <w:bCs/>
          <w:rtl/>
        </w:rPr>
        <w:t>מדינת ישראל נ' חריט</w:t>
      </w:r>
      <w:r w:rsidRPr="00673ADB">
        <w:rPr>
          <w:rtl/>
        </w:rPr>
        <w:t xml:space="preserve"> </w:t>
      </w:r>
      <w:r w:rsidR="00262FBF" w:rsidRPr="00262FBF">
        <w:rPr>
          <w:sz w:val="22"/>
          <w:rtl/>
        </w:rPr>
        <w:t xml:space="preserve">[פורסם בנבו] </w:t>
      </w:r>
      <w:r w:rsidRPr="00673ADB">
        <w:rPr>
          <w:rtl/>
        </w:rPr>
        <w:t>(12.1.15</w:t>
      </w:r>
      <w:r w:rsidRPr="00673ADB">
        <w:rPr>
          <w:rFonts w:hint="cs"/>
          <w:rtl/>
        </w:rPr>
        <w:t xml:space="preserve">): </w:t>
      </w:r>
      <w:r w:rsidRPr="00673ADB">
        <w:rPr>
          <w:rFonts w:cs="Miriam" w:hint="cs"/>
          <w:rtl/>
        </w:rPr>
        <w:t xml:space="preserve">"מקובלת עלינו טענת המדינה כי שגה בית משפט קמא כאשר הסיק מהעובדה שלמשיב לא יוחסה עבירה של החזקת סם שלא לשימוש עצמי, כאילו מסכימה המדינה לכך שמדובר בהחזקת סם לשימוש עצמי בלבד. אין שום התבטאות של המדינה ברוח זו. אין שום חובה לייחס החזקת סם שלא לצריכה עצמית כדי לתת את מלוא המשמעות </w:t>
      </w:r>
      <w:r w:rsidRPr="00673ADB">
        <w:rPr>
          <w:rFonts w:cs="Miriam" w:hint="cs"/>
          <w:u w:val="single"/>
          <w:rtl/>
        </w:rPr>
        <w:t>לגידול</w:t>
      </w:r>
      <w:r w:rsidRPr="00673ADB">
        <w:rPr>
          <w:rFonts w:cs="Miriam" w:hint="cs"/>
          <w:rtl/>
        </w:rPr>
        <w:t xml:space="preserve"> סם</w:t>
      </w:r>
      <w:r w:rsidRPr="00673ADB">
        <w:rPr>
          <w:rFonts w:ascii="David" w:hAnsi="David" w:cs="Miriam" w:hint="cs"/>
          <w:rtl/>
        </w:rPr>
        <w:t>"</w:t>
      </w:r>
      <w:r w:rsidRPr="00673ADB">
        <w:rPr>
          <w:rFonts w:ascii="David" w:hAnsi="David" w:hint="cs"/>
          <w:rtl/>
        </w:rPr>
        <w:t>. ענייננו מובהק אף יותר, שכן יש בייחוס העבירה של החזקת כלים שלא לשימוש עצמי בלבד, להביא למסקנה ברורה בדבר סיבות גידול הסמים.</w:t>
      </w:r>
    </w:p>
    <w:p w14:paraId="64CA4CE1" w14:textId="77777777" w:rsidR="000A14D7" w:rsidRDefault="000A14D7" w:rsidP="000A14D7">
      <w:pPr>
        <w:spacing w:line="360" w:lineRule="auto"/>
        <w:jc w:val="both"/>
        <w:rPr>
          <w:rFonts w:ascii="David" w:hAnsi="David"/>
          <w:rtl/>
        </w:rPr>
      </w:pPr>
    </w:p>
    <w:p w14:paraId="3FF43898" w14:textId="77777777" w:rsidR="000A14D7" w:rsidRDefault="000A14D7" w:rsidP="000A14D7">
      <w:pPr>
        <w:spacing w:line="360" w:lineRule="auto"/>
        <w:ind w:left="720"/>
        <w:jc w:val="both"/>
        <w:rPr>
          <w:rFonts w:ascii="David" w:hAnsi="David"/>
          <w:rtl/>
        </w:rPr>
      </w:pPr>
      <w:r w:rsidRPr="00673ADB">
        <w:rPr>
          <w:rFonts w:ascii="David" w:hAnsi="David"/>
          <w:rtl/>
        </w:rPr>
        <w:t xml:space="preserve">ודוק: לא התעלמתי מכך שלאור </w:t>
      </w:r>
      <w:hyperlink r:id="rId30" w:history="1">
        <w:r w:rsidR="00C52A97" w:rsidRPr="00C52A97">
          <w:rPr>
            <w:rFonts w:ascii="David" w:hAnsi="David"/>
            <w:color w:val="0000FF"/>
            <w:u w:val="single"/>
            <w:rtl/>
          </w:rPr>
          <w:t>סעיף 40י'</w:t>
        </w:r>
      </w:hyperlink>
      <w:r w:rsidRPr="00673ADB">
        <w:rPr>
          <w:rFonts w:ascii="David" w:hAnsi="David"/>
          <w:rtl/>
        </w:rPr>
        <w:t xml:space="preserve"> ל</w:t>
      </w:r>
      <w:hyperlink r:id="rId31" w:history="1">
        <w:r w:rsidR="00C52A97" w:rsidRPr="00C52A97">
          <w:rPr>
            <w:rFonts w:ascii="David" w:hAnsi="David"/>
            <w:color w:val="0000FF"/>
            <w:u w:val="single"/>
            <w:rtl/>
          </w:rPr>
          <w:t>חוק העונשין</w:t>
        </w:r>
      </w:hyperlink>
      <w:r w:rsidRPr="00673ADB">
        <w:rPr>
          <w:rFonts w:ascii="David" w:hAnsi="David"/>
          <w:rtl/>
        </w:rPr>
        <w:t>, על כתב האישום (ובוודאי זה המתוקן על פי הסדר) לכלול את כל העובדות המוסכמות בין הצדדים וכי אין להביא בחשבון כל עובדה שלא נכללה בו</w:t>
      </w:r>
      <w:r w:rsidRPr="00673ADB">
        <w:rPr>
          <w:rFonts w:ascii="David" w:hAnsi="David" w:hint="cs"/>
          <w:rtl/>
        </w:rPr>
        <w:t xml:space="preserve">, בוודאי שלא כזו המחמירה עם הנאשם </w:t>
      </w:r>
      <w:r w:rsidRPr="00673ADB">
        <w:rPr>
          <w:rFonts w:ascii="David" w:hAnsi="David"/>
          <w:rtl/>
        </w:rPr>
        <w:t>(</w:t>
      </w:r>
      <w:hyperlink r:id="rId32" w:history="1">
        <w:r w:rsidR="00785330" w:rsidRPr="00785330">
          <w:rPr>
            <w:rStyle w:val="Hyperlink"/>
            <w:rFonts w:ascii="David" w:hAnsi="David"/>
            <w:rtl/>
          </w:rPr>
          <w:t>ע"פ 4289/14</w:t>
        </w:r>
      </w:hyperlink>
      <w:r w:rsidRPr="00673ADB">
        <w:rPr>
          <w:rFonts w:ascii="David" w:hAnsi="David"/>
          <w:rtl/>
        </w:rPr>
        <w:t xml:space="preserve"> </w:t>
      </w:r>
      <w:r w:rsidRPr="00673ADB">
        <w:rPr>
          <w:rFonts w:ascii="David" w:hAnsi="David" w:hint="eastAsia"/>
          <w:b/>
          <w:bCs/>
          <w:rtl/>
        </w:rPr>
        <w:t>אורן</w:t>
      </w:r>
      <w:r w:rsidRPr="00673ADB">
        <w:rPr>
          <w:rFonts w:ascii="David" w:hAnsi="David"/>
          <w:b/>
          <w:bCs/>
          <w:rtl/>
        </w:rPr>
        <w:t xml:space="preserve"> </w:t>
      </w:r>
      <w:r w:rsidRPr="00673ADB">
        <w:rPr>
          <w:rFonts w:ascii="David" w:hAnsi="David" w:hint="eastAsia"/>
          <w:b/>
          <w:bCs/>
          <w:rtl/>
        </w:rPr>
        <w:t>חנוכה</w:t>
      </w:r>
      <w:r w:rsidRPr="00673ADB">
        <w:rPr>
          <w:rFonts w:ascii="David" w:hAnsi="David"/>
          <w:b/>
          <w:bCs/>
          <w:rtl/>
        </w:rPr>
        <w:t xml:space="preserve"> </w:t>
      </w:r>
      <w:r w:rsidRPr="00673ADB">
        <w:rPr>
          <w:rFonts w:ascii="David" w:hAnsi="David" w:hint="eastAsia"/>
          <w:b/>
          <w:bCs/>
          <w:rtl/>
        </w:rPr>
        <w:t>ושושן</w:t>
      </w:r>
      <w:r w:rsidRPr="00673ADB">
        <w:rPr>
          <w:rFonts w:ascii="David" w:hAnsi="David"/>
          <w:b/>
          <w:bCs/>
          <w:rtl/>
        </w:rPr>
        <w:t xml:space="preserve"> </w:t>
      </w:r>
      <w:r w:rsidRPr="00673ADB">
        <w:rPr>
          <w:rFonts w:ascii="David" w:hAnsi="David" w:hint="eastAsia"/>
          <w:b/>
          <w:bCs/>
          <w:rtl/>
        </w:rPr>
        <w:t>ברבי</w:t>
      </w:r>
      <w:r w:rsidRPr="00673ADB">
        <w:rPr>
          <w:rFonts w:ascii="David" w:hAnsi="David"/>
          <w:b/>
          <w:bCs/>
          <w:rtl/>
        </w:rPr>
        <w:t xml:space="preserve"> </w:t>
      </w:r>
      <w:r w:rsidRPr="00673ADB">
        <w:rPr>
          <w:rFonts w:ascii="David" w:hAnsi="David" w:hint="eastAsia"/>
          <w:b/>
          <w:bCs/>
          <w:rtl/>
        </w:rPr>
        <w:t>נ</w:t>
      </w:r>
      <w:r w:rsidRPr="00673ADB">
        <w:rPr>
          <w:rFonts w:ascii="David" w:hAnsi="David"/>
          <w:b/>
          <w:bCs/>
          <w:rtl/>
        </w:rPr>
        <w:t xml:space="preserve">' </w:t>
      </w:r>
      <w:r w:rsidRPr="00673ADB">
        <w:rPr>
          <w:rFonts w:ascii="David" w:hAnsi="David" w:hint="eastAsia"/>
          <w:b/>
          <w:bCs/>
          <w:rtl/>
        </w:rPr>
        <w:t>מדינת</w:t>
      </w:r>
      <w:r w:rsidRPr="00673ADB">
        <w:rPr>
          <w:rFonts w:ascii="David" w:hAnsi="David"/>
          <w:b/>
          <w:bCs/>
          <w:rtl/>
        </w:rPr>
        <w:t xml:space="preserve"> </w:t>
      </w:r>
      <w:r w:rsidRPr="00673ADB">
        <w:rPr>
          <w:rFonts w:ascii="David" w:hAnsi="David" w:hint="eastAsia"/>
          <w:b/>
          <w:bCs/>
          <w:rtl/>
        </w:rPr>
        <w:t>ישראל</w:t>
      </w:r>
      <w:r w:rsidRPr="00673ADB">
        <w:rPr>
          <w:rFonts w:ascii="David" w:hAnsi="David"/>
          <w:rtl/>
        </w:rPr>
        <w:t xml:space="preserve"> </w:t>
      </w:r>
      <w:r w:rsidR="00262FBF" w:rsidRPr="00262FBF">
        <w:rPr>
          <w:sz w:val="22"/>
          <w:rtl/>
        </w:rPr>
        <w:t xml:space="preserve">[פורסם בנבו] </w:t>
      </w:r>
      <w:r w:rsidRPr="00673ADB">
        <w:rPr>
          <w:rFonts w:ascii="David" w:hAnsi="David"/>
          <w:rtl/>
        </w:rPr>
        <w:t xml:space="preserve">(21.1.15); </w:t>
      </w:r>
      <w:hyperlink r:id="rId33" w:history="1">
        <w:r w:rsidR="00785330" w:rsidRPr="00785330">
          <w:rPr>
            <w:rStyle w:val="Hyperlink"/>
            <w:rFonts w:ascii="David" w:hAnsi="David"/>
            <w:rtl/>
          </w:rPr>
          <w:t>ע"פ 7349/14</w:t>
        </w:r>
      </w:hyperlink>
      <w:r w:rsidRPr="00673ADB">
        <w:rPr>
          <w:rFonts w:ascii="David" w:hAnsi="David"/>
          <w:rtl/>
        </w:rPr>
        <w:t xml:space="preserve"> </w:t>
      </w:r>
      <w:r w:rsidRPr="00673ADB">
        <w:rPr>
          <w:rFonts w:ascii="David" w:hAnsi="David"/>
          <w:b/>
          <w:bCs/>
          <w:rtl/>
        </w:rPr>
        <w:t>מדינת ישראל נ' פלונית</w:t>
      </w:r>
      <w:r w:rsidRPr="00673ADB">
        <w:rPr>
          <w:rFonts w:ascii="David" w:hAnsi="David"/>
          <w:rtl/>
        </w:rPr>
        <w:t xml:space="preserve"> </w:t>
      </w:r>
      <w:r w:rsidR="00262FBF" w:rsidRPr="00262FBF">
        <w:rPr>
          <w:sz w:val="22"/>
          <w:rtl/>
        </w:rPr>
        <w:t xml:space="preserve">[פורסם בנבו] </w:t>
      </w:r>
      <w:r w:rsidRPr="00673ADB">
        <w:rPr>
          <w:rFonts w:ascii="David" w:hAnsi="David"/>
          <w:rtl/>
        </w:rPr>
        <w:t xml:space="preserve">(14.5.15)). ואולם אין מדובר במקרה זה </w:t>
      </w:r>
      <w:r w:rsidRPr="00673ADB">
        <w:rPr>
          <w:rFonts w:ascii="David" w:hAnsi="David"/>
          <w:u w:val="single"/>
          <w:rtl/>
        </w:rPr>
        <w:t>בעובדות</w:t>
      </w:r>
      <w:r w:rsidRPr="00673ADB">
        <w:rPr>
          <w:rFonts w:ascii="David" w:hAnsi="David"/>
          <w:rtl/>
        </w:rPr>
        <w:t xml:space="preserve"> שלא נזכרו בכתב האישום, אלא בהסקת </w:t>
      </w:r>
      <w:r w:rsidRPr="00673ADB">
        <w:rPr>
          <w:rFonts w:ascii="David" w:hAnsi="David"/>
          <w:u w:val="single"/>
          <w:rtl/>
        </w:rPr>
        <w:t>מסקנה</w:t>
      </w:r>
      <w:r w:rsidRPr="00673ADB">
        <w:rPr>
          <w:rFonts w:ascii="David" w:hAnsi="David"/>
          <w:rtl/>
        </w:rPr>
        <w:t xml:space="preserve"> הגיונית מהעובדות שנכללו בו וכידוע </w:t>
      </w:r>
      <w:r w:rsidRPr="00673ADB">
        <w:rPr>
          <w:rFonts w:ascii="David" w:hAnsi="David" w:cs="Miriam"/>
          <w:rtl/>
        </w:rPr>
        <w:t>"</w:t>
      </w:r>
      <w:r w:rsidRPr="00673ADB">
        <w:rPr>
          <w:rFonts w:ascii="David" w:hAnsi="David" w:cs="Miriam" w:hint="eastAsia"/>
          <w:rtl/>
        </w:rPr>
        <w:t>מתן</w:t>
      </w:r>
      <w:r w:rsidRPr="00673ADB">
        <w:rPr>
          <w:rFonts w:ascii="David" w:hAnsi="David" w:cs="Miriam"/>
          <w:rtl/>
        </w:rPr>
        <w:t xml:space="preserve"> </w:t>
      </w:r>
      <w:r w:rsidRPr="00673ADB">
        <w:rPr>
          <w:rFonts w:ascii="David" w:hAnsi="David" w:cs="Miriam" w:hint="eastAsia"/>
          <w:rtl/>
        </w:rPr>
        <w:t>משמעות</w:t>
      </w:r>
      <w:r w:rsidRPr="00673ADB">
        <w:rPr>
          <w:rFonts w:ascii="David" w:hAnsi="David" w:cs="Miriam"/>
          <w:rtl/>
        </w:rPr>
        <w:t xml:space="preserve"> </w:t>
      </w:r>
      <w:r w:rsidRPr="00673ADB">
        <w:rPr>
          <w:rFonts w:ascii="David" w:hAnsi="David" w:cs="Miriam" w:hint="eastAsia"/>
          <w:rtl/>
        </w:rPr>
        <w:t>לעובדות</w:t>
      </w:r>
      <w:r w:rsidRPr="00673ADB">
        <w:rPr>
          <w:rFonts w:ascii="David" w:hAnsi="David" w:cs="Miriam"/>
          <w:rtl/>
        </w:rPr>
        <w:t xml:space="preserve"> </w:t>
      </w:r>
      <w:r w:rsidRPr="00673ADB">
        <w:rPr>
          <w:rFonts w:ascii="David" w:hAnsi="David" w:cs="Miriam" w:hint="eastAsia"/>
          <w:rtl/>
        </w:rPr>
        <w:t>באופן</w:t>
      </w:r>
      <w:r w:rsidRPr="00673ADB">
        <w:rPr>
          <w:rFonts w:ascii="David" w:hAnsi="David" w:cs="Miriam"/>
          <w:rtl/>
        </w:rPr>
        <w:t xml:space="preserve"> </w:t>
      </w:r>
      <w:r w:rsidRPr="00673ADB">
        <w:rPr>
          <w:rFonts w:ascii="David" w:hAnsi="David" w:cs="Miriam" w:hint="eastAsia"/>
          <w:rtl/>
        </w:rPr>
        <w:t>זה</w:t>
      </w:r>
      <w:r w:rsidRPr="00673ADB">
        <w:rPr>
          <w:rFonts w:ascii="David" w:hAnsi="David" w:cs="Miriam"/>
          <w:rtl/>
        </w:rPr>
        <w:t xml:space="preserve"> </w:t>
      </w:r>
      <w:r w:rsidRPr="00673ADB">
        <w:rPr>
          <w:rFonts w:ascii="David" w:hAnsi="David" w:cs="Miriam" w:hint="eastAsia"/>
          <w:rtl/>
        </w:rPr>
        <w:t>אין</w:t>
      </w:r>
      <w:r w:rsidRPr="00673ADB">
        <w:rPr>
          <w:rFonts w:ascii="David" w:hAnsi="David" w:cs="Miriam"/>
          <w:rtl/>
        </w:rPr>
        <w:t xml:space="preserve"> </w:t>
      </w:r>
      <w:r w:rsidRPr="00673ADB">
        <w:rPr>
          <w:rFonts w:ascii="David" w:hAnsi="David" w:cs="Miriam" w:hint="eastAsia"/>
          <w:rtl/>
        </w:rPr>
        <w:t>משמעו</w:t>
      </w:r>
      <w:r w:rsidRPr="00673ADB">
        <w:rPr>
          <w:rFonts w:ascii="David" w:hAnsi="David" w:cs="Miriam"/>
          <w:rtl/>
        </w:rPr>
        <w:t xml:space="preserve"> </w:t>
      </w:r>
      <w:r w:rsidRPr="00673ADB">
        <w:rPr>
          <w:rFonts w:ascii="David" w:hAnsi="David" w:cs="Miriam" w:hint="eastAsia"/>
          <w:rtl/>
        </w:rPr>
        <w:t>יצירת</w:t>
      </w:r>
      <w:r w:rsidRPr="00673ADB">
        <w:rPr>
          <w:rFonts w:ascii="David" w:hAnsi="David" w:cs="Miriam"/>
          <w:rtl/>
        </w:rPr>
        <w:t xml:space="preserve"> </w:t>
      </w:r>
      <w:r w:rsidRPr="00673ADB">
        <w:rPr>
          <w:rFonts w:ascii="David" w:hAnsi="David" w:cs="Miriam" w:hint="eastAsia"/>
          <w:rtl/>
        </w:rPr>
        <w:t>עובדות</w:t>
      </w:r>
      <w:r w:rsidRPr="00673ADB">
        <w:rPr>
          <w:rFonts w:ascii="David" w:hAnsi="David" w:cs="Miriam"/>
          <w:rtl/>
        </w:rPr>
        <w:t xml:space="preserve"> </w:t>
      </w:r>
      <w:r w:rsidRPr="00673ADB">
        <w:rPr>
          <w:rFonts w:ascii="David" w:hAnsi="David" w:cs="Miriam" w:hint="eastAsia"/>
          <w:rtl/>
        </w:rPr>
        <w:t>חדשות</w:t>
      </w:r>
      <w:r w:rsidRPr="00673ADB">
        <w:rPr>
          <w:rFonts w:ascii="David" w:hAnsi="David" w:cs="Miriam"/>
          <w:rtl/>
        </w:rPr>
        <w:t xml:space="preserve"> </w:t>
      </w:r>
      <w:r w:rsidRPr="00673ADB">
        <w:rPr>
          <w:rFonts w:ascii="David" w:hAnsi="David" w:cs="Miriam" w:hint="eastAsia"/>
          <w:rtl/>
        </w:rPr>
        <w:t>או</w:t>
      </w:r>
      <w:r w:rsidRPr="00673ADB">
        <w:rPr>
          <w:rFonts w:ascii="David" w:hAnsi="David" w:cs="Miriam"/>
          <w:rtl/>
        </w:rPr>
        <w:t xml:space="preserve"> </w:t>
      </w:r>
      <w:r w:rsidRPr="00673ADB">
        <w:rPr>
          <w:rFonts w:ascii="David" w:hAnsi="David" w:cs="Miriam" w:hint="eastAsia"/>
          <w:rtl/>
        </w:rPr>
        <w:t>מתן</w:t>
      </w:r>
      <w:r w:rsidRPr="00673ADB">
        <w:rPr>
          <w:rFonts w:ascii="David" w:hAnsi="David" w:cs="Miriam"/>
          <w:rtl/>
        </w:rPr>
        <w:t xml:space="preserve"> </w:t>
      </w:r>
      <w:r w:rsidRPr="00673ADB">
        <w:rPr>
          <w:rFonts w:ascii="David" w:hAnsi="David" w:cs="Miriam" w:hint="eastAsia"/>
          <w:rtl/>
        </w:rPr>
        <w:t>משמעות</w:t>
      </w:r>
      <w:r w:rsidRPr="00673ADB">
        <w:rPr>
          <w:rFonts w:ascii="David" w:hAnsi="David" w:cs="Miriam"/>
          <w:rtl/>
        </w:rPr>
        <w:t xml:space="preserve"> </w:t>
      </w:r>
      <w:r w:rsidRPr="00673ADB">
        <w:rPr>
          <w:rFonts w:ascii="David" w:hAnsi="David" w:cs="Miriam" w:hint="eastAsia"/>
          <w:rtl/>
        </w:rPr>
        <w:t>מחודשת</w:t>
      </w:r>
      <w:r w:rsidRPr="00673ADB">
        <w:rPr>
          <w:rFonts w:ascii="David" w:hAnsi="David" w:cs="Miriam"/>
          <w:rtl/>
        </w:rPr>
        <w:t xml:space="preserve"> </w:t>
      </w:r>
      <w:r w:rsidRPr="00673ADB">
        <w:rPr>
          <w:rFonts w:ascii="David" w:hAnsi="David" w:cs="Miriam" w:hint="eastAsia"/>
          <w:rtl/>
        </w:rPr>
        <w:t>לעובדות</w:t>
      </w:r>
      <w:r w:rsidRPr="00673ADB">
        <w:rPr>
          <w:rFonts w:ascii="David" w:hAnsi="David" w:cs="Miriam"/>
          <w:rtl/>
        </w:rPr>
        <w:t xml:space="preserve"> – </w:t>
      </w:r>
      <w:r w:rsidRPr="00673ADB">
        <w:rPr>
          <w:rFonts w:ascii="David" w:hAnsi="David" w:cs="Miriam" w:hint="eastAsia"/>
          <w:rtl/>
        </w:rPr>
        <w:t>אלא</w:t>
      </w:r>
      <w:r w:rsidRPr="00673ADB">
        <w:rPr>
          <w:rFonts w:ascii="David" w:hAnsi="David" w:cs="Miriam"/>
          <w:rtl/>
        </w:rPr>
        <w:t xml:space="preserve"> </w:t>
      </w:r>
      <w:r w:rsidRPr="00673ADB">
        <w:rPr>
          <w:rFonts w:ascii="David" w:hAnsi="David" w:cs="Miriam" w:hint="eastAsia"/>
          <w:rtl/>
        </w:rPr>
        <w:t>מדובר</w:t>
      </w:r>
      <w:r w:rsidRPr="00673ADB">
        <w:rPr>
          <w:rFonts w:ascii="David" w:hAnsi="David" w:cs="Miriam"/>
          <w:rtl/>
        </w:rPr>
        <w:t xml:space="preserve"> </w:t>
      </w:r>
      <w:r w:rsidRPr="00673ADB">
        <w:rPr>
          <w:rFonts w:ascii="David" w:hAnsi="David" w:cs="Miriam" w:hint="eastAsia"/>
          <w:rtl/>
        </w:rPr>
        <w:t>בתהליך</w:t>
      </w:r>
      <w:r w:rsidRPr="00673ADB">
        <w:rPr>
          <w:rFonts w:ascii="David" w:hAnsi="David" w:cs="Miriam"/>
          <w:rtl/>
        </w:rPr>
        <w:t xml:space="preserve"> </w:t>
      </w:r>
      <w:r w:rsidRPr="00673ADB">
        <w:rPr>
          <w:rFonts w:ascii="David" w:hAnsi="David" w:cs="Miriam" w:hint="eastAsia"/>
          <w:rtl/>
        </w:rPr>
        <w:t>הלוגי</w:t>
      </w:r>
      <w:r w:rsidRPr="00673ADB">
        <w:rPr>
          <w:rFonts w:ascii="David" w:hAnsi="David" w:cs="Miriam"/>
          <w:rtl/>
        </w:rPr>
        <w:t xml:space="preserve"> </w:t>
      </w:r>
      <w:r w:rsidRPr="00673ADB">
        <w:rPr>
          <w:rFonts w:ascii="David" w:hAnsi="David" w:cs="Miriam" w:hint="eastAsia"/>
          <w:rtl/>
        </w:rPr>
        <w:t>של</w:t>
      </w:r>
      <w:r w:rsidRPr="00673ADB">
        <w:rPr>
          <w:rFonts w:ascii="David" w:hAnsi="David" w:cs="Miriam"/>
          <w:rtl/>
        </w:rPr>
        <w:t xml:space="preserve"> </w:t>
      </w:r>
      <w:r w:rsidRPr="00673ADB">
        <w:rPr>
          <w:rFonts w:ascii="David" w:hAnsi="David" w:cs="Miriam" w:hint="eastAsia"/>
          <w:rtl/>
        </w:rPr>
        <w:t>גזירת</w:t>
      </w:r>
      <w:r w:rsidRPr="00673ADB">
        <w:rPr>
          <w:rFonts w:ascii="David" w:hAnsi="David" w:cs="Miriam"/>
          <w:rtl/>
        </w:rPr>
        <w:t xml:space="preserve"> </w:t>
      </w:r>
      <w:r w:rsidRPr="00673ADB">
        <w:rPr>
          <w:rFonts w:ascii="David" w:hAnsi="David" w:cs="Miriam" w:hint="eastAsia"/>
          <w:rtl/>
        </w:rPr>
        <w:t>ממצאים</w:t>
      </w:r>
      <w:r w:rsidRPr="00673ADB">
        <w:rPr>
          <w:rFonts w:ascii="David" w:hAnsi="David" w:cs="Miriam"/>
          <w:rtl/>
        </w:rPr>
        <w:t xml:space="preserve"> </w:t>
      </w:r>
      <w:r w:rsidRPr="00673ADB">
        <w:rPr>
          <w:rFonts w:ascii="David" w:hAnsi="David" w:cs="Miriam" w:hint="eastAsia"/>
          <w:rtl/>
        </w:rPr>
        <w:t>והסקת</w:t>
      </w:r>
      <w:r w:rsidRPr="00673ADB">
        <w:rPr>
          <w:rFonts w:ascii="David" w:hAnsi="David" w:cs="Miriam"/>
          <w:rtl/>
        </w:rPr>
        <w:t xml:space="preserve"> </w:t>
      </w:r>
      <w:r w:rsidRPr="00673ADB">
        <w:rPr>
          <w:rFonts w:ascii="David" w:hAnsi="David" w:cs="Miriam" w:hint="eastAsia"/>
          <w:rtl/>
        </w:rPr>
        <w:t>מסקנות</w:t>
      </w:r>
      <w:r w:rsidRPr="00673ADB">
        <w:rPr>
          <w:rFonts w:ascii="David" w:hAnsi="David" w:cs="Miriam"/>
          <w:rtl/>
        </w:rPr>
        <w:t xml:space="preserve"> </w:t>
      </w:r>
      <w:r w:rsidRPr="00673ADB">
        <w:rPr>
          <w:rFonts w:ascii="David" w:hAnsi="David" w:cs="Miriam" w:hint="eastAsia"/>
          <w:rtl/>
        </w:rPr>
        <w:t>מהעובדות</w:t>
      </w:r>
      <w:r w:rsidRPr="00673ADB">
        <w:rPr>
          <w:rFonts w:ascii="David" w:hAnsi="David" w:cs="Miriam"/>
          <w:rtl/>
        </w:rPr>
        <w:t xml:space="preserve"> </w:t>
      </w:r>
      <w:r w:rsidRPr="00673ADB">
        <w:rPr>
          <w:rFonts w:ascii="David" w:hAnsi="David" w:cs="Miriam" w:hint="eastAsia"/>
          <w:rtl/>
        </w:rPr>
        <w:t>שהוכחו</w:t>
      </w:r>
      <w:r w:rsidRPr="00673ADB">
        <w:rPr>
          <w:rFonts w:ascii="David" w:hAnsi="David" w:cs="Miriam"/>
          <w:rtl/>
        </w:rPr>
        <w:t xml:space="preserve"> </w:t>
      </w:r>
      <w:r w:rsidRPr="00673ADB">
        <w:rPr>
          <w:rFonts w:ascii="David" w:hAnsi="David" w:cs="Miriam" w:hint="eastAsia"/>
          <w:rtl/>
        </w:rPr>
        <w:t>או</w:t>
      </w:r>
      <w:r w:rsidRPr="00673ADB">
        <w:rPr>
          <w:rFonts w:ascii="David" w:hAnsi="David" w:cs="Miriam"/>
          <w:rtl/>
        </w:rPr>
        <w:t xml:space="preserve"> </w:t>
      </w:r>
      <w:r w:rsidRPr="00673ADB">
        <w:rPr>
          <w:rFonts w:ascii="David" w:hAnsi="David" w:cs="Miriam" w:hint="eastAsia"/>
          <w:rtl/>
        </w:rPr>
        <w:t>שהוסכמו</w:t>
      </w:r>
      <w:r w:rsidRPr="00673ADB">
        <w:rPr>
          <w:rFonts w:ascii="David" w:hAnsi="David" w:cs="Miriam"/>
          <w:rtl/>
        </w:rPr>
        <w:t xml:space="preserve">, </w:t>
      </w:r>
      <w:r w:rsidRPr="00673ADB">
        <w:rPr>
          <w:rFonts w:ascii="David" w:hAnsi="David" w:cs="Miriam" w:hint="eastAsia"/>
          <w:rtl/>
        </w:rPr>
        <w:t>כפי</w:t>
      </w:r>
      <w:r w:rsidRPr="00673ADB">
        <w:rPr>
          <w:rFonts w:ascii="David" w:hAnsi="David" w:cs="Miriam"/>
          <w:rtl/>
        </w:rPr>
        <w:t xml:space="preserve"> </w:t>
      </w:r>
      <w:r w:rsidRPr="00673ADB">
        <w:rPr>
          <w:rFonts w:ascii="David" w:hAnsi="David" w:cs="Miriam" w:hint="eastAsia"/>
          <w:rtl/>
        </w:rPr>
        <w:t>שנוהגים</w:t>
      </w:r>
      <w:r w:rsidRPr="00673ADB">
        <w:rPr>
          <w:rFonts w:ascii="David" w:hAnsi="David" w:cs="Miriam"/>
          <w:rtl/>
        </w:rPr>
        <w:t xml:space="preserve"> </w:t>
      </w:r>
      <w:r w:rsidRPr="00673ADB">
        <w:rPr>
          <w:rFonts w:ascii="David" w:hAnsi="David" w:cs="Miriam" w:hint="eastAsia"/>
          <w:rtl/>
        </w:rPr>
        <w:t>לעשות</w:t>
      </w:r>
      <w:r w:rsidRPr="00673ADB">
        <w:rPr>
          <w:rFonts w:ascii="David" w:hAnsi="David" w:cs="Miriam"/>
          <w:rtl/>
        </w:rPr>
        <w:t xml:space="preserve"> </w:t>
      </w:r>
      <w:r w:rsidRPr="00673ADB">
        <w:rPr>
          <w:rFonts w:ascii="David" w:hAnsi="David" w:cs="Miriam" w:hint="eastAsia"/>
          <w:rtl/>
        </w:rPr>
        <w:t>בתי</w:t>
      </w:r>
      <w:r w:rsidRPr="00673ADB">
        <w:rPr>
          <w:rFonts w:ascii="David" w:hAnsi="David" w:cs="Miriam"/>
          <w:rtl/>
        </w:rPr>
        <w:t xml:space="preserve"> </w:t>
      </w:r>
      <w:r w:rsidRPr="00673ADB">
        <w:rPr>
          <w:rFonts w:ascii="David" w:hAnsi="David" w:cs="Miriam" w:hint="eastAsia"/>
          <w:rtl/>
        </w:rPr>
        <w:t>המשפט</w:t>
      </w:r>
      <w:r w:rsidRPr="00673ADB">
        <w:rPr>
          <w:rFonts w:ascii="David" w:hAnsi="David" w:cs="Miriam"/>
          <w:rtl/>
        </w:rPr>
        <w:t xml:space="preserve"> </w:t>
      </w:r>
      <w:r w:rsidRPr="00673ADB">
        <w:rPr>
          <w:rFonts w:ascii="David" w:hAnsi="David" w:cs="Miriam" w:hint="eastAsia"/>
          <w:rtl/>
        </w:rPr>
        <w:t>חדשות</w:t>
      </w:r>
      <w:r w:rsidRPr="00673ADB">
        <w:rPr>
          <w:rFonts w:ascii="David" w:hAnsi="David" w:cs="Miriam"/>
          <w:rtl/>
        </w:rPr>
        <w:t xml:space="preserve"> </w:t>
      </w:r>
      <w:r w:rsidRPr="00673ADB">
        <w:rPr>
          <w:rFonts w:ascii="David" w:hAnsi="David" w:cs="Miriam" w:hint="eastAsia"/>
          <w:rtl/>
        </w:rPr>
        <w:t>לבקרים</w:t>
      </w:r>
      <w:r w:rsidRPr="00673ADB">
        <w:rPr>
          <w:rFonts w:ascii="David" w:hAnsi="David" w:cs="Miriam"/>
          <w:rtl/>
        </w:rPr>
        <w:t>"</w:t>
      </w:r>
      <w:r w:rsidRPr="00673ADB">
        <w:rPr>
          <w:rFonts w:ascii="David" w:hAnsi="David"/>
          <w:rtl/>
        </w:rPr>
        <w:t xml:space="preserve"> (</w:t>
      </w:r>
      <w:hyperlink r:id="rId34" w:history="1">
        <w:r w:rsidR="00785330" w:rsidRPr="00785330">
          <w:rPr>
            <w:rStyle w:val="Hyperlink"/>
            <w:rFonts w:ascii="David" w:hAnsi="David"/>
            <w:rtl/>
          </w:rPr>
          <w:t>דנ"פ 623/16</w:t>
        </w:r>
      </w:hyperlink>
      <w:r w:rsidRPr="00673ADB">
        <w:rPr>
          <w:rFonts w:ascii="David" w:hAnsi="David"/>
          <w:rtl/>
        </w:rPr>
        <w:t xml:space="preserve"> </w:t>
      </w:r>
      <w:r w:rsidRPr="00673ADB">
        <w:rPr>
          <w:rFonts w:ascii="David" w:hAnsi="David"/>
          <w:b/>
          <w:bCs/>
          <w:rtl/>
        </w:rPr>
        <w:t>יאשיהו יוסף פינטו נ' מדינת ישראל</w:t>
      </w:r>
      <w:r w:rsidRPr="00673ADB">
        <w:rPr>
          <w:rFonts w:ascii="David" w:hAnsi="David"/>
          <w:rtl/>
        </w:rPr>
        <w:t xml:space="preserve"> </w:t>
      </w:r>
      <w:r w:rsidR="00262FBF" w:rsidRPr="00262FBF">
        <w:rPr>
          <w:sz w:val="22"/>
          <w:rtl/>
        </w:rPr>
        <w:t xml:space="preserve">[פורסם בנבו] </w:t>
      </w:r>
      <w:r w:rsidRPr="00673ADB">
        <w:rPr>
          <w:rFonts w:ascii="David" w:hAnsi="David"/>
          <w:rtl/>
        </w:rPr>
        <w:t xml:space="preserve">(8.2.16)). </w:t>
      </w:r>
      <w:r w:rsidRPr="00673ADB">
        <w:rPr>
          <w:rFonts w:ascii="David" w:hAnsi="David" w:hint="cs"/>
          <w:rtl/>
        </w:rPr>
        <w:t xml:space="preserve">דוגמא ברורה לכך היא בהסקת מסקנה בדבר תכנון מוקדם, אשר לרוב אינה נזכרת במפורש בעובדות כתב האישום, אלא מוסקת באופן תדיר מהנסיבות. עם זאת, כאמור במקרה זה המצב פשוט יותר בשל ההודאה בעבירה של החזקת כלים </w:t>
      </w:r>
      <w:r w:rsidRPr="00673ADB">
        <w:rPr>
          <w:rFonts w:ascii="David" w:hAnsi="David" w:hint="cs"/>
          <w:u w:val="single"/>
          <w:rtl/>
        </w:rPr>
        <w:t>שלא</w:t>
      </w:r>
      <w:r w:rsidRPr="00673ADB">
        <w:rPr>
          <w:rFonts w:ascii="David" w:hAnsi="David" w:hint="cs"/>
          <w:rtl/>
        </w:rPr>
        <w:t xml:space="preserve"> לשימוש עצמי בלבד. </w:t>
      </w:r>
    </w:p>
    <w:p w14:paraId="172BE56E" w14:textId="77777777" w:rsidR="000A14D7" w:rsidRDefault="000A14D7" w:rsidP="000A14D7">
      <w:pPr>
        <w:spacing w:line="360" w:lineRule="auto"/>
        <w:jc w:val="both"/>
        <w:rPr>
          <w:rFonts w:ascii="David" w:hAnsi="David"/>
          <w:rtl/>
        </w:rPr>
      </w:pPr>
    </w:p>
    <w:p w14:paraId="0A0D6802" w14:textId="77777777" w:rsidR="000A14D7" w:rsidRDefault="000A14D7" w:rsidP="000A14D7">
      <w:pPr>
        <w:spacing w:line="360" w:lineRule="auto"/>
        <w:ind w:left="720"/>
        <w:jc w:val="both"/>
        <w:rPr>
          <w:rFonts w:ascii="David" w:hAnsi="David"/>
          <w:rtl/>
        </w:rPr>
      </w:pPr>
      <w:r w:rsidRPr="00673ADB">
        <w:rPr>
          <w:rFonts w:ascii="David" w:hAnsi="David" w:hint="cs"/>
          <w:rtl/>
        </w:rPr>
        <w:t>לא התעלמתי גם מהדברים שהובעו ב</w:t>
      </w:r>
      <w:hyperlink r:id="rId35" w:history="1">
        <w:r w:rsidR="00785330" w:rsidRPr="00785330">
          <w:rPr>
            <w:rStyle w:val="Hyperlink"/>
            <w:rFonts w:ascii="David" w:hAnsi="David" w:hint="eastAsia"/>
            <w:rtl/>
          </w:rPr>
          <w:t>עפ</w:t>
        </w:r>
        <w:r w:rsidR="00785330" w:rsidRPr="00785330">
          <w:rPr>
            <w:rStyle w:val="Hyperlink"/>
            <w:rFonts w:ascii="David" w:hAnsi="David"/>
            <w:rtl/>
          </w:rPr>
          <w:t>"ג 28110-10-15</w:t>
        </w:r>
      </w:hyperlink>
      <w:r w:rsidRPr="00673ADB">
        <w:rPr>
          <w:rFonts w:ascii="David" w:hAnsi="David" w:hint="cs"/>
          <w:rtl/>
        </w:rPr>
        <w:t xml:space="preserve"> </w:t>
      </w:r>
      <w:r w:rsidRPr="00673ADB">
        <w:rPr>
          <w:rFonts w:ascii="David" w:hAnsi="David" w:hint="cs"/>
          <w:b/>
          <w:bCs/>
          <w:rtl/>
        </w:rPr>
        <w:t>מדינת ישראל נ' עידן דוד</w:t>
      </w:r>
      <w:r w:rsidRPr="00673ADB">
        <w:rPr>
          <w:rFonts w:ascii="David" w:hAnsi="David" w:hint="cs"/>
          <w:rtl/>
        </w:rPr>
        <w:t xml:space="preserve"> </w:t>
      </w:r>
      <w:r w:rsidR="00262FBF" w:rsidRPr="00262FBF">
        <w:rPr>
          <w:sz w:val="22"/>
          <w:rtl/>
        </w:rPr>
        <w:t xml:space="preserve">[פורסם בנבו] </w:t>
      </w:r>
      <w:r w:rsidRPr="00673ADB">
        <w:rPr>
          <w:rFonts w:ascii="David" w:hAnsi="David" w:hint="cs"/>
          <w:rtl/>
        </w:rPr>
        <w:t xml:space="preserve">(17.12.15) לפיהם כאשר לא צוין בכתב האישום שגידול הסמים היה למטרה החורגת משימוש עצמי </w:t>
      </w:r>
      <w:r w:rsidRPr="00673ADB">
        <w:rPr>
          <w:rFonts w:ascii="David" w:hAnsi="David" w:cs="Miriam" w:hint="cs"/>
          <w:rtl/>
        </w:rPr>
        <w:t>"יש לפרש את מכלול הנסיבות באופן המקל עם המשיב, דהיינו שמדובר בצמחי סם שגודלו אך ורק לשימושם העצמי של המשיב ושותפו</w:t>
      </w:r>
      <w:r w:rsidRPr="00AD0FFE">
        <w:rPr>
          <w:rFonts w:ascii="David" w:hAnsi="David" w:cs="Miriam" w:hint="cs"/>
          <w:rtl/>
        </w:rPr>
        <w:t>"</w:t>
      </w:r>
      <w:r w:rsidRPr="00673ADB">
        <w:rPr>
          <w:rFonts w:ascii="David" w:hAnsi="David" w:hint="cs"/>
          <w:rtl/>
        </w:rPr>
        <w:t>. דברים אלו צוינו בהתאם לנסיבות המקרה המיוחדות שם. אין להבין מכך כמובן שבכל מקרה וללא קשר למספר השתילים ויתר הנסיבות שהוכחו, יש להסיק תמיד שמטרת הגידול היא לשימוש עצמי, בהיעדר ציון אחר בכתב האישום. ברי שייתכנו מקרים, בהם מטרת הגידול ברורה לכל, גם אם נניח עבור הנאשם הנחות המיטיבות עמו וגם אם הדבר לא צוין כעובדה בכתב האישום בו הודה הנאשם. כפי שציינתי לעיל, מדובר בהליך לוגי של הסקת מסקנות (ברמת ההוכחה הנדרשת כמובן לקביעת נסיבה מחמירה (</w:t>
      </w:r>
      <w:hyperlink r:id="rId36" w:history="1">
        <w:r w:rsidR="00C52A97" w:rsidRPr="00C52A97">
          <w:rPr>
            <w:rFonts w:ascii="David" w:hAnsi="David"/>
            <w:color w:val="0000FF"/>
            <w:u w:val="single"/>
            <w:rtl/>
          </w:rPr>
          <w:t>סעיף 40י'(ג)</w:t>
        </w:r>
      </w:hyperlink>
      <w:r w:rsidRPr="00673ADB">
        <w:rPr>
          <w:rFonts w:ascii="David" w:hAnsi="David" w:hint="cs"/>
          <w:rtl/>
        </w:rPr>
        <w:t xml:space="preserve"> ל</w:t>
      </w:r>
      <w:hyperlink r:id="rId37" w:history="1">
        <w:r w:rsidR="00C52A97" w:rsidRPr="00C52A97">
          <w:rPr>
            <w:rFonts w:ascii="David" w:hAnsi="David"/>
            <w:color w:val="0000FF"/>
            <w:u w:val="single"/>
            <w:rtl/>
          </w:rPr>
          <w:t>חוק העונשין</w:t>
        </w:r>
      </w:hyperlink>
      <w:r w:rsidRPr="00673ADB">
        <w:rPr>
          <w:rFonts w:ascii="David" w:hAnsi="David" w:hint="cs"/>
          <w:rtl/>
        </w:rPr>
        <w:t>)</w:t>
      </w:r>
      <w:r>
        <w:rPr>
          <w:rFonts w:ascii="David" w:hAnsi="David" w:hint="cs"/>
          <w:rtl/>
        </w:rPr>
        <w:t>)</w:t>
      </w:r>
      <w:r w:rsidRPr="00673ADB">
        <w:rPr>
          <w:rFonts w:ascii="David" w:hAnsi="David" w:hint="cs"/>
          <w:rtl/>
        </w:rPr>
        <w:t xml:space="preserve"> ולכן המסקנה בכל מקרה ומקרה היא פונקציה של הנסיבות והעובדות שהוכחו. במקרה שלפנינו, הדבר הוכח לדעתי ברמה של מעבר לכל ספק סביר.</w:t>
      </w:r>
    </w:p>
    <w:p w14:paraId="3F5BCD4C" w14:textId="77777777" w:rsidR="000A14D7" w:rsidRPr="004F6998" w:rsidRDefault="000A14D7" w:rsidP="000A14D7">
      <w:pPr>
        <w:pStyle w:val="ListParagraph"/>
        <w:numPr>
          <w:ilvl w:val="0"/>
          <w:numId w:val="1"/>
        </w:numPr>
        <w:spacing w:line="360" w:lineRule="auto"/>
        <w:jc w:val="both"/>
        <w:rPr>
          <w:rFonts w:ascii="David" w:hAnsi="David" w:cs="David"/>
        </w:rPr>
      </w:pPr>
      <w:r w:rsidRPr="00266023">
        <w:rPr>
          <w:rFonts w:cs="David"/>
          <w:b/>
          <w:bCs/>
          <w:rtl/>
        </w:rPr>
        <w:t>מדיניות הענישה:</w:t>
      </w:r>
      <w:r w:rsidRPr="00266023">
        <w:rPr>
          <w:rFonts w:ascii="David" w:hAnsi="David" w:cs="David"/>
          <w:rtl/>
        </w:rPr>
        <w:t xml:space="preserve"> </w:t>
      </w:r>
      <w:r>
        <w:rPr>
          <w:rFonts w:cs="David" w:hint="cs"/>
          <w:rtl/>
        </w:rPr>
        <w:t xml:space="preserve">מדיניות הענישה בעבירות סמים הקשורות לשרשרת ההפצה היא ככלל מחמירה ולנסיבות האישיות ניתן משקל מופחת. בעניין זה נקבע לא אחת כי </w:t>
      </w:r>
      <w:r w:rsidRPr="004F6998">
        <w:rPr>
          <w:rFonts w:cs="Miriam" w:hint="cs"/>
          <w:rtl/>
        </w:rPr>
        <w:t xml:space="preserve">"ההלכה בעניין עבירות סמים קובעת כי נוכח חומרתן הרבה של אותן העבירות יש להתמודד מולן באמצעות ענישה משמעותית ומחמירה ... </w:t>
      </w:r>
      <w:r>
        <w:rPr>
          <w:rFonts w:cs="Miriam" w:hint="cs"/>
          <w:rtl/>
        </w:rPr>
        <w:t>[ו]</w:t>
      </w:r>
      <w:r w:rsidRPr="004F6998">
        <w:rPr>
          <w:rFonts w:cs="Miriam" w:hint="cs"/>
          <w:rtl/>
        </w:rPr>
        <w:t>כי יש לבכר את שיקולי ההרתעה על השיקולים האישיים בעבירות מסוג זה"</w:t>
      </w:r>
      <w:r>
        <w:rPr>
          <w:rFonts w:cs="David" w:hint="cs"/>
          <w:rtl/>
        </w:rPr>
        <w:t xml:space="preserve"> (</w:t>
      </w:r>
      <w:hyperlink r:id="rId38" w:history="1">
        <w:r w:rsidR="00785330" w:rsidRPr="00785330">
          <w:rPr>
            <w:rStyle w:val="Hyperlink"/>
            <w:rFonts w:cs="David" w:hint="eastAsia"/>
            <w:rtl/>
          </w:rPr>
          <w:t>ע</w:t>
        </w:r>
        <w:r w:rsidR="00785330" w:rsidRPr="00785330">
          <w:rPr>
            <w:rStyle w:val="Hyperlink"/>
            <w:rFonts w:cs="David"/>
            <w:rtl/>
          </w:rPr>
          <w:t>"פ 8988/16</w:t>
        </w:r>
      </w:hyperlink>
      <w:r>
        <w:rPr>
          <w:rFonts w:cs="David" w:hint="cs"/>
          <w:rtl/>
        </w:rPr>
        <w:t xml:space="preserve"> </w:t>
      </w:r>
      <w:r w:rsidRPr="004F6998">
        <w:rPr>
          <w:rFonts w:cs="David" w:hint="cs"/>
          <w:b/>
          <w:bCs/>
          <w:rtl/>
        </w:rPr>
        <w:t>אשר בן סימון נ' מדינת ישראל</w:t>
      </w:r>
      <w:r>
        <w:rPr>
          <w:rFonts w:cs="David" w:hint="cs"/>
          <w:rtl/>
        </w:rPr>
        <w:t xml:space="preserve"> </w:t>
      </w:r>
      <w:r w:rsidR="00262FBF" w:rsidRPr="00262FBF">
        <w:rPr>
          <w:rFonts w:cs="David"/>
          <w:sz w:val="22"/>
          <w:rtl/>
        </w:rPr>
        <w:t xml:space="preserve">[פורסם בנבו] </w:t>
      </w:r>
      <w:r>
        <w:rPr>
          <w:rFonts w:cs="David" w:hint="cs"/>
          <w:rtl/>
        </w:rPr>
        <w:t xml:space="preserve">(8.3.17)). </w:t>
      </w:r>
    </w:p>
    <w:p w14:paraId="3FDFBBC5" w14:textId="77777777" w:rsidR="000A14D7" w:rsidRPr="004F6998" w:rsidRDefault="000A14D7" w:rsidP="000A14D7">
      <w:pPr>
        <w:pStyle w:val="ListParagraph"/>
        <w:spacing w:line="360" w:lineRule="auto"/>
        <w:jc w:val="both"/>
        <w:rPr>
          <w:rFonts w:ascii="David" w:hAnsi="David" w:cs="David"/>
        </w:rPr>
      </w:pPr>
    </w:p>
    <w:p w14:paraId="05334245" w14:textId="77777777" w:rsidR="000A14D7" w:rsidRDefault="000A14D7" w:rsidP="000A14D7">
      <w:pPr>
        <w:pStyle w:val="ListParagraph"/>
        <w:spacing w:line="360" w:lineRule="auto"/>
        <w:jc w:val="both"/>
        <w:rPr>
          <w:rFonts w:cs="David"/>
          <w:rtl/>
        </w:rPr>
      </w:pPr>
      <w:r>
        <w:rPr>
          <w:rFonts w:cs="David" w:hint="cs"/>
          <w:rtl/>
        </w:rPr>
        <w:t xml:space="preserve">ביחס לעבירות של גידול סמים, ראוי לומר שאכן יש ממש בטיעוני המאשימה בדבר ריבוין של עבירות גידול סמים בעת האחרונה. מהתיקים המובאים בפני בית משפט זה, אכן ניתן לומר שנושא זה הפך "להיט" בשנים האחרונות ודומה כי מדובר בדרך קלה ומהירה לגריפת ממון רב, אשר אף אנשים ללא עבר פלילי חוטאים בכך. ראו בעניין זה את דבריו של בית המשפט המחוזי בתל אביב: </w:t>
      </w:r>
    </w:p>
    <w:p w14:paraId="1A821268" w14:textId="77777777" w:rsidR="000A14D7" w:rsidRDefault="000A14D7" w:rsidP="000A14D7">
      <w:pPr>
        <w:pStyle w:val="ListParagraph"/>
        <w:spacing w:line="360" w:lineRule="auto"/>
        <w:jc w:val="both"/>
        <w:rPr>
          <w:rFonts w:cs="David"/>
          <w:rtl/>
        </w:rPr>
      </w:pPr>
    </w:p>
    <w:p w14:paraId="0B08E23F" w14:textId="77777777" w:rsidR="000A14D7" w:rsidRPr="000120BF" w:rsidRDefault="000A14D7" w:rsidP="000A14D7">
      <w:pPr>
        <w:pStyle w:val="ListParagraph"/>
        <w:spacing w:line="360" w:lineRule="auto"/>
        <w:ind w:left="1440" w:right="1134"/>
        <w:jc w:val="both"/>
        <w:rPr>
          <w:rFonts w:cs="Miriam"/>
          <w:rtl/>
        </w:rPr>
      </w:pPr>
      <w:r>
        <w:rPr>
          <w:rFonts w:cs="Miriam" w:hint="cs"/>
          <w:rtl/>
        </w:rPr>
        <w:t>"</w:t>
      </w:r>
      <w:r w:rsidRPr="000120BF">
        <w:rPr>
          <w:rFonts w:cs="Miriam" w:hint="cs"/>
          <w:rtl/>
        </w:rPr>
        <w:t xml:space="preserve">נראה כי התופעה של מעבדות סמים הפכה להיות "להיט". העבירה הפכה להיות נפוצה ומצדנו נוסיף, גם נפיצה שהרי גלום בה פוטנציאל סיכון רב ביותר. גידול הסמים כנראה הוא קל ופשוט יחסית ושמא עובדה זו מעודדת אנשים רבים לעסוק בגידול הסם. המערער שבפנינו פעל כמקצוען מובהק במישור זה. לא בכדי הזכרנו ופירטנו את הציוד הרב שנמצא בדירתו. הציוד מעיד על כך שאין מדובר בעיסוק מקרי ואקראי, אלא בעיסוק שיטתי ומתמשך שהמערער השקיע בו זמן, משאבים כספיים ועבודה. התוצאות אליהן הגיע המערער - בכך כוונתנו למה שנתפס בדירה - גם הן מדברות בעד עצמן. מדובר בשתילי קנאביס במשקל של </w:t>
      </w:r>
      <w:smartTag w:uri="urn:schemas-microsoft-com:office:smarttags" w:element="metricconverter">
        <w:smartTagPr>
          <w:attr w:name="ProductID" w:val="4.380 ק&quot;ג"/>
        </w:smartTagPr>
        <w:r w:rsidRPr="000120BF">
          <w:rPr>
            <w:rFonts w:cs="Miriam" w:hint="cs"/>
            <w:rtl/>
          </w:rPr>
          <w:t>4.380 ק"ג</w:t>
        </w:r>
      </w:smartTag>
      <w:r w:rsidRPr="000120BF">
        <w:rPr>
          <w:rFonts w:cs="Miriam" w:hint="cs"/>
          <w:rtl/>
        </w:rPr>
        <w:t xml:space="preserve"> נטו וכן קרוב ל- </w:t>
      </w:r>
      <w:smartTag w:uri="urn:schemas-microsoft-com:office:smarttags" w:element="metricconverter">
        <w:smartTagPr>
          <w:attr w:name="ProductID" w:val="2 ק&quot;ג"/>
        </w:smartTagPr>
        <w:r w:rsidRPr="000120BF">
          <w:rPr>
            <w:rFonts w:cs="Miriam" w:hint="cs"/>
            <w:rtl/>
          </w:rPr>
          <w:t>2 ק"ג</w:t>
        </w:r>
      </w:smartTag>
      <w:r w:rsidRPr="000120BF">
        <w:rPr>
          <w:rFonts w:cs="Miriam" w:hint="cs"/>
          <w:rtl/>
        </w:rPr>
        <w:t xml:space="preserve"> נטו נוספים במחסן שהיה על גג הבית. סכומי הכסף והמט"ח שנתפסו בדירה מתיישבים גם הם עם עיסוק מקצועי בגידול הסם.</w:t>
      </w:r>
      <w:r>
        <w:rPr>
          <w:rFonts w:cs="Miriam" w:hint="cs"/>
          <w:rtl/>
        </w:rPr>
        <w:t xml:space="preserve">" </w:t>
      </w:r>
      <w:r w:rsidRPr="000120BF">
        <w:rPr>
          <w:rFonts w:cs="David" w:hint="cs"/>
          <w:rtl/>
        </w:rPr>
        <w:t>(</w:t>
      </w:r>
      <w:hyperlink r:id="rId39" w:history="1">
        <w:r w:rsidR="00785330" w:rsidRPr="00785330">
          <w:rPr>
            <w:rStyle w:val="Hyperlink"/>
            <w:rFonts w:cs="David" w:hint="eastAsia"/>
            <w:rtl/>
          </w:rPr>
          <w:t>עפ</w:t>
        </w:r>
        <w:r w:rsidR="00785330" w:rsidRPr="00785330">
          <w:rPr>
            <w:rStyle w:val="Hyperlink"/>
            <w:rFonts w:cs="David"/>
            <w:rtl/>
          </w:rPr>
          <w:t>"ג 24376-07-14</w:t>
        </w:r>
      </w:hyperlink>
      <w:r w:rsidRPr="000120BF">
        <w:rPr>
          <w:rFonts w:cs="David" w:hint="cs"/>
          <w:rtl/>
        </w:rPr>
        <w:t xml:space="preserve"> </w:t>
      </w:r>
      <w:r w:rsidRPr="000120BF">
        <w:rPr>
          <w:rFonts w:cs="David" w:hint="cs"/>
          <w:b/>
          <w:bCs/>
          <w:rtl/>
        </w:rPr>
        <w:t>אדי עמר נ' מדינת ישראל</w:t>
      </w:r>
      <w:r w:rsidRPr="000120BF">
        <w:rPr>
          <w:rFonts w:cs="David" w:hint="cs"/>
          <w:rtl/>
        </w:rPr>
        <w:t xml:space="preserve"> </w:t>
      </w:r>
      <w:r w:rsidR="00262FBF" w:rsidRPr="00262FBF">
        <w:rPr>
          <w:rFonts w:cs="David"/>
          <w:sz w:val="22"/>
          <w:rtl/>
        </w:rPr>
        <w:t xml:space="preserve">[פורסם בנבו] </w:t>
      </w:r>
      <w:r w:rsidRPr="000120BF">
        <w:rPr>
          <w:rFonts w:cs="David" w:hint="cs"/>
          <w:rtl/>
        </w:rPr>
        <w:t>(18.2.15))</w:t>
      </w:r>
    </w:p>
    <w:p w14:paraId="6EDC42C8" w14:textId="77777777" w:rsidR="000A14D7" w:rsidRPr="000120BF" w:rsidRDefault="000A14D7" w:rsidP="000A14D7">
      <w:pPr>
        <w:pStyle w:val="ListParagraph"/>
        <w:spacing w:line="360" w:lineRule="auto"/>
        <w:ind w:left="1440" w:right="1134"/>
        <w:jc w:val="both"/>
        <w:rPr>
          <w:rFonts w:cs="Miriam"/>
          <w:rtl/>
        </w:rPr>
      </w:pPr>
    </w:p>
    <w:p w14:paraId="12FADFD4" w14:textId="77777777" w:rsidR="000A14D7" w:rsidRPr="0075141B" w:rsidRDefault="000A14D7" w:rsidP="000A14D7">
      <w:pPr>
        <w:pStyle w:val="ListParagraph"/>
        <w:spacing w:line="360" w:lineRule="auto"/>
        <w:jc w:val="both"/>
        <w:rPr>
          <w:rFonts w:cs="David"/>
          <w:rtl/>
        </w:rPr>
      </w:pPr>
      <w:r>
        <w:rPr>
          <w:rFonts w:cs="David" w:hint="cs"/>
          <w:rtl/>
        </w:rPr>
        <w:t xml:space="preserve">וביחס לענישה הראויה במקרים אלו, </w:t>
      </w:r>
      <w:r w:rsidRPr="0075141B">
        <w:rPr>
          <w:rFonts w:cs="David"/>
          <w:rtl/>
        </w:rPr>
        <w:t xml:space="preserve">נקבע לא אחת כי יש להחמיר עם אלו שמגדלים סמים (ראה: </w:t>
      </w:r>
      <w:hyperlink r:id="rId40" w:history="1">
        <w:r w:rsidR="00785330" w:rsidRPr="00785330">
          <w:rPr>
            <w:rStyle w:val="Hyperlink"/>
            <w:rFonts w:cs="David"/>
            <w:rtl/>
          </w:rPr>
          <w:t>ע"פ 11220/03</w:t>
        </w:r>
      </w:hyperlink>
      <w:r w:rsidRPr="0075141B">
        <w:rPr>
          <w:rFonts w:cs="David"/>
          <w:rtl/>
        </w:rPr>
        <w:t xml:space="preserve"> </w:t>
      </w:r>
      <w:r w:rsidRPr="0075141B">
        <w:rPr>
          <w:rFonts w:cs="David"/>
          <w:b/>
          <w:bCs/>
          <w:rtl/>
        </w:rPr>
        <w:t>פלוני נ' מדינת ישראל</w:t>
      </w:r>
      <w:r w:rsidRPr="0075141B">
        <w:rPr>
          <w:rFonts w:cs="David"/>
          <w:rtl/>
        </w:rPr>
        <w:t xml:space="preserve"> </w:t>
      </w:r>
      <w:r w:rsidR="00262FBF" w:rsidRPr="00262FBF">
        <w:rPr>
          <w:rFonts w:cs="David"/>
          <w:sz w:val="22"/>
          <w:rtl/>
        </w:rPr>
        <w:t xml:space="preserve">[פורסם בנבו] </w:t>
      </w:r>
      <w:r w:rsidRPr="0075141B">
        <w:rPr>
          <w:rFonts w:cs="David"/>
          <w:rtl/>
        </w:rPr>
        <w:t xml:space="preserve">(6.7.05); </w:t>
      </w:r>
      <w:hyperlink r:id="rId41" w:history="1">
        <w:r w:rsidR="00785330" w:rsidRPr="00785330">
          <w:rPr>
            <w:rStyle w:val="Hyperlink"/>
            <w:rFonts w:cs="David"/>
            <w:rtl/>
          </w:rPr>
          <w:t>ע"פ (י-ם) 1987-04-10</w:t>
        </w:r>
      </w:hyperlink>
      <w:r w:rsidRPr="0075141B">
        <w:rPr>
          <w:rFonts w:cs="David"/>
          <w:rtl/>
        </w:rPr>
        <w:t xml:space="preserve"> </w:t>
      </w:r>
      <w:r w:rsidRPr="0075141B">
        <w:rPr>
          <w:rFonts w:cs="David"/>
          <w:b/>
          <w:bCs/>
          <w:rtl/>
        </w:rPr>
        <w:t>מדינת ישראל נ' אלוני</w:t>
      </w:r>
      <w:r w:rsidRPr="0075141B">
        <w:rPr>
          <w:rFonts w:cs="David"/>
          <w:rtl/>
        </w:rPr>
        <w:t xml:space="preserve"> </w:t>
      </w:r>
      <w:r w:rsidR="00262FBF" w:rsidRPr="00262FBF">
        <w:rPr>
          <w:rFonts w:cs="David"/>
          <w:sz w:val="22"/>
          <w:rtl/>
        </w:rPr>
        <w:t xml:space="preserve">[פורסם בנבו] </w:t>
      </w:r>
      <w:r w:rsidRPr="0075141B">
        <w:rPr>
          <w:rFonts w:cs="David"/>
          <w:rtl/>
        </w:rPr>
        <w:t xml:space="preserve">(28.6.2010) וכן </w:t>
      </w:r>
      <w:hyperlink r:id="rId42" w:history="1">
        <w:r w:rsidR="00785330" w:rsidRPr="00785330">
          <w:rPr>
            <w:rStyle w:val="Hyperlink"/>
            <w:rFonts w:cs="David"/>
            <w:rtl/>
          </w:rPr>
          <w:t>עפ"ג (ת"א) 12819-11-15</w:t>
        </w:r>
      </w:hyperlink>
      <w:r w:rsidRPr="0075141B">
        <w:rPr>
          <w:rFonts w:cs="David"/>
          <w:rtl/>
        </w:rPr>
        <w:t xml:space="preserve"> </w:t>
      </w:r>
      <w:r w:rsidRPr="0075141B">
        <w:rPr>
          <w:rFonts w:cs="David"/>
          <w:b/>
          <w:bCs/>
          <w:rtl/>
        </w:rPr>
        <w:t>מדינת ישראל נ' בן צבי</w:t>
      </w:r>
      <w:r w:rsidRPr="0075141B">
        <w:rPr>
          <w:rFonts w:cs="David"/>
          <w:rtl/>
        </w:rPr>
        <w:t xml:space="preserve"> </w:t>
      </w:r>
      <w:r w:rsidR="00262FBF" w:rsidRPr="00262FBF">
        <w:rPr>
          <w:rFonts w:cs="David"/>
          <w:sz w:val="22"/>
          <w:rtl/>
        </w:rPr>
        <w:t xml:space="preserve">[פורסם בנבו] </w:t>
      </w:r>
      <w:r w:rsidRPr="0075141B">
        <w:rPr>
          <w:rFonts w:cs="David"/>
          <w:rtl/>
        </w:rPr>
        <w:t>(16.12.15) שם נקבע כי:</w:t>
      </w:r>
    </w:p>
    <w:p w14:paraId="3D699485" w14:textId="77777777" w:rsidR="000A14D7" w:rsidRPr="0075141B" w:rsidRDefault="000A14D7" w:rsidP="000A14D7">
      <w:pPr>
        <w:pStyle w:val="ListParagraph"/>
        <w:spacing w:line="360" w:lineRule="auto"/>
        <w:jc w:val="both"/>
        <w:rPr>
          <w:rFonts w:cs="David"/>
          <w:rtl/>
        </w:rPr>
      </w:pPr>
    </w:p>
    <w:p w14:paraId="16737741" w14:textId="77777777" w:rsidR="000A14D7" w:rsidRPr="0075141B" w:rsidRDefault="000A14D7" w:rsidP="000A14D7">
      <w:pPr>
        <w:pStyle w:val="ListParagraph"/>
        <w:spacing w:line="360" w:lineRule="auto"/>
        <w:ind w:left="1440" w:right="1276"/>
        <w:jc w:val="both"/>
        <w:rPr>
          <w:rFonts w:cs="Miriam"/>
          <w:rtl/>
        </w:rPr>
      </w:pPr>
      <w:r w:rsidRPr="0075141B">
        <w:rPr>
          <w:rFonts w:cs="Miriam"/>
          <w:rtl/>
        </w:rPr>
        <w:t>"לא בכדִי הציב המחוקק בצדה של עברת גידול הסם עונש מקסימלי השווה לעונש שמוטל על הפצת סם וסחר בסמים. יש בכך אמירה נורמטיבית לצד אמירה אופרטיבית. מידת החומרה שבגידול סם איננה נופלת מזו של הפצת הסם. [העונש] צריך לעמוד על תקופה שתחילתה במאסר שיינשא מאחורי סורג ובריח ולא במאסר שיינשא בעבודות שירות".</w:t>
      </w:r>
    </w:p>
    <w:p w14:paraId="66B2B048" w14:textId="77777777" w:rsidR="000A14D7" w:rsidRDefault="000A14D7" w:rsidP="000A14D7">
      <w:pPr>
        <w:pStyle w:val="ListParagraph"/>
        <w:spacing w:line="360" w:lineRule="auto"/>
        <w:jc w:val="both"/>
        <w:rPr>
          <w:rFonts w:cs="David"/>
          <w:rtl/>
        </w:rPr>
      </w:pPr>
    </w:p>
    <w:p w14:paraId="7021B8C8" w14:textId="77777777" w:rsidR="000A14D7" w:rsidRDefault="000A14D7" w:rsidP="000A14D7">
      <w:pPr>
        <w:spacing w:line="360" w:lineRule="auto"/>
        <w:ind w:left="720"/>
        <w:jc w:val="both"/>
        <w:rPr>
          <w:rtl/>
        </w:rPr>
      </w:pPr>
      <w:r w:rsidRPr="00872B93">
        <w:rPr>
          <w:rtl/>
        </w:rPr>
        <w:t xml:space="preserve">וכן, </w:t>
      </w:r>
    </w:p>
    <w:p w14:paraId="58BACFCF" w14:textId="77777777" w:rsidR="000A14D7" w:rsidRPr="00E811D9" w:rsidRDefault="000A14D7" w:rsidP="000A14D7">
      <w:pPr>
        <w:spacing w:line="360" w:lineRule="auto"/>
        <w:ind w:left="720"/>
        <w:jc w:val="both"/>
        <w:rPr>
          <w:rtl/>
        </w:rPr>
      </w:pPr>
    </w:p>
    <w:p w14:paraId="11C31B7B" w14:textId="77777777" w:rsidR="000A14D7" w:rsidRPr="00E811D9" w:rsidRDefault="000A14D7" w:rsidP="000A14D7">
      <w:pPr>
        <w:spacing w:line="360" w:lineRule="auto"/>
        <w:ind w:left="1440" w:right="1134"/>
        <w:jc w:val="both"/>
        <w:rPr>
          <w:rFonts w:cs="Miriam"/>
          <w:rtl/>
        </w:rPr>
      </w:pPr>
      <w:r>
        <w:rPr>
          <w:rFonts w:cs="Miriam"/>
          <w:rtl/>
        </w:rPr>
        <w:t>"</w:t>
      </w:r>
      <w:r w:rsidRPr="00E811D9">
        <w:rPr>
          <w:rFonts w:cs="Miriam"/>
          <w:rtl/>
        </w:rPr>
        <w:t xml:space="preserve">הזדמן לנו לומר רק לאחרונה </w:t>
      </w:r>
      <w:r>
        <w:rPr>
          <w:rFonts w:cs="Miriam"/>
          <w:rtl/>
        </w:rPr>
        <w:t>...</w:t>
      </w:r>
      <w:r w:rsidRPr="00E811D9">
        <w:rPr>
          <w:rFonts w:cs="Miriam"/>
          <w:rtl/>
        </w:rPr>
        <w:t xml:space="preserve"> בנסיבות דומות, כי: "בהינתן המציאות הנוכחית שבה בגידול הסמים הפך להיות למכת מדינה, יש להילחם בו בחומרה כאשר הביטוי לכך יהיה בהעלאת רף הענישה. המגדלים והמפיצים מצויים באותו מקום עצמו מבחינה ערכית ומעשית גם יחד". אין לנו אלא לאמץ את הדברים ולחזור עליהם.</w:t>
      </w:r>
      <w:r>
        <w:rPr>
          <w:rFonts w:cs="Miriam"/>
          <w:rtl/>
        </w:rPr>
        <w:t>"</w:t>
      </w:r>
      <w:r w:rsidRPr="00E811D9">
        <w:rPr>
          <w:rFonts w:cs="Miriam"/>
          <w:rtl/>
        </w:rPr>
        <w:t xml:space="preserve"> </w:t>
      </w:r>
      <w:r>
        <w:rPr>
          <w:rFonts w:cs="Miriam"/>
          <w:rtl/>
        </w:rPr>
        <w:t>(</w:t>
      </w:r>
      <w:hyperlink r:id="rId43" w:history="1">
        <w:r w:rsidR="00785330" w:rsidRPr="00785330">
          <w:rPr>
            <w:rStyle w:val="Hyperlink"/>
            <w:rtl/>
          </w:rPr>
          <w:t>עפ"ג 31126-05-14</w:t>
        </w:r>
      </w:hyperlink>
      <w:r>
        <w:rPr>
          <w:rtl/>
        </w:rPr>
        <w:t xml:space="preserve"> </w:t>
      </w:r>
      <w:r w:rsidRPr="00400BF8">
        <w:rPr>
          <w:b/>
          <w:bCs/>
          <w:rtl/>
        </w:rPr>
        <w:t>מדינת ישראל נ' חריט</w:t>
      </w:r>
      <w:r>
        <w:rPr>
          <w:rtl/>
        </w:rPr>
        <w:t xml:space="preserve"> </w:t>
      </w:r>
      <w:r w:rsidR="00262FBF" w:rsidRPr="00262FBF">
        <w:rPr>
          <w:sz w:val="22"/>
          <w:rtl/>
        </w:rPr>
        <w:t xml:space="preserve">[פורסם בנבו] </w:t>
      </w:r>
      <w:r>
        <w:rPr>
          <w:rtl/>
        </w:rPr>
        <w:t xml:space="preserve">(12.1.15)). </w:t>
      </w:r>
    </w:p>
    <w:p w14:paraId="05020B03" w14:textId="77777777" w:rsidR="000A14D7" w:rsidRPr="00400BF8" w:rsidRDefault="000A14D7" w:rsidP="000A14D7">
      <w:pPr>
        <w:spacing w:line="360" w:lineRule="auto"/>
        <w:jc w:val="both"/>
        <w:rPr>
          <w:rtl/>
        </w:rPr>
      </w:pPr>
    </w:p>
    <w:p w14:paraId="3A6D36F3" w14:textId="77777777" w:rsidR="000A14D7" w:rsidRPr="0075141B" w:rsidRDefault="000A14D7" w:rsidP="000A14D7">
      <w:pPr>
        <w:pStyle w:val="ListParagraph"/>
        <w:spacing w:line="360" w:lineRule="auto"/>
        <w:jc w:val="both"/>
        <w:rPr>
          <w:rFonts w:cs="David"/>
          <w:rtl/>
        </w:rPr>
      </w:pPr>
      <w:r w:rsidRPr="0075141B">
        <w:rPr>
          <w:rFonts w:cs="David"/>
          <w:rtl/>
        </w:rPr>
        <w:t xml:space="preserve">לצורך בחינת מדיניות הענישה הנוהגת במקרים דומים, ניתן להפנות לפסקי הדין הבאים: </w:t>
      </w:r>
    </w:p>
    <w:p w14:paraId="0AE1DF59" w14:textId="77777777" w:rsidR="000A14D7" w:rsidRPr="0075141B" w:rsidRDefault="000A14D7" w:rsidP="000A14D7">
      <w:pPr>
        <w:pStyle w:val="ListParagraph"/>
        <w:spacing w:line="360" w:lineRule="auto"/>
        <w:jc w:val="both"/>
        <w:rPr>
          <w:rFonts w:cs="David"/>
          <w:rtl/>
        </w:rPr>
      </w:pPr>
    </w:p>
    <w:p w14:paraId="16420F5C" w14:textId="77777777" w:rsidR="000A14D7" w:rsidRPr="0075141B" w:rsidRDefault="00785330" w:rsidP="000A14D7">
      <w:pPr>
        <w:pStyle w:val="ListParagraph"/>
        <w:spacing w:line="360" w:lineRule="auto"/>
        <w:jc w:val="both"/>
        <w:rPr>
          <w:rFonts w:cs="David"/>
          <w:rtl/>
        </w:rPr>
      </w:pPr>
      <w:hyperlink r:id="rId44" w:history="1">
        <w:r w:rsidRPr="00785330">
          <w:rPr>
            <w:rStyle w:val="Hyperlink"/>
            <w:rFonts w:cs="David"/>
            <w:rtl/>
          </w:rPr>
          <w:t>רע"פ 314/16</w:t>
        </w:r>
      </w:hyperlink>
      <w:r w:rsidR="000A14D7" w:rsidRPr="0075141B">
        <w:rPr>
          <w:rFonts w:cs="David"/>
          <w:rtl/>
        </w:rPr>
        <w:t xml:space="preserve"> </w:t>
      </w:r>
      <w:r w:rsidR="000A14D7" w:rsidRPr="0075141B">
        <w:rPr>
          <w:rFonts w:cs="David"/>
          <w:b/>
          <w:bCs/>
          <w:rtl/>
        </w:rPr>
        <w:t>בן צבי נ' מדינת ישראל</w:t>
      </w:r>
      <w:r w:rsidR="000A14D7" w:rsidRPr="0075141B">
        <w:rPr>
          <w:rFonts w:cs="David"/>
          <w:rtl/>
        </w:rPr>
        <w:t xml:space="preserve"> </w:t>
      </w:r>
      <w:r w:rsidR="00262FBF" w:rsidRPr="00262FBF">
        <w:rPr>
          <w:rFonts w:cs="David"/>
          <w:sz w:val="22"/>
          <w:rtl/>
        </w:rPr>
        <w:t xml:space="preserve">[פורסם בנבו] </w:t>
      </w:r>
      <w:r w:rsidR="000A14D7" w:rsidRPr="0075141B">
        <w:rPr>
          <w:rFonts w:cs="David"/>
          <w:rtl/>
        </w:rPr>
        <w:t xml:space="preserve">(22.2.16), בו </w:t>
      </w:r>
      <w:r w:rsidR="000A14D7">
        <w:rPr>
          <w:rFonts w:cs="David"/>
          <w:rtl/>
        </w:rPr>
        <w:t>הוטלו על ה</w:t>
      </w:r>
      <w:r w:rsidR="000A14D7" w:rsidRPr="0075141B">
        <w:rPr>
          <w:rFonts w:cs="David"/>
          <w:rtl/>
        </w:rPr>
        <w:t>נאשם 10 חודשי מאסר, בשל גידול תשעה שתילי קנבוס במשקל של 2.5 קילו במעבדה שכללה ציוד רב.</w:t>
      </w:r>
    </w:p>
    <w:p w14:paraId="7F53EE78" w14:textId="77777777" w:rsidR="000A14D7" w:rsidRPr="0075141B" w:rsidRDefault="000A14D7" w:rsidP="000A14D7">
      <w:pPr>
        <w:pStyle w:val="ListParagraph"/>
        <w:spacing w:line="360" w:lineRule="auto"/>
        <w:jc w:val="both"/>
        <w:rPr>
          <w:rFonts w:cs="David"/>
          <w:rtl/>
        </w:rPr>
      </w:pPr>
    </w:p>
    <w:p w14:paraId="51F07EAF" w14:textId="77777777" w:rsidR="000A14D7" w:rsidRPr="0075141B" w:rsidRDefault="00785330" w:rsidP="000A14D7">
      <w:pPr>
        <w:pStyle w:val="ListParagraph"/>
        <w:spacing w:line="360" w:lineRule="auto"/>
        <w:jc w:val="both"/>
        <w:rPr>
          <w:rFonts w:cs="David"/>
          <w:rtl/>
        </w:rPr>
      </w:pPr>
      <w:hyperlink r:id="rId45" w:history="1">
        <w:r w:rsidRPr="00785330">
          <w:rPr>
            <w:rStyle w:val="Hyperlink"/>
            <w:rFonts w:cs="David"/>
            <w:rtl/>
          </w:rPr>
          <w:t>רע"פ 1787/15</w:t>
        </w:r>
      </w:hyperlink>
      <w:r w:rsidR="000A14D7" w:rsidRPr="0075141B">
        <w:rPr>
          <w:rFonts w:cs="David"/>
          <w:rtl/>
        </w:rPr>
        <w:t xml:space="preserve"> </w:t>
      </w:r>
      <w:r w:rsidR="000A14D7" w:rsidRPr="008269FA">
        <w:rPr>
          <w:rFonts w:cs="David"/>
          <w:b/>
          <w:bCs/>
          <w:rtl/>
        </w:rPr>
        <w:t>עמר נ' מדינת ישראל</w:t>
      </w:r>
      <w:r w:rsidR="000A14D7" w:rsidRPr="0075141B">
        <w:rPr>
          <w:rFonts w:cs="David"/>
          <w:rtl/>
        </w:rPr>
        <w:t xml:space="preserve"> </w:t>
      </w:r>
      <w:r w:rsidR="00262FBF" w:rsidRPr="00262FBF">
        <w:rPr>
          <w:rFonts w:cs="David"/>
          <w:sz w:val="22"/>
          <w:rtl/>
        </w:rPr>
        <w:t xml:space="preserve">[פורסם בנבו] </w:t>
      </w:r>
      <w:r w:rsidR="000A14D7" w:rsidRPr="0075141B">
        <w:rPr>
          <w:rFonts w:cs="David"/>
          <w:rtl/>
        </w:rPr>
        <w:t xml:space="preserve">(24.3.15), בו הוטלו על הנאשם 8 חודשי מאסר בשל גידול שתילי קנבוס במשקל 4,380 גרם והחזקה של כ-2.5 ק"ג סם מסוג קנבוס שלא לשימוש עצמי. יצוין כי בית המשפט העליון ראה במתחם שנקבע בבית המשפט השלום (8-20 חודשי מאסר) כראוי ונכון. </w:t>
      </w:r>
    </w:p>
    <w:p w14:paraId="1238DA9D" w14:textId="77777777" w:rsidR="000A14D7" w:rsidRPr="0075141B" w:rsidRDefault="000A14D7" w:rsidP="000A14D7">
      <w:pPr>
        <w:pStyle w:val="ListParagraph"/>
        <w:spacing w:line="360" w:lineRule="auto"/>
        <w:jc w:val="both"/>
        <w:rPr>
          <w:rFonts w:cs="David"/>
          <w:rtl/>
        </w:rPr>
      </w:pPr>
    </w:p>
    <w:p w14:paraId="2A27871D" w14:textId="77777777" w:rsidR="000A14D7" w:rsidRPr="0075141B" w:rsidRDefault="00785330" w:rsidP="000A14D7">
      <w:pPr>
        <w:pStyle w:val="ListParagraph"/>
        <w:spacing w:line="360" w:lineRule="auto"/>
        <w:jc w:val="both"/>
        <w:rPr>
          <w:rFonts w:cs="David"/>
          <w:rtl/>
        </w:rPr>
      </w:pPr>
      <w:hyperlink r:id="rId46" w:history="1">
        <w:r w:rsidRPr="00785330">
          <w:rPr>
            <w:rStyle w:val="Hyperlink"/>
            <w:rFonts w:cs="David"/>
            <w:rtl/>
          </w:rPr>
          <w:t>רע"פ 7005/14</w:t>
        </w:r>
      </w:hyperlink>
      <w:r w:rsidR="000A14D7" w:rsidRPr="0075141B">
        <w:rPr>
          <w:rFonts w:cs="David"/>
          <w:rtl/>
        </w:rPr>
        <w:t xml:space="preserve"> </w:t>
      </w:r>
      <w:r w:rsidR="000A14D7" w:rsidRPr="008269FA">
        <w:rPr>
          <w:rFonts w:cs="David"/>
          <w:b/>
          <w:bCs/>
          <w:rtl/>
        </w:rPr>
        <w:t>דגן נ' מדינת ישראל</w:t>
      </w:r>
      <w:r w:rsidR="000A14D7" w:rsidRPr="0075141B">
        <w:rPr>
          <w:rFonts w:cs="David"/>
          <w:rtl/>
        </w:rPr>
        <w:t xml:space="preserve"> </w:t>
      </w:r>
      <w:r w:rsidR="00262FBF" w:rsidRPr="00262FBF">
        <w:rPr>
          <w:rFonts w:cs="David"/>
          <w:sz w:val="22"/>
          <w:rtl/>
        </w:rPr>
        <w:t xml:space="preserve">[פורסם בנבו] </w:t>
      </w:r>
      <w:r w:rsidR="000A14D7" w:rsidRPr="0075141B">
        <w:rPr>
          <w:rFonts w:cs="David"/>
          <w:rtl/>
        </w:rPr>
        <w:t xml:space="preserve">(30.11.14), בו הוטלו על הנאשם 10 חודשי מאסר בפועל בשל גידול סם מסוג קנביס במשקל כולל של 2,721 גרם. </w:t>
      </w:r>
    </w:p>
    <w:p w14:paraId="4977215A" w14:textId="77777777" w:rsidR="000A14D7" w:rsidRPr="0075141B" w:rsidRDefault="000A14D7" w:rsidP="000A14D7">
      <w:pPr>
        <w:spacing w:line="360" w:lineRule="auto"/>
        <w:ind w:left="360"/>
        <w:jc w:val="both"/>
        <w:rPr>
          <w:rtl/>
        </w:rPr>
      </w:pPr>
    </w:p>
    <w:p w14:paraId="7A474DE9" w14:textId="77777777" w:rsidR="000A14D7" w:rsidRDefault="00785330" w:rsidP="000A14D7">
      <w:pPr>
        <w:pStyle w:val="ListParagraph"/>
        <w:spacing w:line="360" w:lineRule="auto"/>
        <w:jc w:val="both"/>
        <w:rPr>
          <w:rFonts w:cs="David"/>
          <w:rtl/>
        </w:rPr>
      </w:pPr>
      <w:hyperlink r:id="rId47" w:history="1">
        <w:r w:rsidRPr="00785330">
          <w:rPr>
            <w:rStyle w:val="Hyperlink"/>
            <w:rFonts w:cs="David"/>
            <w:rtl/>
          </w:rPr>
          <w:t>רע"פ 6987/13</w:t>
        </w:r>
      </w:hyperlink>
      <w:r w:rsidR="000A14D7" w:rsidRPr="0075141B">
        <w:rPr>
          <w:rFonts w:cs="David"/>
          <w:rtl/>
        </w:rPr>
        <w:t xml:space="preserve"> </w:t>
      </w:r>
      <w:r w:rsidR="000A14D7" w:rsidRPr="008269FA">
        <w:rPr>
          <w:rFonts w:cs="David"/>
          <w:b/>
          <w:bCs/>
          <w:rtl/>
        </w:rPr>
        <w:t>אברמוב נ' מדינת ישראל</w:t>
      </w:r>
      <w:r w:rsidR="000A14D7" w:rsidRPr="0075141B">
        <w:rPr>
          <w:rFonts w:cs="David"/>
          <w:rtl/>
        </w:rPr>
        <w:t xml:space="preserve"> </w:t>
      </w:r>
      <w:r w:rsidR="00262FBF" w:rsidRPr="00262FBF">
        <w:rPr>
          <w:rFonts w:cs="David"/>
          <w:sz w:val="22"/>
          <w:rtl/>
        </w:rPr>
        <w:t xml:space="preserve">[פורסם בנבו] </w:t>
      </w:r>
      <w:r w:rsidR="000A14D7" w:rsidRPr="0075141B">
        <w:rPr>
          <w:rFonts w:cs="David"/>
          <w:rtl/>
        </w:rPr>
        <w:t xml:space="preserve">(21.10.13), בו הוטלו על הנאשם 12 חודשי מאסר בפועל בשל גידול  סם מסוג קנביס במשקל כולל של 10 ק"ג.  </w:t>
      </w:r>
    </w:p>
    <w:p w14:paraId="1C84EA25" w14:textId="77777777" w:rsidR="000A14D7" w:rsidRPr="00AF12F6" w:rsidRDefault="000A14D7" w:rsidP="000A14D7">
      <w:pPr>
        <w:rPr>
          <w:b/>
          <w:bCs/>
        </w:rPr>
      </w:pPr>
    </w:p>
    <w:p w14:paraId="321742B7" w14:textId="77777777" w:rsidR="000A14D7" w:rsidRDefault="000A14D7" w:rsidP="000A14D7">
      <w:pPr>
        <w:pStyle w:val="ListParagraph"/>
        <w:numPr>
          <w:ilvl w:val="0"/>
          <w:numId w:val="1"/>
        </w:numPr>
        <w:spacing w:line="360" w:lineRule="auto"/>
        <w:jc w:val="both"/>
        <w:rPr>
          <w:rFonts w:cs="David"/>
        </w:rPr>
      </w:pPr>
      <w:r w:rsidRPr="0047115A">
        <w:rPr>
          <w:rFonts w:cs="David"/>
          <w:rtl/>
        </w:rPr>
        <w:t xml:space="preserve">לאור כל זאת, אני בדעה כי מתחם הענישה ההולם את העבירה מושא ענייננו נע בין </w:t>
      </w:r>
      <w:r>
        <w:rPr>
          <w:rFonts w:cs="David" w:hint="cs"/>
          <w:rtl/>
        </w:rPr>
        <w:t>9</w:t>
      </w:r>
      <w:r w:rsidRPr="0047115A">
        <w:rPr>
          <w:rFonts w:cs="David"/>
          <w:rtl/>
        </w:rPr>
        <w:t xml:space="preserve"> חודשי מאסר בפועל ועד </w:t>
      </w:r>
      <w:r>
        <w:rPr>
          <w:rFonts w:cs="David" w:hint="cs"/>
          <w:rtl/>
        </w:rPr>
        <w:t>24</w:t>
      </w:r>
      <w:r>
        <w:rPr>
          <w:rFonts w:cs="David"/>
          <w:rtl/>
        </w:rPr>
        <w:t xml:space="preserve"> חודשי מאסר בפועל</w:t>
      </w:r>
      <w:r>
        <w:rPr>
          <w:rFonts w:cs="David" w:hint="cs"/>
          <w:rtl/>
        </w:rPr>
        <w:t xml:space="preserve"> וכן ענישה כלכלית הולמת. </w:t>
      </w:r>
    </w:p>
    <w:p w14:paraId="416745F0" w14:textId="77777777" w:rsidR="000A14D7" w:rsidRDefault="000A14D7" w:rsidP="000A14D7">
      <w:pPr>
        <w:pStyle w:val="ListParagraph"/>
        <w:spacing w:line="360" w:lineRule="auto"/>
        <w:jc w:val="both"/>
        <w:rPr>
          <w:rFonts w:cs="David"/>
        </w:rPr>
      </w:pPr>
    </w:p>
    <w:p w14:paraId="31F2F1C3" w14:textId="77777777" w:rsidR="000A14D7" w:rsidRDefault="000A14D7" w:rsidP="000A14D7">
      <w:pPr>
        <w:pStyle w:val="ListParagraph"/>
        <w:spacing w:line="360" w:lineRule="auto"/>
        <w:jc w:val="both"/>
        <w:rPr>
          <w:rFonts w:cs="David"/>
        </w:rPr>
      </w:pPr>
      <w:r>
        <w:rPr>
          <w:rFonts w:cs="David" w:hint="cs"/>
          <w:rtl/>
        </w:rPr>
        <w:t xml:space="preserve">בעניין זה ראיתי לציין כי בתי המשפט הדנים באופן יום יומי בעבירות של סחר בסמים, יודעים היטב את מחירו הגבוה של סם הקנאביס בעת האחרונה, וניתן לומר שמדובר בידיעה שיפוטית שהמחיר בזמן האחרון הוא כ-100 ש"ח לגרם. נתון זה אמור לגרום לכל המעורבים בדבר להבין את פוטנציאל הרווח הקל והמהיר שבעבירה זו ומכאן מתחייבת לדעתי החמרה בענישה, לרבות בפן הכלכלי. רק לשם סיבור האוזן </w:t>
      </w:r>
      <w:r>
        <w:rPr>
          <w:rFonts w:cs="David"/>
          <w:rtl/>
        </w:rPr>
        <w:t>–</w:t>
      </w:r>
      <w:r>
        <w:rPr>
          <w:rFonts w:cs="David" w:hint="cs"/>
          <w:rtl/>
        </w:rPr>
        <w:t xml:space="preserve"> תפוקה של 5 ק"ג סם תניב למגדל בתוך זמן קצר </w:t>
      </w:r>
      <w:r w:rsidRPr="008D4DCB">
        <w:rPr>
          <w:rFonts w:cs="David" w:hint="cs"/>
          <w:u w:val="single"/>
          <w:rtl/>
        </w:rPr>
        <w:t>חצי מיליון ש"ח !</w:t>
      </w:r>
      <w:r>
        <w:rPr>
          <w:rFonts w:cs="David" w:hint="cs"/>
          <w:rtl/>
        </w:rPr>
        <w:t xml:space="preserve"> (אם כי לרוב אין מדובר במכירה במחיר "לצרכן" אלא במכירה "סיטונאית" במחיר נמוך יותר ללא הסיכונים הכרוכים בהפצה "לצרכן"). מדובר אפוא, בעבירה כלכלית ברורה (וקיימים אף היבטי מס שאין לשכוח) ומשכך על הענישה לכלול גם רכיבים כלכליים, לרבות חילוט רכושו של העבריין בהתאם לסמכויות המצויות בפקודת הסמים (דבר שלא התבקש במקרה זה). </w:t>
      </w:r>
    </w:p>
    <w:p w14:paraId="50319D0E" w14:textId="77777777" w:rsidR="000A14D7" w:rsidRDefault="000A14D7" w:rsidP="000A14D7">
      <w:pPr>
        <w:spacing w:line="360" w:lineRule="auto"/>
        <w:ind w:left="360"/>
        <w:jc w:val="both"/>
        <w:rPr>
          <w:rtl/>
        </w:rPr>
      </w:pPr>
    </w:p>
    <w:p w14:paraId="1A630C69" w14:textId="77777777" w:rsidR="000A14D7" w:rsidRPr="00D242FA" w:rsidRDefault="000A14D7" w:rsidP="000A14D7">
      <w:pPr>
        <w:spacing w:line="360" w:lineRule="auto"/>
        <w:ind w:left="360"/>
        <w:jc w:val="both"/>
        <w:rPr>
          <w:b/>
          <w:bCs/>
          <w:u w:val="single"/>
          <w:rtl/>
        </w:rPr>
      </w:pPr>
      <w:r w:rsidRPr="00D242FA">
        <w:rPr>
          <w:rFonts w:hint="cs"/>
          <w:b/>
          <w:bCs/>
          <w:u w:val="single"/>
          <w:rtl/>
        </w:rPr>
        <w:t xml:space="preserve">קביעת עונשו של הנאשם </w:t>
      </w:r>
    </w:p>
    <w:p w14:paraId="64DFE851" w14:textId="77777777" w:rsidR="000A14D7" w:rsidRDefault="000A14D7" w:rsidP="000A14D7">
      <w:pPr>
        <w:spacing w:line="360" w:lineRule="auto"/>
        <w:ind w:left="360"/>
        <w:jc w:val="both"/>
        <w:rPr>
          <w:rtl/>
        </w:rPr>
      </w:pPr>
    </w:p>
    <w:p w14:paraId="7CE052E6" w14:textId="77777777" w:rsidR="000A14D7" w:rsidRDefault="000A14D7" w:rsidP="000A14D7">
      <w:pPr>
        <w:pStyle w:val="ListParagraph"/>
        <w:numPr>
          <w:ilvl w:val="0"/>
          <w:numId w:val="1"/>
        </w:numPr>
        <w:spacing w:line="360" w:lineRule="auto"/>
        <w:jc w:val="both"/>
        <w:rPr>
          <w:rFonts w:cs="David"/>
        </w:rPr>
      </w:pPr>
      <w:r>
        <w:rPr>
          <w:rFonts w:cs="David" w:hint="cs"/>
          <w:rtl/>
        </w:rPr>
        <w:t xml:space="preserve">ולאחר שאמרנו את שאמרנו בעניין מתחם הענישה, השאלה הניצבת במרכזו של תיק זה היא אם ראוי לחרוג ממתחם הענישה, ולהעדיף את שיקולי השיקום, על פני שיקולי ההלימה וההרתעה. אומר כבר עתה, כי לאחר ששקלתי את מכלול הנסיבות, ובהן את מסקנות שירות המבחן, סברתי כי אין מקום במקרה זה לחרוג ממתחם הענישה, ובוודאי שלא עד כדי הימנעות מעונש מאסר בפועל. אסביר להלן עמדתי. </w:t>
      </w:r>
    </w:p>
    <w:p w14:paraId="44D93BD6" w14:textId="77777777" w:rsidR="000A14D7" w:rsidRDefault="000A14D7" w:rsidP="000A14D7">
      <w:pPr>
        <w:pStyle w:val="ListParagraph"/>
        <w:spacing w:line="360" w:lineRule="auto"/>
        <w:jc w:val="both"/>
        <w:rPr>
          <w:rFonts w:cs="David"/>
        </w:rPr>
      </w:pPr>
    </w:p>
    <w:p w14:paraId="5CD96B5D" w14:textId="77777777" w:rsidR="000A14D7" w:rsidRDefault="000A14D7" w:rsidP="000A14D7">
      <w:pPr>
        <w:pStyle w:val="ListParagraph"/>
        <w:numPr>
          <w:ilvl w:val="0"/>
          <w:numId w:val="1"/>
        </w:numPr>
        <w:spacing w:line="360" w:lineRule="auto"/>
        <w:jc w:val="both"/>
        <w:rPr>
          <w:rFonts w:cs="David"/>
        </w:rPr>
      </w:pPr>
      <w:r>
        <w:rPr>
          <w:rFonts w:cs="David" w:hint="cs"/>
          <w:rtl/>
        </w:rPr>
        <w:t xml:space="preserve">אכן לנאשם עבר פלילי נקי ושירות המבחן סבור כי הוא עושה מאמץ ממשי לשקם את חייו. עם זאת, לא שוכנעתי כי מדובר בהליך שיקומי כה ממשי המצדיק סטייה ניכרת ממתחם הענישה. מסקנתי מבוססת על אופי ההליך הטיפולי שעבר הנאשם וכן על האופן בו התייחס לעבירה בפני שירות המבחן. בעניין זה יש להדגיש שהנאשם תיאר בפני קצין המבחן שגידל את הסמים לשימושו האישי, בשל רצון לצמצם את עלויות השימוש. בנושא זה ראיתי קושי ממשי. קשה להלום טענה בדבר קבלת אחריות מלאה וכנה, לא כל שכן מסקנה שיקומית הבאה על בסיסה, כאשר נתון עובדתי זה אינו נכון ויש בו למזער עד מאוד את אחריות הנאשם ולתאר עבירה שונה לחלוטין מזו בה הורשע (וראו הצהרתו לאחר הגשת התסקיר לפיה אינו חוזר בו מהודאה (בעמ' 11)). עניין זה עומד לנאשם לרועץ . </w:t>
      </w:r>
    </w:p>
    <w:p w14:paraId="1BF8BAD6" w14:textId="77777777" w:rsidR="000A14D7" w:rsidRPr="00C8231C" w:rsidRDefault="000A14D7" w:rsidP="000A14D7">
      <w:pPr>
        <w:pStyle w:val="ListParagraph"/>
        <w:spacing w:line="360" w:lineRule="auto"/>
        <w:jc w:val="both"/>
        <w:rPr>
          <w:rFonts w:cs="David"/>
        </w:rPr>
      </w:pPr>
    </w:p>
    <w:p w14:paraId="3024545F" w14:textId="77777777" w:rsidR="000A14D7" w:rsidRDefault="000A14D7" w:rsidP="000A14D7">
      <w:pPr>
        <w:pStyle w:val="ListParagraph"/>
        <w:numPr>
          <w:ilvl w:val="0"/>
          <w:numId w:val="1"/>
        </w:numPr>
        <w:spacing w:line="360" w:lineRule="auto"/>
        <w:jc w:val="both"/>
        <w:rPr>
          <w:rFonts w:cs="David"/>
        </w:rPr>
      </w:pPr>
      <w:r>
        <w:rPr>
          <w:rFonts w:cs="David" w:hint="cs"/>
          <w:rtl/>
        </w:rPr>
        <w:t xml:space="preserve">נתון נוסף עניינו בהליך הגמילה שנטען שעבר הנאשם. הנאשם לא פנה לאשפוזית, ואף לא לקהילה טיפולית. כל שנטען שנעשה הוא, פניה ליחידה לטיפול בהתמכרויות ומסירת בדיקות שתן שנמצאו נקיות מסמים. אינני מקל ראש בעובדה שהנאשם נקי מסמים. יש לברך על מצב זה. עם זאת, כל העוסק במלאכה יודע כי אין "תרופות פלא" בתחום ההתמכרות וכי מכור "אמתי" אינו נגמל רק בשל כך שהוא נשלח למעצר בית ולאחר מספר חודשים משתתף בשיחות בנושא. אם אכן הנאשם היה מכור עד כדי שיבוש אורחות חייו (כפי שתיאר) מצופה שהיה עובר הליך גמילה מעמיק ויסודי. בהיעדרו, קשה לומר שמדובר בשינוי ממשי באורחות חייו. </w:t>
      </w:r>
    </w:p>
    <w:p w14:paraId="7CC595ED" w14:textId="77777777" w:rsidR="000A14D7" w:rsidRDefault="000A14D7" w:rsidP="000A14D7">
      <w:pPr>
        <w:pStyle w:val="ListParagraph"/>
        <w:spacing w:line="360" w:lineRule="auto"/>
        <w:jc w:val="both"/>
        <w:rPr>
          <w:rFonts w:cs="David"/>
        </w:rPr>
      </w:pPr>
    </w:p>
    <w:p w14:paraId="4315A7FF" w14:textId="77777777" w:rsidR="000A14D7" w:rsidRPr="0070342D" w:rsidRDefault="000A14D7" w:rsidP="000A14D7">
      <w:pPr>
        <w:pStyle w:val="ListParagraph"/>
        <w:numPr>
          <w:ilvl w:val="0"/>
          <w:numId w:val="1"/>
        </w:numPr>
        <w:spacing w:line="360" w:lineRule="auto"/>
        <w:jc w:val="both"/>
        <w:rPr>
          <w:rFonts w:cs="David"/>
          <w:rtl/>
        </w:rPr>
      </w:pPr>
      <w:r w:rsidRPr="00B0195A">
        <w:rPr>
          <w:rFonts w:cs="David" w:hint="cs"/>
          <w:rtl/>
        </w:rPr>
        <w:t xml:space="preserve">שקלול נתונים אלו, </w:t>
      </w:r>
      <w:r>
        <w:rPr>
          <w:rFonts w:cs="David" w:hint="cs"/>
          <w:rtl/>
        </w:rPr>
        <w:t xml:space="preserve">אל מול חומרת העבירה, </w:t>
      </w:r>
      <w:r w:rsidRPr="00B0195A">
        <w:rPr>
          <w:rFonts w:cs="David" w:hint="cs"/>
          <w:rtl/>
        </w:rPr>
        <w:t>מביא</w:t>
      </w:r>
      <w:r>
        <w:rPr>
          <w:rFonts w:cs="David" w:hint="cs"/>
          <w:rtl/>
        </w:rPr>
        <w:t>ני</w:t>
      </w:r>
      <w:r w:rsidRPr="00B0195A">
        <w:rPr>
          <w:rFonts w:cs="David" w:hint="cs"/>
          <w:rtl/>
        </w:rPr>
        <w:t xml:space="preserve"> לכלל מסקנה לפיה אין מקום להעדיף, במקרה זה,</w:t>
      </w:r>
      <w:r>
        <w:rPr>
          <w:rFonts w:cs="David" w:hint="cs"/>
          <w:rtl/>
        </w:rPr>
        <w:t xml:space="preserve"> את שיקול</w:t>
      </w:r>
      <w:r w:rsidRPr="00B0195A">
        <w:rPr>
          <w:rFonts w:cs="David" w:hint="cs"/>
          <w:rtl/>
        </w:rPr>
        <w:t xml:space="preserve">י השיקום על פני שיקולי ההלימה. בעניין זה נקבע לא אחת כי </w:t>
      </w:r>
      <w:r w:rsidRPr="00AE313F">
        <w:rPr>
          <w:rFonts w:cs="Miriam" w:hint="cs"/>
          <w:rtl/>
        </w:rPr>
        <w:t>"</w:t>
      </w:r>
      <w:r w:rsidRPr="00B0195A">
        <w:rPr>
          <w:rFonts w:ascii="Garamond" w:hAnsi="Garamond" w:cs="Miriam" w:hint="cs"/>
          <w:spacing w:val="10"/>
          <w:rtl/>
        </w:rPr>
        <w:t>יש לחזור ולהבהיר, כי הגם שישנה חשיבות לשיקולי השיקום, הם אינם חזות הכול, ובצדם ניצבים שיקולי הגמול וההרתעה</w:t>
      </w:r>
      <w:r w:rsidRPr="00B0195A">
        <w:rPr>
          <w:rFonts w:cs="Miriam" w:hint="cs"/>
          <w:rtl/>
        </w:rPr>
        <w:t>"(</w:t>
      </w:r>
      <w:hyperlink r:id="rId48" w:history="1">
        <w:r w:rsidR="00785330" w:rsidRPr="00785330">
          <w:rPr>
            <w:rStyle w:val="Hyperlink"/>
            <w:rFonts w:cs="David" w:hint="eastAsia"/>
            <w:rtl/>
          </w:rPr>
          <w:t>ע</w:t>
        </w:r>
        <w:r w:rsidR="00785330" w:rsidRPr="00785330">
          <w:rPr>
            <w:rStyle w:val="Hyperlink"/>
            <w:rFonts w:cs="David"/>
            <w:rtl/>
          </w:rPr>
          <w:t>"פ 5376/15</w:t>
        </w:r>
      </w:hyperlink>
      <w:r w:rsidRPr="00B0195A">
        <w:rPr>
          <w:rFonts w:cs="David" w:hint="cs"/>
          <w:rtl/>
        </w:rPr>
        <w:t xml:space="preserve"> </w:t>
      </w:r>
      <w:r w:rsidRPr="00B0195A">
        <w:rPr>
          <w:rFonts w:cs="David" w:hint="cs"/>
          <w:b/>
          <w:bCs/>
          <w:rtl/>
        </w:rPr>
        <w:t>ניסים ביטון נ' מדינת ישראל</w:t>
      </w:r>
      <w:r w:rsidRPr="00B0195A">
        <w:rPr>
          <w:rFonts w:cs="David" w:hint="cs"/>
          <w:rtl/>
        </w:rPr>
        <w:t xml:space="preserve"> </w:t>
      </w:r>
      <w:r w:rsidR="00262FBF" w:rsidRPr="00262FBF">
        <w:rPr>
          <w:rFonts w:cs="David"/>
          <w:sz w:val="22"/>
          <w:rtl/>
        </w:rPr>
        <w:t xml:space="preserve">[פורסם בנבו] </w:t>
      </w:r>
      <w:r w:rsidRPr="00B0195A">
        <w:rPr>
          <w:rFonts w:cs="David" w:hint="cs"/>
          <w:rtl/>
        </w:rPr>
        <w:t xml:space="preserve">(11.2.16). </w:t>
      </w:r>
      <w:r>
        <w:rPr>
          <w:rFonts w:cs="David" w:hint="cs"/>
          <w:rtl/>
        </w:rPr>
        <w:t xml:space="preserve">לאור כך,  </w:t>
      </w:r>
      <w:r w:rsidRPr="00B0195A">
        <w:rPr>
          <w:rFonts w:cs="David" w:hint="cs"/>
          <w:rtl/>
        </w:rPr>
        <w:t>כידוע, אף אם קיי</w:t>
      </w:r>
      <w:r>
        <w:rPr>
          <w:rFonts w:cs="David" w:hint="cs"/>
          <w:rtl/>
        </w:rPr>
        <w:t>מים בעניינו של נאשם פלוני סיכויי</w:t>
      </w:r>
      <w:r w:rsidRPr="00B0195A">
        <w:rPr>
          <w:rFonts w:cs="David" w:hint="cs"/>
          <w:rtl/>
        </w:rPr>
        <w:t xml:space="preserve"> שיקום ממשיים, אין חובה להעדיף את שיקולי השיקום, בוודאי שלא לחרוג בשל כך ממתחם הענישה</w:t>
      </w:r>
      <w:r>
        <w:rPr>
          <w:rFonts w:cs="David" w:hint="cs"/>
          <w:rtl/>
        </w:rPr>
        <w:t xml:space="preserve">, שהרי  </w:t>
      </w:r>
      <w:r w:rsidRPr="0070342D">
        <w:rPr>
          <w:rFonts w:cs="Miriam" w:hint="cs"/>
          <w:rtl/>
        </w:rPr>
        <w:t>"</w:t>
      </w:r>
      <w:r w:rsidRPr="0070342D">
        <w:rPr>
          <w:rFonts w:ascii="Garamond" w:hAnsi="Garamond" w:cs="Miriam" w:hint="cs"/>
          <w:spacing w:val="10"/>
          <w:rtl/>
        </w:rPr>
        <w:t>בהחלט ייתכנו מקרים, בהם יתר השיקולים הרלוונטיים לעונש, דוגמת חומרת המעשים או נסיבות ביצועם, לא יצדיקו חריגה ממתחם העונש ההולם, חרף קיומם של סיכויי שיקום גבוהים, והדבר נתון לשיקול דעתו של בית המשפט, שכן המחוקק נקט בלשון "</w:t>
      </w:r>
      <w:r w:rsidRPr="0070342D">
        <w:rPr>
          <w:rFonts w:cs="Miriam" w:hint="cs"/>
          <w:rtl/>
        </w:rPr>
        <w:t>רשאי</w:t>
      </w:r>
      <w:r w:rsidRPr="0070342D">
        <w:rPr>
          <w:rFonts w:ascii="Garamond" w:hAnsi="Garamond" w:cs="Miriam" w:hint="cs"/>
          <w:spacing w:val="10"/>
          <w:rtl/>
        </w:rPr>
        <w:t>" ולא "</w:t>
      </w:r>
      <w:r w:rsidRPr="0070342D">
        <w:rPr>
          <w:rFonts w:cs="Miriam" w:hint="cs"/>
          <w:rtl/>
        </w:rPr>
        <w:t>חייב</w:t>
      </w:r>
      <w:r w:rsidRPr="0070342D">
        <w:rPr>
          <w:rFonts w:ascii="Garamond" w:hAnsi="Garamond" w:cs="Miriam" w:hint="cs"/>
          <w:spacing w:val="10"/>
          <w:rtl/>
        </w:rPr>
        <w:t>"."</w:t>
      </w:r>
      <w:r w:rsidRPr="00B0195A">
        <w:rPr>
          <w:rFonts w:ascii="Garamond" w:hAnsi="Garamond" w:cs="FrankRuehl" w:hint="cs"/>
          <w:spacing w:val="10"/>
          <w:szCs w:val="28"/>
          <w:rtl/>
        </w:rPr>
        <w:t xml:space="preserve"> </w:t>
      </w:r>
      <w:r w:rsidRPr="0070342D">
        <w:rPr>
          <w:rFonts w:ascii="Garamond" w:hAnsi="Garamond" w:cs="David" w:hint="cs"/>
          <w:spacing w:val="10"/>
          <w:rtl/>
        </w:rPr>
        <w:t>(</w:t>
      </w:r>
      <w:hyperlink r:id="rId49" w:history="1">
        <w:r w:rsidR="00785330" w:rsidRPr="00785330">
          <w:rPr>
            <w:rStyle w:val="Hyperlink"/>
            <w:rFonts w:ascii="Garamond" w:hAnsi="Garamond" w:cs="David" w:hint="eastAsia"/>
            <w:spacing w:val="10"/>
            <w:rtl/>
          </w:rPr>
          <w:t>רע</w:t>
        </w:r>
        <w:r w:rsidR="00785330" w:rsidRPr="00785330">
          <w:rPr>
            <w:rStyle w:val="Hyperlink"/>
            <w:rFonts w:ascii="Garamond" w:hAnsi="Garamond" w:cs="David"/>
            <w:spacing w:val="10"/>
            <w:rtl/>
          </w:rPr>
          <w:t>"</w:t>
        </w:r>
        <w:r w:rsidR="00785330" w:rsidRPr="00785330">
          <w:rPr>
            <w:rStyle w:val="Hyperlink"/>
            <w:rFonts w:ascii="Garamond" w:hAnsi="Garamond" w:cs="David" w:hint="eastAsia"/>
            <w:spacing w:val="10"/>
            <w:rtl/>
          </w:rPr>
          <w:t>פ</w:t>
        </w:r>
        <w:r w:rsidR="00785330" w:rsidRPr="00785330">
          <w:rPr>
            <w:rStyle w:val="Hyperlink"/>
            <w:rFonts w:ascii="Garamond" w:hAnsi="Garamond" w:cs="David"/>
            <w:spacing w:val="10"/>
            <w:rtl/>
          </w:rPr>
          <w:t xml:space="preserve"> 398/14</w:t>
        </w:r>
      </w:hyperlink>
      <w:r w:rsidRPr="0070342D">
        <w:rPr>
          <w:rFonts w:ascii="Garamond" w:hAnsi="Garamond" w:cs="David" w:hint="cs"/>
          <w:spacing w:val="10"/>
          <w:rtl/>
        </w:rPr>
        <w:t xml:space="preserve"> </w:t>
      </w:r>
      <w:r w:rsidRPr="0070342D">
        <w:rPr>
          <w:rFonts w:ascii="Garamond" w:hAnsi="Garamond" w:cs="David" w:hint="cs"/>
          <w:b/>
          <w:bCs/>
          <w:spacing w:val="10"/>
          <w:rtl/>
        </w:rPr>
        <w:t>טל ערג' נ' מדינת ישראל</w:t>
      </w:r>
      <w:r w:rsidRPr="0070342D">
        <w:rPr>
          <w:rFonts w:ascii="Garamond" w:hAnsi="Garamond" w:cs="David" w:hint="cs"/>
          <w:spacing w:val="10"/>
          <w:rtl/>
        </w:rPr>
        <w:t xml:space="preserve"> </w:t>
      </w:r>
      <w:r w:rsidR="00262FBF" w:rsidRPr="00262FBF">
        <w:rPr>
          <w:rFonts w:cs="David"/>
          <w:sz w:val="22"/>
          <w:rtl/>
        </w:rPr>
        <w:t>[</w:t>
      </w:r>
      <w:r w:rsidR="00262FBF" w:rsidRPr="00262FBF">
        <w:rPr>
          <w:rFonts w:cs="David" w:hint="eastAsia"/>
          <w:sz w:val="22"/>
          <w:rtl/>
        </w:rPr>
        <w:t>פורסם</w:t>
      </w:r>
      <w:r w:rsidR="00262FBF" w:rsidRPr="00262FBF">
        <w:rPr>
          <w:rFonts w:cs="David"/>
          <w:sz w:val="22"/>
          <w:rtl/>
        </w:rPr>
        <w:t xml:space="preserve"> </w:t>
      </w:r>
      <w:r w:rsidR="00262FBF" w:rsidRPr="00262FBF">
        <w:rPr>
          <w:rFonts w:cs="David" w:hint="eastAsia"/>
          <w:sz w:val="22"/>
          <w:rtl/>
        </w:rPr>
        <w:t>בנבו</w:t>
      </w:r>
      <w:r w:rsidR="00262FBF" w:rsidRPr="00262FBF">
        <w:rPr>
          <w:rFonts w:cs="David"/>
          <w:sz w:val="22"/>
          <w:rtl/>
        </w:rPr>
        <w:t xml:space="preserve">] </w:t>
      </w:r>
      <w:r w:rsidRPr="0070342D">
        <w:rPr>
          <w:rFonts w:ascii="Garamond" w:hAnsi="Garamond" w:cs="David" w:hint="cs"/>
          <w:spacing w:val="10"/>
          <w:rtl/>
        </w:rPr>
        <w:t>(16.3.14))</w:t>
      </w:r>
      <w:r>
        <w:rPr>
          <w:rFonts w:ascii="Garamond" w:hAnsi="Garamond" w:cs="David" w:hint="cs"/>
          <w:spacing w:val="10"/>
          <w:rtl/>
        </w:rPr>
        <w:t xml:space="preserve"> וראו גם </w:t>
      </w:r>
      <w:hyperlink r:id="rId50" w:history="1">
        <w:r w:rsidR="00785330" w:rsidRPr="00785330">
          <w:rPr>
            <w:rStyle w:val="Hyperlink"/>
            <w:rFonts w:cs="David"/>
            <w:rtl/>
          </w:rPr>
          <w:t>רע"פ 1787/15</w:t>
        </w:r>
      </w:hyperlink>
      <w:r w:rsidRPr="0070342D">
        <w:rPr>
          <w:rFonts w:cs="David" w:hint="cs"/>
          <w:rtl/>
        </w:rPr>
        <w:t xml:space="preserve"> </w:t>
      </w:r>
      <w:r w:rsidRPr="0070342D">
        <w:rPr>
          <w:rFonts w:cs="David" w:hint="cs"/>
          <w:b/>
          <w:bCs/>
          <w:rtl/>
        </w:rPr>
        <w:t>עמר נ' מדינת ישראל</w:t>
      </w:r>
      <w:r w:rsidRPr="0070342D">
        <w:rPr>
          <w:rFonts w:cs="David" w:hint="cs"/>
          <w:rtl/>
        </w:rPr>
        <w:t xml:space="preserve">  </w:t>
      </w:r>
      <w:r w:rsidR="00262FBF" w:rsidRPr="00262FBF">
        <w:rPr>
          <w:rFonts w:cs="David"/>
          <w:sz w:val="22"/>
          <w:rtl/>
        </w:rPr>
        <w:t xml:space="preserve">[פורסם בנבו] </w:t>
      </w:r>
      <w:r w:rsidRPr="0070342D">
        <w:rPr>
          <w:rFonts w:cs="David" w:hint="cs"/>
          <w:rtl/>
        </w:rPr>
        <w:t>(24.3.</w:t>
      </w:r>
      <w:r>
        <w:rPr>
          <w:rFonts w:cs="David" w:hint="cs"/>
          <w:rtl/>
        </w:rPr>
        <w:t>15</w:t>
      </w:r>
      <w:r w:rsidRPr="0070342D">
        <w:rPr>
          <w:rFonts w:cs="David" w:hint="cs"/>
          <w:rtl/>
        </w:rPr>
        <w:t>))</w:t>
      </w:r>
      <w:r>
        <w:rPr>
          <w:rFonts w:cs="David" w:hint="cs"/>
          <w:rtl/>
        </w:rPr>
        <w:t>.</w:t>
      </w:r>
    </w:p>
    <w:p w14:paraId="30DAC811" w14:textId="77777777" w:rsidR="000A14D7" w:rsidRDefault="000A14D7" w:rsidP="000A14D7">
      <w:pPr>
        <w:pStyle w:val="ListParagraph"/>
        <w:spacing w:line="360" w:lineRule="auto"/>
        <w:jc w:val="both"/>
        <w:rPr>
          <w:rFonts w:cs="David"/>
          <w:rtl/>
        </w:rPr>
      </w:pPr>
    </w:p>
    <w:p w14:paraId="5439F344" w14:textId="77777777" w:rsidR="000A14D7" w:rsidRPr="00BC2E15" w:rsidRDefault="000A14D7" w:rsidP="000A14D7">
      <w:pPr>
        <w:pStyle w:val="ListParagraph"/>
        <w:numPr>
          <w:ilvl w:val="0"/>
          <w:numId w:val="1"/>
        </w:numPr>
        <w:spacing w:line="360" w:lineRule="auto"/>
        <w:jc w:val="both"/>
        <w:rPr>
          <w:rFonts w:cs="David"/>
        </w:rPr>
      </w:pPr>
      <w:r>
        <w:rPr>
          <w:rFonts w:cs="David" w:hint="cs"/>
          <w:rtl/>
        </w:rPr>
        <w:t xml:space="preserve">כאמור, העבירה שעבר הנאשם חמורה. יש בה לשקף פוטנציאל החדרת כמות נכבדה של סמים לשוק, תמורת בצע כסף. העבירה הפכה נפוצה מאוד בזמן האחרון ומתחייבת בשל כך מלחמה של ממש בתופעה זו, תוך מתן משקל גם לעיקרון ההתרעה, לצורך קביעת העונש ההולם. בעניין זה נקבע כי </w:t>
      </w:r>
      <w:r w:rsidRPr="00BC2E15">
        <w:rPr>
          <w:rFonts w:cs="Miriam" w:hint="cs"/>
          <w:spacing w:val="10"/>
          <w:rtl/>
        </w:rPr>
        <w:t>"אין זה בלתי סביר כי מקום בו מזהה בית המשפט עליה משמעותית בפעילות עבריינית מסוג מסוים הוא ינקוט במענה עונשי הולם במסגרת הגשמת אחת מתכליותיה המרכזיות של מלאכת גזירת הדין – הרתעת היחיד והרתעת הרבים</w:t>
      </w:r>
      <w:r w:rsidRPr="00BC2E15">
        <w:rPr>
          <w:rFonts w:cs="Miriam" w:hint="cs"/>
          <w:rtl/>
        </w:rPr>
        <w:t>"</w:t>
      </w:r>
      <w:r w:rsidRPr="00BC2E15">
        <w:rPr>
          <w:rFonts w:cs="David" w:hint="cs"/>
          <w:rtl/>
        </w:rPr>
        <w:t xml:space="preserve"> (</w:t>
      </w:r>
      <w:hyperlink r:id="rId51" w:history="1">
        <w:r w:rsidR="00785330" w:rsidRPr="00785330">
          <w:rPr>
            <w:rStyle w:val="Hyperlink"/>
            <w:rFonts w:cs="David" w:hint="eastAsia"/>
            <w:rtl/>
          </w:rPr>
          <w:t>ע</w:t>
        </w:r>
        <w:r w:rsidR="00785330" w:rsidRPr="00785330">
          <w:rPr>
            <w:rStyle w:val="Hyperlink"/>
            <w:rFonts w:cs="David"/>
            <w:rtl/>
          </w:rPr>
          <w:t>"פ 3160/12</w:t>
        </w:r>
      </w:hyperlink>
      <w:r w:rsidRPr="00BC2E15">
        <w:rPr>
          <w:rFonts w:cs="David" w:hint="cs"/>
          <w:rtl/>
        </w:rPr>
        <w:t xml:space="preserve"> </w:t>
      </w:r>
      <w:r w:rsidRPr="00BC2E15">
        <w:rPr>
          <w:rFonts w:cs="David" w:hint="cs"/>
          <w:b/>
          <w:bCs/>
          <w:rtl/>
        </w:rPr>
        <w:t>דומוס כריסטיאן נ' מדינת ישראל</w:t>
      </w:r>
      <w:r w:rsidRPr="00BC2E15">
        <w:rPr>
          <w:rFonts w:cs="David" w:hint="cs"/>
          <w:rtl/>
        </w:rPr>
        <w:t xml:space="preserve"> </w:t>
      </w:r>
      <w:r w:rsidR="00262FBF" w:rsidRPr="00262FBF">
        <w:rPr>
          <w:rFonts w:cs="David"/>
          <w:sz w:val="22"/>
          <w:rtl/>
        </w:rPr>
        <w:t xml:space="preserve">[פורסם בנבו] </w:t>
      </w:r>
      <w:r w:rsidRPr="00BC2E15">
        <w:rPr>
          <w:rFonts w:cs="David" w:hint="cs"/>
          <w:rtl/>
        </w:rPr>
        <w:t>(21.4.13))</w:t>
      </w:r>
      <w:r>
        <w:rPr>
          <w:rFonts w:cs="David" w:hint="cs"/>
          <w:rtl/>
        </w:rPr>
        <w:t xml:space="preserve">. </w:t>
      </w:r>
      <w:r w:rsidRPr="00BC2E15">
        <w:rPr>
          <w:rFonts w:cs="David" w:hint="cs"/>
          <w:rtl/>
        </w:rPr>
        <w:t xml:space="preserve">שיקולים אלו מחייבים הכבדת היד על אלו שבחרו בעיסוק זה על גבו של הציבור. אינני מקל ראש בחשיבות שיקומו של עבריין והחזרתו לחברה. יש בכך להטיב לא רק עם העבריין, אלא גם עם החברה. אינני מקל גם ראש בפגיעה שתיגרם לנאשם ומשפחתו באם יוטל עליו עונש מאסר. ואולם, חומרת העבירה אינה מאפשרת, בנסיבות מקרה זה, הקלה עונשית עד כדי הימנעות מעונש מאסר כלל. בעניין דומה צוין כי </w:t>
      </w:r>
      <w:r w:rsidRPr="00BC2E15">
        <w:rPr>
          <w:rFonts w:cs="Miriam" w:hint="cs"/>
          <w:rtl/>
        </w:rPr>
        <w:t>"אין ליתן את משקל הבכורה במקרה דנן לשיקולי השיקום בעניינו של המבקש. מאמציו של המבקש להשתלב בהליך טיפולי ראויים להערכה, ואולם, אין להתעלם מחומרת העבירות ומן הפגיעה שנגרמה לאינטרס הציבורי בייצורם של הסמים המסוכנים"</w:t>
      </w:r>
      <w:r w:rsidRPr="00BC2E15">
        <w:rPr>
          <w:rFonts w:cs="David" w:hint="cs"/>
          <w:rtl/>
        </w:rPr>
        <w:t xml:space="preserve"> (</w:t>
      </w:r>
      <w:hyperlink r:id="rId52" w:history="1">
        <w:r w:rsidR="00785330" w:rsidRPr="00785330">
          <w:rPr>
            <w:rStyle w:val="Hyperlink"/>
            <w:rFonts w:cs="David" w:hint="eastAsia"/>
            <w:rtl/>
          </w:rPr>
          <w:t>רע</w:t>
        </w:r>
        <w:r w:rsidR="00785330" w:rsidRPr="00785330">
          <w:rPr>
            <w:rStyle w:val="Hyperlink"/>
            <w:rFonts w:cs="David"/>
            <w:rtl/>
          </w:rPr>
          <w:t>"פ 3864/16</w:t>
        </w:r>
      </w:hyperlink>
      <w:r w:rsidRPr="00BC2E15">
        <w:rPr>
          <w:rFonts w:cs="David" w:hint="cs"/>
          <w:rtl/>
        </w:rPr>
        <w:t xml:space="preserve"> </w:t>
      </w:r>
      <w:r w:rsidRPr="00BC2E15">
        <w:rPr>
          <w:rFonts w:cs="David" w:hint="cs"/>
          <w:b/>
          <w:bCs/>
          <w:rtl/>
        </w:rPr>
        <w:t>עדי בן דוד נ' מדינת ישראל</w:t>
      </w:r>
      <w:r w:rsidRPr="00BC2E15">
        <w:rPr>
          <w:rFonts w:cs="David" w:hint="cs"/>
          <w:rtl/>
        </w:rPr>
        <w:t xml:space="preserve"> </w:t>
      </w:r>
      <w:r w:rsidR="00262FBF" w:rsidRPr="00262FBF">
        <w:rPr>
          <w:rFonts w:cs="David"/>
          <w:sz w:val="22"/>
          <w:rtl/>
        </w:rPr>
        <w:t xml:space="preserve">[פורסם בנבו] </w:t>
      </w:r>
      <w:r w:rsidRPr="00BC2E15">
        <w:rPr>
          <w:rFonts w:cs="David" w:hint="cs"/>
          <w:rtl/>
        </w:rPr>
        <w:t xml:space="preserve">(17.5.16) וראו גם </w:t>
      </w:r>
      <w:hyperlink r:id="rId53" w:history="1">
        <w:r w:rsidR="00785330" w:rsidRPr="00785330">
          <w:rPr>
            <w:rStyle w:val="Hyperlink"/>
            <w:rFonts w:cs="David" w:hint="eastAsia"/>
            <w:rtl/>
          </w:rPr>
          <w:t>רע</w:t>
        </w:r>
        <w:r w:rsidR="00785330" w:rsidRPr="00785330">
          <w:rPr>
            <w:rStyle w:val="Hyperlink"/>
            <w:rFonts w:cs="David"/>
            <w:rtl/>
          </w:rPr>
          <w:t>"פ 3841/16</w:t>
        </w:r>
      </w:hyperlink>
      <w:r w:rsidRPr="00BC2E15">
        <w:rPr>
          <w:rFonts w:cs="David" w:hint="cs"/>
          <w:rtl/>
        </w:rPr>
        <w:t xml:space="preserve"> </w:t>
      </w:r>
      <w:r w:rsidRPr="00BC2E15">
        <w:rPr>
          <w:rFonts w:cs="David" w:hint="cs"/>
          <w:b/>
          <w:bCs/>
          <w:rtl/>
        </w:rPr>
        <w:t>יעקב מזרחי נ' מדינת ישראל</w:t>
      </w:r>
      <w:r>
        <w:rPr>
          <w:rFonts w:cs="David" w:hint="cs"/>
          <w:rtl/>
        </w:rPr>
        <w:t xml:space="preserve"> </w:t>
      </w:r>
      <w:r w:rsidR="00262FBF" w:rsidRPr="00262FBF">
        <w:rPr>
          <w:rFonts w:cs="David"/>
          <w:sz w:val="22"/>
          <w:rtl/>
        </w:rPr>
        <w:t xml:space="preserve">[פורסם בנבו] </w:t>
      </w:r>
      <w:r>
        <w:rPr>
          <w:rFonts w:cs="David" w:hint="cs"/>
          <w:rtl/>
        </w:rPr>
        <w:t xml:space="preserve">(16.5.16) שניתן באותו עניין). </w:t>
      </w:r>
      <w:r w:rsidRPr="00BC2E15">
        <w:rPr>
          <w:rFonts w:cs="David" w:hint="cs"/>
          <w:rtl/>
        </w:rPr>
        <w:t xml:space="preserve"> </w:t>
      </w:r>
    </w:p>
    <w:p w14:paraId="4E364F4B" w14:textId="77777777" w:rsidR="000A14D7" w:rsidRDefault="000A14D7" w:rsidP="000A14D7">
      <w:pPr>
        <w:pStyle w:val="ListParagraph"/>
        <w:spacing w:line="360" w:lineRule="auto"/>
        <w:jc w:val="both"/>
        <w:rPr>
          <w:rFonts w:cs="David"/>
        </w:rPr>
      </w:pPr>
    </w:p>
    <w:p w14:paraId="148CD70D" w14:textId="77777777" w:rsidR="000A14D7" w:rsidRPr="00681C96" w:rsidRDefault="000A14D7" w:rsidP="000A14D7">
      <w:pPr>
        <w:pStyle w:val="ListParagraph"/>
        <w:numPr>
          <w:ilvl w:val="0"/>
          <w:numId w:val="1"/>
        </w:numPr>
        <w:spacing w:line="360" w:lineRule="auto"/>
        <w:jc w:val="both"/>
        <w:rPr>
          <w:rFonts w:cs="David"/>
          <w:rtl/>
        </w:rPr>
      </w:pPr>
      <w:r>
        <w:rPr>
          <w:rFonts w:cs="David" w:hint="cs"/>
          <w:rtl/>
        </w:rPr>
        <w:t xml:space="preserve">בעניין מתן משקל ממשי לשיקולי ההתרעה, בעת קביעת העונש ההולם, ראוי לציין לא רק את נפיצות העבירה בעת האחרונה, אלא גם את הרווח הכלכלי הגדול שיש בצדה. בעניין זה נקבע לאחרונה כי </w:t>
      </w:r>
      <w:r w:rsidRPr="00681C96">
        <w:rPr>
          <w:rFonts w:cs="Miriam" w:hint="cs"/>
          <w:rtl/>
        </w:rPr>
        <w:t>"</w:t>
      </w:r>
      <w:r w:rsidRPr="00681C96">
        <w:rPr>
          <w:rFonts w:ascii="Arial TUR" w:hAnsi="Arial TUR" w:cs="Miriam" w:hint="cs"/>
          <w:spacing w:val="10"/>
          <w:rtl/>
        </w:rPr>
        <w:t>עבירות כלכליות נעברות לרוב על ידי נאשמים רציונאליים המחשבים – במחשבה תחילה, שלא בלהט הרגע ושלא תחת השפעת סמים ואלכוהול – שכר עבירה כנגד הפסדה ... שיקולים אלו יילקחו מן הסתם בחשבון על ידי מי ששוקלים לבצע עבירות דומות.... בבואנו לבחון את שאלת יעילותה והצלחתה של ההרתעה, יש להבחין בין עבירות אינסטרומנטליות ורציונליות – ובכלל זה עבירות כלכליות – לבין עבירות אימפולסיביות הנעברות בלהט הרגע</w:t>
      </w:r>
      <w:r w:rsidRPr="00681C96">
        <w:rPr>
          <w:rFonts w:cs="Miriam" w:hint="cs"/>
          <w:rtl/>
        </w:rPr>
        <w:t>...</w:t>
      </w:r>
      <w:r w:rsidRPr="00681C96">
        <w:rPr>
          <w:rFonts w:ascii="Arial TUR" w:hAnsi="Arial TUR" w:cs="Miriam" w:hint="cs"/>
          <w:spacing w:val="10"/>
          <w:rtl/>
        </w:rPr>
        <w:t>.</w:t>
      </w:r>
      <w:r w:rsidRPr="00681C96">
        <w:rPr>
          <w:rFonts w:cs="Miriam" w:hint="cs"/>
          <w:rtl/>
        </w:rPr>
        <w:t xml:space="preserve">" </w:t>
      </w:r>
      <w:r w:rsidRPr="00681C96">
        <w:rPr>
          <w:rFonts w:cs="David" w:hint="cs"/>
          <w:rtl/>
        </w:rPr>
        <w:t>(</w:t>
      </w:r>
      <w:hyperlink r:id="rId54" w:history="1">
        <w:r w:rsidR="00785330" w:rsidRPr="00785330">
          <w:rPr>
            <w:rStyle w:val="Hyperlink"/>
            <w:rFonts w:cs="David" w:hint="eastAsia"/>
            <w:rtl/>
          </w:rPr>
          <w:t>ע</w:t>
        </w:r>
        <w:r w:rsidR="00785330" w:rsidRPr="00785330">
          <w:rPr>
            <w:rStyle w:val="Hyperlink"/>
            <w:rFonts w:cs="David"/>
            <w:rtl/>
          </w:rPr>
          <w:t>"פ 1656/16</w:t>
        </w:r>
      </w:hyperlink>
      <w:r w:rsidRPr="00681C96">
        <w:rPr>
          <w:rFonts w:cs="David" w:hint="cs"/>
          <w:rtl/>
        </w:rPr>
        <w:t xml:space="preserve"> </w:t>
      </w:r>
      <w:r w:rsidRPr="00681C96">
        <w:rPr>
          <w:rFonts w:cs="David" w:hint="cs"/>
          <w:b/>
          <w:bCs/>
          <w:rtl/>
        </w:rPr>
        <w:t xml:space="preserve">ישעיהו דוידוביץ ואח' נ' מדינת ישראל </w:t>
      </w:r>
      <w:r w:rsidRPr="00681C96">
        <w:rPr>
          <w:rFonts w:cs="David" w:hint="cs"/>
          <w:rtl/>
        </w:rPr>
        <w:t>(20.3.17)).</w:t>
      </w:r>
      <w:r>
        <w:rPr>
          <w:rFonts w:cs="David" w:hint="cs"/>
          <w:rtl/>
        </w:rPr>
        <w:t xml:space="preserve"> כפי שצוין לעיל, </w:t>
      </w:r>
      <w:r w:rsidRPr="00681C96">
        <w:rPr>
          <w:rFonts w:cs="David" w:hint="cs"/>
          <w:rtl/>
        </w:rPr>
        <w:t xml:space="preserve">העבירה של גידול סמים, בתנאים ובהיקפים שבענייננו, היא עבירה כלכלית לכל דבר ועניין. היא עבירה </w:t>
      </w:r>
      <w:r>
        <w:rPr>
          <w:rFonts w:cs="David" w:hint="cs"/>
          <w:rtl/>
        </w:rPr>
        <w:t>בה</w:t>
      </w:r>
      <w:r w:rsidRPr="00681C96">
        <w:rPr>
          <w:rFonts w:cs="David" w:hint="cs"/>
          <w:rtl/>
        </w:rPr>
        <w:t xml:space="preserve"> העבריין שוקל שיקולי כדאיות</w:t>
      </w:r>
      <w:r>
        <w:rPr>
          <w:rFonts w:cs="David" w:hint="cs"/>
          <w:rtl/>
        </w:rPr>
        <w:t xml:space="preserve"> </w:t>
      </w:r>
      <w:r>
        <w:rPr>
          <w:rFonts w:cs="David"/>
          <w:rtl/>
        </w:rPr>
        <w:t>–</w:t>
      </w:r>
      <w:r>
        <w:rPr>
          <w:rFonts w:cs="David" w:hint="cs"/>
          <w:rtl/>
        </w:rPr>
        <w:t xml:space="preserve"> </w:t>
      </w:r>
      <w:r w:rsidRPr="00681C96">
        <w:rPr>
          <w:rFonts w:cs="David" w:hint="cs"/>
          <w:rtl/>
        </w:rPr>
        <w:t xml:space="preserve">הפסד ורווח. הפיתוי לרווח הקל והמהיר שניתן להפיק מגידול של סם בתוך דירה מוסתרת מעין, בצד הקושי שבחשיפת עבירות אלו, מחייב הכבדה עונשית, תוך הבאה בחשבון גם (וכמובן לא רק) של שיקולי התרעה. </w:t>
      </w:r>
      <w:r>
        <w:rPr>
          <w:rFonts w:cs="David" w:hint="cs"/>
          <w:rtl/>
        </w:rPr>
        <w:t xml:space="preserve">ודוק: אין לשגות ולזהות עבירה זו עם דחף אימפולסיבי הנובע מהצורך בסמים. כאמור, נקבע שלא הצורך בסמים הביא את הנאשם לביצוע העבירות. בכל מקרה, מדובר בעבירה מתוכננת היטב, שאינה "חד פעמית" אלא מבוצעת לאורך זמן רב, תוך "השקעה" יום יומית, של ממון ועמל. </w:t>
      </w:r>
    </w:p>
    <w:p w14:paraId="7A22C94A" w14:textId="77777777" w:rsidR="000A14D7" w:rsidRDefault="000A14D7" w:rsidP="000A14D7">
      <w:pPr>
        <w:pStyle w:val="ListParagraph"/>
        <w:spacing w:line="360" w:lineRule="auto"/>
        <w:jc w:val="both"/>
        <w:rPr>
          <w:rFonts w:cs="David"/>
          <w:rtl/>
        </w:rPr>
      </w:pPr>
    </w:p>
    <w:p w14:paraId="2391053C" w14:textId="77777777" w:rsidR="000A14D7" w:rsidRDefault="000A14D7" w:rsidP="000A14D7">
      <w:pPr>
        <w:pStyle w:val="ListParagraph"/>
        <w:numPr>
          <w:ilvl w:val="0"/>
          <w:numId w:val="1"/>
        </w:numPr>
        <w:spacing w:line="360" w:lineRule="auto"/>
        <w:jc w:val="both"/>
        <w:rPr>
          <w:rFonts w:cs="David"/>
        </w:rPr>
      </w:pPr>
      <w:r>
        <w:rPr>
          <w:rFonts w:cs="David" w:hint="cs"/>
          <w:rtl/>
        </w:rPr>
        <w:t>לאור כך, על עונשו של הנאשם להיגזר בגדרי המתחם, תוך מתן דגש לשיקולי הרתעה, כאשר סיכויי שיקומו יובאו בחשבון בקביעת העונש בתוך המתחם (</w:t>
      </w:r>
      <w:hyperlink r:id="rId55" w:history="1">
        <w:r w:rsidR="00785330" w:rsidRPr="00785330">
          <w:rPr>
            <w:rStyle w:val="Hyperlink"/>
            <w:rFonts w:cs="David" w:hint="eastAsia"/>
            <w:rtl/>
          </w:rPr>
          <w:t>ע</w:t>
        </w:r>
        <w:r w:rsidR="00785330" w:rsidRPr="00785330">
          <w:rPr>
            <w:rStyle w:val="Hyperlink"/>
            <w:rFonts w:cs="David"/>
            <w:rtl/>
          </w:rPr>
          <w:t>"פ 5718/16</w:t>
        </w:r>
      </w:hyperlink>
      <w:r>
        <w:rPr>
          <w:rFonts w:cs="David" w:hint="cs"/>
          <w:rtl/>
        </w:rPr>
        <w:t xml:space="preserve"> </w:t>
      </w:r>
      <w:r w:rsidRPr="00B936F5">
        <w:rPr>
          <w:rFonts w:cs="David" w:hint="cs"/>
          <w:b/>
          <w:bCs/>
          <w:rtl/>
        </w:rPr>
        <w:t>מיכל זהבי נ' מדינת ישראל</w:t>
      </w:r>
      <w:r>
        <w:rPr>
          <w:rFonts w:cs="David" w:hint="cs"/>
          <w:rtl/>
        </w:rPr>
        <w:t xml:space="preserve"> </w:t>
      </w:r>
      <w:r w:rsidR="00262FBF" w:rsidRPr="00262FBF">
        <w:rPr>
          <w:rFonts w:cs="David"/>
          <w:sz w:val="22"/>
          <w:rtl/>
        </w:rPr>
        <w:t xml:space="preserve">[פורסם בנבו] </w:t>
      </w:r>
      <w:r>
        <w:rPr>
          <w:rFonts w:cs="David" w:hint="cs"/>
          <w:rtl/>
        </w:rPr>
        <w:t xml:space="preserve">(21.11.16)). </w:t>
      </w:r>
    </w:p>
    <w:p w14:paraId="0D829143" w14:textId="77777777" w:rsidR="000A14D7" w:rsidRPr="00C8231C" w:rsidRDefault="000A14D7" w:rsidP="000A14D7">
      <w:pPr>
        <w:pStyle w:val="ListParagraph"/>
        <w:spacing w:line="360" w:lineRule="auto"/>
        <w:jc w:val="both"/>
        <w:rPr>
          <w:rFonts w:cs="David"/>
        </w:rPr>
      </w:pPr>
    </w:p>
    <w:p w14:paraId="650B6F3C" w14:textId="77777777" w:rsidR="000A14D7" w:rsidRDefault="000A14D7" w:rsidP="000A14D7">
      <w:pPr>
        <w:pStyle w:val="ListParagraph"/>
        <w:numPr>
          <w:ilvl w:val="0"/>
          <w:numId w:val="1"/>
        </w:numPr>
        <w:spacing w:line="360" w:lineRule="auto"/>
        <w:jc w:val="both"/>
        <w:rPr>
          <w:rFonts w:cs="David"/>
        </w:rPr>
      </w:pPr>
      <w:r>
        <w:rPr>
          <w:rFonts w:cs="David" w:hint="cs"/>
          <w:rtl/>
        </w:rPr>
        <w:t>כאן המקום לציין כי אמנם ביקשתי לקבל חוות דעת של הממונה על עבודות השירות, אך ציינתי שאין ללמוד מכך על העונש שיוטל בסופו של דבר. עשיתי זאת, על מנת שיהיו בפני כל אפשרויות הענישה טרם מתן גזר הדין וציינתי זאת היטב בפני הנאשם (</w:t>
      </w:r>
      <w:r w:rsidRPr="005E36E9">
        <w:rPr>
          <w:rFonts w:cs="David" w:hint="cs"/>
          <w:rtl/>
        </w:rPr>
        <w:t>ב</w:t>
      </w:r>
      <w:hyperlink r:id="rId56" w:history="1">
        <w:r w:rsidR="00785330" w:rsidRPr="00785330">
          <w:rPr>
            <w:rStyle w:val="Hyperlink"/>
            <w:rFonts w:cs="David" w:hint="eastAsia"/>
            <w:rtl/>
          </w:rPr>
          <w:t>ע</w:t>
        </w:r>
        <w:r w:rsidR="00785330" w:rsidRPr="00785330">
          <w:rPr>
            <w:rStyle w:val="Hyperlink"/>
            <w:rFonts w:cs="David"/>
            <w:rtl/>
          </w:rPr>
          <w:t>"פ 8704/08</w:t>
        </w:r>
      </w:hyperlink>
      <w:r w:rsidRPr="005E36E9">
        <w:rPr>
          <w:rFonts w:cs="David" w:hint="cs"/>
          <w:rtl/>
        </w:rPr>
        <w:t xml:space="preserve"> </w:t>
      </w:r>
      <w:r w:rsidRPr="005E36E9">
        <w:rPr>
          <w:rFonts w:cs="David" w:hint="cs"/>
          <w:b/>
          <w:bCs/>
          <w:rtl/>
        </w:rPr>
        <w:t>הייב נ' מדינת ישראל</w:t>
      </w:r>
      <w:r w:rsidRPr="005E36E9">
        <w:rPr>
          <w:rFonts w:cs="David" w:hint="cs"/>
          <w:rtl/>
        </w:rPr>
        <w:t xml:space="preserve"> </w:t>
      </w:r>
      <w:r w:rsidR="00262FBF" w:rsidRPr="00262FBF">
        <w:rPr>
          <w:rFonts w:cs="David"/>
          <w:sz w:val="22"/>
          <w:rtl/>
        </w:rPr>
        <w:t xml:space="preserve">[פורסם בנבו] </w:t>
      </w:r>
      <w:r w:rsidRPr="005E36E9">
        <w:rPr>
          <w:rFonts w:cs="David" w:hint="cs"/>
          <w:rtl/>
        </w:rPr>
        <w:t>(23.4.2009)</w:t>
      </w:r>
      <w:r>
        <w:rPr>
          <w:rFonts w:cs="David" w:hint="cs"/>
          <w:rtl/>
        </w:rPr>
        <w:t xml:space="preserve">). כאשר, קבעתי שאין מקום לחרוג ממתחם הענישה, ממילא שאין מקום לשקול ריצוי העונש בעבודות שירות. אציין עוד שאינני מכריע בשאלה אם הנאשם פעל להקשות על הממונה בזיהוי שרידי סם בעת הבדיקה (כפי שציין הממונה) ולא מטעם זה, החלטתי שלא לאפשר את ריצוי העונש בעבודות שירות, אלא כאמור, בשל כך שסברתי שאין מקום לסטות ממתחם הענישה. כמו כן החלטתי לא הושפעה מהעובדה שבבדיקה נוספת נמצאו שרידים קנבינואידים בבדיקה שנערכה לנאשם. מטעם זה לא נעתרתי לבקשתו לדחיית מתן גזר הדין, עד שיתקבלו תוצאות סופיות של הבדיקה, שכן ממילא לא סברתי שעונש בעבודות שירות הוא ההולם במקרה זה. </w:t>
      </w:r>
    </w:p>
    <w:p w14:paraId="02B73DF9" w14:textId="77777777" w:rsidR="000A14D7" w:rsidRPr="0018348E" w:rsidRDefault="000A14D7" w:rsidP="000A14D7">
      <w:pPr>
        <w:pStyle w:val="ListParagraph"/>
        <w:spacing w:line="360" w:lineRule="auto"/>
        <w:jc w:val="both"/>
        <w:rPr>
          <w:rFonts w:cs="David"/>
        </w:rPr>
      </w:pPr>
    </w:p>
    <w:p w14:paraId="4AD11F85" w14:textId="77777777" w:rsidR="000A14D7" w:rsidRDefault="000A14D7" w:rsidP="000A14D7">
      <w:pPr>
        <w:pStyle w:val="ListParagraph"/>
        <w:numPr>
          <w:ilvl w:val="0"/>
          <w:numId w:val="1"/>
        </w:numPr>
        <w:spacing w:line="360" w:lineRule="auto"/>
        <w:jc w:val="both"/>
        <w:rPr>
          <w:rFonts w:cs="David"/>
        </w:rPr>
      </w:pPr>
      <w:r>
        <w:rPr>
          <w:rFonts w:cs="David" w:hint="cs"/>
          <w:rtl/>
        </w:rPr>
        <w:t>לצורך קביעת העונש בגדרי המתחם, הבאתי בחשבון את עברו הנקי של הנאשם, את הודאתו בעבירה, אך מנגד את עמדתו בפני שירות המבחן שלא ביטאה קבלת אחריות מלאה, אלא מזעור אחריותו. הבאתי, כאמור, בחשבון גם את הפגיעה שתיגרם לנאשם ומשפחתו בשל מאסרו. כן נתתי משקל לתקופה בה שהה הנאשם בתנאים מגבילים. הבאתי כמובן גם בחשבון את התרשמותו החיובית של שירות המבחן ממנו. לאור כך, נתוניו האישיים וסיכויי שיקומו יובאו בחשבון בגדרי המתחם ועונשו יועמד קרוב לתחתית המתחם. יש לקוות כי הנאשם ימשיך בדרך זו לאחר סיום ריצוי עונשו.</w:t>
      </w:r>
    </w:p>
    <w:p w14:paraId="53B315A6" w14:textId="77777777" w:rsidR="000A14D7" w:rsidRPr="0018348E" w:rsidRDefault="000A14D7" w:rsidP="000A14D7">
      <w:pPr>
        <w:pStyle w:val="ListParagraph"/>
        <w:spacing w:line="360" w:lineRule="auto"/>
        <w:jc w:val="both"/>
        <w:rPr>
          <w:rFonts w:cs="David"/>
          <w:rtl/>
        </w:rPr>
      </w:pPr>
    </w:p>
    <w:p w14:paraId="1852541A" w14:textId="77777777" w:rsidR="000A14D7" w:rsidRDefault="000A14D7" w:rsidP="000A14D7">
      <w:pPr>
        <w:pStyle w:val="ListParagraph"/>
        <w:numPr>
          <w:ilvl w:val="0"/>
          <w:numId w:val="1"/>
        </w:numPr>
        <w:spacing w:line="360" w:lineRule="auto"/>
        <w:jc w:val="both"/>
        <w:rPr>
          <w:rFonts w:cs="David"/>
        </w:rPr>
      </w:pPr>
      <w:r>
        <w:rPr>
          <w:rFonts w:cs="David" w:hint="cs"/>
          <w:rtl/>
        </w:rPr>
        <w:t xml:space="preserve">לאור כך, מוטלים על הנאשם העונשים הבאים: </w:t>
      </w:r>
    </w:p>
    <w:p w14:paraId="29713846" w14:textId="77777777" w:rsidR="000A14D7" w:rsidRPr="0018348E" w:rsidRDefault="000A14D7" w:rsidP="000A14D7">
      <w:pPr>
        <w:pStyle w:val="ListParagraph"/>
        <w:spacing w:line="360" w:lineRule="auto"/>
        <w:jc w:val="both"/>
        <w:rPr>
          <w:rFonts w:cs="David"/>
          <w:rtl/>
        </w:rPr>
      </w:pPr>
    </w:p>
    <w:p w14:paraId="77888C33" w14:textId="77777777" w:rsidR="000A14D7" w:rsidRPr="00007DA9" w:rsidRDefault="000A14D7" w:rsidP="000A14D7">
      <w:pPr>
        <w:pStyle w:val="ListParagraph"/>
        <w:numPr>
          <w:ilvl w:val="0"/>
          <w:numId w:val="3"/>
        </w:numPr>
        <w:spacing w:line="360" w:lineRule="auto"/>
        <w:jc w:val="both"/>
        <w:rPr>
          <w:rFonts w:cs="David"/>
        </w:rPr>
      </w:pPr>
      <w:r w:rsidRPr="00007DA9">
        <w:rPr>
          <w:rFonts w:cs="David" w:hint="cs"/>
          <w:rtl/>
        </w:rPr>
        <w:t>מאסר בפועל למשך 10 חודשים, בניכוי תקופת מעצרו:</w:t>
      </w:r>
      <w:r w:rsidRPr="00007DA9">
        <w:rPr>
          <w:rFonts w:cs="David" w:hint="cs"/>
        </w:rPr>
        <w:t xml:space="preserve"> </w:t>
      </w:r>
      <w:r w:rsidRPr="00007DA9">
        <w:rPr>
          <w:rFonts w:cs="David" w:hint="cs"/>
          <w:rtl/>
        </w:rPr>
        <w:t xml:space="preserve"> 10.1.16- 19.1.16. </w:t>
      </w:r>
    </w:p>
    <w:p w14:paraId="4C777843" w14:textId="77777777" w:rsidR="000A14D7" w:rsidRPr="00007DA9" w:rsidRDefault="000A14D7" w:rsidP="000A14D7">
      <w:pPr>
        <w:pStyle w:val="ListParagraph"/>
        <w:numPr>
          <w:ilvl w:val="0"/>
          <w:numId w:val="3"/>
        </w:numPr>
        <w:spacing w:line="360" w:lineRule="auto"/>
        <w:jc w:val="both"/>
        <w:rPr>
          <w:rFonts w:cs="David"/>
        </w:rPr>
      </w:pPr>
      <w:r w:rsidRPr="00007DA9">
        <w:rPr>
          <w:rFonts w:cs="David" w:hint="cs"/>
          <w:rtl/>
        </w:rPr>
        <w:t xml:space="preserve">מאסר על תנאי למשך 6 חודשים והתנאי הוא שהנאשם לא יעבור במשך 3 שנים מיום שחרורו, כל עבירת סמים שהיא פשע. </w:t>
      </w:r>
    </w:p>
    <w:p w14:paraId="1E4D865F" w14:textId="77777777" w:rsidR="000A14D7" w:rsidRPr="00B936F5" w:rsidRDefault="000A14D7" w:rsidP="000A14D7">
      <w:pPr>
        <w:pStyle w:val="ListParagraph"/>
        <w:numPr>
          <w:ilvl w:val="0"/>
          <w:numId w:val="3"/>
        </w:numPr>
        <w:spacing w:line="360" w:lineRule="auto"/>
        <w:jc w:val="both"/>
        <w:rPr>
          <w:rFonts w:cs="David"/>
          <w:rtl/>
        </w:rPr>
      </w:pPr>
      <w:r w:rsidRPr="00007DA9">
        <w:rPr>
          <w:rFonts w:cs="David" w:hint="cs"/>
          <w:rtl/>
        </w:rPr>
        <w:t>קנס בסך 8,000 ש"ח או 25 ימי מאסר תמורתו. הקנס ישולם ב-8 תשלומים שווים</w:t>
      </w:r>
      <w:r>
        <w:rPr>
          <w:rFonts w:cs="David" w:hint="cs"/>
          <w:rtl/>
        </w:rPr>
        <w:t xml:space="preserve"> ורצופים כאשר הראשון בהם, 60 יום לאחר שחרורו של הנאשם ממאסרו. אי עמידה באחד התשלומים במועד, תעמיד את יתרת הסכום לפירעון מידי.</w:t>
      </w:r>
    </w:p>
    <w:p w14:paraId="1F28B0CC" w14:textId="77777777" w:rsidR="000A14D7" w:rsidRPr="00B05847" w:rsidRDefault="000A14D7" w:rsidP="000A14D7">
      <w:pPr>
        <w:rPr>
          <w:rtl/>
        </w:rPr>
      </w:pPr>
    </w:p>
    <w:p w14:paraId="7713441E" w14:textId="77777777" w:rsidR="000A14D7" w:rsidRDefault="000A14D7" w:rsidP="000A14D7">
      <w:pPr>
        <w:rPr>
          <w:rtl/>
        </w:rPr>
      </w:pPr>
    </w:p>
    <w:p w14:paraId="39293413" w14:textId="77777777" w:rsidR="000A14D7" w:rsidRDefault="000A14D7" w:rsidP="000A14D7">
      <w:pPr>
        <w:rPr>
          <w:b/>
          <w:bCs/>
          <w:u w:val="single"/>
          <w:rtl/>
        </w:rPr>
      </w:pPr>
      <w:r>
        <w:rPr>
          <w:rFonts w:hint="cs"/>
          <w:b/>
          <w:bCs/>
          <w:u w:val="single"/>
          <w:rtl/>
        </w:rPr>
        <w:t>הסמים והכלים להשמיד בחלוף תקופת הערעור.</w:t>
      </w:r>
    </w:p>
    <w:p w14:paraId="7CBF9C6F" w14:textId="77777777" w:rsidR="000A14D7" w:rsidRDefault="000A14D7" w:rsidP="000A14D7">
      <w:pPr>
        <w:rPr>
          <w:b/>
          <w:bCs/>
          <w:u w:val="single"/>
          <w:rtl/>
        </w:rPr>
      </w:pPr>
    </w:p>
    <w:p w14:paraId="5DE13EDD" w14:textId="77777777" w:rsidR="000A14D7" w:rsidRPr="007C2DA5" w:rsidRDefault="00785330" w:rsidP="000A14D7">
      <w:pPr>
        <w:rPr>
          <w:b/>
          <w:bCs/>
          <w:u w:val="single"/>
          <w:rtl/>
        </w:rPr>
      </w:pPr>
      <w:r w:rsidRPr="00785330">
        <w:rPr>
          <w:b/>
          <w:bCs/>
          <w:color w:val="FFFFFF"/>
          <w:sz w:val="2"/>
          <w:szCs w:val="2"/>
          <w:u w:val="single"/>
          <w:rtl/>
        </w:rPr>
        <w:t>5129371</w:t>
      </w:r>
      <w:r w:rsidR="000A14D7" w:rsidRPr="007C2DA5">
        <w:rPr>
          <w:rFonts w:hint="cs"/>
          <w:b/>
          <w:bCs/>
          <w:u w:val="single"/>
          <w:rtl/>
        </w:rPr>
        <w:t>זכות ערעור בתוך 45 יום .</w:t>
      </w:r>
    </w:p>
    <w:p w14:paraId="25359DE5" w14:textId="77777777" w:rsidR="000A14D7" w:rsidRPr="00785330" w:rsidRDefault="00785330" w:rsidP="000A14D7">
      <w:pPr>
        <w:rPr>
          <w:color w:val="FFFFFF"/>
          <w:sz w:val="2"/>
          <w:szCs w:val="2"/>
          <w:rtl/>
        </w:rPr>
      </w:pPr>
      <w:r w:rsidRPr="00785330">
        <w:rPr>
          <w:color w:val="FFFFFF"/>
          <w:sz w:val="2"/>
          <w:szCs w:val="2"/>
          <w:rtl/>
        </w:rPr>
        <w:t>54678313</w:t>
      </w:r>
    </w:p>
    <w:p w14:paraId="14F72C77" w14:textId="77777777" w:rsidR="000A14D7" w:rsidRPr="00B05847" w:rsidRDefault="000A14D7" w:rsidP="000A14D7">
      <w:pPr>
        <w:rPr>
          <w:rtl/>
        </w:rPr>
      </w:pPr>
    </w:p>
    <w:p w14:paraId="697195A3" w14:textId="77777777" w:rsidR="000A14D7" w:rsidRPr="00262FBF" w:rsidRDefault="00785330" w:rsidP="000A14D7">
      <w:pPr>
        <w:rPr>
          <w:rFonts w:cs="FrankRuehl"/>
          <w:b/>
          <w:bCs/>
          <w:sz w:val="28"/>
          <w:szCs w:val="28"/>
          <w:rtl/>
        </w:rPr>
      </w:pPr>
      <w:r w:rsidRPr="00262FBF">
        <w:rPr>
          <w:rFonts w:ascii="Arial" w:hAnsi="Arial"/>
          <w:b/>
          <w:bCs/>
          <w:rtl/>
        </w:rPr>
        <w:t xml:space="preserve">ניתן היום,  ו' ניסן תשע"ז, 02 אפריל 2017, בהעדר הצדדים. </w:t>
      </w:r>
    </w:p>
    <w:p w14:paraId="45868833" w14:textId="77777777" w:rsidR="000A14D7" w:rsidRDefault="000A14D7" w:rsidP="000A14D7">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5523DB47" w14:textId="77777777" w:rsidR="000A14D7" w:rsidRDefault="000A14D7" w:rsidP="000A14D7">
      <w:pPr>
        <w:jc w:val="center"/>
        <w:rPr>
          <w:rFonts w:ascii="Arial" w:hAnsi="Arial" w:cs="FrankRuehl"/>
          <w:sz w:val="28"/>
          <w:szCs w:val="28"/>
          <w:rtl/>
        </w:rPr>
      </w:pPr>
    </w:p>
    <w:p w14:paraId="5BA008F6" w14:textId="77777777" w:rsidR="00785330" w:rsidRPr="00785330" w:rsidRDefault="00785330" w:rsidP="00785330">
      <w:pPr>
        <w:keepNext/>
        <w:rPr>
          <w:rFonts w:ascii="David" w:hAnsi="David"/>
          <w:color w:val="000000"/>
          <w:sz w:val="22"/>
          <w:szCs w:val="22"/>
          <w:rtl/>
        </w:rPr>
      </w:pPr>
    </w:p>
    <w:p w14:paraId="25849ADD" w14:textId="77777777" w:rsidR="00785330" w:rsidRPr="00785330" w:rsidRDefault="00785330" w:rsidP="00785330">
      <w:pPr>
        <w:keepNext/>
        <w:rPr>
          <w:rFonts w:ascii="David" w:hAnsi="David"/>
          <w:color w:val="000000"/>
          <w:sz w:val="22"/>
          <w:szCs w:val="22"/>
          <w:rtl/>
        </w:rPr>
      </w:pPr>
      <w:r w:rsidRPr="00785330">
        <w:rPr>
          <w:rFonts w:ascii="David" w:hAnsi="David"/>
          <w:color w:val="000000"/>
          <w:sz w:val="22"/>
          <w:szCs w:val="22"/>
          <w:rtl/>
        </w:rPr>
        <w:t>יוסי טורס 54678313</w:t>
      </w:r>
    </w:p>
    <w:p w14:paraId="6B35CD6D" w14:textId="77777777" w:rsidR="00785330" w:rsidRDefault="00785330" w:rsidP="00785330">
      <w:pPr>
        <w:rPr>
          <w:color w:val="000000"/>
          <w:rtl/>
        </w:rPr>
      </w:pPr>
      <w:r w:rsidRPr="00785330">
        <w:rPr>
          <w:color w:val="000000"/>
          <w:rtl/>
        </w:rPr>
        <w:t>נוסח מסמך זה כפוף לשינויי ניסוח ועריכה</w:t>
      </w:r>
    </w:p>
    <w:p w14:paraId="0A16B0D5" w14:textId="77777777" w:rsidR="00785330" w:rsidRDefault="00785330" w:rsidP="00785330">
      <w:pPr>
        <w:rPr>
          <w:rtl/>
        </w:rPr>
      </w:pPr>
    </w:p>
    <w:p w14:paraId="238A93F4" w14:textId="77777777" w:rsidR="00785330" w:rsidRDefault="00785330" w:rsidP="00785330">
      <w:pPr>
        <w:jc w:val="center"/>
        <w:rPr>
          <w:color w:val="0000FF"/>
          <w:u w:val="single"/>
          <w:rtl/>
        </w:rPr>
      </w:pPr>
      <w:hyperlink r:id="rId57" w:history="1">
        <w:r>
          <w:rPr>
            <w:rStyle w:val="Hyperlink"/>
            <w:rtl/>
          </w:rPr>
          <w:t>בעניין עריכה ושינויים במסמכי פסיקה, חקיקה ועוד באתר נבו – הקש כאן</w:t>
        </w:r>
      </w:hyperlink>
    </w:p>
    <w:p w14:paraId="165AB070" w14:textId="77777777" w:rsidR="00DF27D7" w:rsidRPr="00785330" w:rsidRDefault="00DF27D7" w:rsidP="00785330">
      <w:pPr>
        <w:jc w:val="center"/>
        <w:rPr>
          <w:color w:val="0000FF"/>
          <w:u w:val="single"/>
        </w:rPr>
      </w:pPr>
    </w:p>
    <w:sectPr w:rsidR="00DF27D7" w:rsidRPr="00785330" w:rsidSect="00785330">
      <w:headerReference w:type="even" r:id="rId58"/>
      <w:headerReference w:type="default" r:id="rId59"/>
      <w:footerReference w:type="even" r:id="rId60"/>
      <w:footerReference w:type="default" r:id="rId61"/>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1328F4" w14:textId="77777777" w:rsidR="00045D3A" w:rsidRDefault="00045D3A">
      <w:r>
        <w:separator/>
      </w:r>
    </w:p>
  </w:endnote>
  <w:endnote w:type="continuationSeparator" w:id="0">
    <w:p w14:paraId="53827862" w14:textId="77777777" w:rsidR="00045D3A" w:rsidRDefault="00045D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Yu Gothic UI Semilight">
    <w:panose1 w:val="020B0400000000000000"/>
    <w:charset w:val="80"/>
    <w:family w:val="swiss"/>
    <w:pitch w:val="variable"/>
    <w:sig w:usb0="E00002FF" w:usb1="2AC7FDFF" w:usb2="00000016" w:usb3="00000000" w:csb0="0002009F" w:csb1="00000000"/>
  </w:font>
  <w:font w:name="Miriam">
    <w:panose1 w:val="020B0502050101010101"/>
    <w:charset w:val="00"/>
    <w:family w:val="swiss"/>
    <w:pitch w:val="variable"/>
    <w:sig w:usb0="00000803" w:usb1="00000000" w:usb2="00000000" w:usb3="00000000" w:csb0="00000021" w:csb1="00000000"/>
  </w:font>
  <w:font w:name="Garamond">
    <w:panose1 w:val="02020404030301010803"/>
    <w:charset w:val="00"/>
    <w:family w:val="roman"/>
    <w:pitch w:val="variable"/>
    <w:sig w:usb0="00000287" w:usb1="00000000" w:usb2="00000000" w:usb3="00000000" w:csb0="0000009F" w:csb1="00000000"/>
  </w:font>
  <w:font w:name="Arial TUR">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3174F9" w14:textId="77777777" w:rsidR="00785330" w:rsidRDefault="00785330" w:rsidP="00785330">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11</w:t>
    </w:r>
    <w:r>
      <w:rPr>
        <w:rFonts w:ascii="FrankRuehl" w:hAnsi="FrankRuehl" w:cs="FrankRuehl"/>
        <w:rtl/>
      </w:rPr>
      <w:fldChar w:fldCharType="end"/>
    </w:r>
  </w:p>
  <w:p w14:paraId="6461673F" w14:textId="77777777" w:rsidR="00785330" w:rsidRPr="00785330" w:rsidRDefault="00785330" w:rsidP="00785330">
    <w:pPr>
      <w:pStyle w:val="a5"/>
      <w:pBdr>
        <w:top w:val="single" w:sz="4" w:space="1" w:color="auto"/>
        <w:between w:val="single" w:sz="4" w:space="0" w:color="auto"/>
      </w:pBdr>
      <w:spacing w:after="60"/>
      <w:jc w:val="center"/>
      <w:rPr>
        <w:rFonts w:ascii="FrankRuehl" w:hAnsi="FrankRuehl" w:cs="FrankRuehl"/>
        <w:color w:val="000000"/>
      </w:rPr>
    </w:pPr>
    <w:r w:rsidRPr="00785330">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54E023" w14:textId="77777777" w:rsidR="00785330" w:rsidRDefault="00785330" w:rsidP="00785330">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0569B7">
      <w:rPr>
        <w:rFonts w:ascii="FrankRuehl" w:hAnsi="FrankRuehl" w:cs="FrankRuehl"/>
        <w:noProof/>
        <w:rtl/>
      </w:rPr>
      <w:t>1</w:t>
    </w:r>
    <w:r>
      <w:rPr>
        <w:rFonts w:ascii="FrankRuehl" w:hAnsi="FrankRuehl" w:cs="FrankRuehl"/>
        <w:rtl/>
      </w:rPr>
      <w:fldChar w:fldCharType="end"/>
    </w:r>
  </w:p>
  <w:p w14:paraId="3427769B" w14:textId="77777777" w:rsidR="00785330" w:rsidRPr="00785330" w:rsidRDefault="00785330" w:rsidP="00785330">
    <w:pPr>
      <w:pStyle w:val="a5"/>
      <w:pBdr>
        <w:top w:val="single" w:sz="4" w:space="1" w:color="auto"/>
        <w:between w:val="single" w:sz="4" w:space="0" w:color="auto"/>
      </w:pBdr>
      <w:spacing w:after="60"/>
      <w:jc w:val="center"/>
      <w:rPr>
        <w:rFonts w:ascii="FrankRuehl" w:hAnsi="FrankRuehl" w:cs="FrankRuehl"/>
        <w:color w:val="000000"/>
      </w:rPr>
    </w:pPr>
    <w:r w:rsidRPr="00785330">
      <w:rPr>
        <w:rFonts w:ascii="FrankRuehl" w:hAnsi="FrankRuehl" w:cs="FrankRuehl"/>
        <w:color w:val="000000"/>
      </w:rPr>
      <w:pict w14:anchorId="606B611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436BAB" w14:textId="77777777" w:rsidR="00045D3A" w:rsidRDefault="00045D3A">
      <w:r>
        <w:separator/>
      </w:r>
    </w:p>
  </w:footnote>
  <w:footnote w:type="continuationSeparator" w:id="0">
    <w:p w14:paraId="748ECF63" w14:textId="77777777" w:rsidR="00045D3A" w:rsidRDefault="00045D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48D48A" w14:textId="77777777" w:rsidR="00785330" w:rsidRPr="00785330" w:rsidRDefault="00785330" w:rsidP="00785330">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(קריות) 33382-01-16</w:t>
    </w:r>
    <w:r>
      <w:rPr>
        <w:rFonts w:ascii="David" w:hAnsi="David"/>
        <w:color w:val="000000"/>
        <w:sz w:val="22"/>
        <w:szCs w:val="22"/>
        <w:rtl/>
      </w:rPr>
      <w:tab/>
      <w:t xml:space="preserve"> מדינת ישראל נ' אנר שיר-אליזדה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306935" w14:textId="77777777" w:rsidR="00785330" w:rsidRPr="00785330" w:rsidRDefault="00785330" w:rsidP="00785330">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(קריות) 33382-01-16</w:t>
    </w:r>
    <w:r>
      <w:rPr>
        <w:rFonts w:ascii="David" w:hAnsi="David"/>
        <w:color w:val="000000"/>
        <w:sz w:val="22"/>
        <w:szCs w:val="22"/>
        <w:rtl/>
      </w:rPr>
      <w:tab/>
      <w:t xml:space="preserve"> מדינת ישראל נ' אנר שיר-אליזדה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B49462D"/>
    <w:multiLevelType w:val="hybridMultilevel"/>
    <w:tmpl w:val="ED044EC8"/>
    <w:lvl w:ilvl="0" w:tplc="04090013">
      <w:start w:val="1"/>
      <w:numFmt w:val="hebrew1"/>
      <w:lvlText w:val="%1."/>
      <w:lvlJc w:val="center"/>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6067278C"/>
    <w:multiLevelType w:val="hybridMultilevel"/>
    <w:tmpl w:val="C12E733E"/>
    <w:lvl w:ilvl="0" w:tplc="04090013">
      <w:start w:val="1"/>
      <w:numFmt w:val="hebrew1"/>
      <w:lvlText w:val="%1."/>
      <w:lvlJc w:val="center"/>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70762784"/>
    <w:multiLevelType w:val="hybridMultilevel"/>
    <w:tmpl w:val="ABC2E0F6"/>
    <w:lvl w:ilvl="0" w:tplc="E38C1434">
      <w:start w:val="1"/>
      <w:numFmt w:val="decimal"/>
      <w:lvlText w:val="%1."/>
      <w:lvlJc w:val="left"/>
      <w:pPr>
        <w:ind w:left="720" w:hanging="360"/>
      </w:pPr>
      <w:rPr>
        <w:rFonts w:cs="David"/>
        <w:b w:val="0"/>
        <w:bCs w:val="0"/>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num w:numId="1" w16cid:durableId="26219488">
    <w:abstractNumId w:val="2"/>
  </w:num>
  <w:num w:numId="2" w16cid:durableId="557981339">
    <w:abstractNumId w:val="0"/>
  </w:num>
  <w:num w:numId="3" w16cid:durableId="16249664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0A14D7"/>
    <w:rsid w:val="00045D3A"/>
    <w:rsid w:val="000569B7"/>
    <w:rsid w:val="00096BE6"/>
    <w:rsid w:val="000A14D7"/>
    <w:rsid w:val="0024590F"/>
    <w:rsid w:val="00262FBF"/>
    <w:rsid w:val="002B66B4"/>
    <w:rsid w:val="0046245A"/>
    <w:rsid w:val="00785330"/>
    <w:rsid w:val="00C52A97"/>
    <w:rsid w:val="00DF27D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1"/>
    </o:shapelayout>
  </w:shapeDefaults>
  <w:decimalSymbol w:val="."/>
  <w:listSeparator w:val=","/>
  <w14:docId w14:val="4695CCA4"/>
  <w15:chartTrackingRefBased/>
  <w15:docId w15:val="{C1E52584-EF2D-4C09-B231-E3D27C82B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A14D7"/>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link w:val="a4"/>
    <w:rsid w:val="000A14D7"/>
    <w:pPr>
      <w:tabs>
        <w:tab w:val="center" w:pos="4153"/>
        <w:tab w:val="right" w:pos="8306"/>
      </w:tabs>
    </w:pPr>
  </w:style>
  <w:style w:type="paragraph" w:styleId="a5">
    <w:name w:val="footer"/>
    <w:basedOn w:val="a"/>
    <w:rsid w:val="000A14D7"/>
    <w:pPr>
      <w:tabs>
        <w:tab w:val="center" w:pos="4153"/>
        <w:tab w:val="right" w:pos="8306"/>
      </w:tabs>
    </w:pPr>
  </w:style>
  <w:style w:type="character" w:styleId="a6">
    <w:name w:val="page number"/>
    <w:basedOn w:val="a0"/>
    <w:rsid w:val="000A14D7"/>
  </w:style>
  <w:style w:type="paragraph" w:customStyle="1" w:styleId="ListParagraph">
    <w:name w:val="List Paragraph"/>
    <w:basedOn w:val="a"/>
    <w:rsid w:val="000A14D7"/>
    <w:pPr>
      <w:ind w:left="720"/>
      <w:contextualSpacing/>
    </w:pPr>
    <w:rPr>
      <w:rFonts w:cs="Times New Roman"/>
    </w:rPr>
  </w:style>
  <w:style w:type="character" w:customStyle="1" w:styleId="a4">
    <w:name w:val="כותרת עליונה תו"/>
    <w:link w:val="a3"/>
    <w:locked/>
    <w:rsid w:val="000A14D7"/>
    <w:rPr>
      <w:rFonts w:cs="David"/>
      <w:sz w:val="24"/>
      <w:szCs w:val="24"/>
      <w:lang w:val="en-US" w:eastAsia="en-US" w:bidi="he-IL"/>
    </w:rPr>
  </w:style>
  <w:style w:type="character" w:styleId="Hyperlink">
    <w:name w:val="Hyperlink"/>
    <w:basedOn w:val="a0"/>
    <w:rsid w:val="0078533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6" TargetMode="External"/><Relationship Id="rId18" Type="http://schemas.openxmlformats.org/officeDocument/2006/relationships/hyperlink" Target="http://www.nevo.co.il/law/4216/10" TargetMode="External"/><Relationship Id="rId26" Type="http://schemas.openxmlformats.org/officeDocument/2006/relationships/hyperlink" Target="http://www.nevo.co.il/case/20705570" TargetMode="External"/><Relationship Id="rId39" Type="http://schemas.openxmlformats.org/officeDocument/2006/relationships/hyperlink" Target="http://www.nevo.co.il/case/17045282" TargetMode="External"/><Relationship Id="rId21" Type="http://schemas.openxmlformats.org/officeDocument/2006/relationships/hyperlink" Target="http://www.nevo.co.il/law/4216/10" TargetMode="External"/><Relationship Id="rId34" Type="http://schemas.openxmlformats.org/officeDocument/2006/relationships/hyperlink" Target="http://www.nevo.co.il/case/20930804" TargetMode="External"/><Relationship Id="rId42" Type="http://schemas.openxmlformats.org/officeDocument/2006/relationships/hyperlink" Target="http://www.nevo.co.il/case/20705570" TargetMode="External"/><Relationship Id="rId47" Type="http://schemas.openxmlformats.org/officeDocument/2006/relationships/hyperlink" Target="http://www.nevo.co.il/case/8291661" TargetMode="External"/><Relationship Id="rId50" Type="http://schemas.openxmlformats.org/officeDocument/2006/relationships/hyperlink" Target="http://www.nevo.co.il/case/20111708" TargetMode="External"/><Relationship Id="rId55" Type="http://schemas.openxmlformats.org/officeDocument/2006/relationships/hyperlink" Target="http://www.nevo.co.il/case/21477475" TargetMode="External"/><Relationship Id="rId63" Type="http://schemas.openxmlformats.org/officeDocument/2006/relationships/theme" Target="theme/theme1.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4216/6" TargetMode="External"/><Relationship Id="rId29" Type="http://schemas.openxmlformats.org/officeDocument/2006/relationships/hyperlink" Target="http://www.nevo.co.il/case/16938303" TargetMode="External"/><Relationship Id="rId11" Type="http://schemas.openxmlformats.org/officeDocument/2006/relationships/hyperlink" Target="http://www.nevo.co.il/law/70301/40j" TargetMode="External"/><Relationship Id="rId24" Type="http://schemas.openxmlformats.org/officeDocument/2006/relationships/hyperlink" Target="http://www.nevo.co.il/law/4216/6" TargetMode="External"/><Relationship Id="rId32" Type="http://schemas.openxmlformats.org/officeDocument/2006/relationships/hyperlink" Target="http://www.nevo.co.il/case/17009738" TargetMode="External"/><Relationship Id="rId37" Type="http://schemas.openxmlformats.org/officeDocument/2006/relationships/hyperlink" Target="http://www.nevo.co.il/law/70301" TargetMode="External"/><Relationship Id="rId40" Type="http://schemas.openxmlformats.org/officeDocument/2006/relationships/hyperlink" Target="http://www.nevo.co.il/case/6241434" TargetMode="External"/><Relationship Id="rId45" Type="http://schemas.openxmlformats.org/officeDocument/2006/relationships/hyperlink" Target="http://www.nevo.co.il/case/20111708" TargetMode="External"/><Relationship Id="rId53" Type="http://schemas.openxmlformats.org/officeDocument/2006/relationships/hyperlink" Target="http://www.nevo.co.il/case/21474175" TargetMode="External"/><Relationship Id="rId58" Type="http://schemas.openxmlformats.org/officeDocument/2006/relationships/header" Target="header1.xml"/><Relationship Id="rId5" Type="http://schemas.openxmlformats.org/officeDocument/2006/relationships/footnotes" Target="footnotes.xml"/><Relationship Id="rId61" Type="http://schemas.openxmlformats.org/officeDocument/2006/relationships/footer" Target="footer2.xml"/><Relationship Id="rId19" Type="http://schemas.openxmlformats.org/officeDocument/2006/relationships/hyperlink" Target="http://www.nevo.co.il/law/4216/6" TargetMode="External"/><Relationship Id="rId14" Type="http://schemas.openxmlformats.org/officeDocument/2006/relationships/hyperlink" Target="http://www.nevo.co.il/law/4216" TargetMode="External"/><Relationship Id="rId22" Type="http://schemas.openxmlformats.org/officeDocument/2006/relationships/hyperlink" Target="http://www.nevo.co.il/law/70301" TargetMode="External"/><Relationship Id="rId27" Type="http://schemas.openxmlformats.org/officeDocument/2006/relationships/hyperlink" Target="http://www.nevo.co.il/case/5681790" TargetMode="External"/><Relationship Id="rId30" Type="http://schemas.openxmlformats.org/officeDocument/2006/relationships/hyperlink" Target="http://www.nevo.co.il/law/70301/40j" TargetMode="External"/><Relationship Id="rId35" Type="http://schemas.openxmlformats.org/officeDocument/2006/relationships/hyperlink" Target="http://www.nevo.co.il/case/20632055" TargetMode="External"/><Relationship Id="rId43" Type="http://schemas.openxmlformats.org/officeDocument/2006/relationships/hyperlink" Target="http://www.nevo.co.il/case/16938303" TargetMode="External"/><Relationship Id="rId48" Type="http://schemas.openxmlformats.org/officeDocument/2006/relationships/hyperlink" Target="http://www.nevo.co.il/case/20490021" TargetMode="External"/><Relationship Id="rId56" Type="http://schemas.openxmlformats.org/officeDocument/2006/relationships/hyperlink" Target="http://www.nevo.co.il/case/6135887" TargetMode="External"/><Relationship Id="rId8" Type="http://schemas.openxmlformats.org/officeDocument/2006/relationships/hyperlink" Target="http://www.nevo.co.il/law/4216/6" TargetMode="External"/><Relationship Id="rId51" Type="http://schemas.openxmlformats.org/officeDocument/2006/relationships/hyperlink" Target="http://www.nevo.co.il/case/5583050" TargetMode="External"/><Relationship Id="rId3" Type="http://schemas.openxmlformats.org/officeDocument/2006/relationships/settings" Target="settings.xml"/><Relationship Id="rId12" Type="http://schemas.openxmlformats.org/officeDocument/2006/relationships/hyperlink" Target="http://www.nevo.co.il/law/70301/40j.c" TargetMode="External"/><Relationship Id="rId17" Type="http://schemas.openxmlformats.org/officeDocument/2006/relationships/hyperlink" Target="http://www.nevo.co.il/law/4216" TargetMode="External"/><Relationship Id="rId25" Type="http://schemas.openxmlformats.org/officeDocument/2006/relationships/hyperlink" Target="http://www.nevo.co.il/case/20643420" TargetMode="External"/><Relationship Id="rId33" Type="http://schemas.openxmlformats.org/officeDocument/2006/relationships/hyperlink" Target="http://www.nevo.co.il/case/18131336" TargetMode="External"/><Relationship Id="rId38" Type="http://schemas.openxmlformats.org/officeDocument/2006/relationships/hyperlink" Target="http://www.nevo.co.il/case/21644133" TargetMode="External"/><Relationship Id="rId46" Type="http://schemas.openxmlformats.org/officeDocument/2006/relationships/hyperlink" Target="http://www.nevo.co.il/case/18107527" TargetMode="External"/><Relationship Id="rId59" Type="http://schemas.openxmlformats.org/officeDocument/2006/relationships/header" Target="header2.xml"/><Relationship Id="rId20" Type="http://schemas.openxmlformats.org/officeDocument/2006/relationships/hyperlink" Target="http://www.nevo.co.il/law/4216" TargetMode="External"/><Relationship Id="rId41" Type="http://schemas.openxmlformats.org/officeDocument/2006/relationships/hyperlink" Target="http://www.nevo.co.il/case/4804940" TargetMode="External"/><Relationship Id="rId54" Type="http://schemas.openxmlformats.org/officeDocument/2006/relationships/hyperlink" Target="http://www.nevo.co.il/case/21003552" TargetMode="External"/><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4216/10" TargetMode="External"/><Relationship Id="rId23" Type="http://schemas.openxmlformats.org/officeDocument/2006/relationships/hyperlink" Target="http://www.nevo.co.il/case/13093721" TargetMode="External"/><Relationship Id="rId28" Type="http://schemas.openxmlformats.org/officeDocument/2006/relationships/hyperlink" Target="http://www.nevo.co.il/case/244246" TargetMode="External"/><Relationship Id="rId36" Type="http://schemas.openxmlformats.org/officeDocument/2006/relationships/hyperlink" Target="http://www.nevo.co.il/law/70301/40j.c" TargetMode="External"/><Relationship Id="rId49" Type="http://schemas.openxmlformats.org/officeDocument/2006/relationships/hyperlink" Target="http://www.nevo.co.il/case/11206360" TargetMode="External"/><Relationship Id="rId57" Type="http://schemas.openxmlformats.org/officeDocument/2006/relationships/hyperlink" Target="http://www.nevo.co.il/advertisements/nevo-100.doc" TargetMode="External"/><Relationship Id="rId10" Type="http://schemas.openxmlformats.org/officeDocument/2006/relationships/hyperlink" Target="http://www.nevo.co.il/law/70301" TargetMode="External"/><Relationship Id="rId31" Type="http://schemas.openxmlformats.org/officeDocument/2006/relationships/hyperlink" Target="http://www.nevo.co.il/law/70301" TargetMode="External"/><Relationship Id="rId44" Type="http://schemas.openxmlformats.org/officeDocument/2006/relationships/hyperlink" Target="http://www.nevo.co.il/case/20881083" TargetMode="External"/><Relationship Id="rId52" Type="http://schemas.openxmlformats.org/officeDocument/2006/relationships/hyperlink" Target="http://www.nevo.co.il/case/21474176" TargetMode="External"/><Relationship Id="rId6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nevo.co.il/law/4216/10"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4024</Words>
  <Characters>20123</Characters>
  <Application>Microsoft Office Word</Application>
  <DocSecurity>0</DocSecurity>
  <Lines>167</Lines>
  <Paragraphs>48</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24099</CharactersWithSpaces>
  <SharedDoc>false</SharedDoc>
  <HLinks>
    <vt:vector size="306" baseType="variant">
      <vt:variant>
        <vt:i4>393283</vt:i4>
      </vt:variant>
      <vt:variant>
        <vt:i4>150</vt:i4>
      </vt:variant>
      <vt:variant>
        <vt:i4>0</vt:i4>
      </vt:variant>
      <vt:variant>
        <vt:i4>5</vt:i4>
      </vt:variant>
      <vt:variant>
        <vt:lpwstr>http://www.nevo.co.il/advertisements/nevo-100.doc</vt:lpwstr>
      </vt:variant>
      <vt:variant>
        <vt:lpwstr/>
      </vt:variant>
      <vt:variant>
        <vt:i4>3801208</vt:i4>
      </vt:variant>
      <vt:variant>
        <vt:i4>147</vt:i4>
      </vt:variant>
      <vt:variant>
        <vt:i4>0</vt:i4>
      </vt:variant>
      <vt:variant>
        <vt:i4>5</vt:i4>
      </vt:variant>
      <vt:variant>
        <vt:lpwstr>http://www.nevo.co.il/case/6135887</vt:lpwstr>
      </vt:variant>
      <vt:variant>
        <vt:lpwstr/>
      </vt:variant>
      <vt:variant>
        <vt:i4>3539062</vt:i4>
      </vt:variant>
      <vt:variant>
        <vt:i4>144</vt:i4>
      </vt:variant>
      <vt:variant>
        <vt:i4>0</vt:i4>
      </vt:variant>
      <vt:variant>
        <vt:i4>5</vt:i4>
      </vt:variant>
      <vt:variant>
        <vt:lpwstr>http://www.nevo.co.il/case/21477475</vt:lpwstr>
      </vt:variant>
      <vt:variant>
        <vt:lpwstr/>
      </vt:variant>
      <vt:variant>
        <vt:i4>3407984</vt:i4>
      </vt:variant>
      <vt:variant>
        <vt:i4>141</vt:i4>
      </vt:variant>
      <vt:variant>
        <vt:i4>0</vt:i4>
      </vt:variant>
      <vt:variant>
        <vt:i4>5</vt:i4>
      </vt:variant>
      <vt:variant>
        <vt:lpwstr>http://www.nevo.co.il/case/21003552</vt:lpwstr>
      </vt:variant>
      <vt:variant>
        <vt:lpwstr/>
      </vt:variant>
      <vt:variant>
        <vt:i4>3473523</vt:i4>
      </vt:variant>
      <vt:variant>
        <vt:i4>138</vt:i4>
      </vt:variant>
      <vt:variant>
        <vt:i4>0</vt:i4>
      </vt:variant>
      <vt:variant>
        <vt:i4>5</vt:i4>
      </vt:variant>
      <vt:variant>
        <vt:lpwstr>http://www.nevo.co.il/case/21474175</vt:lpwstr>
      </vt:variant>
      <vt:variant>
        <vt:lpwstr/>
      </vt:variant>
      <vt:variant>
        <vt:i4>3473523</vt:i4>
      </vt:variant>
      <vt:variant>
        <vt:i4>135</vt:i4>
      </vt:variant>
      <vt:variant>
        <vt:i4>0</vt:i4>
      </vt:variant>
      <vt:variant>
        <vt:i4>5</vt:i4>
      </vt:variant>
      <vt:variant>
        <vt:lpwstr>http://www.nevo.co.il/case/21474176</vt:lpwstr>
      </vt:variant>
      <vt:variant>
        <vt:lpwstr/>
      </vt:variant>
      <vt:variant>
        <vt:i4>3997815</vt:i4>
      </vt:variant>
      <vt:variant>
        <vt:i4>132</vt:i4>
      </vt:variant>
      <vt:variant>
        <vt:i4>0</vt:i4>
      </vt:variant>
      <vt:variant>
        <vt:i4>5</vt:i4>
      </vt:variant>
      <vt:variant>
        <vt:lpwstr>http://www.nevo.co.il/case/5583050</vt:lpwstr>
      </vt:variant>
      <vt:variant>
        <vt:lpwstr/>
      </vt:variant>
      <vt:variant>
        <vt:i4>3276914</vt:i4>
      </vt:variant>
      <vt:variant>
        <vt:i4>129</vt:i4>
      </vt:variant>
      <vt:variant>
        <vt:i4>0</vt:i4>
      </vt:variant>
      <vt:variant>
        <vt:i4>5</vt:i4>
      </vt:variant>
      <vt:variant>
        <vt:lpwstr>http://www.nevo.co.il/case/20111708</vt:lpwstr>
      </vt:variant>
      <vt:variant>
        <vt:lpwstr/>
      </vt:variant>
      <vt:variant>
        <vt:i4>3342454</vt:i4>
      </vt:variant>
      <vt:variant>
        <vt:i4>126</vt:i4>
      </vt:variant>
      <vt:variant>
        <vt:i4>0</vt:i4>
      </vt:variant>
      <vt:variant>
        <vt:i4>5</vt:i4>
      </vt:variant>
      <vt:variant>
        <vt:lpwstr>http://www.nevo.co.il/case/11206360</vt:lpwstr>
      </vt:variant>
      <vt:variant>
        <vt:lpwstr/>
      </vt:variant>
      <vt:variant>
        <vt:i4>3407997</vt:i4>
      </vt:variant>
      <vt:variant>
        <vt:i4>123</vt:i4>
      </vt:variant>
      <vt:variant>
        <vt:i4>0</vt:i4>
      </vt:variant>
      <vt:variant>
        <vt:i4>5</vt:i4>
      </vt:variant>
      <vt:variant>
        <vt:lpwstr>http://www.nevo.co.il/case/20490021</vt:lpwstr>
      </vt:variant>
      <vt:variant>
        <vt:lpwstr/>
      </vt:variant>
      <vt:variant>
        <vt:i4>3539057</vt:i4>
      </vt:variant>
      <vt:variant>
        <vt:i4>120</vt:i4>
      </vt:variant>
      <vt:variant>
        <vt:i4>0</vt:i4>
      </vt:variant>
      <vt:variant>
        <vt:i4>5</vt:i4>
      </vt:variant>
      <vt:variant>
        <vt:lpwstr>http://www.nevo.co.il/case/8291661</vt:lpwstr>
      </vt:variant>
      <vt:variant>
        <vt:lpwstr/>
      </vt:variant>
      <vt:variant>
        <vt:i4>3473529</vt:i4>
      </vt:variant>
      <vt:variant>
        <vt:i4>117</vt:i4>
      </vt:variant>
      <vt:variant>
        <vt:i4>0</vt:i4>
      </vt:variant>
      <vt:variant>
        <vt:i4>5</vt:i4>
      </vt:variant>
      <vt:variant>
        <vt:lpwstr>http://www.nevo.co.il/case/18107527</vt:lpwstr>
      </vt:variant>
      <vt:variant>
        <vt:lpwstr/>
      </vt:variant>
      <vt:variant>
        <vt:i4>3276914</vt:i4>
      </vt:variant>
      <vt:variant>
        <vt:i4>114</vt:i4>
      </vt:variant>
      <vt:variant>
        <vt:i4>0</vt:i4>
      </vt:variant>
      <vt:variant>
        <vt:i4>5</vt:i4>
      </vt:variant>
      <vt:variant>
        <vt:lpwstr>http://www.nevo.co.il/case/20111708</vt:lpwstr>
      </vt:variant>
      <vt:variant>
        <vt:lpwstr/>
      </vt:variant>
      <vt:variant>
        <vt:i4>3342460</vt:i4>
      </vt:variant>
      <vt:variant>
        <vt:i4>111</vt:i4>
      </vt:variant>
      <vt:variant>
        <vt:i4>0</vt:i4>
      </vt:variant>
      <vt:variant>
        <vt:i4>5</vt:i4>
      </vt:variant>
      <vt:variant>
        <vt:lpwstr>http://www.nevo.co.il/case/20881083</vt:lpwstr>
      </vt:variant>
      <vt:variant>
        <vt:lpwstr/>
      </vt:variant>
      <vt:variant>
        <vt:i4>3145842</vt:i4>
      </vt:variant>
      <vt:variant>
        <vt:i4>108</vt:i4>
      </vt:variant>
      <vt:variant>
        <vt:i4>0</vt:i4>
      </vt:variant>
      <vt:variant>
        <vt:i4>5</vt:i4>
      </vt:variant>
      <vt:variant>
        <vt:lpwstr>http://www.nevo.co.il/case/16938303</vt:lpwstr>
      </vt:variant>
      <vt:variant>
        <vt:lpwstr/>
      </vt:variant>
      <vt:variant>
        <vt:i4>3604593</vt:i4>
      </vt:variant>
      <vt:variant>
        <vt:i4>105</vt:i4>
      </vt:variant>
      <vt:variant>
        <vt:i4>0</vt:i4>
      </vt:variant>
      <vt:variant>
        <vt:i4>5</vt:i4>
      </vt:variant>
      <vt:variant>
        <vt:lpwstr>http://www.nevo.co.il/case/20705570</vt:lpwstr>
      </vt:variant>
      <vt:variant>
        <vt:lpwstr/>
      </vt:variant>
      <vt:variant>
        <vt:i4>3997820</vt:i4>
      </vt:variant>
      <vt:variant>
        <vt:i4>102</vt:i4>
      </vt:variant>
      <vt:variant>
        <vt:i4>0</vt:i4>
      </vt:variant>
      <vt:variant>
        <vt:i4>5</vt:i4>
      </vt:variant>
      <vt:variant>
        <vt:lpwstr>http://www.nevo.co.il/case/4804940</vt:lpwstr>
      </vt:variant>
      <vt:variant>
        <vt:lpwstr/>
      </vt:variant>
      <vt:variant>
        <vt:i4>3276916</vt:i4>
      </vt:variant>
      <vt:variant>
        <vt:i4>99</vt:i4>
      </vt:variant>
      <vt:variant>
        <vt:i4>0</vt:i4>
      </vt:variant>
      <vt:variant>
        <vt:i4>5</vt:i4>
      </vt:variant>
      <vt:variant>
        <vt:lpwstr>http://www.nevo.co.il/case/6241434</vt:lpwstr>
      </vt:variant>
      <vt:variant>
        <vt:lpwstr/>
      </vt:variant>
      <vt:variant>
        <vt:i4>3932277</vt:i4>
      </vt:variant>
      <vt:variant>
        <vt:i4>96</vt:i4>
      </vt:variant>
      <vt:variant>
        <vt:i4>0</vt:i4>
      </vt:variant>
      <vt:variant>
        <vt:i4>5</vt:i4>
      </vt:variant>
      <vt:variant>
        <vt:lpwstr>http://www.nevo.co.il/case/17045282</vt:lpwstr>
      </vt:variant>
      <vt:variant>
        <vt:lpwstr/>
      </vt:variant>
      <vt:variant>
        <vt:i4>3342448</vt:i4>
      </vt:variant>
      <vt:variant>
        <vt:i4>93</vt:i4>
      </vt:variant>
      <vt:variant>
        <vt:i4>0</vt:i4>
      </vt:variant>
      <vt:variant>
        <vt:i4>5</vt:i4>
      </vt:variant>
      <vt:variant>
        <vt:lpwstr>http://www.nevo.co.il/case/21644133</vt:lpwstr>
      </vt:variant>
      <vt:variant>
        <vt:lpwstr/>
      </vt:variant>
      <vt:variant>
        <vt:i4>7995492</vt:i4>
      </vt:variant>
      <vt:variant>
        <vt:i4>90</vt:i4>
      </vt:variant>
      <vt:variant>
        <vt:i4>0</vt:i4>
      </vt:variant>
      <vt:variant>
        <vt:i4>5</vt:i4>
      </vt:variant>
      <vt:variant>
        <vt:lpwstr>http://www.nevo.co.il/law/70301</vt:lpwstr>
      </vt:variant>
      <vt:variant>
        <vt:lpwstr/>
      </vt:variant>
      <vt:variant>
        <vt:i4>4915211</vt:i4>
      </vt:variant>
      <vt:variant>
        <vt:i4>87</vt:i4>
      </vt:variant>
      <vt:variant>
        <vt:i4>0</vt:i4>
      </vt:variant>
      <vt:variant>
        <vt:i4>5</vt:i4>
      </vt:variant>
      <vt:variant>
        <vt:lpwstr>http://www.nevo.co.il/law/70301/40j.c</vt:lpwstr>
      </vt:variant>
      <vt:variant>
        <vt:lpwstr/>
      </vt:variant>
      <vt:variant>
        <vt:i4>3342455</vt:i4>
      </vt:variant>
      <vt:variant>
        <vt:i4>84</vt:i4>
      </vt:variant>
      <vt:variant>
        <vt:i4>0</vt:i4>
      </vt:variant>
      <vt:variant>
        <vt:i4>5</vt:i4>
      </vt:variant>
      <vt:variant>
        <vt:lpwstr>http://www.nevo.co.il/case/20632055</vt:lpwstr>
      </vt:variant>
      <vt:variant>
        <vt:lpwstr/>
      </vt:variant>
      <vt:variant>
        <vt:i4>3866751</vt:i4>
      </vt:variant>
      <vt:variant>
        <vt:i4>81</vt:i4>
      </vt:variant>
      <vt:variant>
        <vt:i4>0</vt:i4>
      </vt:variant>
      <vt:variant>
        <vt:i4>5</vt:i4>
      </vt:variant>
      <vt:variant>
        <vt:lpwstr>http://www.nevo.co.il/case/20930804</vt:lpwstr>
      </vt:variant>
      <vt:variant>
        <vt:lpwstr/>
      </vt:variant>
      <vt:variant>
        <vt:i4>3276924</vt:i4>
      </vt:variant>
      <vt:variant>
        <vt:i4>78</vt:i4>
      </vt:variant>
      <vt:variant>
        <vt:i4>0</vt:i4>
      </vt:variant>
      <vt:variant>
        <vt:i4>5</vt:i4>
      </vt:variant>
      <vt:variant>
        <vt:lpwstr>http://www.nevo.co.il/case/18131336</vt:lpwstr>
      </vt:variant>
      <vt:variant>
        <vt:lpwstr/>
      </vt:variant>
      <vt:variant>
        <vt:i4>3866740</vt:i4>
      </vt:variant>
      <vt:variant>
        <vt:i4>75</vt:i4>
      </vt:variant>
      <vt:variant>
        <vt:i4>0</vt:i4>
      </vt:variant>
      <vt:variant>
        <vt:i4>5</vt:i4>
      </vt:variant>
      <vt:variant>
        <vt:lpwstr>http://www.nevo.co.il/case/17009738</vt:lpwstr>
      </vt:variant>
      <vt:variant>
        <vt:lpwstr/>
      </vt:variant>
      <vt:variant>
        <vt:i4>7995492</vt:i4>
      </vt:variant>
      <vt:variant>
        <vt:i4>72</vt:i4>
      </vt:variant>
      <vt:variant>
        <vt:i4>0</vt:i4>
      </vt:variant>
      <vt:variant>
        <vt:i4>5</vt:i4>
      </vt:variant>
      <vt:variant>
        <vt:lpwstr>http://www.nevo.co.il/law/70301</vt:lpwstr>
      </vt:variant>
      <vt:variant>
        <vt:lpwstr/>
      </vt:variant>
      <vt:variant>
        <vt:i4>6619233</vt:i4>
      </vt:variant>
      <vt:variant>
        <vt:i4>69</vt:i4>
      </vt:variant>
      <vt:variant>
        <vt:i4>0</vt:i4>
      </vt:variant>
      <vt:variant>
        <vt:i4>5</vt:i4>
      </vt:variant>
      <vt:variant>
        <vt:lpwstr>http://www.nevo.co.il/law/70301/40j</vt:lpwstr>
      </vt:variant>
      <vt:variant>
        <vt:lpwstr/>
      </vt:variant>
      <vt:variant>
        <vt:i4>3145842</vt:i4>
      </vt:variant>
      <vt:variant>
        <vt:i4>66</vt:i4>
      </vt:variant>
      <vt:variant>
        <vt:i4>0</vt:i4>
      </vt:variant>
      <vt:variant>
        <vt:i4>5</vt:i4>
      </vt:variant>
      <vt:variant>
        <vt:lpwstr>http://www.nevo.co.il/case/16938303</vt:lpwstr>
      </vt:variant>
      <vt:variant>
        <vt:lpwstr/>
      </vt:variant>
      <vt:variant>
        <vt:i4>131138</vt:i4>
      </vt:variant>
      <vt:variant>
        <vt:i4>63</vt:i4>
      </vt:variant>
      <vt:variant>
        <vt:i4>0</vt:i4>
      </vt:variant>
      <vt:variant>
        <vt:i4>5</vt:i4>
      </vt:variant>
      <vt:variant>
        <vt:lpwstr>http://www.nevo.co.il/case/244246</vt:lpwstr>
      </vt:variant>
      <vt:variant>
        <vt:lpwstr/>
      </vt:variant>
      <vt:variant>
        <vt:i4>3801210</vt:i4>
      </vt:variant>
      <vt:variant>
        <vt:i4>60</vt:i4>
      </vt:variant>
      <vt:variant>
        <vt:i4>0</vt:i4>
      </vt:variant>
      <vt:variant>
        <vt:i4>5</vt:i4>
      </vt:variant>
      <vt:variant>
        <vt:lpwstr>http://www.nevo.co.il/case/5681790</vt:lpwstr>
      </vt:variant>
      <vt:variant>
        <vt:lpwstr/>
      </vt:variant>
      <vt:variant>
        <vt:i4>3604593</vt:i4>
      </vt:variant>
      <vt:variant>
        <vt:i4>57</vt:i4>
      </vt:variant>
      <vt:variant>
        <vt:i4>0</vt:i4>
      </vt:variant>
      <vt:variant>
        <vt:i4>5</vt:i4>
      </vt:variant>
      <vt:variant>
        <vt:lpwstr>http://www.nevo.co.il/case/20705570</vt:lpwstr>
      </vt:variant>
      <vt:variant>
        <vt:lpwstr/>
      </vt:variant>
      <vt:variant>
        <vt:i4>3473524</vt:i4>
      </vt:variant>
      <vt:variant>
        <vt:i4>54</vt:i4>
      </vt:variant>
      <vt:variant>
        <vt:i4>0</vt:i4>
      </vt:variant>
      <vt:variant>
        <vt:i4>5</vt:i4>
      </vt:variant>
      <vt:variant>
        <vt:lpwstr>http://www.nevo.co.il/case/20643420</vt:lpwstr>
      </vt:variant>
      <vt:variant>
        <vt:lpwstr/>
      </vt:variant>
      <vt:variant>
        <vt:i4>4718666</vt:i4>
      </vt:variant>
      <vt:variant>
        <vt:i4>51</vt:i4>
      </vt:variant>
      <vt:variant>
        <vt:i4>0</vt:i4>
      </vt:variant>
      <vt:variant>
        <vt:i4>5</vt:i4>
      </vt:variant>
      <vt:variant>
        <vt:lpwstr>http://www.nevo.co.il/law/4216/6</vt:lpwstr>
      </vt:variant>
      <vt:variant>
        <vt:lpwstr/>
      </vt:variant>
      <vt:variant>
        <vt:i4>3145849</vt:i4>
      </vt:variant>
      <vt:variant>
        <vt:i4>48</vt:i4>
      </vt:variant>
      <vt:variant>
        <vt:i4>0</vt:i4>
      </vt:variant>
      <vt:variant>
        <vt:i4>5</vt:i4>
      </vt:variant>
      <vt:variant>
        <vt:lpwstr>http://www.nevo.co.il/case/13093721</vt:lpwstr>
      </vt:variant>
      <vt:variant>
        <vt:lpwstr/>
      </vt:variant>
      <vt:variant>
        <vt:i4>7995492</vt:i4>
      </vt:variant>
      <vt:variant>
        <vt:i4>45</vt:i4>
      </vt:variant>
      <vt:variant>
        <vt:i4>0</vt:i4>
      </vt:variant>
      <vt:variant>
        <vt:i4>5</vt:i4>
      </vt:variant>
      <vt:variant>
        <vt:lpwstr>http://www.nevo.co.il/law/70301</vt:lpwstr>
      </vt:variant>
      <vt:variant>
        <vt:lpwstr/>
      </vt:variant>
      <vt:variant>
        <vt:i4>5177418</vt:i4>
      </vt:variant>
      <vt:variant>
        <vt:i4>42</vt:i4>
      </vt:variant>
      <vt:variant>
        <vt:i4>0</vt:i4>
      </vt:variant>
      <vt:variant>
        <vt:i4>5</vt:i4>
      </vt:variant>
      <vt:variant>
        <vt:lpwstr>http://www.nevo.co.il/law/4216/10</vt:lpwstr>
      </vt:variant>
      <vt:variant>
        <vt:lpwstr/>
      </vt:variant>
      <vt:variant>
        <vt:i4>8257637</vt:i4>
      </vt:variant>
      <vt:variant>
        <vt:i4>39</vt:i4>
      </vt:variant>
      <vt:variant>
        <vt:i4>0</vt:i4>
      </vt:variant>
      <vt:variant>
        <vt:i4>5</vt:i4>
      </vt:variant>
      <vt:variant>
        <vt:lpwstr>http://www.nevo.co.il/law/4216</vt:lpwstr>
      </vt:variant>
      <vt:variant>
        <vt:lpwstr/>
      </vt:variant>
      <vt:variant>
        <vt:i4>4718666</vt:i4>
      </vt:variant>
      <vt:variant>
        <vt:i4>36</vt:i4>
      </vt:variant>
      <vt:variant>
        <vt:i4>0</vt:i4>
      </vt:variant>
      <vt:variant>
        <vt:i4>5</vt:i4>
      </vt:variant>
      <vt:variant>
        <vt:lpwstr>http://www.nevo.co.il/law/4216/6</vt:lpwstr>
      </vt:variant>
      <vt:variant>
        <vt:lpwstr/>
      </vt:variant>
      <vt:variant>
        <vt:i4>5177418</vt:i4>
      </vt:variant>
      <vt:variant>
        <vt:i4>33</vt:i4>
      </vt:variant>
      <vt:variant>
        <vt:i4>0</vt:i4>
      </vt:variant>
      <vt:variant>
        <vt:i4>5</vt:i4>
      </vt:variant>
      <vt:variant>
        <vt:lpwstr>http://www.nevo.co.il/law/4216/10</vt:lpwstr>
      </vt:variant>
      <vt:variant>
        <vt:lpwstr/>
      </vt:variant>
      <vt:variant>
        <vt:i4>8257637</vt:i4>
      </vt:variant>
      <vt:variant>
        <vt:i4>30</vt:i4>
      </vt:variant>
      <vt:variant>
        <vt:i4>0</vt:i4>
      </vt:variant>
      <vt:variant>
        <vt:i4>5</vt:i4>
      </vt:variant>
      <vt:variant>
        <vt:lpwstr>http://www.nevo.co.il/law/4216</vt:lpwstr>
      </vt:variant>
      <vt:variant>
        <vt:lpwstr/>
      </vt:variant>
      <vt:variant>
        <vt:i4>4718666</vt:i4>
      </vt:variant>
      <vt:variant>
        <vt:i4>27</vt:i4>
      </vt:variant>
      <vt:variant>
        <vt:i4>0</vt:i4>
      </vt:variant>
      <vt:variant>
        <vt:i4>5</vt:i4>
      </vt:variant>
      <vt:variant>
        <vt:lpwstr>http://www.nevo.co.il/law/4216/6</vt:lpwstr>
      </vt:variant>
      <vt:variant>
        <vt:lpwstr/>
      </vt:variant>
      <vt:variant>
        <vt:i4>5177418</vt:i4>
      </vt:variant>
      <vt:variant>
        <vt:i4>24</vt:i4>
      </vt:variant>
      <vt:variant>
        <vt:i4>0</vt:i4>
      </vt:variant>
      <vt:variant>
        <vt:i4>5</vt:i4>
      </vt:variant>
      <vt:variant>
        <vt:lpwstr>http://www.nevo.co.il/law/4216/10</vt:lpwstr>
      </vt:variant>
      <vt:variant>
        <vt:lpwstr/>
      </vt:variant>
      <vt:variant>
        <vt:i4>8257637</vt:i4>
      </vt:variant>
      <vt:variant>
        <vt:i4>21</vt:i4>
      </vt:variant>
      <vt:variant>
        <vt:i4>0</vt:i4>
      </vt:variant>
      <vt:variant>
        <vt:i4>5</vt:i4>
      </vt:variant>
      <vt:variant>
        <vt:lpwstr>http://www.nevo.co.il/law/4216</vt:lpwstr>
      </vt:variant>
      <vt:variant>
        <vt:lpwstr/>
      </vt:variant>
      <vt:variant>
        <vt:i4>4718666</vt:i4>
      </vt:variant>
      <vt:variant>
        <vt:i4>18</vt:i4>
      </vt:variant>
      <vt:variant>
        <vt:i4>0</vt:i4>
      </vt:variant>
      <vt:variant>
        <vt:i4>5</vt:i4>
      </vt:variant>
      <vt:variant>
        <vt:lpwstr>http://www.nevo.co.il/law/4216/6</vt:lpwstr>
      </vt:variant>
      <vt:variant>
        <vt:lpwstr/>
      </vt:variant>
      <vt:variant>
        <vt:i4>4915211</vt:i4>
      </vt:variant>
      <vt:variant>
        <vt:i4>15</vt:i4>
      </vt:variant>
      <vt:variant>
        <vt:i4>0</vt:i4>
      </vt:variant>
      <vt:variant>
        <vt:i4>5</vt:i4>
      </vt:variant>
      <vt:variant>
        <vt:lpwstr>http://www.nevo.co.il/law/70301/40j.c</vt:lpwstr>
      </vt:variant>
      <vt:variant>
        <vt:lpwstr/>
      </vt:variant>
      <vt:variant>
        <vt:i4>6619233</vt:i4>
      </vt:variant>
      <vt:variant>
        <vt:i4>12</vt:i4>
      </vt:variant>
      <vt:variant>
        <vt:i4>0</vt:i4>
      </vt:variant>
      <vt:variant>
        <vt:i4>5</vt:i4>
      </vt:variant>
      <vt:variant>
        <vt:lpwstr>http://www.nevo.co.il/law/70301/40j</vt:lpwstr>
      </vt:variant>
      <vt:variant>
        <vt:lpwstr/>
      </vt:variant>
      <vt:variant>
        <vt:i4>7995492</vt:i4>
      </vt:variant>
      <vt:variant>
        <vt:i4>9</vt:i4>
      </vt:variant>
      <vt:variant>
        <vt:i4>0</vt:i4>
      </vt:variant>
      <vt:variant>
        <vt:i4>5</vt:i4>
      </vt:variant>
      <vt:variant>
        <vt:lpwstr>http://www.nevo.co.il/law/70301</vt:lpwstr>
      </vt:variant>
      <vt:variant>
        <vt:lpwstr/>
      </vt:variant>
      <vt:variant>
        <vt:i4>5177418</vt:i4>
      </vt:variant>
      <vt:variant>
        <vt:i4>6</vt:i4>
      </vt:variant>
      <vt:variant>
        <vt:i4>0</vt:i4>
      </vt:variant>
      <vt:variant>
        <vt:i4>5</vt:i4>
      </vt:variant>
      <vt:variant>
        <vt:lpwstr>http://www.nevo.co.il/law/4216/10</vt:lpwstr>
      </vt:variant>
      <vt:variant>
        <vt:lpwstr/>
      </vt:variant>
      <vt:variant>
        <vt:i4>4718666</vt:i4>
      </vt:variant>
      <vt:variant>
        <vt:i4>3</vt:i4>
      </vt:variant>
      <vt:variant>
        <vt:i4>0</vt:i4>
      </vt:variant>
      <vt:variant>
        <vt:i4>5</vt:i4>
      </vt:variant>
      <vt:variant>
        <vt:lpwstr>http://www.nevo.co.il/law/4216/6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2025-04-22T22:58:00Z</dcterms:created>
  <dcterms:modified xsi:type="dcterms:W3CDTF">2025-04-22T22:58:00Z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33382</vt:lpwstr>
  </property>
  <property fmtid="{D5CDD505-2E9C-101B-9397-08002B2CF9AE}" pid="6" name="NEWPARTB">
    <vt:lpwstr>01</vt:lpwstr>
  </property>
  <property fmtid="{D5CDD505-2E9C-101B-9397-08002B2CF9AE}" pid="7" name="NEWPARTC">
    <vt:lpwstr>16</vt:lpwstr>
  </property>
  <property fmtid="{D5CDD505-2E9C-101B-9397-08002B2CF9AE}" pid="8" name="APPELLANT">
    <vt:lpwstr>מדינת ישראל</vt:lpwstr>
  </property>
  <property fmtid="{D5CDD505-2E9C-101B-9397-08002B2CF9AE}" pid="9" name="APPELLEE">
    <vt:lpwstr>אנר שיר-אליזדה</vt:lpwstr>
  </property>
  <property fmtid="{D5CDD505-2E9C-101B-9397-08002B2CF9AE}" pid="10" name="JUDGE">
    <vt:lpwstr>יוסי טורס</vt:lpwstr>
  </property>
  <property fmtid="{D5CDD505-2E9C-101B-9397-08002B2CF9AE}" pid="11" name="CITY">
    <vt:lpwstr>קריות</vt:lpwstr>
  </property>
  <property fmtid="{D5CDD505-2E9C-101B-9397-08002B2CF9AE}" pid="12" name="DATE">
    <vt:lpwstr>20170402</vt:lpwstr>
  </property>
  <property fmtid="{D5CDD505-2E9C-101B-9397-08002B2CF9AE}" pid="13" name="TYPE_N_DATE">
    <vt:lpwstr>38020170402</vt:lpwstr>
  </property>
  <property fmtid="{D5CDD505-2E9C-101B-9397-08002B2CF9AE}" pid="14" name="WORDNUMPAGES">
    <vt:lpwstr>12</vt:lpwstr>
  </property>
  <property fmtid="{D5CDD505-2E9C-101B-9397-08002B2CF9AE}" pid="15" name="TYPE_ABS_DATE">
    <vt:lpwstr>380120170402</vt:lpwstr>
  </property>
  <property fmtid="{D5CDD505-2E9C-101B-9397-08002B2CF9AE}" pid="16" name="ISABSTRACT">
    <vt:lpwstr>Y</vt:lpwstr>
  </property>
  <property fmtid="{D5CDD505-2E9C-101B-9397-08002B2CF9AE}" pid="17" name="CASESLISTTMP1">
    <vt:lpwstr>13093721;20643420;20705570:2;5681790;244246;16938303:2;17009738;18131336;20930804;20632055;21644133;17045282;6241434;4804940;20881083;20111708:2;18107527;8291661;20490021;11206360;5583050;21474176;21474175;21003552;21477475;6135887</vt:lpwstr>
  </property>
  <property fmtid="{D5CDD505-2E9C-101B-9397-08002B2CF9AE}" pid="18" name="LAWLISTTMP1">
    <vt:lpwstr>4216/006:2;010</vt:lpwstr>
  </property>
  <property fmtid="{D5CDD505-2E9C-101B-9397-08002B2CF9AE}" pid="19" name="LAWLISTTMP2">
    <vt:lpwstr>70301/040j;040j.c</vt:lpwstr>
  </property>
  <property fmtid="{D5CDD505-2E9C-101B-9397-08002B2CF9AE}" pid="20" name="METAKZER">
    <vt:lpwstr>עומרי</vt:lpwstr>
  </property>
  <property fmtid="{D5CDD505-2E9C-101B-9397-08002B2CF9AE}" pid="21" name="NOSE1ID">
    <vt:lpwstr>77</vt:lpwstr>
  </property>
  <property fmtid="{D5CDD505-2E9C-101B-9397-08002B2CF9AE}" pid="22" name="NOSE2ID">
    <vt:lpwstr>1446</vt:lpwstr>
  </property>
  <property fmtid="{D5CDD505-2E9C-101B-9397-08002B2CF9AE}" pid="23" name="NOSE3ID">
    <vt:lpwstr>8991</vt:lpwstr>
  </property>
  <property fmtid="{D5CDD505-2E9C-101B-9397-08002B2CF9AE}" pid="24" name="NOSE11">
    <vt:lpwstr>עונשין</vt:lpwstr>
  </property>
  <property fmtid="{D5CDD505-2E9C-101B-9397-08002B2CF9AE}" pid="25" name="NOSE21">
    <vt:lpwstr>ענישה</vt:lpwstr>
  </property>
  <property fmtid="{D5CDD505-2E9C-101B-9397-08002B2CF9AE}" pid="26" name="NOSE31">
    <vt:lpwstr>מדיניות ענישה: עבירות סמים</vt:lpwstr>
  </property>
  <property fmtid="{D5CDD505-2E9C-101B-9397-08002B2CF9AE}" pid="27" name="NOSE12">
    <vt:lpwstr/>
  </property>
  <property fmtid="{D5CDD505-2E9C-101B-9397-08002B2CF9AE}" pid="28" name="NOSE22">
    <vt:lpwstr/>
  </property>
  <property fmtid="{D5CDD505-2E9C-101B-9397-08002B2CF9AE}" pid="29" name="NOSE32">
    <vt:lpwstr/>
  </property>
  <property fmtid="{D5CDD505-2E9C-101B-9397-08002B2CF9AE}" pid="30" name="NOSE13">
    <vt:lpwstr/>
  </property>
  <property fmtid="{D5CDD505-2E9C-101B-9397-08002B2CF9AE}" pid="31" name="NOSE23">
    <vt:lpwstr/>
  </property>
  <property fmtid="{D5CDD505-2E9C-101B-9397-08002B2CF9AE}" pid="32" name="NOSE33">
    <vt:lpwstr/>
  </property>
  <property fmtid="{D5CDD505-2E9C-101B-9397-08002B2CF9AE}" pid="33" name="NOSE14">
    <vt:lpwstr/>
  </property>
  <property fmtid="{D5CDD505-2E9C-101B-9397-08002B2CF9AE}" pid="34" name="NOSE24">
    <vt:lpwstr/>
  </property>
  <property fmtid="{D5CDD505-2E9C-101B-9397-08002B2CF9AE}" pid="35" name="NOSE34">
    <vt:lpwstr/>
  </property>
  <property fmtid="{D5CDD505-2E9C-101B-9397-08002B2CF9AE}" pid="36" name="NOSE15">
    <vt:lpwstr/>
  </property>
  <property fmtid="{D5CDD505-2E9C-101B-9397-08002B2CF9AE}" pid="37" name="NOSE25">
    <vt:lpwstr/>
  </property>
  <property fmtid="{D5CDD505-2E9C-101B-9397-08002B2CF9AE}" pid="38" name="NOSE35">
    <vt:lpwstr/>
  </property>
  <property fmtid="{D5CDD505-2E9C-101B-9397-08002B2CF9AE}" pid="39" name="NOSE16">
    <vt:lpwstr/>
  </property>
  <property fmtid="{D5CDD505-2E9C-101B-9397-08002B2CF9AE}" pid="40" name="NOSE26">
    <vt:lpwstr/>
  </property>
  <property fmtid="{D5CDD505-2E9C-101B-9397-08002B2CF9AE}" pid="41" name="NOSE36">
    <vt:lpwstr/>
  </property>
  <property fmtid="{D5CDD505-2E9C-101B-9397-08002B2CF9AE}" pid="42" name="NOSE17">
    <vt:lpwstr/>
  </property>
  <property fmtid="{D5CDD505-2E9C-101B-9397-08002B2CF9AE}" pid="43" name="NOSE27">
    <vt:lpwstr/>
  </property>
  <property fmtid="{D5CDD505-2E9C-101B-9397-08002B2CF9AE}" pid="44" name="NOSE37">
    <vt:lpwstr/>
  </property>
  <property fmtid="{D5CDD505-2E9C-101B-9397-08002B2CF9AE}" pid="45" name="NOSE18">
    <vt:lpwstr/>
  </property>
  <property fmtid="{D5CDD505-2E9C-101B-9397-08002B2CF9AE}" pid="46" name="NOSE28">
    <vt:lpwstr/>
  </property>
  <property fmtid="{D5CDD505-2E9C-101B-9397-08002B2CF9AE}" pid="47" name="NOSE38">
    <vt:lpwstr/>
  </property>
  <property fmtid="{D5CDD505-2E9C-101B-9397-08002B2CF9AE}" pid="48" name="NOSE19">
    <vt:lpwstr/>
  </property>
  <property fmtid="{D5CDD505-2E9C-101B-9397-08002B2CF9AE}" pid="49" name="NOSE29">
    <vt:lpwstr/>
  </property>
  <property fmtid="{D5CDD505-2E9C-101B-9397-08002B2CF9AE}" pid="50" name="NOSE39">
    <vt:lpwstr/>
  </property>
  <property fmtid="{D5CDD505-2E9C-101B-9397-08002B2CF9AE}" pid="51" name="NOSE110">
    <vt:lpwstr/>
  </property>
  <property fmtid="{D5CDD505-2E9C-101B-9397-08002B2CF9AE}" pid="52" name="NOSE210">
    <vt:lpwstr/>
  </property>
  <property fmtid="{D5CDD505-2E9C-101B-9397-08002B2CF9AE}" pid="53" name="NOSE310">
    <vt:lpwstr/>
  </property>
  <property fmtid="{D5CDD505-2E9C-101B-9397-08002B2CF9AE}" pid="54" name="PADIMAIL">
    <vt:lpwstr>YES</vt:lpwstr>
  </property>
  <property fmtid="{D5CDD505-2E9C-101B-9397-08002B2CF9AE}" pid="55" name="PADIDATE">
    <vt:lpwstr>20170418</vt:lpwstr>
  </property>
</Properties>
</file>