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1501"/>
        <w:gridCol w:w="2164"/>
        <w:gridCol w:w="104"/>
      </w:tblGrid>
      <w:tr w:rsidR="006D1E00" w:rsidRPr="00E07A9E" w14:paraId="3288ADC7" w14:textId="77777777" w:rsidTr="000444C2">
        <w:trPr>
          <w:gridAfter w:val="1"/>
          <w:wAfter w:w="99" w:type="dxa"/>
          <w:trHeight w:hRule="exact" w:val="418"/>
          <w:jc w:val="center"/>
        </w:trPr>
        <w:tc>
          <w:tcPr>
            <w:tcW w:w="8721" w:type="dxa"/>
            <w:gridSpan w:val="4"/>
          </w:tcPr>
          <w:p w14:paraId="7110F4B5" w14:textId="77777777" w:rsidR="006D1E00" w:rsidRPr="00E07A9E" w:rsidRDefault="006D1E00" w:rsidP="009612F0">
            <w:pPr>
              <w:pStyle w:val="a3"/>
              <w:jc w:val="center"/>
              <w:rPr>
                <w:rFonts w:ascii="Tahoma" w:hAnsi="Tahoma" w:cs="Tahoma"/>
                <w:color w:val="000080"/>
                <w:rtl/>
              </w:rPr>
            </w:pPr>
            <w:bookmarkStart w:id="0" w:name="FirstLawyer"/>
            <w:bookmarkStart w:id="1" w:name="LastJudge"/>
            <w:r w:rsidRPr="00E07A9E">
              <w:rPr>
                <w:rFonts w:ascii="FrankRuehl" w:hAnsi="FrankRuehl" w:cs="FrankRuehl"/>
                <w:b/>
                <w:bCs/>
                <w:color w:val="000080"/>
                <w:sz w:val="28"/>
                <w:szCs w:val="28"/>
                <w:rtl/>
              </w:rPr>
              <w:t>בית משפט השלום בירושלים</w:t>
            </w:r>
          </w:p>
        </w:tc>
      </w:tr>
      <w:tr w:rsidR="006D1E00" w:rsidRPr="00E07A9E" w14:paraId="4BCDA5C1" w14:textId="77777777" w:rsidTr="000444C2">
        <w:trPr>
          <w:gridAfter w:val="1"/>
          <w:wAfter w:w="99" w:type="dxa"/>
          <w:trHeight w:val="337"/>
          <w:jc w:val="center"/>
        </w:trPr>
        <w:tc>
          <w:tcPr>
            <w:tcW w:w="5054" w:type="dxa"/>
            <w:gridSpan w:val="2"/>
          </w:tcPr>
          <w:p w14:paraId="407F8608" w14:textId="77777777" w:rsidR="006D1E00" w:rsidRPr="00E07A9E" w:rsidRDefault="006D1E00" w:rsidP="009612F0">
            <w:pPr>
              <w:rPr>
                <w:rFonts w:cs="FrankRuehl"/>
                <w:sz w:val="28"/>
                <w:szCs w:val="28"/>
                <w:rtl/>
              </w:rPr>
            </w:pPr>
            <w:r w:rsidRPr="00E07A9E">
              <w:rPr>
                <w:rFonts w:cs="FrankRuehl"/>
                <w:sz w:val="28"/>
                <w:szCs w:val="28"/>
                <w:rtl/>
              </w:rPr>
              <w:t>ת"פ</w:t>
            </w:r>
            <w:r w:rsidRPr="00E07A9E">
              <w:rPr>
                <w:rFonts w:cs="FrankRuehl" w:hint="cs"/>
                <w:sz w:val="28"/>
                <w:szCs w:val="28"/>
                <w:rtl/>
              </w:rPr>
              <w:t xml:space="preserve"> </w:t>
            </w:r>
            <w:r w:rsidRPr="00E07A9E">
              <w:rPr>
                <w:rFonts w:cs="FrankRuehl"/>
                <w:sz w:val="28"/>
                <w:szCs w:val="28"/>
                <w:rtl/>
              </w:rPr>
              <w:t>40770-01-16</w:t>
            </w:r>
            <w:r w:rsidRPr="00E07A9E">
              <w:rPr>
                <w:rFonts w:cs="FrankRuehl" w:hint="cs"/>
                <w:sz w:val="28"/>
                <w:szCs w:val="28"/>
                <w:rtl/>
              </w:rPr>
              <w:t xml:space="preserve"> </w:t>
            </w:r>
            <w:r w:rsidRPr="00E07A9E">
              <w:rPr>
                <w:rFonts w:cs="FrankRuehl"/>
                <w:sz w:val="28"/>
                <w:szCs w:val="28"/>
                <w:rtl/>
              </w:rPr>
              <w:t>מדינת ישראל נ' בצלאל</w:t>
            </w:r>
          </w:p>
          <w:p w14:paraId="7745B978" w14:textId="77777777" w:rsidR="006D1E00" w:rsidRPr="00E07A9E" w:rsidRDefault="006D1E00" w:rsidP="009612F0">
            <w:pPr>
              <w:rPr>
                <w:rFonts w:cs="FrankRuehl"/>
                <w:sz w:val="28"/>
                <w:szCs w:val="28"/>
                <w:rtl/>
              </w:rPr>
            </w:pPr>
            <w:r w:rsidRPr="00E07A9E">
              <w:rPr>
                <w:rFonts w:cs="FrankRuehl"/>
                <w:sz w:val="28"/>
                <w:szCs w:val="28"/>
                <w:rtl/>
              </w:rPr>
              <w:t>ת"פ</w:t>
            </w:r>
            <w:r w:rsidRPr="00E07A9E">
              <w:rPr>
                <w:rFonts w:cs="FrankRuehl" w:hint="cs"/>
                <w:sz w:val="28"/>
                <w:szCs w:val="28"/>
                <w:rtl/>
              </w:rPr>
              <w:t xml:space="preserve"> </w:t>
            </w:r>
            <w:r w:rsidRPr="00E07A9E">
              <w:rPr>
                <w:rFonts w:cs="FrankRuehl"/>
                <w:sz w:val="28"/>
                <w:szCs w:val="28"/>
                <w:rtl/>
              </w:rPr>
              <w:t>17463-07-18</w:t>
            </w:r>
            <w:r w:rsidRPr="00E07A9E">
              <w:rPr>
                <w:rFonts w:cs="FrankRuehl" w:hint="cs"/>
                <w:sz w:val="28"/>
                <w:szCs w:val="28"/>
                <w:rtl/>
              </w:rPr>
              <w:t xml:space="preserve"> </w:t>
            </w:r>
            <w:r w:rsidRPr="00E07A9E">
              <w:rPr>
                <w:rFonts w:cs="FrankRuehl"/>
                <w:sz w:val="28"/>
                <w:szCs w:val="28"/>
                <w:rtl/>
              </w:rPr>
              <w:t>מדינת ישראל נ' בצלאל</w:t>
            </w:r>
          </w:p>
          <w:p w14:paraId="48E92542" w14:textId="77777777" w:rsidR="006D1E00" w:rsidRPr="00E07A9E" w:rsidRDefault="006D1E00" w:rsidP="009612F0">
            <w:pPr>
              <w:pStyle w:val="a3"/>
              <w:rPr>
                <w:rFonts w:cs="FrankRuehl"/>
                <w:sz w:val="28"/>
                <w:szCs w:val="28"/>
                <w:rtl/>
              </w:rPr>
            </w:pPr>
          </w:p>
        </w:tc>
        <w:tc>
          <w:tcPr>
            <w:tcW w:w="3667" w:type="dxa"/>
            <w:gridSpan w:val="2"/>
          </w:tcPr>
          <w:p w14:paraId="334727C6" w14:textId="77777777" w:rsidR="006D1E00" w:rsidRPr="00E07A9E" w:rsidRDefault="006D1E00" w:rsidP="009612F0">
            <w:pPr>
              <w:pStyle w:val="a3"/>
              <w:jc w:val="right"/>
              <w:rPr>
                <w:rFonts w:cs="FrankRuehl"/>
                <w:sz w:val="28"/>
                <w:szCs w:val="28"/>
                <w:rtl/>
              </w:rPr>
            </w:pPr>
          </w:p>
        </w:tc>
      </w:tr>
      <w:tr w:rsidR="006D1E00" w:rsidRPr="00E07A9E" w14:paraId="30C6DC23" w14:textId="77777777" w:rsidTr="000444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B5CBA40" w14:textId="77777777" w:rsidR="006D1E00" w:rsidRPr="00E07A9E" w:rsidRDefault="006D1E00" w:rsidP="006D1E00">
            <w:pPr>
              <w:jc w:val="both"/>
              <w:rPr>
                <w:rFonts w:ascii="FrankRuehl" w:hAnsi="FrankRuehl" w:cs="FrankRuehl"/>
                <w:b/>
                <w:bCs/>
                <w:sz w:val="28"/>
                <w:szCs w:val="28"/>
              </w:rPr>
            </w:pPr>
            <w:r w:rsidRPr="00E07A9E">
              <w:rPr>
                <w:rFonts w:hint="cs"/>
                <w:rtl/>
              </w:rPr>
              <w:t xml:space="preserve"> </w:t>
            </w:r>
            <w:r w:rsidRPr="00E07A9E">
              <w:rPr>
                <w:rFonts w:ascii="FrankRuehl" w:hAnsi="FrankRuehl" w:cs="FrankRuehl"/>
                <w:b/>
                <w:bCs/>
                <w:sz w:val="28"/>
                <w:szCs w:val="28"/>
                <w:rtl/>
              </w:rPr>
              <w:t xml:space="preserve">בפני </w:t>
            </w:r>
          </w:p>
        </w:tc>
        <w:tc>
          <w:tcPr>
            <w:tcW w:w="7897" w:type="dxa"/>
            <w:gridSpan w:val="4"/>
            <w:tcBorders>
              <w:top w:val="nil"/>
              <w:left w:val="nil"/>
              <w:bottom w:val="nil"/>
              <w:right w:val="nil"/>
            </w:tcBorders>
            <w:shd w:val="clear" w:color="auto" w:fill="auto"/>
          </w:tcPr>
          <w:p w14:paraId="1F61FAA0" w14:textId="77777777" w:rsidR="006D1E00" w:rsidRPr="00E07A9E" w:rsidRDefault="006D1E00" w:rsidP="009612F0">
            <w:pPr>
              <w:rPr>
                <w:rFonts w:ascii="FrankRuehl" w:hAnsi="FrankRuehl" w:cs="FrankRuehl"/>
                <w:b/>
                <w:bCs/>
                <w:sz w:val="28"/>
                <w:szCs w:val="28"/>
                <w:rtl/>
              </w:rPr>
            </w:pPr>
            <w:r w:rsidRPr="00E07A9E">
              <w:rPr>
                <w:rFonts w:ascii="FrankRuehl" w:hAnsi="FrankRuehl" w:cs="FrankRuehl"/>
                <w:b/>
                <w:bCs/>
                <w:sz w:val="28"/>
                <w:szCs w:val="28"/>
                <w:rtl/>
              </w:rPr>
              <w:t>כבוד השופט  דוד שאול גבאי ריכטר</w:t>
            </w:r>
          </w:p>
          <w:p w14:paraId="0CD889A5" w14:textId="77777777" w:rsidR="006D1E00" w:rsidRPr="00E07A9E" w:rsidRDefault="006D1E00" w:rsidP="009612F0">
            <w:pPr>
              <w:rPr>
                <w:rFonts w:ascii="FrankRuehl" w:hAnsi="FrankRuehl" w:cs="FrankRuehl"/>
                <w:b/>
                <w:bCs/>
                <w:sz w:val="28"/>
                <w:szCs w:val="28"/>
                <w:rtl/>
              </w:rPr>
            </w:pPr>
          </w:p>
          <w:p w14:paraId="6A253749" w14:textId="77777777" w:rsidR="006D1E00" w:rsidRPr="00E07A9E" w:rsidRDefault="006D1E00" w:rsidP="006D1E00">
            <w:pPr>
              <w:jc w:val="both"/>
              <w:rPr>
                <w:rFonts w:ascii="FrankRuehl" w:hAnsi="FrankRuehl" w:cs="FrankRuehl"/>
                <w:b/>
                <w:bCs/>
                <w:sz w:val="28"/>
                <w:szCs w:val="28"/>
              </w:rPr>
            </w:pPr>
          </w:p>
        </w:tc>
      </w:tr>
      <w:tr w:rsidR="006D1E00" w:rsidRPr="00E07A9E" w14:paraId="448332FB" w14:textId="77777777" w:rsidTr="000444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7F804C7" w14:textId="77777777" w:rsidR="006D1E00" w:rsidRPr="00E07A9E" w:rsidRDefault="006D1E00" w:rsidP="006D1E00">
            <w:pPr>
              <w:jc w:val="both"/>
              <w:rPr>
                <w:rFonts w:ascii="FrankRuehl" w:hAnsi="FrankRuehl" w:cs="FrankRuehl"/>
                <w:b/>
                <w:bCs/>
                <w:sz w:val="28"/>
                <w:szCs w:val="28"/>
              </w:rPr>
            </w:pPr>
            <w:bookmarkStart w:id="2" w:name="FirstAppellant"/>
            <w:r w:rsidRPr="00E07A9E">
              <w:rPr>
                <w:rFonts w:ascii="FrankRuehl" w:hAnsi="FrankRuehl" w:cs="FrankRuehl"/>
                <w:b/>
                <w:bCs/>
                <w:sz w:val="28"/>
                <w:szCs w:val="28"/>
                <w:rtl/>
              </w:rPr>
              <w:t>בעניין:</w:t>
            </w:r>
          </w:p>
        </w:tc>
        <w:tc>
          <w:tcPr>
            <w:tcW w:w="5633" w:type="dxa"/>
            <w:gridSpan w:val="2"/>
            <w:tcBorders>
              <w:top w:val="nil"/>
              <w:left w:val="nil"/>
              <w:bottom w:val="nil"/>
              <w:right w:val="nil"/>
            </w:tcBorders>
            <w:shd w:val="clear" w:color="auto" w:fill="auto"/>
          </w:tcPr>
          <w:p w14:paraId="60DC2CDE" w14:textId="77777777" w:rsidR="006D1E00" w:rsidRPr="00E07A9E" w:rsidRDefault="006D1E00" w:rsidP="009612F0">
            <w:pPr>
              <w:rPr>
                <w:rFonts w:ascii="FrankRuehl" w:hAnsi="FrankRuehl" w:cs="FrankRuehl"/>
                <w:b/>
                <w:bCs/>
                <w:sz w:val="28"/>
                <w:szCs w:val="28"/>
              </w:rPr>
            </w:pPr>
            <w:r w:rsidRPr="00E07A9E">
              <w:rPr>
                <w:rFonts w:ascii="FrankRuehl" w:hAnsi="FrankRuehl" w:cs="FrankRuehl"/>
                <w:b/>
                <w:bCs/>
                <w:sz w:val="28"/>
                <w:szCs w:val="28"/>
                <w:rtl/>
              </w:rPr>
              <w:t>מדינת ישראל</w:t>
            </w:r>
            <w:r w:rsidRPr="00E07A9E">
              <w:rPr>
                <w:rFonts w:ascii="FrankRuehl" w:hAnsi="FrankRuehl" w:cs="FrankRuehl"/>
                <w:b/>
                <w:bCs/>
                <w:sz w:val="28"/>
                <w:szCs w:val="28"/>
                <w:rtl/>
              </w:rPr>
              <w:br/>
              <w:t xml:space="preserve">ע"י </w:t>
            </w:r>
            <w:r w:rsidRPr="00E07A9E">
              <w:rPr>
                <w:rFonts w:ascii="FrankRuehl" w:hAnsi="FrankRuehl" w:cs="FrankRuehl" w:hint="cs"/>
                <w:b/>
                <w:bCs/>
                <w:sz w:val="28"/>
                <w:szCs w:val="28"/>
                <w:rtl/>
              </w:rPr>
              <w:t xml:space="preserve">ב"כ הגב' אביה בניסטי, מתמחה </w:t>
            </w:r>
            <w:r w:rsidRPr="00E07A9E">
              <w:rPr>
                <w:rFonts w:ascii="FrankRuehl" w:hAnsi="FrankRuehl" w:cs="FrankRuehl"/>
                <w:b/>
                <w:bCs/>
                <w:sz w:val="28"/>
                <w:szCs w:val="28"/>
                <w:rtl/>
              </w:rPr>
              <w:t>תביעות ירושלים</w:t>
            </w:r>
          </w:p>
        </w:tc>
        <w:tc>
          <w:tcPr>
            <w:tcW w:w="2264" w:type="dxa"/>
            <w:gridSpan w:val="2"/>
            <w:tcBorders>
              <w:top w:val="nil"/>
              <w:left w:val="nil"/>
              <w:bottom w:val="nil"/>
              <w:right w:val="nil"/>
            </w:tcBorders>
            <w:shd w:val="clear" w:color="auto" w:fill="auto"/>
          </w:tcPr>
          <w:p w14:paraId="79B23409" w14:textId="77777777" w:rsidR="006D1E00" w:rsidRPr="00E07A9E" w:rsidRDefault="006D1E00" w:rsidP="006D1E00">
            <w:pPr>
              <w:jc w:val="both"/>
              <w:rPr>
                <w:rFonts w:ascii="FrankRuehl" w:hAnsi="FrankRuehl" w:cs="FrankRuehl"/>
                <w:b/>
                <w:bCs/>
                <w:sz w:val="28"/>
                <w:szCs w:val="28"/>
              </w:rPr>
            </w:pPr>
          </w:p>
        </w:tc>
      </w:tr>
      <w:bookmarkEnd w:id="2"/>
      <w:tr w:rsidR="006D1E00" w:rsidRPr="00E07A9E" w14:paraId="043175D9" w14:textId="77777777" w:rsidTr="000444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47AECE" w14:textId="77777777" w:rsidR="006D1E00" w:rsidRPr="00E07A9E" w:rsidRDefault="006D1E00" w:rsidP="006D1E00">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710A1D0E" w14:textId="77777777" w:rsidR="006D1E00" w:rsidRPr="00E07A9E" w:rsidRDefault="006D1E00" w:rsidP="006D1E00">
            <w:pPr>
              <w:jc w:val="both"/>
              <w:rPr>
                <w:rFonts w:ascii="FrankRuehl" w:hAnsi="FrankRuehl" w:cs="FrankRuehl"/>
                <w:b/>
                <w:bCs/>
                <w:sz w:val="28"/>
                <w:szCs w:val="28"/>
                <w:rtl/>
              </w:rPr>
            </w:pPr>
          </w:p>
        </w:tc>
        <w:tc>
          <w:tcPr>
            <w:tcW w:w="3771" w:type="dxa"/>
            <w:gridSpan w:val="3"/>
            <w:tcBorders>
              <w:top w:val="nil"/>
              <w:left w:val="nil"/>
              <w:bottom w:val="nil"/>
              <w:right w:val="nil"/>
            </w:tcBorders>
            <w:shd w:val="clear" w:color="auto" w:fill="auto"/>
          </w:tcPr>
          <w:p w14:paraId="2C09849E" w14:textId="77777777" w:rsidR="006D1E00" w:rsidRPr="00E07A9E" w:rsidRDefault="006D1E00" w:rsidP="006D1E00">
            <w:pPr>
              <w:jc w:val="right"/>
              <w:rPr>
                <w:rFonts w:ascii="FrankRuehl" w:hAnsi="FrankRuehl" w:cs="FrankRuehl"/>
                <w:b/>
                <w:bCs/>
                <w:sz w:val="28"/>
                <w:szCs w:val="28"/>
                <w:rtl/>
              </w:rPr>
            </w:pPr>
            <w:r w:rsidRPr="00E07A9E">
              <w:rPr>
                <w:rFonts w:ascii="FrankRuehl" w:hAnsi="FrankRuehl" w:cs="FrankRuehl"/>
                <w:b/>
                <w:bCs/>
                <w:sz w:val="28"/>
                <w:szCs w:val="28"/>
                <w:rtl/>
              </w:rPr>
              <w:t>המאשימה</w:t>
            </w:r>
          </w:p>
        </w:tc>
      </w:tr>
      <w:tr w:rsidR="006D1E00" w:rsidRPr="00E07A9E" w14:paraId="67A5711A" w14:textId="77777777" w:rsidTr="000444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82AE24" w14:textId="77777777" w:rsidR="006D1E00" w:rsidRPr="00E07A9E" w:rsidRDefault="006D1E00" w:rsidP="006D1E00">
            <w:pPr>
              <w:jc w:val="both"/>
              <w:rPr>
                <w:rFonts w:ascii="FrankRuehl" w:hAnsi="FrankRuehl" w:cs="FrankRuehl"/>
                <w:b/>
                <w:bCs/>
                <w:sz w:val="28"/>
                <w:szCs w:val="28"/>
                <w:rtl/>
              </w:rPr>
            </w:pPr>
          </w:p>
        </w:tc>
        <w:tc>
          <w:tcPr>
            <w:tcW w:w="7897" w:type="dxa"/>
            <w:gridSpan w:val="4"/>
            <w:tcBorders>
              <w:top w:val="nil"/>
              <w:left w:val="nil"/>
              <w:bottom w:val="nil"/>
              <w:right w:val="nil"/>
            </w:tcBorders>
            <w:shd w:val="clear" w:color="auto" w:fill="auto"/>
          </w:tcPr>
          <w:p w14:paraId="485F90A4" w14:textId="77777777" w:rsidR="006D1E00" w:rsidRPr="00E07A9E" w:rsidRDefault="006D1E00" w:rsidP="006D1E00">
            <w:pPr>
              <w:jc w:val="center"/>
              <w:rPr>
                <w:rFonts w:ascii="FrankRuehl" w:hAnsi="FrankRuehl" w:cs="FrankRuehl"/>
                <w:b/>
                <w:bCs/>
                <w:sz w:val="28"/>
                <w:szCs w:val="28"/>
                <w:rtl/>
              </w:rPr>
            </w:pPr>
          </w:p>
          <w:p w14:paraId="153CBD45" w14:textId="77777777" w:rsidR="006D1E00" w:rsidRPr="00E07A9E" w:rsidRDefault="006D1E00" w:rsidP="006D1E00">
            <w:pPr>
              <w:jc w:val="center"/>
              <w:rPr>
                <w:rFonts w:ascii="FrankRuehl" w:hAnsi="FrankRuehl" w:cs="FrankRuehl"/>
                <w:b/>
                <w:bCs/>
                <w:sz w:val="28"/>
                <w:szCs w:val="28"/>
                <w:rtl/>
              </w:rPr>
            </w:pPr>
            <w:r w:rsidRPr="00E07A9E">
              <w:rPr>
                <w:rFonts w:ascii="FrankRuehl" w:hAnsi="FrankRuehl" w:cs="FrankRuehl"/>
                <w:b/>
                <w:bCs/>
                <w:sz w:val="28"/>
                <w:szCs w:val="28"/>
                <w:rtl/>
              </w:rPr>
              <w:t>נגד</w:t>
            </w:r>
          </w:p>
          <w:p w14:paraId="5635C3CD" w14:textId="77777777" w:rsidR="006D1E00" w:rsidRPr="00E07A9E" w:rsidRDefault="006D1E00" w:rsidP="006D1E00">
            <w:pPr>
              <w:jc w:val="both"/>
              <w:rPr>
                <w:rFonts w:ascii="FrankRuehl" w:hAnsi="FrankRuehl" w:cs="FrankRuehl"/>
                <w:b/>
                <w:bCs/>
                <w:sz w:val="28"/>
                <w:szCs w:val="28"/>
              </w:rPr>
            </w:pPr>
          </w:p>
        </w:tc>
      </w:tr>
      <w:tr w:rsidR="006D1E00" w:rsidRPr="00E07A9E" w14:paraId="4F15F763" w14:textId="77777777" w:rsidTr="000444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F0E649" w14:textId="77777777" w:rsidR="006D1E00" w:rsidRPr="00E07A9E" w:rsidRDefault="006D1E00" w:rsidP="009612F0">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4BF5151" w14:textId="77777777" w:rsidR="006D1E00" w:rsidRPr="00E07A9E" w:rsidRDefault="006D1E00" w:rsidP="009612F0">
            <w:pPr>
              <w:rPr>
                <w:rFonts w:ascii="FrankRuehl" w:hAnsi="FrankRuehl" w:cs="FrankRuehl"/>
                <w:b/>
                <w:bCs/>
                <w:sz w:val="28"/>
                <w:szCs w:val="28"/>
                <w:rtl/>
              </w:rPr>
            </w:pPr>
            <w:r w:rsidRPr="00E07A9E">
              <w:rPr>
                <w:rFonts w:ascii="FrankRuehl" w:hAnsi="FrankRuehl" w:cs="FrankRuehl"/>
                <w:b/>
                <w:bCs/>
                <w:sz w:val="28"/>
                <w:szCs w:val="28"/>
                <w:rtl/>
              </w:rPr>
              <w:t>יוסף בצלאל</w:t>
            </w:r>
            <w:r w:rsidRPr="00E07A9E">
              <w:rPr>
                <w:rFonts w:ascii="FrankRuehl" w:hAnsi="FrankRuehl" w:cs="FrankRuehl"/>
                <w:b/>
                <w:bCs/>
                <w:sz w:val="28"/>
                <w:szCs w:val="28"/>
                <w:rtl/>
              </w:rPr>
              <w:br/>
              <w:t>ע"י ב"כ עוה"ד גבי טרונישוילי</w:t>
            </w:r>
          </w:p>
        </w:tc>
        <w:tc>
          <w:tcPr>
            <w:tcW w:w="3771" w:type="dxa"/>
            <w:gridSpan w:val="3"/>
            <w:tcBorders>
              <w:top w:val="nil"/>
              <w:left w:val="nil"/>
              <w:bottom w:val="nil"/>
              <w:right w:val="nil"/>
            </w:tcBorders>
            <w:shd w:val="clear" w:color="auto" w:fill="auto"/>
          </w:tcPr>
          <w:p w14:paraId="7A9F5F3F" w14:textId="77777777" w:rsidR="006D1E00" w:rsidRPr="00E07A9E" w:rsidRDefault="006D1E00" w:rsidP="006D1E00">
            <w:pPr>
              <w:jc w:val="right"/>
              <w:rPr>
                <w:rFonts w:ascii="FrankRuehl" w:hAnsi="FrankRuehl" w:cs="FrankRuehl"/>
                <w:b/>
                <w:bCs/>
                <w:sz w:val="28"/>
                <w:szCs w:val="28"/>
              </w:rPr>
            </w:pPr>
          </w:p>
        </w:tc>
      </w:tr>
      <w:tr w:rsidR="006D1E00" w:rsidRPr="00E07A9E" w14:paraId="63C72AE9" w14:textId="77777777" w:rsidTr="000444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C0626A" w14:textId="77777777" w:rsidR="006D1E00" w:rsidRPr="00E07A9E" w:rsidRDefault="006D1E00" w:rsidP="006D1E00">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78C40FE" w14:textId="77777777" w:rsidR="006D1E00" w:rsidRPr="00E07A9E" w:rsidRDefault="006D1E00" w:rsidP="006D1E00">
            <w:pPr>
              <w:jc w:val="both"/>
              <w:rPr>
                <w:rFonts w:ascii="FrankRuehl" w:hAnsi="FrankRuehl" w:cs="FrankRuehl"/>
                <w:b/>
                <w:bCs/>
                <w:sz w:val="28"/>
                <w:szCs w:val="28"/>
                <w:rtl/>
              </w:rPr>
            </w:pPr>
          </w:p>
        </w:tc>
        <w:tc>
          <w:tcPr>
            <w:tcW w:w="3771" w:type="dxa"/>
            <w:gridSpan w:val="3"/>
            <w:tcBorders>
              <w:top w:val="nil"/>
              <w:left w:val="nil"/>
              <w:bottom w:val="nil"/>
              <w:right w:val="nil"/>
            </w:tcBorders>
            <w:shd w:val="clear" w:color="auto" w:fill="auto"/>
          </w:tcPr>
          <w:p w14:paraId="4AA62ADD" w14:textId="77777777" w:rsidR="006D1E00" w:rsidRPr="00E07A9E" w:rsidRDefault="006D1E00" w:rsidP="006D1E00">
            <w:pPr>
              <w:jc w:val="right"/>
              <w:rPr>
                <w:rFonts w:ascii="FrankRuehl" w:hAnsi="FrankRuehl" w:cs="FrankRuehl"/>
                <w:b/>
                <w:bCs/>
                <w:sz w:val="28"/>
                <w:szCs w:val="28"/>
              </w:rPr>
            </w:pPr>
            <w:r w:rsidRPr="00E07A9E">
              <w:rPr>
                <w:rFonts w:ascii="FrankRuehl" w:hAnsi="FrankRuehl" w:cs="FrankRuehl"/>
                <w:b/>
                <w:bCs/>
                <w:sz w:val="28"/>
                <w:szCs w:val="28"/>
                <w:rtl/>
              </w:rPr>
              <w:t>הנאשם</w:t>
            </w:r>
          </w:p>
        </w:tc>
      </w:tr>
    </w:tbl>
    <w:p w14:paraId="6AC6298C" w14:textId="77777777" w:rsidR="000444C2" w:rsidRDefault="000444C2" w:rsidP="00E07A9E">
      <w:pPr>
        <w:rPr>
          <w:rFonts w:ascii="FrankRuehl" w:hAnsi="FrankRuehl" w:cs="FrankRuehl"/>
          <w:sz w:val="28"/>
          <w:szCs w:val="28"/>
          <w:rtl/>
        </w:rPr>
      </w:pPr>
    </w:p>
    <w:p w14:paraId="4F34D832" w14:textId="77777777" w:rsidR="000444C2" w:rsidRPr="000444C2" w:rsidRDefault="000444C2" w:rsidP="000444C2">
      <w:pPr>
        <w:spacing w:after="120" w:line="240" w:lineRule="exact"/>
        <w:ind w:left="283" w:hanging="283"/>
        <w:jc w:val="both"/>
        <w:rPr>
          <w:rFonts w:ascii="FrankRuehl" w:hAnsi="FrankRuehl" w:cs="FrankRuehl"/>
          <w:rtl/>
        </w:rPr>
      </w:pPr>
    </w:p>
    <w:p w14:paraId="3956C537" w14:textId="77777777" w:rsidR="00517E19" w:rsidRPr="00517E19" w:rsidRDefault="00517E19" w:rsidP="00517E19">
      <w:pPr>
        <w:spacing w:before="120" w:after="120" w:line="240" w:lineRule="exact"/>
        <w:ind w:left="283" w:hanging="283"/>
        <w:jc w:val="both"/>
        <w:rPr>
          <w:rFonts w:ascii="FrankRuehl" w:hAnsi="FrankRuehl" w:cs="FrankRuehl"/>
          <w:rtl/>
        </w:rPr>
      </w:pPr>
    </w:p>
    <w:p w14:paraId="50D89AA8" w14:textId="77777777" w:rsidR="00DA40A3" w:rsidRDefault="00DA40A3" w:rsidP="00DA40A3">
      <w:pPr>
        <w:rPr>
          <w:rFonts w:ascii="FrankRuehl" w:hAnsi="FrankRuehl" w:cs="FrankRuehl"/>
          <w:sz w:val="28"/>
          <w:szCs w:val="28"/>
          <w:rtl/>
        </w:rPr>
      </w:pPr>
      <w:bookmarkStart w:id="3" w:name="LawTable"/>
      <w:bookmarkEnd w:id="3"/>
    </w:p>
    <w:p w14:paraId="20B20A68" w14:textId="77777777" w:rsidR="00DA40A3" w:rsidRPr="00DA40A3" w:rsidRDefault="00DA40A3" w:rsidP="00DA40A3">
      <w:pPr>
        <w:spacing w:before="120" w:after="120" w:line="240" w:lineRule="exact"/>
        <w:ind w:left="283" w:hanging="283"/>
        <w:jc w:val="both"/>
        <w:rPr>
          <w:rFonts w:ascii="FrankRuehl" w:hAnsi="FrankRuehl" w:cs="FrankRuehl"/>
          <w:rtl/>
        </w:rPr>
      </w:pPr>
    </w:p>
    <w:p w14:paraId="6945F66B" w14:textId="77777777" w:rsidR="00DA40A3" w:rsidRPr="00DA40A3" w:rsidRDefault="00DA40A3" w:rsidP="00DA40A3">
      <w:pPr>
        <w:spacing w:before="120" w:after="120" w:line="240" w:lineRule="exact"/>
        <w:ind w:left="283" w:hanging="283"/>
        <w:jc w:val="both"/>
        <w:rPr>
          <w:rFonts w:ascii="FrankRuehl" w:hAnsi="FrankRuehl" w:cs="FrankRuehl"/>
          <w:rtl/>
        </w:rPr>
      </w:pPr>
    </w:p>
    <w:p w14:paraId="3C0B6161" w14:textId="77777777" w:rsidR="00DA40A3" w:rsidRPr="00DA40A3" w:rsidRDefault="00DA40A3" w:rsidP="00DA40A3">
      <w:pPr>
        <w:spacing w:before="120" w:after="120" w:line="240" w:lineRule="exact"/>
        <w:ind w:left="283" w:hanging="283"/>
        <w:jc w:val="both"/>
        <w:rPr>
          <w:rFonts w:ascii="FrankRuehl" w:hAnsi="FrankRuehl" w:cs="FrankRuehl"/>
          <w:rtl/>
        </w:rPr>
      </w:pPr>
      <w:r w:rsidRPr="00DA40A3">
        <w:rPr>
          <w:rFonts w:ascii="FrankRuehl" w:hAnsi="FrankRuehl" w:cs="FrankRuehl"/>
          <w:rtl/>
        </w:rPr>
        <w:t xml:space="preserve">חקיקה שאוזכרה: </w:t>
      </w:r>
    </w:p>
    <w:p w14:paraId="1BA39F68" w14:textId="77777777" w:rsidR="00DA40A3" w:rsidRPr="00DA40A3" w:rsidRDefault="00DA40A3" w:rsidP="00DA40A3">
      <w:pPr>
        <w:spacing w:before="120" w:after="120" w:line="240" w:lineRule="exact"/>
        <w:ind w:left="283" w:hanging="283"/>
        <w:jc w:val="both"/>
        <w:rPr>
          <w:rFonts w:ascii="FrankRuehl" w:hAnsi="FrankRuehl" w:cs="FrankRuehl"/>
          <w:rtl/>
        </w:rPr>
      </w:pPr>
      <w:hyperlink r:id="rId7" w:history="1">
        <w:r w:rsidRPr="00DA40A3">
          <w:rPr>
            <w:rFonts w:ascii="FrankRuehl" w:hAnsi="FrankRuehl" w:cs="FrankRuehl"/>
            <w:color w:val="0000FF"/>
            <w:rtl/>
          </w:rPr>
          <w:t>פקודת הסמים המסוכנים [נוסח חדש], תשל"ג-1973</w:t>
        </w:r>
      </w:hyperlink>
      <w:r w:rsidRPr="00DA40A3">
        <w:rPr>
          <w:rFonts w:ascii="FrankRuehl" w:hAnsi="FrankRuehl" w:cs="FrankRuehl"/>
          <w:rtl/>
        </w:rPr>
        <w:t xml:space="preserve">: סע'  </w:t>
      </w:r>
      <w:hyperlink r:id="rId8" w:history="1">
        <w:r w:rsidRPr="00DA40A3">
          <w:rPr>
            <w:rFonts w:ascii="FrankRuehl" w:hAnsi="FrankRuehl" w:cs="FrankRuehl"/>
            <w:color w:val="0000FF"/>
            <w:rtl/>
          </w:rPr>
          <w:t>7.א.</w:t>
        </w:r>
      </w:hyperlink>
      <w:r w:rsidRPr="00DA40A3">
        <w:rPr>
          <w:rFonts w:ascii="FrankRuehl" w:hAnsi="FrankRuehl" w:cs="FrankRuehl"/>
          <w:rtl/>
        </w:rPr>
        <w:t xml:space="preserve">, </w:t>
      </w:r>
      <w:hyperlink r:id="rId9" w:history="1">
        <w:r w:rsidRPr="00DA40A3">
          <w:rPr>
            <w:rFonts w:ascii="FrankRuehl" w:hAnsi="FrankRuehl" w:cs="FrankRuehl"/>
            <w:color w:val="0000FF"/>
            <w:rtl/>
          </w:rPr>
          <w:t>7.ג</w:t>
        </w:r>
      </w:hyperlink>
      <w:r w:rsidRPr="00DA40A3">
        <w:rPr>
          <w:rFonts w:ascii="FrankRuehl" w:hAnsi="FrankRuehl" w:cs="FrankRuehl"/>
          <w:rtl/>
        </w:rPr>
        <w:t xml:space="preserve">, </w:t>
      </w:r>
      <w:hyperlink r:id="rId10" w:history="1">
        <w:r w:rsidRPr="00DA40A3">
          <w:rPr>
            <w:rFonts w:ascii="FrankRuehl" w:hAnsi="FrankRuehl" w:cs="FrankRuehl"/>
            <w:color w:val="0000FF"/>
            <w:rtl/>
          </w:rPr>
          <w:t>13</w:t>
        </w:r>
      </w:hyperlink>
      <w:r w:rsidRPr="00DA40A3">
        <w:rPr>
          <w:rFonts w:ascii="FrankRuehl" w:hAnsi="FrankRuehl" w:cs="FrankRuehl"/>
          <w:rtl/>
        </w:rPr>
        <w:t xml:space="preserve">, </w:t>
      </w:r>
      <w:hyperlink r:id="rId11" w:history="1">
        <w:r w:rsidRPr="00DA40A3">
          <w:rPr>
            <w:rFonts w:ascii="FrankRuehl" w:hAnsi="FrankRuehl" w:cs="FrankRuehl"/>
            <w:color w:val="0000FF"/>
            <w:rtl/>
          </w:rPr>
          <w:t>19.א</w:t>
        </w:r>
      </w:hyperlink>
    </w:p>
    <w:p w14:paraId="6F271219" w14:textId="77777777" w:rsidR="00DA40A3" w:rsidRPr="00DA40A3" w:rsidRDefault="00DA40A3" w:rsidP="00DA40A3">
      <w:pPr>
        <w:spacing w:before="120" w:after="120" w:line="240" w:lineRule="exact"/>
        <w:ind w:left="283" w:hanging="283"/>
        <w:jc w:val="both"/>
        <w:rPr>
          <w:rFonts w:ascii="FrankRuehl" w:hAnsi="FrankRuehl" w:cs="FrankRuehl"/>
          <w:rtl/>
        </w:rPr>
      </w:pPr>
      <w:hyperlink r:id="rId12" w:history="1">
        <w:r w:rsidRPr="00DA40A3">
          <w:rPr>
            <w:rFonts w:ascii="FrankRuehl" w:hAnsi="FrankRuehl" w:cs="FrankRuehl"/>
            <w:color w:val="0000FF"/>
            <w:rtl/>
          </w:rPr>
          <w:t>חוק העונשין, תשל"ז-1977</w:t>
        </w:r>
      </w:hyperlink>
      <w:r w:rsidRPr="00DA40A3">
        <w:rPr>
          <w:rFonts w:ascii="FrankRuehl" w:hAnsi="FrankRuehl" w:cs="FrankRuehl"/>
          <w:rtl/>
        </w:rPr>
        <w:t xml:space="preserve">: סע'  </w:t>
      </w:r>
      <w:hyperlink r:id="rId13" w:history="1">
        <w:r w:rsidRPr="00DA40A3">
          <w:rPr>
            <w:rFonts w:ascii="FrankRuehl" w:hAnsi="FrankRuehl" w:cs="FrankRuehl"/>
            <w:color w:val="0000FF"/>
            <w:rtl/>
          </w:rPr>
          <w:t>40ד'</w:t>
        </w:r>
      </w:hyperlink>
      <w:r w:rsidRPr="00DA40A3">
        <w:rPr>
          <w:rFonts w:ascii="FrankRuehl" w:hAnsi="FrankRuehl" w:cs="FrankRuehl"/>
          <w:rtl/>
        </w:rPr>
        <w:t xml:space="preserve">, </w:t>
      </w:r>
      <w:hyperlink r:id="rId14" w:history="1">
        <w:r w:rsidRPr="00DA40A3">
          <w:rPr>
            <w:rFonts w:ascii="FrankRuehl" w:hAnsi="FrankRuehl" w:cs="FrankRuehl"/>
            <w:color w:val="0000FF"/>
            <w:rtl/>
          </w:rPr>
          <w:t>40ט'</w:t>
        </w:r>
      </w:hyperlink>
      <w:r w:rsidRPr="00DA40A3">
        <w:rPr>
          <w:rFonts w:ascii="FrankRuehl" w:hAnsi="FrankRuehl" w:cs="FrankRuehl"/>
          <w:rtl/>
        </w:rPr>
        <w:t xml:space="preserve">, </w:t>
      </w:r>
      <w:hyperlink r:id="rId15" w:history="1">
        <w:r w:rsidRPr="00DA40A3">
          <w:rPr>
            <w:rFonts w:ascii="FrankRuehl" w:hAnsi="FrankRuehl" w:cs="FrankRuehl"/>
            <w:color w:val="0000FF"/>
            <w:rtl/>
          </w:rPr>
          <w:t>40יא</w:t>
        </w:r>
      </w:hyperlink>
    </w:p>
    <w:p w14:paraId="48EE4790" w14:textId="77777777" w:rsidR="00DA40A3" w:rsidRPr="00DA40A3" w:rsidRDefault="00DA40A3" w:rsidP="00DA40A3">
      <w:pPr>
        <w:rPr>
          <w:rFonts w:ascii="FrankRuehl" w:hAnsi="FrankRuehl" w:cs="FrankRuehl"/>
          <w:sz w:val="28"/>
          <w:szCs w:val="28"/>
          <w:rtl/>
        </w:rPr>
      </w:pPr>
      <w:bookmarkStart w:id="4" w:name="LawTable_End"/>
      <w:bookmarkEnd w:id="4"/>
    </w:p>
    <w:p w14:paraId="783C2A2A" w14:textId="77777777" w:rsidR="006D1E00" w:rsidRPr="00517E19" w:rsidRDefault="006D1E00" w:rsidP="00517E19">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1E00" w:rsidRPr="00CF06FA" w14:paraId="178CE88D" w14:textId="77777777" w:rsidTr="006D1E00">
        <w:trPr>
          <w:trHeight w:val="355"/>
          <w:jc w:val="center"/>
        </w:trPr>
        <w:tc>
          <w:tcPr>
            <w:tcW w:w="8820" w:type="dxa"/>
            <w:tcBorders>
              <w:top w:val="nil"/>
              <w:left w:val="nil"/>
              <w:bottom w:val="nil"/>
              <w:right w:val="nil"/>
            </w:tcBorders>
            <w:shd w:val="clear" w:color="auto" w:fill="auto"/>
          </w:tcPr>
          <w:p w14:paraId="372A78B5" w14:textId="77777777" w:rsidR="00E07A9E" w:rsidRPr="00E07A9E" w:rsidRDefault="00E07A9E" w:rsidP="00E07A9E">
            <w:pPr>
              <w:jc w:val="center"/>
              <w:rPr>
                <w:rFonts w:ascii="FrankRuehl" w:hAnsi="FrankRuehl" w:cs="FrankRuehl"/>
                <w:b/>
                <w:bCs/>
                <w:sz w:val="28"/>
                <w:szCs w:val="28"/>
                <w:u w:val="single"/>
                <w:rtl/>
              </w:rPr>
            </w:pPr>
            <w:bookmarkStart w:id="5" w:name="PsakDin" w:colFirst="0" w:colLast="0"/>
            <w:bookmarkEnd w:id="0"/>
            <w:bookmarkEnd w:id="1"/>
            <w:r w:rsidRPr="00E07A9E">
              <w:rPr>
                <w:rFonts w:ascii="FrankRuehl" w:hAnsi="FrankRuehl" w:cs="FrankRuehl"/>
                <w:b/>
                <w:bCs/>
                <w:sz w:val="28"/>
                <w:szCs w:val="28"/>
                <w:u w:val="single"/>
                <w:rtl/>
              </w:rPr>
              <w:t>גזר דין</w:t>
            </w:r>
          </w:p>
          <w:p w14:paraId="73657D82" w14:textId="77777777" w:rsidR="006D1E00" w:rsidRPr="00E07A9E" w:rsidRDefault="006D1E00" w:rsidP="00E07A9E">
            <w:pPr>
              <w:jc w:val="center"/>
              <w:rPr>
                <w:rFonts w:ascii="FrankRuehl" w:hAnsi="FrankRuehl" w:cs="FrankRuehl"/>
                <w:b/>
                <w:bCs/>
                <w:sz w:val="28"/>
                <w:szCs w:val="28"/>
                <w:u w:val="single"/>
                <w:rtl/>
              </w:rPr>
            </w:pPr>
          </w:p>
        </w:tc>
      </w:tr>
      <w:bookmarkEnd w:id="5"/>
    </w:tbl>
    <w:p w14:paraId="13C23AAC" w14:textId="77777777" w:rsidR="006D1E00" w:rsidRPr="002B7D23" w:rsidRDefault="006D1E00" w:rsidP="006D1E00">
      <w:pPr>
        <w:rPr>
          <w:rFonts w:ascii="David" w:hAnsi="David"/>
          <w:sz w:val="26"/>
          <w:szCs w:val="26"/>
          <w:rtl/>
        </w:rPr>
      </w:pPr>
    </w:p>
    <w:p w14:paraId="1D519CF9" w14:textId="77777777" w:rsidR="006D1E00" w:rsidRDefault="006D1E00" w:rsidP="006D1E00">
      <w:pPr>
        <w:spacing w:line="360" w:lineRule="auto"/>
        <w:rPr>
          <w:rFonts w:cs="FrankRuehl"/>
          <w:b/>
          <w:bCs/>
          <w:sz w:val="28"/>
          <w:szCs w:val="28"/>
          <w:u w:val="single"/>
        </w:rPr>
      </w:pPr>
      <w:r>
        <w:rPr>
          <w:rFonts w:cs="FrankRuehl"/>
          <w:b/>
          <w:bCs/>
          <w:sz w:val="28"/>
          <w:szCs w:val="28"/>
          <w:u w:val="single"/>
          <w:rtl/>
        </w:rPr>
        <w:t>כתב האישום</w:t>
      </w:r>
    </w:p>
    <w:p w14:paraId="5EFFB0AE" w14:textId="77777777" w:rsidR="006D1E00" w:rsidRDefault="006D1E00" w:rsidP="006D1E00">
      <w:pPr>
        <w:spacing w:line="360" w:lineRule="auto"/>
        <w:jc w:val="both"/>
        <w:rPr>
          <w:rFonts w:cs="FrankRuehl"/>
          <w:sz w:val="28"/>
          <w:szCs w:val="28"/>
          <w:rtl/>
        </w:rPr>
      </w:pPr>
      <w:bookmarkStart w:id="6" w:name="ABSTRACT_START"/>
      <w:bookmarkEnd w:id="6"/>
      <w:r>
        <w:rPr>
          <w:rFonts w:cs="FrankRuehl"/>
          <w:sz w:val="28"/>
          <w:szCs w:val="28"/>
          <w:rtl/>
        </w:rPr>
        <w:t xml:space="preserve">הנאשם הורשע על פי הודאתו </w:t>
      </w:r>
      <w:r>
        <w:rPr>
          <w:rFonts w:cs="FrankRuehl" w:hint="cs"/>
          <w:sz w:val="28"/>
          <w:szCs w:val="28"/>
          <w:rtl/>
        </w:rPr>
        <w:t>בשני כתבי אישום.</w:t>
      </w:r>
    </w:p>
    <w:p w14:paraId="1229F435" w14:textId="77777777" w:rsidR="006D1E00" w:rsidRDefault="006D1E00" w:rsidP="006D1E00">
      <w:pPr>
        <w:spacing w:line="360" w:lineRule="auto"/>
        <w:jc w:val="both"/>
        <w:rPr>
          <w:rFonts w:cs="FrankRuehl"/>
          <w:sz w:val="28"/>
          <w:szCs w:val="28"/>
          <w:rtl/>
        </w:rPr>
      </w:pPr>
    </w:p>
    <w:bookmarkStart w:id="7" w:name="ABSTRACT_END"/>
    <w:bookmarkEnd w:id="7"/>
    <w:p w14:paraId="6E8A456E" w14:textId="77777777" w:rsidR="006D1E00" w:rsidRDefault="00E07A9E" w:rsidP="006D1E00">
      <w:pPr>
        <w:spacing w:line="360" w:lineRule="auto"/>
        <w:jc w:val="both"/>
        <w:rPr>
          <w:rFonts w:cs="FrankRuehl"/>
          <w:b/>
          <w:bCs/>
          <w:sz w:val="28"/>
          <w:szCs w:val="28"/>
          <w:u w:val="single"/>
          <w:rtl/>
        </w:rPr>
      </w:pPr>
      <w:r w:rsidRPr="00E07A9E">
        <w:rPr>
          <w:rFonts w:cs="FrankRuehl"/>
          <w:b/>
          <w:bCs/>
          <w:color w:val="0000FF"/>
          <w:sz w:val="28"/>
          <w:szCs w:val="28"/>
          <w:u w:val="single"/>
          <w:rtl/>
        </w:rPr>
        <w:fldChar w:fldCharType="begin"/>
      </w:r>
      <w:r w:rsidRPr="00E07A9E">
        <w:rPr>
          <w:rFonts w:cs="FrankRuehl"/>
          <w:b/>
          <w:bCs/>
          <w:color w:val="0000FF"/>
          <w:sz w:val="28"/>
          <w:szCs w:val="28"/>
          <w:u w:val="single"/>
          <w:rtl/>
        </w:rPr>
        <w:instrText xml:space="preserve"> </w:instrText>
      </w:r>
      <w:r w:rsidRPr="00E07A9E">
        <w:rPr>
          <w:rFonts w:cs="FrankRuehl"/>
          <w:b/>
          <w:bCs/>
          <w:color w:val="0000FF"/>
          <w:sz w:val="28"/>
          <w:szCs w:val="28"/>
          <w:u w:val="single"/>
        </w:rPr>
        <w:instrText xml:space="preserve">HYPERLINK </w:instrText>
      </w:r>
      <w:r w:rsidRPr="00E07A9E">
        <w:rPr>
          <w:rFonts w:cs="FrankRuehl"/>
          <w:b/>
          <w:bCs/>
          <w:color w:val="0000FF"/>
          <w:sz w:val="28"/>
          <w:szCs w:val="28"/>
          <w:u w:val="single"/>
          <w:rtl/>
        </w:rPr>
        <w:instrText>"</w:instrText>
      </w:r>
      <w:r w:rsidRPr="00E07A9E">
        <w:rPr>
          <w:rFonts w:cs="FrankRuehl"/>
          <w:b/>
          <w:bCs/>
          <w:color w:val="0000FF"/>
          <w:sz w:val="28"/>
          <w:szCs w:val="28"/>
          <w:u w:val="single"/>
        </w:rPr>
        <w:instrText>http://www.nevo.co.il/case/20897862"</w:instrText>
      </w:r>
      <w:r w:rsidRPr="00E07A9E">
        <w:rPr>
          <w:rFonts w:cs="FrankRuehl"/>
          <w:b/>
          <w:bCs/>
          <w:color w:val="0000FF"/>
          <w:sz w:val="28"/>
          <w:szCs w:val="28"/>
          <w:u w:val="single"/>
          <w:rtl/>
        </w:rPr>
        <w:instrText xml:space="preserve"> </w:instrText>
      </w:r>
      <w:r w:rsidRPr="00E07A9E">
        <w:rPr>
          <w:rFonts w:cs="FrankRuehl"/>
          <w:b/>
          <w:bCs/>
          <w:color w:val="0000FF"/>
          <w:sz w:val="28"/>
          <w:szCs w:val="28"/>
          <w:u w:val="single"/>
          <w:rtl/>
        </w:rPr>
      </w:r>
      <w:r w:rsidRPr="00E07A9E">
        <w:rPr>
          <w:rFonts w:cs="FrankRuehl"/>
          <w:b/>
          <w:bCs/>
          <w:color w:val="0000FF"/>
          <w:sz w:val="28"/>
          <w:szCs w:val="28"/>
          <w:u w:val="single"/>
          <w:rtl/>
        </w:rPr>
        <w:fldChar w:fldCharType="separate"/>
      </w:r>
      <w:r w:rsidRPr="00E07A9E">
        <w:rPr>
          <w:rFonts w:cs="FrankRuehl"/>
          <w:b/>
          <w:bCs/>
          <w:color w:val="0000FF"/>
          <w:sz w:val="28"/>
          <w:szCs w:val="28"/>
          <w:u w:val="single"/>
          <w:rtl/>
        </w:rPr>
        <w:t>ת"פ 40770-01-16</w:t>
      </w:r>
      <w:r w:rsidRPr="00E07A9E">
        <w:rPr>
          <w:rFonts w:cs="FrankRuehl"/>
          <w:b/>
          <w:bCs/>
          <w:color w:val="0000FF"/>
          <w:sz w:val="28"/>
          <w:szCs w:val="28"/>
          <w:u w:val="single"/>
          <w:rtl/>
        </w:rPr>
        <w:fldChar w:fldCharType="end"/>
      </w:r>
      <w:r w:rsidR="006D1E00">
        <w:rPr>
          <w:rFonts w:cs="FrankRuehl" w:hint="cs"/>
          <w:b/>
          <w:bCs/>
          <w:sz w:val="28"/>
          <w:szCs w:val="28"/>
          <w:u w:val="single"/>
          <w:rtl/>
        </w:rPr>
        <w:t xml:space="preserve"> (התיק העיקרי)</w:t>
      </w:r>
    </w:p>
    <w:p w14:paraId="4996854C" w14:textId="77777777" w:rsidR="006D1E00" w:rsidRPr="0006608D" w:rsidRDefault="006D1E00" w:rsidP="006D1E00">
      <w:pPr>
        <w:spacing w:line="360" w:lineRule="auto"/>
        <w:jc w:val="both"/>
        <w:rPr>
          <w:rFonts w:cs="FrankRuehl"/>
          <w:sz w:val="28"/>
          <w:szCs w:val="28"/>
          <w:rtl/>
        </w:rPr>
      </w:pPr>
      <w:r>
        <w:rPr>
          <w:rFonts w:cs="FrankRuehl" w:hint="cs"/>
          <w:sz w:val="28"/>
          <w:szCs w:val="28"/>
          <w:rtl/>
        </w:rPr>
        <w:t xml:space="preserve">על פי עובדות האישום הראשון, ביום 21.6.2015, מכר הנאשם לשוטר שקית שהכילה סם מסוכן מסוג </w:t>
      </w:r>
      <w:r>
        <w:rPr>
          <w:rFonts w:cs="FrankRuehl" w:hint="cs"/>
          <w:sz w:val="28"/>
          <w:szCs w:val="28"/>
        </w:rPr>
        <w:t>CHIMINACA-AB</w:t>
      </w:r>
      <w:r>
        <w:rPr>
          <w:rFonts w:cs="FrankRuehl" w:hint="cs"/>
          <w:sz w:val="28"/>
          <w:szCs w:val="28"/>
          <w:rtl/>
        </w:rPr>
        <w:t xml:space="preserve">, תמורת 100 ₪. באותן נסיבות,  לאחר תיאום טלפוני בין השניים, </w:t>
      </w:r>
      <w:r>
        <w:rPr>
          <w:rFonts w:cs="FrankRuehl" w:hint="cs"/>
          <w:sz w:val="28"/>
          <w:szCs w:val="28"/>
          <w:rtl/>
        </w:rPr>
        <w:lastRenderedPageBreak/>
        <w:t xml:space="preserve">הם נפגשו והנאשם מסר לשוטר את השקית. בגין כך, הורשע הנאשם בעבירות של </w:t>
      </w:r>
      <w:r w:rsidRPr="0006608D">
        <w:rPr>
          <w:rFonts w:cs="FrankRuehl" w:hint="cs"/>
          <w:b/>
          <w:bCs/>
          <w:sz w:val="28"/>
          <w:szCs w:val="28"/>
          <w:rtl/>
        </w:rPr>
        <w:t>סחר בסמים</w:t>
      </w:r>
      <w:r>
        <w:rPr>
          <w:rFonts w:cs="FrankRuehl" w:hint="cs"/>
          <w:sz w:val="28"/>
          <w:szCs w:val="28"/>
          <w:rtl/>
        </w:rPr>
        <w:t xml:space="preserve">, לפי סעיף </w:t>
      </w:r>
      <w:hyperlink r:id="rId16" w:history="1">
        <w:r w:rsidR="000444C2" w:rsidRPr="000444C2">
          <w:rPr>
            <w:rStyle w:val="Hyperlink"/>
            <w:rFonts w:cs="FrankRuehl"/>
            <w:sz w:val="28"/>
            <w:szCs w:val="28"/>
            <w:rtl/>
          </w:rPr>
          <w:t>13 + 19א</w:t>
        </w:r>
      </w:hyperlink>
      <w:r>
        <w:rPr>
          <w:rFonts w:cs="FrankRuehl" w:hint="cs"/>
          <w:sz w:val="28"/>
          <w:szCs w:val="28"/>
          <w:rtl/>
        </w:rPr>
        <w:t xml:space="preserve"> ל</w:t>
      </w:r>
      <w:hyperlink r:id="rId17" w:history="1">
        <w:r w:rsidR="00E07A9E" w:rsidRPr="00E07A9E">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 (</w:t>
      </w:r>
      <w:r>
        <w:rPr>
          <w:rFonts w:cs="FrankRuehl" w:hint="cs"/>
          <w:b/>
          <w:bCs/>
          <w:sz w:val="28"/>
          <w:szCs w:val="28"/>
          <w:rtl/>
        </w:rPr>
        <w:t>פקודת הסמים</w:t>
      </w:r>
      <w:r>
        <w:rPr>
          <w:rFonts w:cs="FrankRuehl" w:hint="cs"/>
          <w:sz w:val="28"/>
          <w:szCs w:val="28"/>
          <w:rtl/>
        </w:rPr>
        <w:t>).</w:t>
      </w:r>
    </w:p>
    <w:p w14:paraId="2E8483A9" w14:textId="77777777" w:rsidR="006D1E00" w:rsidRDefault="006D1E00" w:rsidP="006D1E00">
      <w:pPr>
        <w:spacing w:line="360" w:lineRule="auto"/>
        <w:jc w:val="both"/>
        <w:rPr>
          <w:rFonts w:cs="FrankRuehl"/>
          <w:sz w:val="28"/>
          <w:szCs w:val="28"/>
          <w:rtl/>
        </w:rPr>
      </w:pPr>
      <w:r>
        <w:rPr>
          <w:rFonts w:cs="FrankRuehl" w:hint="cs"/>
          <w:sz w:val="28"/>
          <w:szCs w:val="28"/>
          <w:rtl/>
        </w:rPr>
        <w:t xml:space="preserve">על פי עובדות האישום השני, ביום 23.6.2015, מכר הנאשם לשוטר שתי שקיות שהכילו סם מסוכן מסוג </w:t>
      </w:r>
      <w:r>
        <w:rPr>
          <w:rFonts w:cs="FrankRuehl" w:hint="cs"/>
          <w:sz w:val="28"/>
          <w:szCs w:val="28"/>
        </w:rPr>
        <w:t>CHIMINACA-AB</w:t>
      </w:r>
      <w:r>
        <w:rPr>
          <w:rFonts w:cs="FrankRuehl" w:hint="cs"/>
          <w:sz w:val="28"/>
          <w:szCs w:val="28"/>
          <w:rtl/>
        </w:rPr>
        <w:t xml:space="preserve">, תמורת 150 ₪. באותן נסיבות,  לאחר תיאום טלפוני בין השניים, הם נפגשו והנאשם מסר לשוטר את השקית. בגין כך, הורשע הנאשם בעבירות של </w:t>
      </w:r>
      <w:r w:rsidRPr="0006608D">
        <w:rPr>
          <w:rFonts w:cs="FrankRuehl" w:hint="cs"/>
          <w:b/>
          <w:bCs/>
          <w:sz w:val="28"/>
          <w:szCs w:val="28"/>
          <w:rtl/>
        </w:rPr>
        <w:t>סחר בסמים</w:t>
      </w:r>
      <w:r>
        <w:rPr>
          <w:rFonts w:cs="FrankRuehl" w:hint="cs"/>
          <w:sz w:val="28"/>
          <w:szCs w:val="28"/>
          <w:rtl/>
        </w:rPr>
        <w:t xml:space="preserve">, לפי סעיף </w:t>
      </w:r>
      <w:hyperlink r:id="rId18" w:history="1">
        <w:r w:rsidR="000444C2" w:rsidRPr="000444C2">
          <w:rPr>
            <w:rStyle w:val="Hyperlink"/>
            <w:rFonts w:cs="FrankRuehl"/>
            <w:sz w:val="28"/>
            <w:szCs w:val="28"/>
            <w:rtl/>
          </w:rPr>
          <w:t>13 + 19א</w:t>
        </w:r>
      </w:hyperlink>
      <w:r>
        <w:rPr>
          <w:rFonts w:cs="FrankRuehl" w:hint="cs"/>
          <w:sz w:val="28"/>
          <w:szCs w:val="28"/>
          <w:rtl/>
        </w:rPr>
        <w:t xml:space="preserve"> לפקודת הסמים.</w:t>
      </w:r>
    </w:p>
    <w:p w14:paraId="2CBBB613" w14:textId="77777777" w:rsidR="006D1E00" w:rsidRDefault="006D1E00" w:rsidP="006D1E00">
      <w:pPr>
        <w:spacing w:line="360" w:lineRule="auto"/>
        <w:jc w:val="both"/>
        <w:rPr>
          <w:rFonts w:cs="FrankRuehl"/>
          <w:sz w:val="28"/>
          <w:szCs w:val="28"/>
          <w:rtl/>
        </w:rPr>
      </w:pPr>
      <w:r>
        <w:rPr>
          <w:rFonts w:cs="FrankRuehl" w:hint="cs"/>
          <w:sz w:val="28"/>
          <w:szCs w:val="28"/>
          <w:rtl/>
        </w:rPr>
        <w:t xml:space="preserve">על פי עובדות האישום השלישי, ביום 25.6.2015, מכר הנאשם לשוטר, לאחר תיאום טלפוני ביניהם ובמהלך מפגש, שקית "נייס גאי" תמורת 100 ₪. בגין כך, הורשע הנאשם בעבירות של </w:t>
      </w:r>
      <w:r w:rsidRPr="0006608D">
        <w:rPr>
          <w:rFonts w:cs="FrankRuehl" w:hint="cs"/>
          <w:b/>
          <w:bCs/>
          <w:sz w:val="28"/>
          <w:szCs w:val="28"/>
          <w:rtl/>
        </w:rPr>
        <w:t>סחר בסמים</w:t>
      </w:r>
      <w:r>
        <w:rPr>
          <w:rFonts w:cs="FrankRuehl" w:hint="cs"/>
          <w:sz w:val="28"/>
          <w:szCs w:val="28"/>
          <w:rtl/>
        </w:rPr>
        <w:t xml:space="preserve">, לפי סעיף </w:t>
      </w:r>
      <w:hyperlink r:id="rId19" w:history="1">
        <w:r w:rsidR="000444C2" w:rsidRPr="000444C2">
          <w:rPr>
            <w:rStyle w:val="Hyperlink"/>
            <w:rFonts w:cs="FrankRuehl"/>
            <w:sz w:val="28"/>
            <w:szCs w:val="28"/>
            <w:rtl/>
          </w:rPr>
          <w:t>13 + 19א</w:t>
        </w:r>
      </w:hyperlink>
      <w:r>
        <w:rPr>
          <w:rFonts w:cs="FrankRuehl" w:hint="cs"/>
          <w:sz w:val="28"/>
          <w:szCs w:val="28"/>
          <w:rtl/>
        </w:rPr>
        <w:t xml:space="preserve"> לפקודת הסמים.</w:t>
      </w:r>
    </w:p>
    <w:p w14:paraId="3844BBE9" w14:textId="77777777" w:rsidR="006D1E00" w:rsidRDefault="006D1E00" w:rsidP="006D1E00">
      <w:pPr>
        <w:spacing w:line="360" w:lineRule="auto"/>
        <w:jc w:val="both"/>
        <w:rPr>
          <w:rFonts w:cs="FrankRuehl"/>
          <w:sz w:val="28"/>
          <w:szCs w:val="28"/>
          <w:rtl/>
        </w:rPr>
      </w:pPr>
    </w:p>
    <w:p w14:paraId="3FE9BEA6" w14:textId="77777777" w:rsidR="006D1E00" w:rsidRDefault="006D1E00" w:rsidP="006D1E00">
      <w:pPr>
        <w:spacing w:line="360" w:lineRule="auto"/>
        <w:jc w:val="both"/>
        <w:rPr>
          <w:rFonts w:cs="FrankRuehl"/>
          <w:sz w:val="28"/>
          <w:szCs w:val="28"/>
          <w:rtl/>
        </w:rPr>
      </w:pPr>
    </w:p>
    <w:p w14:paraId="0543BA74" w14:textId="77777777" w:rsidR="006D1E00" w:rsidRDefault="006D1E00" w:rsidP="006D1E00">
      <w:pPr>
        <w:spacing w:line="360" w:lineRule="auto"/>
        <w:jc w:val="both"/>
        <w:rPr>
          <w:rFonts w:cs="FrankRuehl"/>
          <w:b/>
          <w:bCs/>
          <w:sz w:val="28"/>
          <w:szCs w:val="28"/>
          <w:u w:val="single"/>
          <w:rtl/>
        </w:rPr>
      </w:pPr>
      <w:r>
        <w:rPr>
          <w:rFonts w:cs="FrankRuehl" w:hint="cs"/>
          <w:b/>
          <w:bCs/>
          <w:sz w:val="28"/>
          <w:szCs w:val="28"/>
          <w:u w:val="single"/>
          <w:rtl/>
        </w:rPr>
        <w:t>ת"פ 174637-07-18 (התיק המצורף)</w:t>
      </w:r>
    </w:p>
    <w:p w14:paraId="1254A6F2" w14:textId="77777777" w:rsidR="006D1E00" w:rsidRPr="00F123BE" w:rsidRDefault="006D1E00" w:rsidP="006D1E00">
      <w:pPr>
        <w:spacing w:line="360" w:lineRule="auto"/>
        <w:jc w:val="both"/>
        <w:rPr>
          <w:rFonts w:cs="FrankRuehl"/>
          <w:sz w:val="28"/>
          <w:szCs w:val="28"/>
        </w:rPr>
      </w:pPr>
      <w:r>
        <w:rPr>
          <w:rFonts w:cs="FrankRuehl" w:hint="cs"/>
          <w:sz w:val="28"/>
          <w:szCs w:val="28"/>
          <w:rtl/>
        </w:rPr>
        <w:t xml:space="preserve">ביום 24.9.2015, בביתו של הנאשם, בתוך חדר השינה שלו, החזיק הנאשם סם מסוכן מסוג </w:t>
      </w:r>
      <w:r>
        <w:rPr>
          <w:rFonts w:cs="FrankRuehl" w:hint="cs"/>
          <w:sz w:val="28"/>
          <w:szCs w:val="28"/>
        </w:rPr>
        <w:t>CHIMINACA-AB</w:t>
      </w:r>
      <w:r>
        <w:rPr>
          <w:rFonts w:cs="FrankRuehl" w:hint="cs"/>
          <w:sz w:val="28"/>
          <w:szCs w:val="28"/>
          <w:rtl/>
        </w:rPr>
        <w:t xml:space="preserve">. בגין כך, הורשע הנאשם בעבירה של החזקת סמים לצריכה עצמית, לפי סעיף </w:t>
      </w:r>
      <w:hyperlink r:id="rId20" w:history="1">
        <w:r w:rsidR="000444C2" w:rsidRPr="000444C2">
          <w:rPr>
            <w:rStyle w:val="Hyperlink"/>
            <w:rFonts w:cs="FrankRuehl"/>
            <w:sz w:val="28"/>
            <w:szCs w:val="28"/>
            <w:rtl/>
          </w:rPr>
          <w:t>7(א) + 7(ג)</w:t>
        </w:r>
      </w:hyperlink>
      <w:r>
        <w:rPr>
          <w:rFonts w:cs="FrankRuehl" w:hint="cs"/>
          <w:sz w:val="28"/>
          <w:szCs w:val="28"/>
          <w:rtl/>
        </w:rPr>
        <w:t xml:space="preserve"> סיפא לפקודת הסמים.</w:t>
      </w:r>
    </w:p>
    <w:p w14:paraId="54954B3C" w14:textId="77777777" w:rsidR="006D1E00" w:rsidRDefault="006D1E00" w:rsidP="006D1E00">
      <w:pPr>
        <w:jc w:val="both"/>
        <w:rPr>
          <w:rFonts w:cs="FrankRuehl"/>
          <w:b/>
          <w:bCs/>
          <w:sz w:val="28"/>
          <w:szCs w:val="28"/>
          <w:u w:val="single"/>
        </w:rPr>
      </w:pPr>
    </w:p>
    <w:p w14:paraId="7E7414E9" w14:textId="77777777" w:rsidR="006D1E00" w:rsidRDefault="006D1E00" w:rsidP="006D1E00">
      <w:pPr>
        <w:spacing w:line="360" w:lineRule="auto"/>
        <w:jc w:val="both"/>
        <w:rPr>
          <w:rFonts w:cs="FrankRuehl"/>
          <w:b/>
          <w:bCs/>
          <w:sz w:val="28"/>
          <w:szCs w:val="28"/>
          <w:u w:val="single"/>
          <w:rtl/>
        </w:rPr>
      </w:pPr>
      <w:r>
        <w:rPr>
          <w:rFonts w:cs="FrankRuehl"/>
          <w:b/>
          <w:bCs/>
          <w:sz w:val="28"/>
          <w:szCs w:val="28"/>
          <w:u w:val="single"/>
          <w:rtl/>
        </w:rPr>
        <w:t>מהלך הדיון</w:t>
      </w:r>
    </w:p>
    <w:p w14:paraId="46531FDC" w14:textId="77777777" w:rsidR="006D1E00" w:rsidRPr="00A165D9" w:rsidRDefault="006D1E00" w:rsidP="006D1E00">
      <w:pPr>
        <w:spacing w:line="360" w:lineRule="auto"/>
        <w:jc w:val="both"/>
        <w:rPr>
          <w:rFonts w:cs="FrankRuehl"/>
          <w:sz w:val="28"/>
          <w:szCs w:val="28"/>
        </w:rPr>
      </w:pPr>
      <w:r>
        <w:rPr>
          <w:rFonts w:cs="FrankRuehl" w:hint="cs"/>
          <w:sz w:val="28"/>
          <w:szCs w:val="28"/>
          <w:rtl/>
        </w:rPr>
        <w:t xml:space="preserve">הנאשם הורשע על הודאתו בשני כתבי האישום, במסגרת הסדר טיעון, שלא כלל הסכמה עונשית. </w:t>
      </w:r>
    </w:p>
    <w:p w14:paraId="7DFA2671" w14:textId="77777777" w:rsidR="006D1E00" w:rsidRDefault="006D1E00" w:rsidP="006D1E00">
      <w:pPr>
        <w:jc w:val="both"/>
        <w:rPr>
          <w:rFonts w:cs="FrankRuehl"/>
          <w:sz w:val="28"/>
          <w:szCs w:val="28"/>
        </w:rPr>
      </w:pPr>
    </w:p>
    <w:p w14:paraId="00A1AFFF" w14:textId="77777777" w:rsidR="006D1E00" w:rsidRDefault="006D1E00" w:rsidP="006D1E00">
      <w:pPr>
        <w:spacing w:line="360" w:lineRule="auto"/>
        <w:jc w:val="both"/>
        <w:rPr>
          <w:rFonts w:cs="FrankRuehl"/>
          <w:b/>
          <w:bCs/>
          <w:sz w:val="28"/>
          <w:szCs w:val="28"/>
          <w:u w:val="single"/>
        </w:rPr>
      </w:pPr>
      <w:r>
        <w:rPr>
          <w:rFonts w:cs="FrankRuehl"/>
          <w:b/>
          <w:bCs/>
          <w:sz w:val="28"/>
          <w:szCs w:val="28"/>
          <w:u w:val="single"/>
          <w:rtl/>
        </w:rPr>
        <w:t>תסקיר שירות המבחן</w:t>
      </w:r>
    </w:p>
    <w:p w14:paraId="55E96F53" w14:textId="77777777" w:rsidR="006D1E00" w:rsidRDefault="006D1E00" w:rsidP="006D1E00">
      <w:pPr>
        <w:spacing w:line="360" w:lineRule="auto"/>
        <w:jc w:val="both"/>
        <w:rPr>
          <w:rFonts w:cs="FrankRuehl"/>
          <w:sz w:val="28"/>
          <w:szCs w:val="28"/>
        </w:rPr>
      </w:pPr>
      <w:r>
        <w:rPr>
          <w:rFonts w:cs="FrankRuehl" w:hint="cs"/>
          <w:sz w:val="28"/>
          <w:szCs w:val="28"/>
          <w:rtl/>
        </w:rPr>
        <w:t xml:space="preserve">בעניינו של הנאשם הוגשו שמונה תסקירים האחרון בשנת 2020. הן מהתסקירים והן מהמידע שנמסר לי במסמכים שהוגשו במסגרת הטיעונים לעונש עולה, כי הנאשם בן 68, נשוי ואב לשלושה ילדים ויש לו נכדים ונין. מסקירת קורות חייו של הנאשם עולה כי לאורך שנים, ניהל הנאשם אורח חיים פלילי והתמכרותי. בעברו של הנאשם 17 הרשעות קודמות בעבירות רכוש, אלימות וסמים לשימוש עצמי (אך לא סחר). בצד זאת, שירות המבחן ציין כי במשך שנים רבות, הצליח הנאשם לשמור על רצף תעסוקתי כטבח בישיבה וכן ניהל חיי משפחה, על אף קשיים שהתעוררו בינו לבין משפחתו לאחר מות אביו. שירות המבחן עמד על נסיבות חייו של הנאשם, ועל מצבו הרפואי המורכב. בשנים האחרונות חלה בסרטן קשה ואגרסיבי ועבר טיפולים קשים. למרבה השמחה הנאשם התאושש וחזר לעבודתו, הוא מורשה להשתמש בקנביס רפואי ושומר על יציבות בעבודתו. הוצג לי מכתב המלצה חם מאת מעסיקו של הנאשם, שם נכתב כי הוא מבצע את </w:t>
      </w:r>
      <w:r>
        <w:rPr>
          <w:rFonts w:cs="FrankRuehl" w:hint="cs"/>
          <w:sz w:val="28"/>
          <w:szCs w:val="28"/>
          <w:rtl/>
        </w:rPr>
        <w:lastRenderedPageBreak/>
        <w:t>עבודתו מכל הלב, ללא איחורים וחיסורים, והרושם של המעסיק הוא שהנאשם חזר למוטב וחזר לתפקוד חיובי. שירות המבחן בא בהמלצה של הטלת מאסר מותנה נוכח מצבו של הנאשם שאינו מאפשר לו אף לרצות של"ץ.</w:t>
      </w:r>
    </w:p>
    <w:p w14:paraId="7760AB00" w14:textId="77777777" w:rsidR="006D1E00" w:rsidRDefault="006D1E00" w:rsidP="006D1E00">
      <w:pPr>
        <w:jc w:val="both"/>
        <w:rPr>
          <w:rFonts w:cs="FrankRuehl"/>
          <w:b/>
          <w:bCs/>
          <w:sz w:val="28"/>
          <w:szCs w:val="28"/>
          <w:u w:val="single"/>
          <w:rtl/>
        </w:rPr>
      </w:pPr>
    </w:p>
    <w:p w14:paraId="528D2139" w14:textId="77777777" w:rsidR="006D1E00" w:rsidRDefault="006D1E00" w:rsidP="006D1E00">
      <w:pPr>
        <w:spacing w:line="360" w:lineRule="auto"/>
        <w:jc w:val="both"/>
        <w:rPr>
          <w:rFonts w:cs="FrankRuehl"/>
          <w:b/>
          <w:bCs/>
          <w:sz w:val="28"/>
          <w:szCs w:val="28"/>
          <w:u w:val="single"/>
        </w:rPr>
      </w:pPr>
      <w:r>
        <w:rPr>
          <w:rFonts w:cs="FrankRuehl"/>
          <w:b/>
          <w:bCs/>
          <w:sz w:val="28"/>
          <w:szCs w:val="28"/>
          <w:u w:val="single"/>
          <w:rtl/>
        </w:rPr>
        <w:t>חוות דעת של הממונה על עבודות השירות</w:t>
      </w:r>
    </w:p>
    <w:p w14:paraId="0B407C39" w14:textId="77777777" w:rsidR="006D1E00" w:rsidRDefault="006D1E00" w:rsidP="006D1E00">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אינו כשיר לביצוע עבודות שירות בשל מחלתו.</w:t>
      </w:r>
    </w:p>
    <w:p w14:paraId="43EA5B7E" w14:textId="77777777" w:rsidR="006D1E00" w:rsidRDefault="006D1E00" w:rsidP="006D1E00">
      <w:pPr>
        <w:jc w:val="both"/>
        <w:rPr>
          <w:rFonts w:cs="FrankRuehl"/>
          <w:b/>
          <w:bCs/>
          <w:sz w:val="28"/>
          <w:szCs w:val="28"/>
          <w:u w:val="single"/>
          <w:rtl/>
        </w:rPr>
      </w:pPr>
    </w:p>
    <w:p w14:paraId="10C4C0E0" w14:textId="77777777" w:rsidR="006D1E00" w:rsidRDefault="006D1E00" w:rsidP="006D1E00">
      <w:pPr>
        <w:spacing w:line="360" w:lineRule="auto"/>
        <w:jc w:val="both"/>
        <w:rPr>
          <w:rFonts w:cs="FrankRuehl"/>
          <w:b/>
          <w:bCs/>
          <w:sz w:val="28"/>
          <w:szCs w:val="28"/>
          <w:u w:val="single"/>
          <w:rtl/>
        </w:rPr>
      </w:pPr>
    </w:p>
    <w:p w14:paraId="67280B84" w14:textId="77777777" w:rsidR="006D1E00" w:rsidRDefault="006D1E00" w:rsidP="006D1E00">
      <w:pPr>
        <w:spacing w:line="360" w:lineRule="auto"/>
        <w:jc w:val="both"/>
        <w:rPr>
          <w:rFonts w:cs="FrankRuehl"/>
          <w:b/>
          <w:bCs/>
          <w:sz w:val="28"/>
          <w:szCs w:val="28"/>
          <w:u w:val="single"/>
          <w:rtl/>
        </w:rPr>
      </w:pPr>
    </w:p>
    <w:p w14:paraId="064EC55C" w14:textId="77777777" w:rsidR="006D1E00" w:rsidRDefault="006D1E00" w:rsidP="006D1E00">
      <w:pPr>
        <w:spacing w:line="360" w:lineRule="auto"/>
        <w:jc w:val="both"/>
        <w:rPr>
          <w:rFonts w:cs="FrankRuehl"/>
          <w:b/>
          <w:bCs/>
          <w:sz w:val="28"/>
          <w:szCs w:val="28"/>
          <w:u w:val="single"/>
          <w:rtl/>
        </w:rPr>
      </w:pPr>
      <w:r>
        <w:rPr>
          <w:rFonts w:cs="FrankRuehl"/>
          <w:b/>
          <w:bCs/>
          <w:sz w:val="28"/>
          <w:szCs w:val="28"/>
          <w:u w:val="single"/>
          <w:rtl/>
        </w:rPr>
        <w:t>ראיות לעונש</w:t>
      </w:r>
    </w:p>
    <w:p w14:paraId="16F61E4F" w14:textId="77777777" w:rsidR="006D1E00" w:rsidRDefault="006D1E00" w:rsidP="006D1E00">
      <w:pPr>
        <w:spacing w:line="360" w:lineRule="auto"/>
        <w:jc w:val="both"/>
        <w:rPr>
          <w:rFonts w:cs="FrankRuehl"/>
          <w:sz w:val="28"/>
          <w:szCs w:val="28"/>
        </w:rPr>
      </w:pPr>
      <w:r>
        <w:rPr>
          <w:rFonts w:cs="FrankRuehl" w:hint="cs"/>
          <w:sz w:val="28"/>
          <w:szCs w:val="28"/>
          <w:rtl/>
        </w:rPr>
        <w:t xml:space="preserve">כאמור רישומו הפלילי של הנאשם מכביד. יחד עם זאת, אין לא הרשעות קודמות בסחר בסמים, והעבירה האחרונה שביצע הייתה בשנת 2010 ומלבד התיקים שלפנינו לא נפתחו תיקים חדשים, גם לא במהלך משפטו, דבר המעיד על התייצבות. </w:t>
      </w:r>
    </w:p>
    <w:p w14:paraId="7AF585E7" w14:textId="77777777" w:rsidR="006D1E00" w:rsidRDefault="006D1E00" w:rsidP="006D1E00">
      <w:pPr>
        <w:jc w:val="both"/>
        <w:rPr>
          <w:rFonts w:cs="FrankRuehl"/>
          <w:b/>
          <w:bCs/>
          <w:sz w:val="28"/>
          <w:szCs w:val="28"/>
          <w:u w:val="single"/>
          <w:rtl/>
        </w:rPr>
      </w:pPr>
    </w:p>
    <w:p w14:paraId="381EDA84" w14:textId="77777777" w:rsidR="006D1E00" w:rsidRDefault="006D1E00" w:rsidP="006D1E00">
      <w:pPr>
        <w:spacing w:line="360" w:lineRule="auto"/>
        <w:jc w:val="both"/>
        <w:rPr>
          <w:rFonts w:cs="FrankRuehl"/>
          <w:b/>
          <w:bCs/>
          <w:sz w:val="28"/>
          <w:szCs w:val="28"/>
          <w:u w:val="single"/>
          <w:rtl/>
        </w:rPr>
      </w:pPr>
      <w:r>
        <w:rPr>
          <w:rFonts w:cs="FrankRuehl"/>
          <w:b/>
          <w:bCs/>
          <w:sz w:val="28"/>
          <w:szCs w:val="28"/>
          <w:u w:val="single"/>
          <w:rtl/>
        </w:rPr>
        <w:t>טיעונים לעונש</w:t>
      </w:r>
    </w:p>
    <w:p w14:paraId="12B1CD80" w14:textId="77777777" w:rsidR="006D1E00" w:rsidRDefault="006D1E00" w:rsidP="006D1E00">
      <w:pPr>
        <w:spacing w:line="360" w:lineRule="auto"/>
        <w:jc w:val="both"/>
        <w:rPr>
          <w:rFonts w:cs="FrankRuehl"/>
          <w:sz w:val="28"/>
          <w:szCs w:val="28"/>
          <w:rtl/>
        </w:rPr>
      </w:pPr>
      <w:r>
        <w:rPr>
          <w:rFonts w:cs="FrankRuehl"/>
          <w:sz w:val="28"/>
          <w:szCs w:val="28"/>
          <w:rtl/>
        </w:rPr>
        <w:t xml:space="preserve">הצדדים לא הגיעו להסכמה עונשית. </w:t>
      </w:r>
    </w:p>
    <w:p w14:paraId="4A256F48" w14:textId="77777777" w:rsidR="006D1E00" w:rsidRDefault="006D1E00" w:rsidP="006D1E00">
      <w:pPr>
        <w:spacing w:line="360" w:lineRule="auto"/>
        <w:jc w:val="both"/>
        <w:rPr>
          <w:rFonts w:cs="FrankRuehl"/>
          <w:sz w:val="28"/>
          <w:szCs w:val="28"/>
          <w:rtl/>
        </w:rPr>
      </w:pPr>
      <w:r>
        <w:rPr>
          <w:rFonts w:cs="FrankRuehl"/>
          <w:sz w:val="28"/>
          <w:szCs w:val="28"/>
          <w:rtl/>
        </w:rPr>
        <w:t xml:space="preserve">מחד, ב"כ המאשימה </w:t>
      </w:r>
      <w:r>
        <w:rPr>
          <w:rFonts w:cs="FrankRuehl" w:hint="cs"/>
          <w:sz w:val="28"/>
          <w:szCs w:val="28"/>
          <w:rtl/>
        </w:rPr>
        <w:t xml:space="preserve">עתרה להטיל על הנאשם עונש מאסר ממושך בעיקר נוכח עברו הפלילי המכביד. מאידך, הסניגור ביקש לאמץ את המלצת שירות המבחן. </w:t>
      </w:r>
    </w:p>
    <w:p w14:paraId="192AF773" w14:textId="77777777" w:rsidR="006D1E00" w:rsidRDefault="006D1E00" w:rsidP="006D1E00">
      <w:pPr>
        <w:jc w:val="both"/>
        <w:rPr>
          <w:rFonts w:cs="FrankRuehl"/>
          <w:sz w:val="28"/>
          <w:szCs w:val="28"/>
          <w:rtl/>
        </w:rPr>
      </w:pPr>
    </w:p>
    <w:p w14:paraId="2063A589" w14:textId="77777777" w:rsidR="006D1E00" w:rsidRDefault="006D1E00" w:rsidP="006D1E00">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29D2396F" w14:textId="77777777" w:rsidR="006D1E00" w:rsidRDefault="006D1E00" w:rsidP="006D1E00">
      <w:pPr>
        <w:jc w:val="both"/>
        <w:rPr>
          <w:rFonts w:cs="FrankRuehl"/>
          <w:b/>
          <w:bCs/>
          <w:sz w:val="28"/>
          <w:szCs w:val="28"/>
          <w:u w:val="single"/>
        </w:rPr>
      </w:pPr>
    </w:p>
    <w:p w14:paraId="00F227CD" w14:textId="77777777" w:rsidR="006D1E00" w:rsidRDefault="006D1E00" w:rsidP="006D1E00">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–ברע"פ </w:t>
      </w:r>
      <w:hyperlink r:id="rId21" w:history="1">
        <w:r w:rsidR="00517E19" w:rsidRPr="00517E19">
          <w:rPr>
            <w:rFonts w:cs="FrankRuehl"/>
            <w:color w:val="0000FF"/>
            <w:sz w:val="28"/>
            <w:szCs w:val="28"/>
            <w:u w:val="single"/>
            <w:rtl/>
          </w:rPr>
          <w:t>3343/07</w:t>
        </w:r>
      </w:hyperlink>
      <w:r>
        <w:rPr>
          <w:rFonts w:cs="FrankRuehl"/>
          <w:sz w:val="28"/>
          <w:szCs w:val="28"/>
          <w:rtl/>
        </w:rPr>
        <w:t xml:space="preserve">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r>
        <w:rPr>
          <w:rFonts w:cs="FrankRuehl" w:hint="cs"/>
          <w:sz w:val="28"/>
          <w:szCs w:val="28"/>
          <w:rtl/>
        </w:rPr>
        <w:t xml:space="preserve"> בעניינו הפגיעה בערך המוגן נמוכה, לנוכח כמות סם וסוגו.</w:t>
      </w:r>
    </w:p>
    <w:p w14:paraId="64ED9A18" w14:textId="77777777" w:rsidR="006D1E00" w:rsidRDefault="006D1E00" w:rsidP="006D1E00">
      <w:pPr>
        <w:jc w:val="both"/>
        <w:rPr>
          <w:rFonts w:cs="FrankRuehl"/>
          <w:sz w:val="28"/>
          <w:szCs w:val="28"/>
          <w:rtl/>
        </w:rPr>
      </w:pPr>
    </w:p>
    <w:p w14:paraId="0A3D7486" w14:textId="77777777" w:rsidR="006D1E00" w:rsidRDefault="006D1E00" w:rsidP="006D1E00">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2" w:history="1">
        <w:r w:rsidR="000444C2" w:rsidRPr="000444C2">
          <w:rPr>
            <w:rStyle w:val="Hyperlink"/>
            <w:rFonts w:cs="FrankRuehl"/>
            <w:b/>
            <w:bCs/>
            <w:sz w:val="28"/>
            <w:szCs w:val="28"/>
            <w:rtl/>
          </w:rPr>
          <w:t>סעיף 40ט'</w:t>
        </w:r>
      </w:hyperlink>
      <w:r>
        <w:rPr>
          <w:rFonts w:cs="FrankRuehl"/>
          <w:b/>
          <w:bCs/>
          <w:sz w:val="28"/>
          <w:szCs w:val="28"/>
          <w:u w:val="single"/>
          <w:rtl/>
        </w:rPr>
        <w:t xml:space="preserve"> ל</w:t>
      </w:r>
      <w:hyperlink r:id="rId23" w:history="1">
        <w:r w:rsidR="00E07A9E" w:rsidRPr="00E07A9E">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לעניין התיק העיקרי, </w:t>
      </w:r>
      <w:r w:rsidRPr="00D04188">
        <w:rPr>
          <w:rFonts w:cs="FrankRuehl"/>
          <w:sz w:val="28"/>
          <w:szCs w:val="28"/>
          <w:rtl/>
        </w:rPr>
        <w:t>מדובר בשלוש הזד</w:t>
      </w:r>
      <w:r>
        <w:rPr>
          <w:rFonts w:cs="FrankRuehl"/>
          <w:sz w:val="28"/>
          <w:szCs w:val="28"/>
          <w:rtl/>
        </w:rPr>
        <w:t xml:space="preserve">מנויות של סחר בסם שתואמו </w:t>
      </w:r>
      <w:r>
        <w:rPr>
          <w:rFonts w:cs="FrankRuehl" w:hint="cs"/>
          <w:sz w:val="28"/>
          <w:szCs w:val="28"/>
          <w:rtl/>
        </w:rPr>
        <w:t>מראש</w:t>
      </w:r>
      <w:r w:rsidRPr="00D04188">
        <w:rPr>
          <w:rFonts w:cs="FrankRuehl"/>
          <w:sz w:val="28"/>
          <w:szCs w:val="28"/>
          <w:rtl/>
        </w:rPr>
        <w:t>, כך שניתן לומר שמדובר בעניין שתוכנן ע"י הנאשם והיה בשליטתו</w:t>
      </w:r>
      <w:r>
        <w:rPr>
          <w:rFonts w:cs="FrankRuehl" w:hint="cs"/>
          <w:sz w:val="28"/>
          <w:szCs w:val="28"/>
          <w:rtl/>
        </w:rPr>
        <w:t xml:space="preserve"> </w:t>
      </w:r>
      <w:r>
        <w:rPr>
          <w:rFonts w:cs="FrankRuehl"/>
          <w:sz w:val="28"/>
          <w:szCs w:val="28"/>
          <w:rtl/>
        </w:rPr>
        <w:t>–</w:t>
      </w:r>
      <w:r>
        <w:rPr>
          <w:rFonts w:cs="FrankRuehl" w:hint="cs"/>
          <w:sz w:val="28"/>
          <w:szCs w:val="28"/>
          <w:rtl/>
        </w:rPr>
        <w:t xml:space="preserve"> דברי הנאשם לגבי טענות הסוכן שהכיר לכאורה את קרוב משפחתו לא נסתרו ע"י המאשימה ואני מקבלן כנסיבה לקולא</w:t>
      </w:r>
      <w:r w:rsidRPr="00D04188">
        <w:rPr>
          <w:rFonts w:cs="FrankRuehl"/>
          <w:sz w:val="28"/>
          <w:szCs w:val="28"/>
          <w:rtl/>
        </w:rPr>
        <w:t>; סחר בסמים הוא נוהג מזיק לפרט ולחברה כאחד כפי שציינתי לעיל; הנאשם שהנו אדם בוגר, יכול היה להימנע מן המעשים בהבינו את הפסול שבהם.</w:t>
      </w:r>
      <w:r>
        <w:rPr>
          <w:rFonts w:cs="FrankRuehl" w:hint="cs"/>
          <w:sz w:val="28"/>
          <w:szCs w:val="28"/>
          <w:rtl/>
        </w:rPr>
        <w:t xml:space="preserve"> באשר לתיק המצורף, מדובר בעבירה מתוכננת, שכן הנאשם החזיק את הסמים בביתו, מדובר בכמות קטנה.</w:t>
      </w:r>
    </w:p>
    <w:p w14:paraId="72ABE389" w14:textId="77777777" w:rsidR="006D1E00" w:rsidRDefault="006D1E00" w:rsidP="006D1E00">
      <w:pPr>
        <w:jc w:val="both"/>
        <w:rPr>
          <w:rFonts w:cs="FrankRuehl"/>
          <w:b/>
          <w:bCs/>
          <w:sz w:val="28"/>
          <w:szCs w:val="28"/>
          <w:u w:val="single"/>
          <w:rtl/>
        </w:rPr>
      </w:pPr>
    </w:p>
    <w:p w14:paraId="4744FB13" w14:textId="77777777" w:rsidR="006D1E00" w:rsidRDefault="006D1E00" w:rsidP="006D1E00">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F34895">
        <w:rPr>
          <w:rFonts w:cs="FrankRuehl"/>
          <w:sz w:val="28"/>
          <w:szCs w:val="28"/>
          <w:rtl/>
        </w:rPr>
        <w:t>סקירת הפסיקה בנסיבות דומות (אותו סוג סם) מלמדת על ענישה של מאסר בפועל לחודשים ספורים. ב</w:t>
      </w:r>
      <w:hyperlink r:id="rId24" w:history="1">
        <w:r w:rsidR="00E07A9E" w:rsidRPr="00E07A9E">
          <w:rPr>
            <w:rFonts w:cs="FrankRuehl"/>
            <w:color w:val="0000FF"/>
            <w:sz w:val="28"/>
            <w:szCs w:val="28"/>
            <w:u w:val="single"/>
            <w:rtl/>
          </w:rPr>
          <w:t>רע"פ 5712/16</w:t>
        </w:r>
      </w:hyperlink>
      <w:r w:rsidRPr="00F34895">
        <w:rPr>
          <w:rFonts w:cs="FrankRuehl"/>
          <w:sz w:val="28"/>
          <w:szCs w:val="28"/>
          <w:rtl/>
        </w:rPr>
        <w:t xml:space="preserve"> </w:t>
      </w:r>
      <w:r w:rsidRPr="00F34895">
        <w:rPr>
          <w:rFonts w:cs="FrankRuehl"/>
          <w:b/>
          <w:bCs/>
          <w:sz w:val="28"/>
          <w:szCs w:val="28"/>
          <w:u w:val="single"/>
          <w:rtl/>
        </w:rPr>
        <w:t>אייזנבך</w:t>
      </w:r>
      <w:r w:rsidRPr="00F34895">
        <w:rPr>
          <w:rFonts w:cs="FrankRuehl"/>
          <w:sz w:val="28"/>
          <w:szCs w:val="28"/>
          <w:rtl/>
        </w:rPr>
        <w:t xml:space="preserve"> נ' </w:t>
      </w:r>
      <w:r w:rsidRPr="00F34895">
        <w:rPr>
          <w:rFonts w:cs="FrankRuehl"/>
          <w:b/>
          <w:bCs/>
          <w:sz w:val="28"/>
          <w:szCs w:val="28"/>
          <w:u w:val="single"/>
          <w:rtl/>
        </w:rPr>
        <w:t>מ"י</w:t>
      </w:r>
      <w:r w:rsidRPr="00F34895">
        <w:rPr>
          <w:rFonts w:cs="FrankRuehl"/>
          <w:sz w:val="28"/>
          <w:szCs w:val="28"/>
          <w:rtl/>
        </w:rPr>
        <w:t xml:space="preserve"> (מיום 17.8.2016) בנסיבות של 4 עסקאות במשקל גדול יותר, נקבע מתחם ענישה בין 8 ל-24 חודשים ונגזר עונש מאסר בן 8 חודשים; ב</w:t>
      </w:r>
      <w:hyperlink r:id="rId25" w:history="1">
        <w:r w:rsidR="00E07A9E" w:rsidRPr="00E07A9E">
          <w:rPr>
            <w:rFonts w:cs="FrankRuehl"/>
            <w:color w:val="0000FF"/>
            <w:sz w:val="28"/>
            <w:szCs w:val="28"/>
            <w:u w:val="single"/>
            <w:rtl/>
          </w:rPr>
          <w:t>רע"פ 2139/16</w:t>
        </w:r>
      </w:hyperlink>
      <w:r w:rsidRPr="00F34895">
        <w:rPr>
          <w:rFonts w:cs="FrankRuehl"/>
          <w:sz w:val="28"/>
          <w:szCs w:val="28"/>
          <w:rtl/>
        </w:rPr>
        <w:t xml:space="preserve"> </w:t>
      </w:r>
      <w:r w:rsidRPr="00F34895">
        <w:rPr>
          <w:rFonts w:cs="FrankRuehl"/>
          <w:b/>
          <w:bCs/>
          <w:sz w:val="28"/>
          <w:szCs w:val="28"/>
          <w:u w:val="single"/>
          <w:rtl/>
        </w:rPr>
        <w:t>אברמס</w:t>
      </w:r>
      <w:r w:rsidRPr="00F34895">
        <w:rPr>
          <w:rFonts w:cs="FrankRuehl"/>
          <w:sz w:val="28"/>
          <w:szCs w:val="28"/>
          <w:rtl/>
        </w:rPr>
        <w:t xml:space="preserve"> נ' </w:t>
      </w:r>
      <w:r w:rsidRPr="00F34895">
        <w:rPr>
          <w:rFonts w:cs="FrankRuehl"/>
          <w:b/>
          <w:bCs/>
          <w:sz w:val="28"/>
          <w:szCs w:val="28"/>
          <w:u w:val="single"/>
          <w:rtl/>
        </w:rPr>
        <w:t>מ"י</w:t>
      </w:r>
      <w:r w:rsidRPr="00F34895">
        <w:rPr>
          <w:rFonts w:cs="FrankRuehl"/>
          <w:sz w:val="28"/>
          <w:szCs w:val="28"/>
          <w:rtl/>
        </w:rPr>
        <w:t xml:space="preserve"> (מיום 18.5.2016) שם בוצעו 3 עסקאות בכמויות סם גדולות יותר, נקבע מתחם שבין 8 ל-27 חודשי מאסר ונגזרו 8 חודשי מאסר בפועל; בעפ"ג (מחוזי י-ם) </w:t>
      </w:r>
      <w:r w:rsidRPr="00F34895">
        <w:rPr>
          <w:rFonts w:cs="FrankRuehl"/>
          <w:b/>
          <w:bCs/>
          <w:sz w:val="28"/>
          <w:szCs w:val="28"/>
          <w:u w:val="single"/>
          <w:rtl/>
        </w:rPr>
        <w:t>רוזנברג</w:t>
      </w:r>
      <w:r w:rsidRPr="00F34895">
        <w:rPr>
          <w:rFonts w:cs="FrankRuehl"/>
          <w:sz w:val="28"/>
          <w:szCs w:val="28"/>
          <w:rtl/>
        </w:rPr>
        <w:t xml:space="preserve"> נ' </w:t>
      </w:r>
      <w:r w:rsidRPr="00F34895">
        <w:rPr>
          <w:rFonts w:cs="FrankRuehl"/>
          <w:b/>
          <w:bCs/>
          <w:sz w:val="28"/>
          <w:szCs w:val="28"/>
          <w:u w:val="single"/>
          <w:rtl/>
        </w:rPr>
        <w:t>מ"י</w:t>
      </w:r>
      <w:r w:rsidRPr="00F34895">
        <w:rPr>
          <w:rFonts w:cs="FrankRuehl"/>
          <w:sz w:val="28"/>
          <w:szCs w:val="28"/>
          <w:rtl/>
        </w:rPr>
        <w:t xml:space="preserve"> (מיום 26.6.2017) נקבע מתחם שבין מספר חודשי מאסר ל-10 חודשי מאסר בנסיבות של 2 מכירות אך בכמויות גדולות יותר – שם התייחס בית המשפט המחוזי ליחסים וההיכרות שבין הסוכן לנאשם, והדבר רלבנטי בענייננו. שם הסתפק בית המשפט המחוזי ב-49 ימי מאסר (חלף חצי שנת מאסר ויום שנגזרה על-ידי) בשל נסיבות המקרה. הסניגור היפנה לפסיקה נוהגת בנסיבות דומות ואף חמורות יותר וממנה עולה רמת ענישה של חודשי מאסר ספורים. ר' לדוגמה: </w:t>
      </w:r>
      <w:hyperlink r:id="rId26" w:history="1">
        <w:r w:rsidR="00E07A9E" w:rsidRPr="00E07A9E">
          <w:rPr>
            <w:rFonts w:cs="FrankRuehl"/>
            <w:color w:val="0000FF"/>
            <w:sz w:val="28"/>
            <w:szCs w:val="28"/>
            <w:u w:val="single"/>
            <w:rtl/>
          </w:rPr>
          <w:t>ת"פ (שלום י-ם) 67127-03-17</w:t>
        </w:r>
      </w:hyperlink>
      <w:r w:rsidRPr="00F34895">
        <w:rPr>
          <w:rFonts w:cs="FrankRuehl"/>
          <w:sz w:val="28"/>
          <w:szCs w:val="28"/>
          <w:rtl/>
        </w:rPr>
        <w:t xml:space="preserve"> </w:t>
      </w:r>
      <w:r w:rsidRPr="00F34895">
        <w:rPr>
          <w:rFonts w:cs="FrankRuehl"/>
          <w:b/>
          <w:bCs/>
          <w:sz w:val="28"/>
          <w:szCs w:val="28"/>
          <w:u w:val="single"/>
          <w:rtl/>
        </w:rPr>
        <w:t>מ"י</w:t>
      </w:r>
      <w:r w:rsidRPr="00F34895">
        <w:rPr>
          <w:rFonts w:cs="FrankRuehl"/>
          <w:sz w:val="28"/>
          <w:szCs w:val="28"/>
          <w:rtl/>
        </w:rPr>
        <w:t xml:space="preserve"> נ' </w:t>
      </w:r>
      <w:r w:rsidRPr="00F34895">
        <w:rPr>
          <w:rFonts w:cs="FrankRuehl"/>
          <w:b/>
          <w:bCs/>
          <w:sz w:val="28"/>
          <w:szCs w:val="28"/>
          <w:u w:val="single"/>
          <w:rtl/>
        </w:rPr>
        <w:t>ח'לדון</w:t>
      </w:r>
      <w:r w:rsidRPr="00F34895">
        <w:rPr>
          <w:rFonts w:cs="FrankRuehl"/>
          <w:sz w:val="28"/>
          <w:szCs w:val="28"/>
          <w:rtl/>
        </w:rPr>
        <w:t xml:space="preserve"> (מיום 19.9.2017); </w:t>
      </w:r>
      <w:hyperlink r:id="rId27" w:history="1">
        <w:r w:rsidR="00E07A9E" w:rsidRPr="00E07A9E">
          <w:rPr>
            <w:rFonts w:cs="FrankRuehl"/>
            <w:color w:val="0000FF"/>
            <w:sz w:val="28"/>
            <w:szCs w:val="28"/>
            <w:u w:val="single"/>
            <w:rtl/>
          </w:rPr>
          <w:t>ת"פ (שלום י-ם) 11321-11-16</w:t>
        </w:r>
      </w:hyperlink>
      <w:r w:rsidRPr="00F34895">
        <w:rPr>
          <w:rFonts w:cs="FrankRuehl"/>
          <w:sz w:val="28"/>
          <w:szCs w:val="28"/>
          <w:rtl/>
        </w:rPr>
        <w:t xml:space="preserve"> </w:t>
      </w:r>
      <w:r w:rsidRPr="00F34895">
        <w:rPr>
          <w:rFonts w:cs="FrankRuehl"/>
          <w:b/>
          <w:bCs/>
          <w:sz w:val="28"/>
          <w:szCs w:val="28"/>
          <w:u w:val="single"/>
          <w:rtl/>
        </w:rPr>
        <w:t>מ"י</w:t>
      </w:r>
      <w:r w:rsidRPr="00F34895">
        <w:rPr>
          <w:rFonts w:cs="FrankRuehl"/>
          <w:sz w:val="28"/>
          <w:szCs w:val="28"/>
          <w:rtl/>
        </w:rPr>
        <w:t xml:space="preserve"> נ' </w:t>
      </w:r>
      <w:r w:rsidRPr="00F34895">
        <w:rPr>
          <w:rFonts w:cs="FrankRuehl"/>
          <w:b/>
          <w:bCs/>
          <w:sz w:val="28"/>
          <w:szCs w:val="28"/>
          <w:u w:val="single"/>
          <w:rtl/>
        </w:rPr>
        <w:t>נידלמן</w:t>
      </w:r>
      <w:r w:rsidRPr="00F34895">
        <w:rPr>
          <w:rFonts w:cs="FrankRuehl"/>
          <w:sz w:val="28"/>
          <w:szCs w:val="28"/>
          <w:rtl/>
        </w:rPr>
        <w:t xml:space="preserve"> (מיום 9.1.2017);</w:t>
      </w:r>
    </w:p>
    <w:p w14:paraId="3C60EEEE" w14:textId="77777777" w:rsidR="006D1E00" w:rsidRDefault="006D1E00" w:rsidP="006D1E00">
      <w:pPr>
        <w:jc w:val="both"/>
        <w:rPr>
          <w:rFonts w:cs="FrankRuehl"/>
          <w:sz w:val="28"/>
          <w:szCs w:val="28"/>
          <w:u w:val="single"/>
          <w:rtl/>
        </w:rPr>
      </w:pPr>
    </w:p>
    <w:p w14:paraId="6DBAF0EE" w14:textId="77777777" w:rsidR="006D1E00" w:rsidRDefault="006D1E00" w:rsidP="006D1E00">
      <w:pPr>
        <w:spacing w:line="360" w:lineRule="auto"/>
        <w:jc w:val="both"/>
        <w:rPr>
          <w:rFonts w:cs="FrankRuehl"/>
          <w:b/>
          <w:bCs/>
          <w:sz w:val="28"/>
          <w:szCs w:val="28"/>
          <w:rtl/>
        </w:rPr>
      </w:pPr>
      <w:r>
        <w:rPr>
          <w:rFonts w:cs="FrankRuehl"/>
          <w:b/>
          <w:bCs/>
          <w:sz w:val="28"/>
          <w:szCs w:val="28"/>
          <w:u w:val="single"/>
          <w:rtl/>
        </w:rPr>
        <w:t>מתחם הענישה</w:t>
      </w:r>
      <w:r>
        <w:rPr>
          <w:rFonts w:cs="FrankRuehl"/>
          <w:sz w:val="28"/>
          <w:szCs w:val="28"/>
          <w:rtl/>
        </w:rPr>
        <w:t xml:space="preserve"> – לפיכך, מתחם הענישה</w:t>
      </w:r>
      <w:r>
        <w:rPr>
          <w:rFonts w:cs="FrankRuehl" w:hint="cs"/>
          <w:sz w:val="28"/>
          <w:szCs w:val="28"/>
          <w:rtl/>
        </w:rPr>
        <w:t xml:space="preserve"> בתיק העיקרי</w:t>
      </w:r>
      <w:r>
        <w:rPr>
          <w:rFonts w:cs="FrankRuehl"/>
          <w:sz w:val="28"/>
          <w:szCs w:val="28"/>
          <w:rtl/>
        </w:rPr>
        <w:t xml:space="preserve"> צריך לעמוד </w:t>
      </w:r>
      <w:r w:rsidRPr="006D1E00">
        <w:rPr>
          <w:rFonts w:ascii="Calibri" w:hAnsi="Calibri" w:cs="FrankRuehl"/>
          <w:sz w:val="28"/>
          <w:szCs w:val="28"/>
          <w:rtl/>
        </w:rPr>
        <w:t>על בין 3 חודשי מאסר עד 16 חודשי מאסר לריצוי בפועל).  המתחם מתייחס לשלושה האישומים כאל אירוע אחד, שכן מדובר באותן נסיבות ומול אותו סוכן, בפרקי זמן קצרים</w:t>
      </w:r>
      <w:r w:rsidRPr="006D1E00">
        <w:rPr>
          <w:rFonts w:ascii="Calibri" w:hAnsi="Calibri" w:cs="FrankRuehl" w:hint="cs"/>
          <w:sz w:val="28"/>
          <w:szCs w:val="28"/>
          <w:rtl/>
        </w:rPr>
        <w:t xml:space="preserve">. </w:t>
      </w:r>
      <w:r w:rsidRPr="006D1E00">
        <w:rPr>
          <w:rFonts w:ascii="Calibri" w:hAnsi="Calibri" w:cs="FrankRuehl"/>
          <w:sz w:val="28"/>
          <w:szCs w:val="28"/>
          <w:rtl/>
        </w:rPr>
        <w:t xml:space="preserve">ר' בהקשר זה: </w:t>
      </w:r>
      <w:hyperlink r:id="rId28" w:history="1">
        <w:r w:rsidR="00E07A9E" w:rsidRPr="00E07A9E">
          <w:rPr>
            <w:rFonts w:ascii="Calibri" w:hAnsi="Calibri" w:cs="FrankRuehl" w:hint="eastAsia"/>
            <w:color w:val="0000FF"/>
            <w:sz w:val="28"/>
            <w:szCs w:val="28"/>
            <w:u w:val="single"/>
            <w:rtl/>
          </w:rPr>
          <w:t>ע</w:t>
        </w:r>
        <w:r w:rsidR="00E07A9E" w:rsidRPr="00E07A9E">
          <w:rPr>
            <w:rFonts w:ascii="Calibri" w:hAnsi="Calibri" w:cs="FrankRuehl"/>
            <w:color w:val="0000FF"/>
            <w:sz w:val="28"/>
            <w:szCs w:val="28"/>
            <w:u w:val="single"/>
            <w:rtl/>
          </w:rPr>
          <w:t>"</w:t>
        </w:r>
        <w:r w:rsidR="00E07A9E" w:rsidRPr="00E07A9E">
          <w:rPr>
            <w:rFonts w:ascii="Calibri" w:hAnsi="Calibri" w:cs="FrankRuehl" w:hint="eastAsia"/>
            <w:color w:val="0000FF"/>
            <w:sz w:val="28"/>
            <w:szCs w:val="28"/>
            <w:u w:val="single"/>
            <w:rtl/>
          </w:rPr>
          <w:t>פ</w:t>
        </w:r>
        <w:r w:rsidR="00E07A9E" w:rsidRPr="00E07A9E">
          <w:rPr>
            <w:rFonts w:ascii="Calibri" w:hAnsi="Calibri" w:cs="FrankRuehl"/>
            <w:color w:val="0000FF"/>
            <w:sz w:val="28"/>
            <w:szCs w:val="28"/>
            <w:u w:val="single"/>
            <w:rtl/>
          </w:rPr>
          <w:t xml:space="preserve"> 4910/13</w:t>
        </w:r>
      </w:hyperlink>
      <w:r w:rsidRPr="006D1E00">
        <w:rPr>
          <w:rFonts w:ascii="Calibri" w:hAnsi="Calibri" w:cs="FrankRuehl"/>
          <w:sz w:val="28"/>
          <w:szCs w:val="28"/>
          <w:rtl/>
        </w:rPr>
        <w:t xml:space="preserve"> </w:t>
      </w:r>
      <w:r w:rsidRPr="006D1E00">
        <w:rPr>
          <w:rFonts w:ascii="Calibri" w:hAnsi="Calibri" w:cs="FrankRuehl"/>
          <w:b/>
          <w:bCs/>
          <w:sz w:val="28"/>
          <w:szCs w:val="28"/>
          <w:u w:val="single"/>
          <w:rtl/>
        </w:rPr>
        <w:t>בני ג'אבר</w:t>
      </w:r>
      <w:r w:rsidRPr="006D1E00">
        <w:rPr>
          <w:rFonts w:ascii="Calibri" w:hAnsi="Calibri" w:cs="FrankRuehl"/>
          <w:sz w:val="28"/>
          <w:szCs w:val="28"/>
          <w:rtl/>
        </w:rPr>
        <w:t xml:space="preserve"> נ'</w:t>
      </w:r>
      <w:r w:rsidRPr="006D1E00">
        <w:rPr>
          <w:rFonts w:ascii="Calibri" w:hAnsi="Calibri" w:cs="FrankRuehl"/>
          <w:b/>
          <w:bCs/>
          <w:sz w:val="28"/>
          <w:szCs w:val="28"/>
          <w:u w:val="single"/>
          <w:rtl/>
        </w:rPr>
        <w:t xml:space="preserve"> מ"י</w:t>
      </w:r>
      <w:r w:rsidRPr="006D1E00">
        <w:rPr>
          <w:rFonts w:ascii="Calibri" w:hAnsi="Calibri" w:cs="FrankRuehl"/>
          <w:sz w:val="28"/>
          <w:szCs w:val="28"/>
          <w:rtl/>
        </w:rPr>
        <w:t xml:space="preserve"> (מיום 29.10.2014).</w:t>
      </w:r>
      <w:r>
        <w:rPr>
          <w:rFonts w:cs="FrankRuehl" w:hint="cs"/>
          <w:b/>
          <w:bCs/>
          <w:sz w:val="28"/>
          <w:szCs w:val="28"/>
          <w:rtl/>
        </w:rPr>
        <w:t xml:space="preserve"> </w:t>
      </w:r>
      <w:r w:rsidRPr="00F34895">
        <w:rPr>
          <w:rFonts w:cs="FrankRuehl" w:hint="cs"/>
          <w:sz w:val="28"/>
          <w:szCs w:val="28"/>
          <w:rtl/>
        </w:rPr>
        <w:t>אשר לתיק המצורף, מתחם הענישה צריך לנוע בין מאסר על תנאי ושל"ץ ועד 6 חודשי מאסר בפועל.</w:t>
      </w:r>
      <w:r>
        <w:rPr>
          <w:rFonts w:cs="FrankRuehl" w:hint="cs"/>
          <w:b/>
          <w:bCs/>
          <w:sz w:val="28"/>
          <w:szCs w:val="28"/>
          <w:rtl/>
        </w:rPr>
        <w:t xml:space="preserve"> </w:t>
      </w:r>
    </w:p>
    <w:p w14:paraId="37B9DDD0" w14:textId="77777777" w:rsidR="006D1E00" w:rsidRDefault="006D1E00" w:rsidP="006D1E00">
      <w:pPr>
        <w:jc w:val="both"/>
        <w:rPr>
          <w:rFonts w:cs="FrankRuehl"/>
          <w:b/>
          <w:bCs/>
          <w:sz w:val="28"/>
          <w:szCs w:val="28"/>
          <w:rtl/>
        </w:rPr>
      </w:pPr>
    </w:p>
    <w:p w14:paraId="707F3812" w14:textId="77777777" w:rsidR="006D1E00" w:rsidRDefault="006D1E00" w:rsidP="006D1E00">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9" w:history="1">
        <w:r w:rsidR="000444C2" w:rsidRPr="000444C2">
          <w:rPr>
            <w:rStyle w:val="Hyperlink"/>
            <w:rFonts w:cs="FrankRuehl"/>
            <w:b/>
            <w:bCs/>
            <w:sz w:val="28"/>
            <w:szCs w:val="28"/>
            <w:rtl/>
          </w:rPr>
          <w:t>סעיף 40י"א</w:t>
        </w:r>
      </w:hyperlink>
      <w:r>
        <w:rPr>
          <w:rFonts w:cs="FrankRuehl"/>
          <w:b/>
          <w:bCs/>
          <w:sz w:val="28"/>
          <w:szCs w:val="28"/>
          <w:u w:val="single"/>
          <w:rtl/>
        </w:rPr>
        <w:t xml:space="preserve"> ל</w:t>
      </w:r>
      <w:hyperlink r:id="rId30" w:history="1">
        <w:r w:rsidR="00E07A9E" w:rsidRPr="00E07A9E">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קיבל אחרית לשני התיקים ולא פתח תיקים חדשים. עברו הפלילי הוא מכביד ועומד לנאשם לרועץ. נסיבותיו האישיות של הנאשם קשות מאוד, והוא מתמודד כעת עם מחלה מסכנת חיים. למרות קשייו, ולמרות שנכשלו נסיונות הגמילה שביצע, הוא מתפקד באופן נורמטיבי, ובוודאי שבשנים האחרונות, בהן לא פתח תיקים חדשים. אכן נדמה כי הנאשם, בדרכו, עשה תפנית על-פי יכולותיו, ויש לברכו על כך.</w:t>
      </w:r>
    </w:p>
    <w:p w14:paraId="5B96FDA1" w14:textId="77777777" w:rsidR="006D1E00" w:rsidRDefault="006D1E00" w:rsidP="006D1E00">
      <w:pPr>
        <w:spacing w:line="360" w:lineRule="auto"/>
        <w:jc w:val="both"/>
        <w:rPr>
          <w:rFonts w:cs="FrankRuehl"/>
          <w:sz w:val="28"/>
          <w:szCs w:val="28"/>
          <w:rtl/>
        </w:rPr>
      </w:pPr>
    </w:p>
    <w:p w14:paraId="4A8CE354" w14:textId="77777777" w:rsidR="006D1E00" w:rsidRDefault="006D1E00" w:rsidP="006D1E00">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בלא חריגה משיקולי צדק כפי שיפורט להלן, היה מקום למקם את הנאשם באמצע המתחמים שקבעתי.</w:t>
      </w:r>
    </w:p>
    <w:p w14:paraId="19F9DF31" w14:textId="77777777" w:rsidR="006D1E00" w:rsidRDefault="006D1E00" w:rsidP="006D1E00">
      <w:pPr>
        <w:spacing w:line="360" w:lineRule="auto"/>
        <w:jc w:val="both"/>
        <w:rPr>
          <w:rFonts w:cs="FrankRuehl"/>
          <w:b/>
          <w:bCs/>
          <w:sz w:val="28"/>
          <w:szCs w:val="28"/>
          <w:u w:val="single"/>
          <w:rtl/>
        </w:rPr>
      </w:pPr>
    </w:p>
    <w:p w14:paraId="21F40DD4" w14:textId="77777777" w:rsidR="006D1E00" w:rsidRPr="0073197E" w:rsidRDefault="006D1E00" w:rsidP="006D1E00">
      <w:pPr>
        <w:spacing w:after="160" w:line="360" w:lineRule="auto"/>
        <w:jc w:val="both"/>
        <w:rPr>
          <w:rFonts w:ascii="FrankRuehl" w:hAnsi="FrankRuehl" w:cs="FrankRuehl"/>
          <w:sz w:val="28"/>
          <w:szCs w:val="28"/>
        </w:rPr>
      </w:pPr>
      <w:r w:rsidRPr="0073197E">
        <w:rPr>
          <w:rFonts w:ascii="FrankRuehl" w:hAnsi="FrankRuehl" w:cs="FrankRuehl"/>
          <w:b/>
          <w:bCs/>
          <w:sz w:val="28"/>
          <w:szCs w:val="28"/>
          <w:u w:val="single"/>
          <w:rtl/>
        </w:rPr>
        <w:t xml:space="preserve">חריגה מהמתחם לקולא </w:t>
      </w:r>
      <w:r w:rsidRPr="0073197E">
        <w:rPr>
          <w:rFonts w:ascii="FrankRuehl" w:hAnsi="FrankRuehl" w:cs="FrankRuehl"/>
          <w:sz w:val="28"/>
          <w:szCs w:val="28"/>
          <w:rtl/>
        </w:rPr>
        <w:t xml:space="preserve">– בענייננו אין מתקיים חריג ה"שיקום" כמבואר </w:t>
      </w:r>
      <w:hyperlink r:id="rId31" w:history="1">
        <w:r w:rsidR="000444C2" w:rsidRPr="000444C2">
          <w:rPr>
            <w:rStyle w:val="Hyperlink"/>
            <w:rFonts w:ascii="FrankRuehl" w:hAnsi="FrankRuehl" w:cs="FrankRuehl" w:hint="eastAsia"/>
            <w:sz w:val="28"/>
            <w:szCs w:val="28"/>
            <w:rtl/>
          </w:rPr>
          <w:t>בסעיף</w:t>
        </w:r>
        <w:r w:rsidR="000444C2" w:rsidRPr="000444C2">
          <w:rPr>
            <w:rStyle w:val="Hyperlink"/>
            <w:rFonts w:ascii="FrankRuehl" w:hAnsi="FrankRuehl" w:cs="FrankRuehl"/>
            <w:sz w:val="28"/>
            <w:szCs w:val="28"/>
            <w:rtl/>
          </w:rPr>
          <w:t xml:space="preserve"> 40ד'</w:t>
        </w:r>
      </w:hyperlink>
      <w:r w:rsidRPr="0073197E">
        <w:rPr>
          <w:rFonts w:ascii="FrankRuehl" w:hAnsi="FrankRuehl" w:cs="FrankRuehl"/>
          <w:sz w:val="28"/>
          <w:szCs w:val="28"/>
          <w:rtl/>
        </w:rPr>
        <w:t xml:space="preserve"> ל</w:t>
      </w:r>
      <w:hyperlink r:id="rId32" w:history="1">
        <w:r w:rsidR="00E07A9E" w:rsidRPr="00E07A9E">
          <w:rPr>
            <w:rFonts w:ascii="FrankRuehl" w:hAnsi="FrankRuehl" w:cs="FrankRuehl"/>
            <w:color w:val="0000FF"/>
            <w:sz w:val="28"/>
            <w:szCs w:val="28"/>
            <w:u w:val="single"/>
            <w:rtl/>
          </w:rPr>
          <w:t>חוק העונשין</w:t>
        </w:r>
      </w:hyperlink>
      <w:r w:rsidRPr="0073197E">
        <w:rPr>
          <w:rFonts w:ascii="FrankRuehl" w:hAnsi="FrankRuehl" w:cs="FrankRuehl"/>
          <w:sz w:val="28"/>
          <w:szCs w:val="28"/>
          <w:rtl/>
        </w:rPr>
        <w:t xml:space="preserve">. אלא שנסיבותיו של הנאשם חריגות, לרבות גילו, מצבו הרפואי והמחלה ממנה הוא סובל, </w:t>
      </w:r>
      <w:r>
        <w:rPr>
          <w:rFonts w:ascii="FrankRuehl" w:hAnsi="FrankRuehl" w:cs="FrankRuehl" w:hint="cs"/>
          <w:sz w:val="28"/>
          <w:szCs w:val="28"/>
          <w:rtl/>
        </w:rPr>
        <w:t>שהיא מחלה מסכנת חיים ואף סופנית.</w:t>
      </w:r>
      <w:r w:rsidRPr="0073197E">
        <w:rPr>
          <w:rFonts w:ascii="FrankRuehl" w:hAnsi="FrankRuehl" w:cs="FrankRuehl"/>
          <w:sz w:val="28"/>
          <w:szCs w:val="28"/>
          <w:rtl/>
        </w:rPr>
        <w:t xml:space="preserve"> בנסיבות אלו, אני סבור כי ראוי לאמץ את הפתרון שהוצע ע"י בית המשפט העליון ב-</w:t>
      </w:r>
      <w:hyperlink r:id="rId33" w:history="1">
        <w:r w:rsidR="00E07A9E" w:rsidRPr="00E07A9E">
          <w:rPr>
            <w:rFonts w:ascii="FrankRuehl" w:hAnsi="FrankRuehl" w:cs="FrankRuehl"/>
            <w:color w:val="0000FF"/>
            <w:sz w:val="28"/>
            <w:szCs w:val="28"/>
            <w:u w:val="single"/>
            <w:rtl/>
          </w:rPr>
          <w:t>ע"פ 4456/14</w:t>
        </w:r>
      </w:hyperlink>
      <w:r w:rsidRPr="0073197E">
        <w:rPr>
          <w:rFonts w:ascii="FrankRuehl" w:hAnsi="FrankRuehl" w:cs="FrankRuehl"/>
          <w:sz w:val="28"/>
          <w:szCs w:val="28"/>
          <w:rtl/>
        </w:rPr>
        <w:t xml:space="preserve"> </w:t>
      </w:r>
      <w:r w:rsidRPr="0073197E">
        <w:rPr>
          <w:rFonts w:ascii="FrankRuehl" w:hAnsi="FrankRuehl" w:cs="FrankRuehl"/>
          <w:b/>
          <w:bCs/>
          <w:sz w:val="28"/>
          <w:szCs w:val="28"/>
          <w:u w:val="single"/>
          <w:rtl/>
        </w:rPr>
        <w:t>קלנר ואח'</w:t>
      </w:r>
      <w:r w:rsidRPr="0073197E">
        <w:rPr>
          <w:rFonts w:ascii="FrankRuehl" w:hAnsi="FrankRuehl" w:cs="FrankRuehl"/>
          <w:sz w:val="28"/>
          <w:szCs w:val="28"/>
          <w:rtl/>
        </w:rPr>
        <w:t xml:space="preserve"> נ' </w:t>
      </w:r>
      <w:r w:rsidRPr="0073197E">
        <w:rPr>
          <w:rFonts w:ascii="FrankRuehl" w:hAnsi="FrankRuehl" w:cs="FrankRuehl"/>
          <w:b/>
          <w:bCs/>
          <w:sz w:val="28"/>
          <w:szCs w:val="28"/>
          <w:u w:val="single"/>
          <w:rtl/>
        </w:rPr>
        <w:t>מ"י</w:t>
      </w:r>
      <w:r w:rsidRPr="0073197E">
        <w:rPr>
          <w:rFonts w:ascii="FrankRuehl" w:hAnsi="FrankRuehl" w:cs="FrankRuehl"/>
          <w:sz w:val="28"/>
          <w:szCs w:val="28"/>
          <w:rtl/>
        </w:rPr>
        <w:t xml:space="preserve"> (מיום 29.12.2015, להלן – </w:t>
      </w:r>
      <w:r w:rsidRPr="0073197E">
        <w:rPr>
          <w:rFonts w:ascii="FrankRuehl" w:hAnsi="FrankRuehl" w:cs="FrankRuehl"/>
          <w:b/>
          <w:bCs/>
          <w:sz w:val="28"/>
          <w:szCs w:val="28"/>
          <w:rtl/>
        </w:rPr>
        <w:t>עניין לופוליאנסקי</w:t>
      </w:r>
      <w:r w:rsidRPr="0073197E">
        <w:rPr>
          <w:rFonts w:ascii="FrankRuehl" w:hAnsi="FrankRuehl" w:cs="FrankRuehl"/>
          <w:sz w:val="28"/>
          <w:szCs w:val="28"/>
          <w:rtl/>
        </w:rPr>
        <w:t xml:space="preserve">), והוא חריגה מ"שיקולי צדק" (ר' סעיפים 212-218 לפסק דינו של כב' השופט פוגלמן). נקבע אמנם, כי מדובר בחריג שבחריגים, ואולם אני סבור כי יש לאמץ גישה זו כאן לנוכח הטעמים האישיים עליהם עמדתי. </w:t>
      </w:r>
    </w:p>
    <w:p w14:paraId="2AC34C3E" w14:textId="77777777" w:rsidR="006D1E00" w:rsidRDefault="006D1E00" w:rsidP="006D1E00">
      <w:pPr>
        <w:spacing w:line="360" w:lineRule="auto"/>
        <w:jc w:val="both"/>
        <w:rPr>
          <w:rFonts w:cs="FrankRuehl"/>
          <w:b/>
          <w:bCs/>
          <w:sz w:val="28"/>
          <w:szCs w:val="28"/>
          <w:u w:val="single"/>
          <w:rtl/>
        </w:rPr>
      </w:pPr>
      <w:r>
        <w:rPr>
          <w:rFonts w:cs="FrankRuehl"/>
          <w:b/>
          <w:bCs/>
          <w:sz w:val="28"/>
          <w:szCs w:val="28"/>
          <w:u w:val="single"/>
          <w:rtl/>
        </w:rPr>
        <w:t>גזירת הדין</w:t>
      </w:r>
    </w:p>
    <w:p w14:paraId="2150B247" w14:textId="77777777" w:rsidR="006D1E00" w:rsidRDefault="006D1E00" w:rsidP="006D1E00">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2FD419C6" w14:textId="77777777" w:rsidR="006D1E00" w:rsidRDefault="006D1E00" w:rsidP="006D1E00">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במשך שלוש שנים מהיום כל עבירת סוג עוון לפי פקודת הסמים;</w:t>
      </w:r>
    </w:p>
    <w:p w14:paraId="76ED7B72" w14:textId="77777777" w:rsidR="006D1E00" w:rsidRDefault="006D1E00" w:rsidP="006D1E00">
      <w:pPr>
        <w:numPr>
          <w:ilvl w:val="0"/>
          <w:numId w:val="1"/>
        </w:numPr>
        <w:spacing w:after="160" w:line="360" w:lineRule="auto"/>
        <w:contextualSpacing/>
        <w:jc w:val="both"/>
        <w:rPr>
          <w:rFonts w:cs="FrankRuehl"/>
          <w:sz w:val="28"/>
          <w:szCs w:val="28"/>
        </w:rPr>
      </w:pPr>
      <w:r>
        <w:rPr>
          <w:rFonts w:cs="FrankRuehl" w:hint="cs"/>
          <w:sz w:val="28"/>
          <w:szCs w:val="28"/>
          <w:rtl/>
        </w:rPr>
        <w:t xml:space="preserve">6 חודשי מאסר וזאת על-תנאי למשך שלוש שנים מהיום, שלא יעבור הנאשם כל עבירת פשע לפי </w:t>
      </w:r>
      <w:hyperlink r:id="rId34" w:history="1">
        <w:r w:rsidR="00E07A9E" w:rsidRPr="00E07A9E">
          <w:rPr>
            <w:rFonts w:cs="FrankRuehl"/>
            <w:color w:val="0000FF"/>
            <w:sz w:val="28"/>
            <w:szCs w:val="28"/>
            <w:u w:val="single"/>
            <w:rtl/>
          </w:rPr>
          <w:t>פקודת הסמים המסוכנים</w:t>
        </w:r>
      </w:hyperlink>
      <w:r>
        <w:rPr>
          <w:rFonts w:cs="FrankRuehl" w:hint="cs"/>
          <w:sz w:val="28"/>
          <w:szCs w:val="28"/>
          <w:rtl/>
        </w:rPr>
        <w:t>;</w:t>
      </w:r>
    </w:p>
    <w:p w14:paraId="0FA5BF4D" w14:textId="77777777" w:rsidR="006D1E00" w:rsidRDefault="006D1E00" w:rsidP="006D1E00">
      <w:pPr>
        <w:numPr>
          <w:ilvl w:val="0"/>
          <w:numId w:val="1"/>
        </w:numPr>
        <w:spacing w:after="160" w:line="360" w:lineRule="auto"/>
        <w:contextualSpacing/>
        <w:jc w:val="both"/>
        <w:rPr>
          <w:rFonts w:cs="FrankRuehl"/>
          <w:sz w:val="28"/>
          <w:szCs w:val="28"/>
          <w:rtl/>
        </w:rPr>
      </w:pPr>
      <w:r>
        <w:rPr>
          <w:rFonts w:cs="FrankRuehl"/>
          <w:sz w:val="28"/>
          <w:szCs w:val="28"/>
          <w:rtl/>
        </w:rPr>
        <w:t>התחייבות בסך</w:t>
      </w:r>
      <w:r>
        <w:rPr>
          <w:rFonts w:cs="FrankRuehl" w:hint="cs"/>
          <w:sz w:val="28"/>
          <w:szCs w:val="28"/>
          <w:rtl/>
        </w:rPr>
        <w:t xml:space="preserve"> 5,000 </w:t>
      </w:r>
      <w:r>
        <w:rPr>
          <w:rFonts w:cs="FrankRuehl"/>
          <w:sz w:val="28"/>
          <w:szCs w:val="28"/>
          <w:rtl/>
        </w:rPr>
        <w:t xml:space="preserve"> ₪ שלא לעבור כל עביר</w:t>
      </w:r>
      <w:r>
        <w:rPr>
          <w:rFonts w:cs="FrankRuehl" w:hint="cs"/>
          <w:sz w:val="28"/>
          <w:szCs w:val="28"/>
          <w:rtl/>
        </w:rPr>
        <w:t xml:space="preserve">ת פשע לפי פקודת הסמים </w:t>
      </w:r>
      <w:r>
        <w:rPr>
          <w:rFonts w:cs="FrankRuehl"/>
          <w:sz w:val="28"/>
          <w:szCs w:val="28"/>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64A89C40" w14:textId="77777777" w:rsidR="006D1E00" w:rsidRDefault="006D1E00" w:rsidP="006D1E00">
      <w:pPr>
        <w:spacing w:line="360" w:lineRule="auto"/>
        <w:rPr>
          <w:rFonts w:ascii="FrankRuehl" w:hAnsi="FrankRuehl" w:cs="FrankRuehl"/>
          <w:sz w:val="28"/>
          <w:szCs w:val="28"/>
          <w:rtl/>
        </w:rPr>
      </w:pPr>
    </w:p>
    <w:p w14:paraId="337F34B1" w14:textId="77777777" w:rsidR="006D1E00" w:rsidRDefault="006D1E00" w:rsidP="006D1E00">
      <w:pPr>
        <w:spacing w:line="360" w:lineRule="auto"/>
        <w:rPr>
          <w:rFonts w:ascii="FrankRuehl" w:hAnsi="FrankRuehl" w:cs="FrankRuehl"/>
          <w:sz w:val="28"/>
          <w:szCs w:val="28"/>
          <w:rtl/>
        </w:rPr>
      </w:pPr>
      <w:r>
        <w:rPr>
          <w:rFonts w:ascii="FrankRuehl" w:hAnsi="FrankRuehl" w:cs="FrankRuehl" w:hint="cs"/>
          <w:sz w:val="28"/>
          <w:szCs w:val="28"/>
          <w:rtl/>
        </w:rPr>
        <w:t xml:space="preserve">נוכח מורכבות מצבו של הנאשם, לא מצאתי להטיל עליו קנס, יחד עם זאת, ככל שקיימות הפקדות בתיקים, הן תחולטנה לאוצר המדינה. </w:t>
      </w:r>
    </w:p>
    <w:p w14:paraId="3215444A" w14:textId="77777777" w:rsidR="006D1E00" w:rsidRDefault="006D1E00" w:rsidP="006D1E00">
      <w:pPr>
        <w:spacing w:line="360" w:lineRule="auto"/>
        <w:rPr>
          <w:rFonts w:ascii="FrankRuehl" w:hAnsi="FrankRuehl" w:cs="FrankRuehl"/>
          <w:sz w:val="28"/>
          <w:szCs w:val="28"/>
        </w:rPr>
      </w:pPr>
    </w:p>
    <w:p w14:paraId="74E9AA7D" w14:textId="77777777" w:rsidR="006D1E00" w:rsidRDefault="006D1E00" w:rsidP="006D1E00">
      <w:pPr>
        <w:spacing w:line="360" w:lineRule="auto"/>
        <w:rPr>
          <w:rFonts w:ascii="FrankRuehl" w:hAnsi="FrankRuehl" w:cs="FrankRuehl"/>
          <w:sz w:val="28"/>
          <w:szCs w:val="28"/>
        </w:rPr>
      </w:pPr>
      <w:r>
        <w:rPr>
          <w:rFonts w:ascii="FrankRuehl" w:hAnsi="FrankRuehl" w:cs="FrankRuehl"/>
          <w:sz w:val="28"/>
          <w:szCs w:val="28"/>
          <w:rtl/>
        </w:rPr>
        <w:t>מורה על השמדת הסמים</w:t>
      </w:r>
      <w:r>
        <w:rPr>
          <w:rFonts w:ascii="FrankRuehl" w:hAnsi="FrankRuehl" w:cs="FrankRuehl" w:hint="cs"/>
          <w:sz w:val="28"/>
          <w:szCs w:val="28"/>
          <w:rtl/>
        </w:rPr>
        <w:t xml:space="preserve"> והמוצגים. </w:t>
      </w:r>
    </w:p>
    <w:p w14:paraId="433E74EC" w14:textId="77777777" w:rsidR="006D1E00" w:rsidRPr="00E07A9E" w:rsidRDefault="00E07A9E" w:rsidP="006D1E00">
      <w:pPr>
        <w:rPr>
          <w:rFonts w:ascii="FrankRuehl" w:hAnsi="FrankRuehl" w:cs="FrankRuehl"/>
          <w:color w:val="FFFFFF"/>
          <w:sz w:val="2"/>
          <w:szCs w:val="2"/>
        </w:rPr>
      </w:pPr>
      <w:r w:rsidRPr="00E07A9E">
        <w:rPr>
          <w:rFonts w:ascii="FrankRuehl" w:hAnsi="FrankRuehl" w:cs="FrankRuehl"/>
          <w:color w:val="FFFFFF"/>
          <w:sz w:val="2"/>
          <w:szCs w:val="2"/>
          <w:rtl/>
        </w:rPr>
        <w:t>5129371</w:t>
      </w:r>
    </w:p>
    <w:p w14:paraId="4E1850C8" w14:textId="77777777" w:rsidR="006D1E00" w:rsidRDefault="00E07A9E" w:rsidP="006D1E00">
      <w:pPr>
        <w:rPr>
          <w:rtl/>
        </w:rPr>
      </w:pPr>
      <w:r w:rsidRPr="00E07A9E">
        <w:rPr>
          <w:rFonts w:ascii="FrankRuehl" w:hAnsi="FrankRuehl" w:cs="FrankRuehl"/>
          <w:color w:val="FFFFFF"/>
          <w:sz w:val="2"/>
          <w:szCs w:val="2"/>
          <w:rtl/>
        </w:rPr>
        <w:t>54678313</w:t>
      </w:r>
      <w:r w:rsidR="006D1E00">
        <w:rPr>
          <w:rFonts w:ascii="FrankRuehl" w:hAnsi="FrankRuehl" w:cs="FrankRuehl"/>
          <w:sz w:val="28"/>
          <w:szCs w:val="28"/>
          <w:rtl/>
        </w:rPr>
        <w:t>זכות ערעור כחוק לבית המשפט המחוזי בירושלים בתוך 45 יום מהיום.</w:t>
      </w:r>
    </w:p>
    <w:p w14:paraId="15DFFAB3" w14:textId="77777777" w:rsidR="006D1E00" w:rsidRDefault="006D1E00" w:rsidP="006D1E00">
      <w:pPr>
        <w:spacing w:line="360" w:lineRule="auto"/>
        <w:jc w:val="both"/>
        <w:rPr>
          <w:rFonts w:ascii="Arial" w:hAnsi="Arial"/>
        </w:rPr>
      </w:pPr>
    </w:p>
    <w:p w14:paraId="4CA16A09" w14:textId="77777777" w:rsidR="006D1E00" w:rsidRPr="00472F36" w:rsidRDefault="00E07A9E" w:rsidP="006D1E00">
      <w:pPr>
        <w:rPr>
          <w:rFonts w:ascii="David" w:hAnsi="David"/>
          <w:sz w:val="26"/>
          <w:szCs w:val="26"/>
          <w:rtl/>
        </w:rPr>
      </w:pPr>
      <w:bookmarkStart w:id="8" w:name="Nitan"/>
      <w:r>
        <w:rPr>
          <w:rFonts w:ascii="David" w:hAnsi="David"/>
          <w:sz w:val="26"/>
          <w:szCs w:val="26"/>
          <w:rtl/>
        </w:rPr>
        <w:t xml:space="preserve">ניתן היום,  י"ג באדר א, התשפ"ב 13 בפברואר 2022, במעמד הצדדים. </w:t>
      </w:r>
      <w:bookmarkEnd w:id="8"/>
    </w:p>
    <w:p w14:paraId="676DC045" w14:textId="77777777" w:rsidR="00E07A9E" w:rsidRDefault="00E07A9E" w:rsidP="00E07A9E">
      <w:pPr>
        <w:rPr>
          <w:rtl/>
        </w:rPr>
      </w:pPr>
    </w:p>
    <w:p w14:paraId="78761192" w14:textId="77777777" w:rsidR="00E07A9E" w:rsidRDefault="00E07A9E" w:rsidP="00E07A9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648D0D91" w14:textId="77777777" w:rsidR="000444C2" w:rsidRPr="000444C2" w:rsidRDefault="000444C2" w:rsidP="000444C2">
      <w:pPr>
        <w:keepNext/>
        <w:rPr>
          <w:rFonts w:ascii="David" w:hAnsi="David"/>
          <w:color w:val="000000"/>
          <w:sz w:val="22"/>
          <w:szCs w:val="22"/>
          <w:rtl/>
        </w:rPr>
      </w:pPr>
    </w:p>
    <w:p w14:paraId="124E5383" w14:textId="77777777" w:rsidR="000444C2" w:rsidRPr="000444C2" w:rsidRDefault="000444C2" w:rsidP="000444C2">
      <w:pPr>
        <w:keepNext/>
        <w:rPr>
          <w:rFonts w:ascii="David" w:hAnsi="David"/>
          <w:color w:val="000000"/>
          <w:sz w:val="22"/>
          <w:szCs w:val="22"/>
          <w:rtl/>
        </w:rPr>
      </w:pPr>
      <w:r w:rsidRPr="000444C2">
        <w:rPr>
          <w:rFonts w:ascii="David" w:hAnsi="David"/>
          <w:color w:val="000000"/>
          <w:sz w:val="22"/>
          <w:szCs w:val="22"/>
          <w:rtl/>
        </w:rPr>
        <w:t>דוד שאול גבאי ריכטר 54678313-/</w:t>
      </w:r>
    </w:p>
    <w:p w14:paraId="61E68847" w14:textId="77777777" w:rsidR="00E07A9E" w:rsidRPr="00E07A9E" w:rsidRDefault="000444C2" w:rsidP="000444C2">
      <w:pPr>
        <w:rPr>
          <w:color w:val="0000FF"/>
          <w:u w:val="single"/>
        </w:rPr>
      </w:pPr>
      <w:r w:rsidRPr="000444C2">
        <w:rPr>
          <w:color w:val="000000"/>
          <w:u w:val="single"/>
          <w:rtl/>
        </w:rPr>
        <w:t>נוסח מסמך זה כפוף לשינויי ניסוח ועריכה</w:t>
      </w:r>
    </w:p>
    <w:sectPr w:rsidR="00E07A9E" w:rsidRPr="00E07A9E" w:rsidSect="000444C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798D8" w14:textId="77777777" w:rsidR="00EF1C25" w:rsidRDefault="00EF1C25" w:rsidP="00A04E27">
      <w:r>
        <w:separator/>
      </w:r>
    </w:p>
  </w:endnote>
  <w:endnote w:type="continuationSeparator" w:id="0">
    <w:p w14:paraId="36A9A733" w14:textId="77777777" w:rsidR="00EF1C25" w:rsidRDefault="00EF1C25" w:rsidP="00A0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D935E" w14:textId="77777777" w:rsidR="000444C2" w:rsidRDefault="000444C2" w:rsidP="000444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BB3EA2" w14:textId="77777777" w:rsidR="009612F0" w:rsidRPr="000444C2" w:rsidRDefault="000444C2" w:rsidP="000444C2">
    <w:pPr>
      <w:pStyle w:val="a5"/>
      <w:pBdr>
        <w:top w:val="single" w:sz="4" w:space="1" w:color="auto"/>
        <w:between w:val="single" w:sz="4" w:space="0" w:color="auto"/>
      </w:pBdr>
      <w:spacing w:after="60"/>
      <w:jc w:val="center"/>
      <w:rPr>
        <w:rFonts w:ascii="FrankRuehl" w:hAnsi="FrankRuehl" w:cs="FrankRuehl"/>
        <w:color w:val="000000"/>
      </w:rPr>
    </w:pPr>
    <w:r w:rsidRPr="000444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3340D" w14:textId="77777777" w:rsidR="000444C2" w:rsidRDefault="000444C2" w:rsidP="000444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5743">
      <w:rPr>
        <w:rFonts w:ascii="FrankRuehl" w:hAnsi="FrankRuehl" w:cs="FrankRuehl"/>
        <w:noProof/>
        <w:rtl/>
      </w:rPr>
      <w:t>1</w:t>
    </w:r>
    <w:r>
      <w:rPr>
        <w:rFonts w:ascii="FrankRuehl" w:hAnsi="FrankRuehl" w:cs="FrankRuehl"/>
        <w:rtl/>
      </w:rPr>
      <w:fldChar w:fldCharType="end"/>
    </w:r>
  </w:p>
  <w:p w14:paraId="6A70C4A4" w14:textId="77777777" w:rsidR="009612F0" w:rsidRPr="000444C2" w:rsidRDefault="000444C2" w:rsidP="000444C2">
    <w:pPr>
      <w:pStyle w:val="a5"/>
      <w:pBdr>
        <w:top w:val="single" w:sz="4" w:space="1" w:color="auto"/>
        <w:between w:val="single" w:sz="4" w:space="0" w:color="auto"/>
      </w:pBdr>
      <w:spacing w:after="60"/>
      <w:jc w:val="center"/>
      <w:rPr>
        <w:rFonts w:ascii="FrankRuehl" w:hAnsi="FrankRuehl" w:cs="FrankRuehl"/>
        <w:color w:val="000000"/>
      </w:rPr>
    </w:pPr>
    <w:r w:rsidRPr="000444C2">
      <w:rPr>
        <w:rFonts w:ascii="FrankRuehl" w:hAnsi="FrankRuehl" w:cs="FrankRuehl"/>
        <w:color w:val="000000"/>
      </w:rPr>
      <w:pict w14:anchorId="2EE52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8EF65" w14:textId="77777777" w:rsidR="00EF1C25" w:rsidRDefault="00EF1C25" w:rsidP="00A04E27">
      <w:r>
        <w:separator/>
      </w:r>
    </w:p>
  </w:footnote>
  <w:footnote w:type="continuationSeparator" w:id="0">
    <w:p w14:paraId="247390CD" w14:textId="77777777" w:rsidR="00EF1C25" w:rsidRDefault="00EF1C25" w:rsidP="00A04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A5788" w14:textId="77777777" w:rsidR="00E07A9E" w:rsidRPr="000444C2" w:rsidRDefault="000444C2" w:rsidP="000444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40770-01-16</w:t>
    </w:r>
    <w:r>
      <w:rPr>
        <w:rFonts w:ascii="David" w:hAnsi="David"/>
        <w:color w:val="000000"/>
        <w:sz w:val="22"/>
        <w:szCs w:val="22"/>
        <w:rtl/>
      </w:rPr>
      <w:tab/>
      <w:t xml:space="preserve"> מדינת ישראל נ' יוסף בצלאל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0490A" w14:textId="77777777" w:rsidR="00E07A9E" w:rsidRPr="000444C2" w:rsidRDefault="000444C2" w:rsidP="000444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40770-01-16</w:t>
    </w:r>
    <w:r>
      <w:rPr>
        <w:rFonts w:ascii="David" w:hAnsi="David"/>
        <w:color w:val="000000"/>
        <w:sz w:val="22"/>
        <w:szCs w:val="22"/>
        <w:rtl/>
      </w:rPr>
      <w:tab/>
      <w:t xml:space="preserve"> מדינת ישראל נ' יוסף בצלאל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33391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1E00"/>
    <w:rsid w:val="000444C2"/>
    <w:rsid w:val="001B5A3B"/>
    <w:rsid w:val="003922E1"/>
    <w:rsid w:val="004225E3"/>
    <w:rsid w:val="00517E19"/>
    <w:rsid w:val="00596AD1"/>
    <w:rsid w:val="006D1E00"/>
    <w:rsid w:val="00755743"/>
    <w:rsid w:val="009612F0"/>
    <w:rsid w:val="00A04E27"/>
    <w:rsid w:val="00BA062D"/>
    <w:rsid w:val="00C27A5B"/>
    <w:rsid w:val="00DA40A3"/>
    <w:rsid w:val="00E07A9E"/>
    <w:rsid w:val="00E46DF7"/>
    <w:rsid w:val="00EF1C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B9AD8B"/>
  <w15:chartTrackingRefBased/>
  <w15:docId w15:val="{E1600424-92BD-42A6-80C2-A667D3AE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1E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1E00"/>
    <w:pPr>
      <w:tabs>
        <w:tab w:val="center" w:pos="4153"/>
        <w:tab w:val="right" w:pos="8306"/>
      </w:tabs>
    </w:pPr>
  </w:style>
  <w:style w:type="character" w:customStyle="1" w:styleId="a4">
    <w:name w:val="כותרת עליונה תו"/>
    <w:link w:val="a3"/>
    <w:rsid w:val="006D1E00"/>
    <w:rPr>
      <w:rFonts w:ascii="Times New Roman" w:eastAsia="Times New Roman" w:hAnsi="Times New Roman" w:cs="David"/>
      <w:sz w:val="24"/>
      <w:szCs w:val="24"/>
    </w:rPr>
  </w:style>
  <w:style w:type="paragraph" w:styleId="a5">
    <w:name w:val="footer"/>
    <w:basedOn w:val="a"/>
    <w:link w:val="a6"/>
    <w:rsid w:val="006D1E00"/>
    <w:pPr>
      <w:tabs>
        <w:tab w:val="center" w:pos="4153"/>
        <w:tab w:val="right" w:pos="8306"/>
      </w:tabs>
    </w:pPr>
  </w:style>
  <w:style w:type="character" w:customStyle="1" w:styleId="a6">
    <w:name w:val="כותרת תחתונה תו"/>
    <w:link w:val="a5"/>
    <w:rsid w:val="006D1E00"/>
    <w:rPr>
      <w:rFonts w:ascii="Times New Roman" w:eastAsia="Times New Roman" w:hAnsi="Times New Roman" w:cs="David"/>
      <w:sz w:val="24"/>
      <w:szCs w:val="24"/>
    </w:rPr>
  </w:style>
  <w:style w:type="table" w:styleId="a7">
    <w:name w:val="Table Grid"/>
    <w:basedOn w:val="a1"/>
    <w:rsid w:val="006D1E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1E00"/>
  </w:style>
  <w:style w:type="character" w:styleId="Hyperlink">
    <w:name w:val="Hyperlink"/>
    <w:rsid w:val="00E07A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22370465" TargetMode="External"/><Relationship Id="rId39" Type="http://schemas.openxmlformats.org/officeDocument/2006/relationships/footer" Target="footer2.xml"/><Relationship Id="rId21" Type="http://schemas.openxmlformats.org/officeDocument/2006/relationships/hyperlink" Target="http://www.nevo.co.il/case/5896323"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law/4216/7.a.;7.c" TargetMode="External"/><Relationship Id="rId29" Type="http://schemas.openxmlformats.org/officeDocument/2006/relationships/hyperlink" Target="http://www.nevo.co.il/law/70301/40j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477472"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3093721"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4216/13;19.a"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1565284"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035570" TargetMode="External"/><Relationship Id="rId33" Type="http://schemas.openxmlformats.org/officeDocument/2006/relationships/hyperlink" Target="http://www.nevo.co.il/case/1701523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1541</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9233</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3604592</vt:i4>
      </vt:variant>
      <vt:variant>
        <vt:i4>81</vt:i4>
      </vt:variant>
      <vt:variant>
        <vt:i4>0</vt:i4>
      </vt:variant>
      <vt:variant>
        <vt:i4>5</vt:i4>
      </vt:variant>
      <vt:variant>
        <vt:lpwstr>http://www.nevo.co.il/case/17015235</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3801201</vt:i4>
      </vt:variant>
      <vt:variant>
        <vt:i4>63</vt:i4>
      </vt:variant>
      <vt:variant>
        <vt:i4>0</vt:i4>
      </vt:variant>
      <vt:variant>
        <vt:i4>5</vt:i4>
      </vt:variant>
      <vt:variant>
        <vt:lpwstr>http://www.nevo.co.il/case/21565284</vt:lpwstr>
      </vt:variant>
      <vt:variant>
        <vt:lpwstr/>
      </vt:variant>
      <vt:variant>
        <vt:i4>3604597</vt:i4>
      </vt:variant>
      <vt:variant>
        <vt:i4>60</vt:i4>
      </vt:variant>
      <vt:variant>
        <vt:i4>0</vt:i4>
      </vt:variant>
      <vt:variant>
        <vt:i4>5</vt:i4>
      </vt:variant>
      <vt:variant>
        <vt:lpwstr>http://www.nevo.co.il/case/22370465</vt:lpwstr>
      </vt:variant>
      <vt:variant>
        <vt:lpwstr/>
      </vt:variant>
      <vt:variant>
        <vt:i4>3145843</vt:i4>
      </vt:variant>
      <vt:variant>
        <vt:i4>57</vt:i4>
      </vt:variant>
      <vt:variant>
        <vt:i4>0</vt:i4>
      </vt:variant>
      <vt:variant>
        <vt:i4>5</vt:i4>
      </vt:variant>
      <vt:variant>
        <vt:lpwstr>http://www.nevo.co.il/case/21035570</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3932280</vt:i4>
      </vt:variant>
      <vt:variant>
        <vt:i4>45</vt:i4>
      </vt:variant>
      <vt:variant>
        <vt:i4>0</vt:i4>
      </vt:variant>
      <vt:variant>
        <vt:i4>5</vt:i4>
      </vt:variant>
      <vt:variant>
        <vt:lpwstr>http://www.nevo.co.il/case/5896323</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2883686</vt:i4>
      </vt:variant>
      <vt:variant>
        <vt:i4>39</vt:i4>
      </vt:variant>
      <vt:variant>
        <vt:i4>0</vt:i4>
      </vt:variant>
      <vt:variant>
        <vt:i4>5</vt:i4>
      </vt:variant>
      <vt:variant>
        <vt:lpwstr>http://www.nevo.co.il/law/4216/13;19.a</vt:lpwstr>
      </vt:variant>
      <vt:variant>
        <vt:lpwstr/>
      </vt:variant>
      <vt:variant>
        <vt:i4>2883686</vt:i4>
      </vt:variant>
      <vt:variant>
        <vt:i4>36</vt:i4>
      </vt:variant>
      <vt:variant>
        <vt:i4>0</vt:i4>
      </vt:variant>
      <vt:variant>
        <vt:i4>5</vt:i4>
      </vt:variant>
      <vt:variant>
        <vt:lpwstr>http://www.nevo.co.il/law/4216/13;19.a</vt:lpwstr>
      </vt:variant>
      <vt:variant>
        <vt:lpwstr/>
      </vt:variant>
      <vt:variant>
        <vt:i4>8257637</vt:i4>
      </vt:variant>
      <vt:variant>
        <vt:i4>33</vt:i4>
      </vt:variant>
      <vt:variant>
        <vt:i4>0</vt:i4>
      </vt:variant>
      <vt:variant>
        <vt:i4>5</vt:i4>
      </vt:variant>
      <vt:variant>
        <vt:lpwstr>http://www.nevo.co.il/law/4216</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3866741</vt:i4>
      </vt:variant>
      <vt:variant>
        <vt:i4>27</vt:i4>
      </vt:variant>
      <vt:variant>
        <vt:i4>0</vt:i4>
      </vt:variant>
      <vt:variant>
        <vt:i4>5</vt:i4>
      </vt:variant>
      <vt:variant>
        <vt:lpwstr>http://www.nevo.co.il/case/20897862</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40770;17463</vt:lpwstr>
  </property>
  <property fmtid="{D5CDD505-2E9C-101B-9397-08002B2CF9AE}" pid="6" name="NEWPARTB">
    <vt:lpwstr>01;07</vt:lpwstr>
  </property>
  <property fmtid="{D5CDD505-2E9C-101B-9397-08002B2CF9AE}" pid="7" name="NEWPARTC">
    <vt:lpwstr>16;18</vt:lpwstr>
  </property>
  <property fmtid="{D5CDD505-2E9C-101B-9397-08002B2CF9AE}" pid="8" name="APPELLANT">
    <vt:lpwstr>מדינת ישראל</vt:lpwstr>
  </property>
  <property fmtid="{D5CDD505-2E9C-101B-9397-08002B2CF9AE}" pid="9" name="APPELLEE">
    <vt:lpwstr>יוסף בצלאל</vt:lpwstr>
  </property>
  <property fmtid="{D5CDD505-2E9C-101B-9397-08002B2CF9AE}" pid="10" name="LAWYER">
    <vt:lpwstr>אביה בניסטי;גבי טרונישוילי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20220213</vt:lpwstr>
  </property>
  <property fmtid="{D5CDD505-2E9C-101B-9397-08002B2CF9AE}" pid="14" name="TYPE_N_DATE">
    <vt:lpwstr>38020220213</vt:lpwstr>
  </property>
  <property fmtid="{D5CDD505-2E9C-101B-9397-08002B2CF9AE}" pid="15" name="WORDNUMPAGES">
    <vt:lpwstr>5</vt:lpwstr>
  </property>
  <property fmtid="{D5CDD505-2E9C-101B-9397-08002B2CF9AE}" pid="16" name="TYPE_ABS_DATE">
    <vt:lpwstr>380020220213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20897862;5896323;21477472;21035570;22370465;21565284;13093721;17015235</vt:lpwstr>
  </property>
  <property fmtid="{D5CDD505-2E9C-101B-9397-08002B2CF9AE}" pid="36" name="LAWLISTTMP1">
    <vt:lpwstr>4216/013:3;019.a:3;007.a;007.c</vt:lpwstr>
  </property>
  <property fmtid="{D5CDD505-2E9C-101B-9397-08002B2CF9AE}" pid="37" name="LAWLISTTMP2">
    <vt:lpwstr>70301/040i;40ja;040d</vt:lpwstr>
  </property>
</Properties>
</file>