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000" w14:paraId="04F68E99" w14:textId="77777777">
        <w:trPr>
          <w:trHeight w:hRule="exact" w:val="418"/>
          <w:jc w:val="center"/>
        </w:trPr>
        <w:tc>
          <w:tcPr>
            <w:tcW w:w="8721" w:type="dxa"/>
            <w:gridSpan w:val="2"/>
          </w:tcPr>
          <w:p w14:paraId="24C06BDC" w14:textId="77777777" w:rsidR="00471B97" w:rsidRDefault="00471B97">
            <w:pPr>
              <w:pStyle w:val="a3"/>
              <w:jc w:val="center"/>
              <w:rPr>
                <w:rFonts w:ascii="Tahoma" w:hAnsi="Tahoma" w:cs="Tahoma"/>
                <w:color w:val="000080"/>
                <w:rtl/>
              </w:rPr>
            </w:pPr>
            <w:bookmarkStart w:id="0" w:name="LastJudge"/>
            <w:r>
              <w:rPr>
                <w:rFonts w:ascii="Tahoma" w:hAnsi="Tahoma" w:cs="Tahoma"/>
                <w:b/>
                <w:bCs/>
                <w:color w:val="000080"/>
                <w:rtl/>
              </w:rPr>
              <w:t>בית משפט השלום בתל אביב - יפו</w:t>
            </w:r>
          </w:p>
        </w:tc>
      </w:tr>
      <w:tr w:rsidR="00000000" w14:paraId="1DE12AF4" w14:textId="77777777">
        <w:trPr>
          <w:trHeight w:val="337"/>
          <w:jc w:val="center"/>
        </w:trPr>
        <w:tc>
          <w:tcPr>
            <w:tcW w:w="5054" w:type="dxa"/>
          </w:tcPr>
          <w:p w14:paraId="01C9357D" w14:textId="77777777" w:rsidR="00471B97" w:rsidRDefault="00471B97">
            <w:pPr>
              <w:rPr>
                <w:b/>
                <w:bCs/>
                <w:sz w:val="26"/>
                <w:szCs w:val="26"/>
                <w:rtl/>
              </w:rPr>
            </w:pPr>
            <w:r>
              <w:rPr>
                <w:b/>
                <w:bCs/>
                <w:sz w:val="26"/>
                <w:szCs w:val="26"/>
                <w:rtl/>
              </w:rPr>
              <w:t>ת"פ</w:t>
            </w:r>
            <w:r>
              <w:rPr>
                <w:rFonts w:hint="cs"/>
                <w:b/>
                <w:bCs/>
                <w:sz w:val="26"/>
                <w:szCs w:val="26"/>
                <w:rtl/>
              </w:rPr>
              <w:t xml:space="preserve"> </w:t>
            </w:r>
            <w:r>
              <w:rPr>
                <w:b/>
                <w:bCs/>
                <w:sz w:val="26"/>
                <w:szCs w:val="26"/>
                <w:rtl/>
              </w:rPr>
              <w:t>47067-01-16</w:t>
            </w:r>
            <w:r>
              <w:rPr>
                <w:rFonts w:hint="cs"/>
                <w:b/>
                <w:bCs/>
                <w:sz w:val="26"/>
                <w:szCs w:val="26"/>
                <w:rtl/>
              </w:rPr>
              <w:t xml:space="preserve"> </w:t>
            </w:r>
            <w:r>
              <w:rPr>
                <w:b/>
                <w:bCs/>
                <w:sz w:val="26"/>
                <w:szCs w:val="26"/>
                <w:rtl/>
              </w:rPr>
              <w:t>מדינת ישראל נ' ברמלי ואח'</w:t>
            </w:r>
          </w:p>
        </w:tc>
        <w:tc>
          <w:tcPr>
            <w:tcW w:w="3667" w:type="dxa"/>
          </w:tcPr>
          <w:p w14:paraId="1F15AED7" w14:textId="77777777" w:rsidR="00471B97" w:rsidRDefault="00471B97">
            <w:pPr>
              <w:pStyle w:val="a3"/>
              <w:jc w:val="right"/>
              <w:rPr>
                <w:rFonts w:cs="FrankRuehl"/>
                <w:sz w:val="28"/>
                <w:szCs w:val="28"/>
                <w:rtl/>
              </w:rPr>
            </w:pPr>
          </w:p>
        </w:tc>
      </w:tr>
    </w:tbl>
    <w:p w14:paraId="623989A3" w14:textId="77777777" w:rsidR="00471B97" w:rsidRDefault="00471B97">
      <w:pPr>
        <w:pStyle w:val="a3"/>
        <w:rPr>
          <w:rtl/>
        </w:rPr>
      </w:pPr>
      <w:r>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000000" w14:paraId="3FD103B7" w14:textId="77777777">
        <w:trPr>
          <w:trHeight w:val="295"/>
          <w:jc w:val="center"/>
        </w:trPr>
        <w:tc>
          <w:tcPr>
            <w:tcW w:w="8820" w:type="dxa"/>
            <w:gridSpan w:val="3"/>
            <w:tcBorders>
              <w:top w:val="nil"/>
              <w:left w:val="nil"/>
              <w:bottom w:val="nil"/>
              <w:right w:val="nil"/>
            </w:tcBorders>
            <w:shd w:val="clear" w:color="auto" w:fill="auto"/>
          </w:tcPr>
          <w:p w14:paraId="5462187E" w14:textId="77777777" w:rsidR="00471B97" w:rsidRDefault="00471B97">
            <w:pPr>
              <w:jc w:val="both"/>
              <w:rPr>
                <w:b/>
                <w:bCs/>
                <w:sz w:val="26"/>
                <w:szCs w:val="26"/>
                <w:rtl/>
              </w:rPr>
            </w:pPr>
            <w:r>
              <w:rPr>
                <w:rFonts w:ascii="Arial" w:hAnsi="Arial" w:hint="cs"/>
                <w:b/>
                <w:bCs/>
                <w:sz w:val="26"/>
                <w:szCs w:val="26"/>
                <w:rtl/>
              </w:rPr>
              <w:t>ל</w:t>
            </w:r>
            <w:r>
              <w:rPr>
                <w:rFonts w:ascii="Arial" w:hAnsi="Arial"/>
                <w:b/>
                <w:bCs/>
                <w:sz w:val="26"/>
                <w:szCs w:val="26"/>
                <w:rtl/>
              </w:rPr>
              <w:t xml:space="preserve">פני </w:t>
            </w:r>
            <w:r>
              <w:rPr>
                <w:rFonts w:ascii="Arial" w:hAnsi="Arial" w:hint="cs"/>
                <w:b/>
                <w:bCs/>
                <w:sz w:val="26"/>
                <w:szCs w:val="26"/>
                <w:rtl/>
              </w:rPr>
              <w:t>כבוד ה</w:t>
            </w:r>
            <w:r>
              <w:rPr>
                <w:rFonts w:ascii="Arial" w:hAnsi="Arial"/>
                <w:b/>
                <w:bCs/>
                <w:sz w:val="26"/>
                <w:szCs w:val="26"/>
                <w:rtl/>
              </w:rPr>
              <w:t>שופט</w:t>
            </w:r>
            <w:r>
              <w:rPr>
                <w:rFonts w:ascii="Arial" w:hAnsi="Arial" w:hint="cs"/>
                <w:b/>
                <w:bCs/>
                <w:sz w:val="26"/>
                <w:szCs w:val="26"/>
                <w:rtl/>
              </w:rPr>
              <w:t xml:space="preserve">  </w:t>
            </w:r>
            <w:r>
              <w:rPr>
                <w:rFonts w:ascii="Arial" w:hAnsi="Arial"/>
                <w:b/>
                <w:bCs/>
                <w:sz w:val="26"/>
                <w:szCs w:val="26"/>
                <w:rtl/>
              </w:rPr>
              <w:t>עידו דרויאן-גמליאל</w:t>
            </w:r>
          </w:p>
          <w:p w14:paraId="5252714A" w14:textId="77777777" w:rsidR="00471B97" w:rsidRDefault="00471B97">
            <w:pPr>
              <w:jc w:val="both"/>
              <w:rPr>
                <w:rFonts w:ascii="Arial" w:hAnsi="Arial"/>
                <w:b/>
                <w:bCs/>
                <w:sz w:val="26"/>
                <w:szCs w:val="26"/>
              </w:rPr>
            </w:pPr>
          </w:p>
        </w:tc>
      </w:tr>
      <w:tr w:rsidR="00000000" w14:paraId="78DD9DC9" w14:textId="77777777">
        <w:trPr>
          <w:trHeight w:val="355"/>
          <w:jc w:val="center"/>
        </w:trPr>
        <w:tc>
          <w:tcPr>
            <w:tcW w:w="1231" w:type="dxa"/>
            <w:tcBorders>
              <w:top w:val="nil"/>
              <w:left w:val="nil"/>
              <w:bottom w:val="nil"/>
              <w:right w:val="nil"/>
            </w:tcBorders>
            <w:shd w:val="clear" w:color="auto" w:fill="auto"/>
          </w:tcPr>
          <w:p w14:paraId="50886988" w14:textId="77777777" w:rsidR="00471B97" w:rsidRDefault="00471B97">
            <w:pPr>
              <w:spacing w:before="120" w:after="120"/>
              <w:jc w:val="both"/>
              <w:rPr>
                <w:rFonts w:ascii="Arial" w:hAnsi="Arial"/>
                <w:b/>
                <w:bCs/>
                <w:sz w:val="26"/>
                <w:szCs w:val="26"/>
              </w:rPr>
            </w:pPr>
            <w:bookmarkStart w:id="1" w:name="FirstAppellant"/>
            <w:bookmarkStart w:id="2" w:name="FirstLawyer"/>
            <w:r>
              <w:rPr>
                <w:rFonts w:ascii="Arial" w:hAnsi="Arial" w:hint="cs"/>
                <w:b/>
                <w:bCs/>
                <w:sz w:val="26"/>
                <w:szCs w:val="26"/>
                <w:rtl/>
              </w:rPr>
              <w:t>ה</w:t>
            </w:r>
            <w:r>
              <w:rPr>
                <w:rFonts w:ascii="Arial" w:hAnsi="Arial"/>
                <w:b/>
                <w:bCs/>
                <w:sz w:val="26"/>
                <w:szCs w:val="26"/>
                <w:rtl/>
              </w:rPr>
              <w:t>מאשימה</w:t>
            </w:r>
          </w:p>
        </w:tc>
        <w:tc>
          <w:tcPr>
            <w:tcW w:w="4206" w:type="dxa"/>
            <w:tcBorders>
              <w:top w:val="nil"/>
              <w:left w:val="nil"/>
              <w:bottom w:val="nil"/>
              <w:right w:val="nil"/>
            </w:tcBorders>
            <w:shd w:val="clear" w:color="auto" w:fill="auto"/>
          </w:tcPr>
          <w:p w14:paraId="1C456F62" w14:textId="77777777" w:rsidR="00471B97" w:rsidRDefault="00471B97">
            <w:pPr>
              <w:spacing w:before="120" w:after="120"/>
              <w:rPr>
                <w:b/>
                <w:bCs/>
                <w:sz w:val="26"/>
                <w:szCs w:val="26"/>
                <w:rtl/>
              </w:rPr>
            </w:pPr>
            <w:r>
              <w:rPr>
                <w:rFonts w:ascii="Arial" w:hAnsi="Arial"/>
                <w:b/>
                <w:bCs/>
                <w:sz w:val="26"/>
                <w:szCs w:val="26"/>
                <w:rtl/>
              </w:rPr>
              <w:t>מדינת ישראל</w:t>
            </w:r>
          </w:p>
          <w:p w14:paraId="2ECEC870" w14:textId="77777777" w:rsidR="00471B97" w:rsidRDefault="00471B97">
            <w:pPr>
              <w:spacing w:before="120" w:after="120"/>
              <w:rPr>
                <w:b/>
                <w:bCs/>
                <w:sz w:val="26"/>
                <w:szCs w:val="26"/>
              </w:rPr>
            </w:pPr>
            <w:r>
              <w:rPr>
                <w:rFonts w:hint="cs"/>
                <w:b/>
                <w:bCs/>
                <w:sz w:val="26"/>
                <w:szCs w:val="26"/>
                <w:rtl/>
              </w:rPr>
              <w:t>ע"י ב"כ עוה"ד חבר ואדרי</w:t>
            </w:r>
          </w:p>
        </w:tc>
        <w:tc>
          <w:tcPr>
            <w:tcW w:w="3383" w:type="dxa"/>
            <w:tcBorders>
              <w:top w:val="nil"/>
              <w:left w:val="nil"/>
              <w:bottom w:val="nil"/>
              <w:right w:val="nil"/>
            </w:tcBorders>
            <w:shd w:val="clear" w:color="auto" w:fill="auto"/>
          </w:tcPr>
          <w:p w14:paraId="4DEC2F41" w14:textId="77777777" w:rsidR="00471B97" w:rsidRDefault="00471B97">
            <w:pPr>
              <w:jc w:val="both"/>
              <w:rPr>
                <w:rFonts w:ascii="Arial" w:hAnsi="Arial"/>
                <w:b/>
                <w:bCs/>
                <w:sz w:val="26"/>
                <w:szCs w:val="26"/>
              </w:rPr>
            </w:pPr>
          </w:p>
        </w:tc>
      </w:tr>
      <w:bookmarkEnd w:id="1"/>
      <w:bookmarkEnd w:id="2"/>
      <w:tr w:rsidR="00000000" w14:paraId="1262176A" w14:textId="77777777">
        <w:trPr>
          <w:trHeight w:val="373"/>
          <w:jc w:val="center"/>
        </w:trPr>
        <w:tc>
          <w:tcPr>
            <w:tcW w:w="1231" w:type="dxa"/>
            <w:tcBorders>
              <w:top w:val="nil"/>
              <w:left w:val="nil"/>
              <w:bottom w:val="nil"/>
              <w:right w:val="nil"/>
            </w:tcBorders>
            <w:shd w:val="clear" w:color="auto" w:fill="auto"/>
          </w:tcPr>
          <w:p w14:paraId="68FB2BAB" w14:textId="77777777" w:rsidR="00471B97" w:rsidRDefault="00471B97">
            <w:pPr>
              <w:jc w:val="both"/>
              <w:rPr>
                <w:rFonts w:ascii="Arial" w:hAnsi="Arial"/>
                <w:b/>
                <w:bCs/>
                <w:sz w:val="26"/>
                <w:szCs w:val="26"/>
                <w:rtl/>
              </w:rPr>
            </w:pPr>
          </w:p>
        </w:tc>
        <w:tc>
          <w:tcPr>
            <w:tcW w:w="7589" w:type="dxa"/>
            <w:gridSpan w:val="2"/>
            <w:tcBorders>
              <w:top w:val="nil"/>
              <w:left w:val="nil"/>
              <w:bottom w:val="nil"/>
              <w:right w:val="nil"/>
            </w:tcBorders>
            <w:shd w:val="clear" w:color="auto" w:fill="auto"/>
          </w:tcPr>
          <w:p w14:paraId="06C71E82" w14:textId="77777777" w:rsidR="00471B97" w:rsidRDefault="00471B97">
            <w:pPr>
              <w:jc w:val="center"/>
              <w:rPr>
                <w:rFonts w:ascii="Arial" w:hAnsi="Arial"/>
                <w:b/>
                <w:bCs/>
                <w:sz w:val="26"/>
                <w:szCs w:val="26"/>
                <w:rtl/>
              </w:rPr>
            </w:pPr>
          </w:p>
          <w:p w14:paraId="1FEA1D79" w14:textId="77777777" w:rsidR="00471B97" w:rsidRDefault="00471B97">
            <w:pPr>
              <w:jc w:val="center"/>
              <w:rPr>
                <w:rFonts w:ascii="Arial" w:hAnsi="Arial"/>
                <w:b/>
                <w:bCs/>
                <w:sz w:val="26"/>
                <w:szCs w:val="26"/>
                <w:rtl/>
              </w:rPr>
            </w:pPr>
            <w:r>
              <w:rPr>
                <w:rFonts w:ascii="Arial" w:hAnsi="Arial"/>
                <w:b/>
                <w:bCs/>
                <w:sz w:val="26"/>
                <w:szCs w:val="26"/>
                <w:rtl/>
              </w:rPr>
              <w:t>נגד</w:t>
            </w:r>
          </w:p>
          <w:p w14:paraId="73795FEE" w14:textId="77777777" w:rsidR="00471B97" w:rsidRDefault="00471B97">
            <w:pPr>
              <w:jc w:val="both"/>
              <w:rPr>
                <w:rFonts w:ascii="Arial" w:hAnsi="Arial"/>
                <w:b/>
                <w:bCs/>
                <w:sz w:val="26"/>
                <w:szCs w:val="26"/>
              </w:rPr>
            </w:pPr>
          </w:p>
        </w:tc>
      </w:tr>
      <w:tr w:rsidR="00000000" w14:paraId="3DF322EA" w14:textId="77777777">
        <w:trPr>
          <w:trHeight w:val="355"/>
          <w:jc w:val="center"/>
        </w:trPr>
        <w:tc>
          <w:tcPr>
            <w:tcW w:w="1231" w:type="dxa"/>
            <w:tcBorders>
              <w:top w:val="nil"/>
              <w:left w:val="nil"/>
              <w:bottom w:val="nil"/>
              <w:right w:val="nil"/>
            </w:tcBorders>
            <w:shd w:val="clear" w:color="auto" w:fill="auto"/>
          </w:tcPr>
          <w:p w14:paraId="5828EAFD" w14:textId="77777777" w:rsidR="00471B97" w:rsidRDefault="00471B97">
            <w:pPr>
              <w:spacing w:before="120" w:after="120"/>
              <w:rPr>
                <w:rFonts w:ascii="Arial" w:hAnsi="Arial"/>
                <w:b/>
                <w:bCs/>
                <w:sz w:val="26"/>
                <w:szCs w:val="26"/>
                <w:rtl/>
              </w:rPr>
            </w:pPr>
            <w:r>
              <w:rPr>
                <w:rFonts w:ascii="Arial" w:hAnsi="Arial" w:hint="cs"/>
                <w:b/>
                <w:bCs/>
                <w:sz w:val="26"/>
                <w:szCs w:val="26"/>
                <w:rtl/>
              </w:rPr>
              <w:t>ה</w:t>
            </w:r>
            <w:r>
              <w:rPr>
                <w:rFonts w:ascii="Arial" w:hAnsi="Arial"/>
                <w:b/>
                <w:bCs/>
                <w:sz w:val="26"/>
                <w:szCs w:val="26"/>
                <w:rtl/>
              </w:rPr>
              <w:t>נאשם</w:t>
            </w:r>
          </w:p>
        </w:tc>
        <w:tc>
          <w:tcPr>
            <w:tcW w:w="4206" w:type="dxa"/>
            <w:tcBorders>
              <w:top w:val="nil"/>
              <w:left w:val="nil"/>
              <w:bottom w:val="nil"/>
              <w:right w:val="nil"/>
            </w:tcBorders>
            <w:shd w:val="clear" w:color="auto" w:fill="auto"/>
          </w:tcPr>
          <w:p w14:paraId="34CBCF91" w14:textId="77777777" w:rsidR="00471B97" w:rsidRDefault="00471B97">
            <w:pPr>
              <w:spacing w:before="120" w:after="120"/>
              <w:rPr>
                <w:b/>
                <w:bCs/>
                <w:sz w:val="26"/>
                <w:szCs w:val="26"/>
                <w:rtl/>
              </w:rPr>
            </w:pPr>
            <w:r>
              <w:rPr>
                <w:rFonts w:ascii="Arial" w:hAnsi="Arial"/>
                <w:b/>
                <w:bCs/>
                <w:sz w:val="26"/>
                <w:szCs w:val="26"/>
                <w:rtl/>
              </w:rPr>
              <w:t>אדר מן</w:t>
            </w:r>
            <w:r>
              <w:rPr>
                <w:rFonts w:ascii="Arial" w:hAnsi="Arial" w:hint="cs"/>
                <w:b/>
                <w:bCs/>
                <w:sz w:val="26"/>
                <w:szCs w:val="26"/>
                <w:rtl/>
              </w:rPr>
              <w:t xml:space="preserve"> (נאשם 2)</w:t>
            </w:r>
          </w:p>
          <w:p w14:paraId="09E6B77C" w14:textId="77777777" w:rsidR="00471B97" w:rsidRDefault="00471B97">
            <w:pPr>
              <w:spacing w:before="120" w:after="120"/>
              <w:rPr>
                <w:b/>
                <w:bCs/>
                <w:sz w:val="26"/>
                <w:szCs w:val="26"/>
                <w:rtl/>
              </w:rPr>
            </w:pPr>
            <w:r>
              <w:rPr>
                <w:rFonts w:hint="cs"/>
                <w:b/>
                <w:bCs/>
                <w:sz w:val="26"/>
                <w:szCs w:val="26"/>
                <w:rtl/>
              </w:rPr>
              <w:t>ע"י ב"כ עו"ד גולברי</w:t>
            </w:r>
          </w:p>
        </w:tc>
        <w:tc>
          <w:tcPr>
            <w:tcW w:w="3383" w:type="dxa"/>
            <w:tcBorders>
              <w:top w:val="nil"/>
              <w:left w:val="nil"/>
              <w:bottom w:val="nil"/>
              <w:right w:val="nil"/>
            </w:tcBorders>
            <w:shd w:val="clear" w:color="auto" w:fill="auto"/>
          </w:tcPr>
          <w:p w14:paraId="7319C04C" w14:textId="77777777" w:rsidR="00471B97" w:rsidRDefault="00471B97">
            <w:pPr>
              <w:jc w:val="right"/>
              <w:rPr>
                <w:rFonts w:ascii="Arial" w:hAnsi="Arial"/>
                <w:b/>
                <w:bCs/>
                <w:sz w:val="26"/>
                <w:szCs w:val="26"/>
              </w:rPr>
            </w:pPr>
          </w:p>
        </w:tc>
      </w:tr>
    </w:tbl>
    <w:p w14:paraId="338F35DD" w14:textId="77777777" w:rsidR="00471B97" w:rsidRDefault="00471B97">
      <w:pPr>
        <w:rPr>
          <w:b/>
          <w:bCs/>
          <w:rtl/>
        </w:rPr>
      </w:pPr>
      <w:bookmarkStart w:id="3" w:name="LawTable"/>
      <w:bookmarkEnd w:id="3"/>
    </w:p>
    <w:p w14:paraId="1812245F" w14:textId="77777777" w:rsidR="00471B97" w:rsidRDefault="00471B97">
      <w:pPr>
        <w:spacing w:after="120" w:line="240" w:lineRule="exact"/>
        <w:ind w:left="283" w:hanging="283"/>
        <w:jc w:val="both"/>
        <w:rPr>
          <w:rFonts w:ascii="FrankRuehl" w:hAnsi="FrankRuehl" w:cs="FrankRuehl"/>
          <w:rtl/>
        </w:rPr>
      </w:pPr>
      <w:r>
        <w:rPr>
          <w:rFonts w:ascii="FrankRuehl" w:hAnsi="FrankRuehl" w:cs="FrankRuehl"/>
          <w:rtl/>
        </w:rPr>
        <w:t xml:space="preserve">חקיקה שאוזכרה: </w:t>
      </w:r>
    </w:p>
    <w:p w14:paraId="0B0A1620" w14:textId="77777777" w:rsidR="00471B97" w:rsidRDefault="00471B97">
      <w:pPr>
        <w:spacing w:after="120" w:line="240" w:lineRule="exact"/>
        <w:ind w:left="283" w:hanging="283"/>
        <w:jc w:val="both"/>
        <w:rPr>
          <w:rFonts w:ascii="FrankRuehl" w:hAnsi="FrankRuehl" w:cs="FrankRuehl"/>
          <w:rtl/>
        </w:rPr>
      </w:pPr>
      <w:hyperlink r:id="rId7" w:history="1">
        <w:r>
          <w:rPr>
            <w:rFonts w:ascii="FrankRuehl" w:hAnsi="FrankRuehl" w:cs="FrankRuehl"/>
            <w:color w:val="0000FF"/>
            <w:u w:val="single"/>
            <w:rtl/>
          </w:rPr>
          <w:t>פקודת הסמים המסוכנים [נוסח חדש], תשל"ג-1973</w:t>
        </w:r>
      </w:hyperlink>
      <w:r>
        <w:rPr>
          <w:rFonts w:ascii="FrankRuehl" w:hAnsi="FrankRuehl" w:cs="FrankRuehl"/>
          <w:rtl/>
        </w:rPr>
        <w:t xml:space="preserve">: סע'  </w:t>
      </w:r>
      <w:hyperlink r:id="rId8" w:history="1">
        <w:r>
          <w:rPr>
            <w:rFonts w:ascii="FrankRuehl" w:hAnsi="FrankRuehl" w:cs="FrankRuehl"/>
            <w:color w:val="0000FF"/>
            <w:u w:val="single"/>
            <w:rtl/>
          </w:rPr>
          <w:t>7(א)</w:t>
        </w:r>
      </w:hyperlink>
      <w:r>
        <w:rPr>
          <w:rFonts w:ascii="FrankRuehl" w:hAnsi="FrankRuehl" w:cs="FrankRuehl"/>
          <w:rtl/>
        </w:rPr>
        <w:t xml:space="preserve">, </w:t>
      </w:r>
      <w:hyperlink r:id="rId9" w:history="1">
        <w:r>
          <w:rPr>
            <w:rFonts w:ascii="FrankRuehl" w:hAnsi="FrankRuehl" w:cs="FrankRuehl"/>
            <w:color w:val="0000FF"/>
            <w:u w:val="single"/>
            <w:rtl/>
          </w:rPr>
          <w:t>7(ג)</w:t>
        </w:r>
      </w:hyperlink>
      <w:r>
        <w:rPr>
          <w:rFonts w:ascii="FrankRuehl" w:hAnsi="FrankRuehl" w:cs="FrankRuehl"/>
          <w:rtl/>
        </w:rPr>
        <w:t xml:space="preserve">, </w:t>
      </w:r>
      <w:hyperlink r:id="rId10" w:history="1">
        <w:r>
          <w:rPr>
            <w:rFonts w:ascii="FrankRuehl" w:hAnsi="FrankRuehl" w:cs="FrankRuehl"/>
            <w:color w:val="0000FF"/>
            <w:u w:val="single"/>
            <w:rtl/>
          </w:rPr>
          <w:t>13</w:t>
        </w:r>
      </w:hyperlink>
    </w:p>
    <w:p w14:paraId="1CFF734A" w14:textId="77777777" w:rsidR="00471B97" w:rsidRDefault="00471B97">
      <w:pPr>
        <w:spacing w:after="120" w:line="240" w:lineRule="exact"/>
        <w:ind w:left="283" w:hanging="283"/>
        <w:jc w:val="both"/>
        <w:rPr>
          <w:rFonts w:ascii="FrankRuehl" w:hAnsi="FrankRuehl" w:cs="FrankRuehl"/>
          <w:rtl/>
        </w:rPr>
      </w:pPr>
      <w:hyperlink r:id="rId11" w:history="1">
        <w:r>
          <w:rPr>
            <w:rFonts w:ascii="FrankRuehl" w:hAnsi="FrankRuehl" w:cs="FrankRuehl"/>
            <w:color w:val="0000FF"/>
            <w:u w:val="single"/>
            <w:rtl/>
          </w:rPr>
          <w:t>חוק העונשין, תשל"ז-1977</w:t>
        </w:r>
      </w:hyperlink>
      <w:r>
        <w:rPr>
          <w:rFonts w:ascii="FrankRuehl" w:hAnsi="FrankRuehl" w:cs="FrankRuehl"/>
          <w:rtl/>
        </w:rPr>
        <w:t xml:space="preserve">: סע'  </w:t>
      </w:r>
      <w:hyperlink r:id="rId12" w:history="1">
        <w:r>
          <w:rPr>
            <w:rFonts w:ascii="FrankRuehl" w:hAnsi="FrankRuehl" w:cs="FrankRuehl"/>
            <w:color w:val="0000FF"/>
            <w:u w:val="single"/>
            <w:rtl/>
          </w:rPr>
          <w:t>71א(ד)</w:t>
        </w:r>
      </w:hyperlink>
    </w:p>
    <w:p w14:paraId="0EF69110" w14:textId="77777777" w:rsidR="00471B97" w:rsidRDefault="00471B97">
      <w:pPr>
        <w:spacing w:after="120" w:line="240" w:lineRule="exact"/>
        <w:ind w:left="283" w:hanging="283"/>
        <w:jc w:val="both"/>
        <w:rPr>
          <w:rFonts w:ascii="FrankRuehl" w:hAnsi="FrankRuehl" w:cs="FrankRuehl" w:hint="cs"/>
          <w:rtl/>
        </w:rPr>
      </w:pPr>
    </w:p>
    <w:p w14:paraId="2427C89D" w14:textId="77777777" w:rsidR="00471B97" w:rsidRDefault="00471B97">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hint="cs"/>
          <w:szCs w:val="26"/>
          <w:rtl/>
        </w:rPr>
        <w:t>מיני-רציו:</w:t>
      </w:r>
    </w:p>
    <w:p w14:paraId="2547F28C"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גזר דין בעניינו של נאשם שהורשע בעבירות של אספקת סם מסוכן והחזקת סם מסוכן לצריכה עצמית. הוטלו על הנאשם מאתיים שעות שירות לתועלת הציבור, לצד עונשים נלווים.</w:t>
      </w:r>
    </w:p>
    <w:p w14:paraId="5430B196"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עבירות סמים</w:t>
      </w:r>
    </w:p>
    <w:p w14:paraId="6B19A154"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Pr>
          <w:rFonts w:cs="FrankRuehl"/>
          <w:szCs w:val="26"/>
          <w:rtl/>
        </w:rPr>
        <w:t>עונשין – ענישה – מדיניות ענישה: שיקולים לקולה</w:t>
      </w:r>
    </w:p>
    <w:p w14:paraId="514F0B8D"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7AF9C3"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הנאשם הורשע על פי הודאתו, במסגרת הסדר טיעון, בעבירות של אספקת סם מסוכן והחזקת סם מסוכן לצריכה עצמית. </w:t>
      </w:r>
    </w:p>
    <w:p w14:paraId="68CC8A00"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D70BE1"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בית המשפט גזר את דינו של הנאשם, ופסק כלהלן:</w:t>
      </w:r>
    </w:p>
    <w:p w14:paraId="19EF5D1B" w14:textId="77777777" w:rsidR="00471B97" w:rsidRDefault="00471B97">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כאשר מדובר על כמות קטנה של סם "קל" מסוג קנבוס, אותו סיפק הנאשם תמורת 500 ₪, הפגיעה בערכים המוגנים אינה חמורה, ואף הנזקים </w:t>
      </w:r>
      <w:r>
        <w:rPr>
          <w:rFonts w:cs="FrankRuehl"/>
          <w:szCs w:val="26"/>
          <w:rtl/>
        </w:rPr>
        <w:t>–</w:t>
      </w:r>
      <w:r>
        <w:rPr>
          <w:rFonts w:cs="FrankRuehl" w:hint="cs"/>
          <w:szCs w:val="26"/>
          <w:rtl/>
        </w:rPr>
        <w:t xml:space="preserve"> קונקרטי כפוטנציאלי </w:t>
      </w:r>
      <w:r>
        <w:rPr>
          <w:rFonts w:cs="FrankRuehl"/>
          <w:szCs w:val="26"/>
          <w:rtl/>
        </w:rPr>
        <w:t>–</w:t>
      </w:r>
      <w:r>
        <w:rPr>
          <w:rFonts w:cs="FrankRuehl" w:hint="cs"/>
          <w:szCs w:val="26"/>
          <w:rtl/>
        </w:rPr>
        <w:t xml:space="preserve"> מועטים. מטרת המעשה הייתה 'חברתית', משסיפק הנאשם את הסם למכר שביקש ממנו.</w:t>
      </w:r>
    </w:p>
    <w:p w14:paraId="0ED3884A" w14:textId="77777777" w:rsidR="00471B97" w:rsidRDefault="00471B97">
      <w:pPr>
        <w:pBdr>
          <w:top w:val="single" w:sz="4" w:space="1" w:color="auto"/>
          <w:bottom w:val="single" w:sz="4" w:space="1" w:color="auto"/>
        </w:pBdr>
        <w:spacing w:after="120" w:line="320" w:lineRule="exact"/>
        <w:jc w:val="both"/>
        <w:rPr>
          <w:rFonts w:cs="FrankRuehl"/>
          <w:szCs w:val="26"/>
        </w:rPr>
      </w:pPr>
      <w:r>
        <w:rPr>
          <w:rFonts w:cs="FrankRuehl" w:hint="cs"/>
          <w:szCs w:val="26"/>
          <w:rtl/>
        </w:rPr>
        <w:t>מדובר בהספקה על רקע 'חברתי' ובנסיבות 'מינוריות', ולנתון זה משמעות רבה: מעגל הנזק מצומצם יותר והנאשם אינו חלק אינטגראלי ומתמיד בהפצת הסם. כיוון שכך, ייקבע מתחם העונש ההולם בין מאסר מותנה ולצדו חיוב בשל"צ ועיצומים כספיים, לבין שנת מאסר.</w:t>
      </w:r>
    </w:p>
    <w:p w14:paraId="64202A31" w14:textId="77777777" w:rsidR="00471B97" w:rsidRDefault="00471B97">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 xml:space="preserve">עונשו של הנאשם ימוקם בתחתית המתחם: הצורך בקונקרטיות העונש ייענה בשל"צ בהיקף נכבד ובקנס, תוספת הרתעה תושג במאסר מותנה והתחייבות, ואילו פסילה מלנהוג תוטל באופן מותנה בלבד, לנוכח הפסקת השימוש בסם וכדי למנוע פגיעה בעיסוקו של הנאשם. </w:t>
      </w:r>
    </w:p>
    <w:p w14:paraId="40FF7331" w14:textId="77777777" w:rsidR="00471B97" w:rsidRDefault="00471B97">
      <w:pPr>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000" w14:paraId="19E4BC97" w14:textId="77777777">
        <w:trPr>
          <w:trHeight w:val="355"/>
          <w:jc w:val="center"/>
        </w:trPr>
        <w:tc>
          <w:tcPr>
            <w:tcW w:w="8820" w:type="dxa"/>
            <w:tcBorders>
              <w:top w:val="nil"/>
              <w:left w:val="nil"/>
              <w:bottom w:val="nil"/>
              <w:right w:val="nil"/>
            </w:tcBorders>
            <w:shd w:val="clear" w:color="auto" w:fill="auto"/>
          </w:tcPr>
          <w:p w14:paraId="22F2ED07" w14:textId="77777777" w:rsidR="00471B97" w:rsidRDefault="00471B97">
            <w:pPr>
              <w:jc w:val="center"/>
              <w:rPr>
                <w:rFonts w:ascii="Arial" w:hAnsi="Arial"/>
                <w:b/>
                <w:bCs/>
                <w:sz w:val="28"/>
                <w:szCs w:val="28"/>
                <w:u w:val="single"/>
                <w:rtl/>
              </w:rPr>
            </w:pPr>
            <w:bookmarkStart w:id="6" w:name="LawTable_End"/>
            <w:bookmarkStart w:id="7" w:name="PsakDin" w:colFirst="0" w:colLast="0"/>
            <w:bookmarkEnd w:id="0"/>
            <w:bookmarkEnd w:id="6"/>
            <w:r>
              <w:rPr>
                <w:rFonts w:ascii="Arial" w:hAnsi="Arial"/>
                <w:b/>
                <w:bCs/>
                <w:sz w:val="28"/>
                <w:szCs w:val="28"/>
                <w:u w:val="single"/>
                <w:rtl/>
              </w:rPr>
              <w:t>גזר דין</w:t>
            </w:r>
          </w:p>
          <w:p w14:paraId="5C7BF14B" w14:textId="77777777" w:rsidR="00471B97" w:rsidRDefault="00471B97">
            <w:pPr>
              <w:jc w:val="center"/>
              <w:rPr>
                <w:rFonts w:ascii="Arial" w:hAnsi="Arial"/>
                <w:bCs/>
                <w:sz w:val="28"/>
                <w:szCs w:val="28"/>
                <w:u w:val="single"/>
                <w:rtl/>
              </w:rPr>
            </w:pPr>
          </w:p>
        </w:tc>
      </w:tr>
      <w:bookmarkEnd w:id="7"/>
    </w:tbl>
    <w:p w14:paraId="7723A75F" w14:textId="77777777" w:rsidR="00471B97" w:rsidRDefault="00471B97">
      <w:pPr>
        <w:spacing w:line="360" w:lineRule="auto"/>
        <w:jc w:val="both"/>
        <w:rPr>
          <w:rFonts w:ascii="Arial" w:hAnsi="Arial"/>
          <w:rtl/>
        </w:rPr>
      </w:pPr>
    </w:p>
    <w:p w14:paraId="2DD8E265" w14:textId="77777777" w:rsidR="00471B97" w:rsidRDefault="00471B97">
      <w:pPr>
        <w:spacing w:line="360" w:lineRule="auto"/>
        <w:jc w:val="both"/>
        <w:rPr>
          <w:rFonts w:ascii="Arial" w:hAnsi="Arial"/>
          <w:rtl/>
        </w:rPr>
      </w:pPr>
      <w:r>
        <w:rPr>
          <w:rFonts w:ascii="Arial" w:hAnsi="Arial" w:hint="cs"/>
          <w:b/>
          <w:bCs/>
          <w:u w:val="single"/>
          <w:rtl/>
        </w:rPr>
        <w:t>השתלשלות ההליך:</w:t>
      </w:r>
    </w:p>
    <w:p w14:paraId="74721255" w14:textId="77777777" w:rsidR="00471B97" w:rsidRDefault="00471B97">
      <w:pPr>
        <w:pStyle w:val="a9"/>
        <w:numPr>
          <w:ilvl w:val="0"/>
          <w:numId w:val="1"/>
        </w:numPr>
        <w:spacing w:line="360" w:lineRule="auto"/>
        <w:jc w:val="both"/>
        <w:rPr>
          <w:rFonts w:ascii="Arial" w:hAnsi="Arial"/>
        </w:rPr>
      </w:pPr>
      <w:r>
        <w:rPr>
          <w:rFonts w:ascii="Arial" w:hAnsi="Arial" w:hint="cs"/>
          <w:rtl/>
        </w:rPr>
        <w:t>ביום 29.11.16, במסגרת הסדר טיעון, הודה הנאשם בכתב אישום מתוקן והורשע בעבירות הבאות:</w:t>
      </w:r>
    </w:p>
    <w:p w14:paraId="57363852" w14:textId="77777777" w:rsidR="00471B97" w:rsidRDefault="00471B97">
      <w:pPr>
        <w:pStyle w:val="a9"/>
        <w:numPr>
          <w:ilvl w:val="1"/>
          <w:numId w:val="1"/>
        </w:numPr>
        <w:spacing w:line="360" w:lineRule="auto"/>
        <w:jc w:val="both"/>
        <w:rPr>
          <w:rFonts w:ascii="Arial" w:hAnsi="Arial"/>
        </w:rPr>
      </w:pPr>
      <w:r>
        <w:rPr>
          <w:rFonts w:ascii="Arial" w:hAnsi="Arial" w:hint="cs"/>
          <w:rtl/>
        </w:rPr>
        <w:t xml:space="preserve">אספקת סם מסוכן, לפי </w:t>
      </w:r>
      <w:hyperlink r:id="rId13" w:history="1">
        <w:r>
          <w:rPr>
            <w:rFonts w:ascii="Arial" w:hAnsi="Arial"/>
            <w:color w:val="0000FF"/>
            <w:u w:val="single"/>
            <w:rtl/>
          </w:rPr>
          <w:t>סעיף 13</w:t>
        </w:r>
      </w:hyperlink>
      <w:r>
        <w:rPr>
          <w:rFonts w:ascii="Arial" w:hAnsi="Arial" w:hint="cs"/>
          <w:rtl/>
        </w:rPr>
        <w:t xml:space="preserve"> ל</w:t>
      </w:r>
      <w:hyperlink r:id="rId14" w:history="1">
        <w:r>
          <w:rPr>
            <w:rFonts w:ascii="Arial" w:hAnsi="Arial"/>
            <w:color w:val="0000FF"/>
            <w:u w:val="single"/>
            <w:rtl/>
          </w:rPr>
          <w:t>פקודת הסמים המסוכנים</w:t>
        </w:r>
      </w:hyperlink>
      <w:r>
        <w:rPr>
          <w:rFonts w:ascii="Arial" w:hAnsi="Arial" w:hint="cs"/>
          <w:rtl/>
        </w:rPr>
        <w:t>;</w:t>
      </w:r>
    </w:p>
    <w:p w14:paraId="561B7BED" w14:textId="77777777" w:rsidR="00471B97" w:rsidRDefault="00471B97">
      <w:pPr>
        <w:pStyle w:val="a9"/>
        <w:numPr>
          <w:ilvl w:val="1"/>
          <w:numId w:val="1"/>
        </w:numPr>
        <w:spacing w:line="360" w:lineRule="auto"/>
        <w:jc w:val="both"/>
        <w:rPr>
          <w:rFonts w:ascii="Arial" w:hAnsi="Arial"/>
        </w:rPr>
      </w:pPr>
      <w:r>
        <w:rPr>
          <w:rFonts w:ascii="Arial" w:hAnsi="Arial" w:hint="cs"/>
          <w:rtl/>
        </w:rPr>
        <w:t xml:space="preserve">החזקת סם מסוכן לצריכה עצמית, לפי </w:t>
      </w:r>
      <w:hyperlink r:id="rId15" w:history="1">
        <w:r>
          <w:rPr>
            <w:rFonts w:ascii="Arial" w:hAnsi="Arial"/>
            <w:color w:val="0000FF"/>
            <w:u w:val="single"/>
            <w:rtl/>
          </w:rPr>
          <w:t>סעיף 7(א)</w:t>
        </w:r>
      </w:hyperlink>
      <w:r>
        <w:rPr>
          <w:rFonts w:ascii="Arial" w:hAnsi="Arial" w:hint="cs"/>
          <w:rtl/>
        </w:rPr>
        <w:t xml:space="preserve"> בצירוף </w:t>
      </w:r>
      <w:hyperlink r:id="rId16" w:history="1">
        <w:r>
          <w:rPr>
            <w:rFonts w:ascii="Arial" w:hAnsi="Arial"/>
            <w:color w:val="0000FF"/>
            <w:u w:val="single"/>
            <w:rtl/>
          </w:rPr>
          <w:t>סעיף 7(ג)</w:t>
        </w:r>
      </w:hyperlink>
      <w:r>
        <w:rPr>
          <w:rFonts w:ascii="Arial" w:hAnsi="Arial" w:hint="cs"/>
          <w:rtl/>
        </w:rPr>
        <w:t xml:space="preserve"> סיפא לפקודה;</w:t>
      </w:r>
    </w:p>
    <w:p w14:paraId="776E20A4" w14:textId="77777777" w:rsidR="00471B97" w:rsidRDefault="00471B97">
      <w:pPr>
        <w:pStyle w:val="a9"/>
        <w:numPr>
          <w:ilvl w:val="0"/>
          <w:numId w:val="1"/>
        </w:numPr>
        <w:spacing w:line="360" w:lineRule="auto"/>
        <w:jc w:val="both"/>
        <w:rPr>
          <w:rFonts w:ascii="Arial" w:hAnsi="Arial"/>
        </w:rPr>
      </w:pPr>
      <w:r>
        <w:rPr>
          <w:rFonts w:ascii="Arial" w:hAnsi="Arial" w:hint="cs"/>
          <w:rtl/>
        </w:rPr>
        <w:t>לפי המוסכם, הופנה הנאשם לשירות המבחן והתקבלו בעניינו שלושה תסקירים, מהימים 30.3.17, 17.10.17 ו-12.12.17. עוד לפניי מוצגי ההגנה: מכתב המלצה ממעסיק [נע/1] וקבלה על תשלום שכר לימוד לאוניברסיטה הפתוחה לסמסטר ב' בשנת הלימודים 2016 [נע/2].</w:t>
      </w:r>
    </w:p>
    <w:p w14:paraId="56E722D8" w14:textId="77777777" w:rsidR="00471B97" w:rsidRDefault="00471B97">
      <w:pPr>
        <w:pStyle w:val="a9"/>
        <w:numPr>
          <w:ilvl w:val="0"/>
          <w:numId w:val="1"/>
        </w:numPr>
        <w:spacing w:line="360" w:lineRule="auto"/>
        <w:jc w:val="both"/>
        <w:rPr>
          <w:rFonts w:ascii="Arial" w:hAnsi="Arial"/>
        </w:rPr>
      </w:pPr>
      <w:r>
        <w:rPr>
          <w:rFonts w:ascii="Arial" w:hAnsi="Arial" w:hint="cs"/>
          <w:rtl/>
        </w:rPr>
        <w:t>ביום 18.12.17 נשמעה עדותה לעונש של אם הנאשם, והצדדים טענו לפי המוסכם:</w:t>
      </w:r>
    </w:p>
    <w:p w14:paraId="7C30AEA1" w14:textId="77777777" w:rsidR="00471B97" w:rsidRDefault="00471B97">
      <w:pPr>
        <w:spacing w:line="360" w:lineRule="auto"/>
        <w:ind w:left="360"/>
        <w:jc w:val="both"/>
        <w:rPr>
          <w:rFonts w:ascii="Arial" w:hAnsi="Arial"/>
          <w:rtl/>
        </w:rPr>
      </w:pPr>
      <w:r>
        <w:rPr>
          <w:rFonts w:ascii="Arial" w:hAnsi="Arial" w:hint="cs"/>
          <w:rtl/>
        </w:rPr>
        <w:t>התביעה ביקשה לקבוע כי מתחם העונש ההולם נע בין חמישה חודשי מאסר שניתן לרצותם בעבודות שירות לבין 12 חודשי מאסר, ועתרה לעונש של חמישה חודשי מאסר שניתן לרצותם בעבודות שירות, מאסר מותנה, פסילת רישיון נהיגה וחילוט;</w:t>
      </w:r>
    </w:p>
    <w:p w14:paraId="72A8417C" w14:textId="77777777" w:rsidR="00471B97" w:rsidRDefault="00471B97">
      <w:pPr>
        <w:spacing w:line="360" w:lineRule="auto"/>
        <w:ind w:left="360"/>
        <w:jc w:val="both"/>
        <w:rPr>
          <w:rFonts w:ascii="Arial" w:hAnsi="Arial"/>
          <w:rtl/>
        </w:rPr>
      </w:pPr>
      <w:r>
        <w:rPr>
          <w:rFonts w:ascii="Arial" w:hAnsi="Arial" w:hint="cs"/>
          <w:rtl/>
        </w:rPr>
        <w:t>ההגנה ביקשה לבטל את הרשעת הנאשם ולחייבו בביצוע של"צ. ההגנה הסכימה לחילוט;</w:t>
      </w:r>
    </w:p>
    <w:p w14:paraId="3BE51A93" w14:textId="77777777" w:rsidR="00471B97" w:rsidRDefault="00471B97">
      <w:pPr>
        <w:spacing w:line="360" w:lineRule="auto"/>
        <w:jc w:val="both"/>
        <w:rPr>
          <w:rtl/>
        </w:rPr>
      </w:pPr>
    </w:p>
    <w:p w14:paraId="5F393BDD" w14:textId="77777777" w:rsidR="00471B97" w:rsidRDefault="00471B97">
      <w:pPr>
        <w:spacing w:line="360" w:lineRule="auto"/>
        <w:jc w:val="both"/>
        <w:rPr>
          <w:b/>
          <w:bCs/>
          <w:u w:val="single"/>
          <w:rtl/>
        </w:rPr>
      </w:pPr>
      <w:r>
        <w:rPr>
          <w:rFonts w:hint="cs"/>
          <w:b/>
          <w:bCs/>
          <w:u w:val="single"/>
          <w:rtl/>
        </w:rPr>
        <w:t>מעשי הנאשם:</w:t>
      </w:r>
    </w:p>
    <w:p w14:paraId="31BA6B8C" w14:textId="77777777" w:rsidR="00471B97" w:rsidRDefault="00471B97">
      <w:pPr>
        <w:pStyle w:val="a9"/>
        <w:numPr>
          <w:ilvl w:val="0"/>
          <w:numId w:val="2"/>
        </w:numPr>
        <w:spacing w:line="360" w:lineRule="auto"/>
        <w:jc w:val="both"/>
      </w:pPr>
      <w:r>
        <w:rPr>
          <w:rFonts w:hint="cs"/>
          <w:rtl/>
        </w:rPr>
        <w:t>ב-15.2.15 בשעה 02:45 המתין הנאשם ברכבו לאחר, כדי לספק לו קנבוס במשקל 7.60 גרם נטו שהחזיק, תמורת 500 ₪. הנאשם נעצר והסם נתפס.</w:t>
      </w:r>
    </w:p>
    <w:p w14:paraId="57BCA0AA" w14:textId="77777777" w:rsidR="00471B97" w:rsidRDefault="00471B97">
      <w:pPr>
        <w:pStyle w:val="a9"/>
        <w:numPr>
          <w:ilvl w:val="0"/>
          <w:numId w:val="2"/>
        </w:numPr>
        <w:spacing w:line="360" w:lineRule="auto"/>
        <w:jc w:val="both"/>
      </w:pPr>
      <w:r>
        <w:rPr>
          <w:rFonts w:hint="cs"/>
          <w:rtl/>
        </w:rPr>
        <w:t>עוד החזיק הנאשם בביתו קנבוס במשקל 0.1837 גרם נטו, לצריכתו העצמית.</w:t>
      </w:r>
    </w:p>
    <w:p w14:paraId="7A6C8C8B" w14:textId="77777777" w:rsidR="00471B97" w:rsidRDefault="00471B97">
      <w:pPr>
        <w:spacing w:line="360" w:lineRule="auto"/>
        <w:jc w:val="both"/>
        <w:rPr>
          <w:rtl/>
        </w:rPr>
      </w:pPr>
    </w:p>
    <w:p w14:paraId="3158BB31" w14:textId="77777777" w:rsidR="00471B97" w:rsidRDefault="00471B97">
      <w:pPr>
        <w:spacing w:line="360" w:lineRule="auto"/>
        <w:jc w:val="both"/>
        <w:rPr>
          <w:rtl/>
        </w:rPr>
      </w:pPr>
    </w:p>
    <w:p w14:paraId="341202AB" w14:textId="77777777" w:rsidR="00471B97" w:rsidRDefault="00471B97">
      <w:pPr>
        <w:spacing w:line="360" w:lineRule="auto"/>
        <w:jc w:val="both"/>
        <w:rPr>
          <w:rtl/>
        </w:rPr>
      </w:pPr>
      <w:r>
        <w:rPr>
          <w:rFonts w:hint="cs"/>
          <w:b/>
          <w:bCs/>
          <w:u w:val="single"/>
          <w:rtl/>
        </w:rPr>
        <w:t>דחיית עתירת ההגנה לביטול הרשעתו של הנאשם:</w:t>
      </w:r>
    </w:p>
    <w:p w14:paraId="31FD38FB" w14:textId="77777777" w:rsidR="00471B97" w:rsidRDefault="00471B97">
      <w:pPr>
        <w:pStyle w:val="a9"/>
        <w:numPr>
          <w:ilvl w:val="0"/>
          <w:numId w:val="4"/>
        </w:numPr>
        <w:spacing w:line="360" w:lineRule="auto"/>
        <w:jc w:val="both"/>
        <w:rPr>
          <w:rFonts w:ascii="Arial" w:hAnsi="Arial"/>
        </w:rPr>
      </w:pPr>
      <w:r>
        <w:rPr>
          <w:rFonts w:ascii="Arial" w:hAnsi="Arial"/>
          <w:rtl/>
        </w:rPr>
        <w:t>ההגנה עותרת לב</w:t>
      </w:r>
      <w:r>
        <w:rPr>
          <w:rFonts w:ascii="Arial" w:hAnsi="Arial" w:hint="cs"/>
          <w:rtl/>
        </w:rPr>
        <w:t>י</w:t>
      </w:r>
      <w:r>
        <w:rPr>
          <w:rFonts w:ascii="Arial" w:hAnsi="Arial"/>
          <w:rtl/>
        </w:rPr>
        <w:t>ט</w:t>
      </w:r>
      <w:r>
        <w:rPr>
          <w:rFonts w:ascii="Arial" w:hAnsi="Arial" w:hint="cs"/>
          <w:rtl/>
        </w:rPr>
        <w:t>ו</w:t>
      </w:r>
      <w:r>
        <w:rPr>
          <w:rFonts w:ascii="Arial" w:hAnsi="Arial"/>
          <w:rtl/>
        </w:rPr>
        <w:t xml:space="preserve">ל הרשעתו של הנאשם, מחשש לפגיעה תעסוקתית: הנאשם מועסק </w:t>
      </w:r>
      <w:r>
        <w:rPr>
          <w:rFonts w:ascii="Arial" w:hAnsi="Arial" w:hint="cs"/>
          <w:rtl/>
        </w:rPr>
        <w:t xml:space="preserve">בתאגיד כנהג (לפי מכתב המעסיק, נע/1) או כעוזר אישי של בעלי התאגיד (לדבריו), ונטען כי </w:t>
      </w:r>
      <w:r>
        <w:rPr>
          <w:rFonts w:ascii="Arial" w:hAnsi="Arial"/>
          <w:rtl/>
        </w:rPr>
        <w:t xml:space="preserve">הרשעתו עלולה לסכן את המשך העסקתו. </w:t>
      </w:r>
    </w:p>
    <w:p w14:paraId="5A7FCD5F" w14:textId="77777777" w:rsidR="00471B97" w:rsidRDefault="00471B97">
      <w:pPr>
        <w:pStyle w:val="a9"/>
        <w:numPr>
          <w:ilvl w:val="0"/>
          <w:numId w:val="4"/>
        </w:numPr>
        <w:spacing w:line="360" w:lineRule="auto"/>
        <w:jc w:val="both"/>
        <w:rPr>
          <w:rFonts w:ascii="Arial" w:hAnsi="Arial"/>
        </w:rPr>
      </w:pPr>
      <w:r>
        <w:rPr>
          <w:rFonts w:ascii="Arial" w:hAnsi="Arial" w:hint="cs"/>
          <w:rtl/>
        </w:rPr>
        <w:t>למרבה המזל, אין כל תימוכין לצפי עגום זה: הנאשם זוכה להערכה בעבודתו, מעסיקו מודע להליך ולטיב האישום, ואף מביע בטחונו בהיות המקרה יחיד וחריג בחיי הנאשם [נע/1].</w:t>
      </w:r>
    </w:p>
    <w:p w14:paraId="73F6ADB2" w14:textId="77777777" w:rsidR="00471B97" w:rsidRDefault="00471B97">
      <w:pPr>
        <w:pStyle w:val="a9"/>
        <w:numPr>
          <w:ilvl w:val="0"/>
          <w:numId w:val="4"/>
        </w:numPr>
        <w:spacing w:line="360" w:lineRule="auto"/>
        <w:jc w:val="both"/>
      </w:pPr>
      <w:r>
        <w:rPr>
          <w:rtl/>
        </w:rPr>
        <w:lastRenderedPageBreak/>
        <w:t xml:space="preserve">הלכת </w:t>
      </w:r>
      <w:r>
        <w:rPr>
          <w:b/>
          <w:bCs/>
          <w:rtl/>
        </w:rPr>
        <w:t>כתב</w:t>
      </w:r>
      <w:r>
        <w:rPr>
          <w:rtl/>
        </w:rPr>
        <w:t xml:space="preserve"> הידועה (</w:t>
      </w:r>
      <w:hyperlink r:id="rId17" w:history="1">
        <w:r>
          <w:rPr>
            <w:color w:val="0000FF"/>
            <w:u w:val="single"/>
            <w:rtl/>
          </w:rPr>
          <w:t>ע"פ 2083/96</w:t>
        </w:r>
      </w:hyperlink>
      <w:r>
        <w:rPr>
          <w:rtl/>
        </w:rPr>
        <w:t xml:space="preserve"> </w:t>
      </w:r>
      <w:r>
        <w:rPr>
          <w:b/>
          <w:bCs/>
          <w:rtl/>
        </w:rPr>
        <w:t>כתב נ' מ.י.</w:t>
      </w:r>
      <w:r>
        <w:rPr>
          <w:rtl/>
        </w:rPr>
        <w:t xml:space="preserve"> </w:t>
      </w:r>
      <w:r>
        <w:rPr>
          <w:sz w:val="22"/>
          <w:rtl/>
        </w:rPr>
        <w:t xml:space="preserve">[פורסם בנבו] </w:t>
      </w:r>
      <w:r>
        <w:rPr>
          <w:rtl/>
        </w:rPr>
        <w:t>(1997)) שאושררה שוב ושוב על-ידי בית המשפט העליון, קובעת כי ביטול הרשעה או הימנעות מהרשעה הם חריגים לכלל הקובע כי מי שביצע עבירה, יורשע. שימוש באמצעים חריגים אלו מחייב קיומם של שני תנאים מצטברים – פגיעה חמורה הצפויה לשיקום הנאשם, וטיב העבירה מאפשר לוותר על ההרשעה.</w:t>
      </w:r>
    </w:p>
    <w:p w14:paraId="59726CFD" w14:textId="77777777" w:rsidR="00471B97" w:rsidRDefault="00471B97">
      <w:pPr>
        <w:pStyle w:val="a9"/>
        <w:numPr>
          <w:ilvl w:val="0"/>
          <w:numId w:val="4"/>
        </w:numPr>
        <w:spacing w:line="360" w:lineRule="auto"/>
        <w:jc w:val="both"/>
        <w:rPr>
          <w:rtl/>
        </w:rPr>
      </w:pPr>
      <w:r>
        <w:rPr>
          <w:rtl/>
        </w:rPr>
        <w:t xml:space="preserve">בית המשפט העליון קבע לא-פעם, כי קיומה של </w:t>
      </w:r>
      <w:r>
        <w:rPr>
          <w:i/>
          <w:iCs/>
          <w:rtl/>
        </w:rPr>
        <w:t>אפשרות</w:t>
      </w:r>
      <w:r>
        <w:rPr>
          <w:rtl/>
        </w:rPr>
        <w:t xml:space="preserve"> לפגיעה תעסוקתית אינו נחשב כפגיעה חמורה וקונקרטית בשיקום הנאשם</w:t>
      </w:r>
      <w:r>
        <w:rPr>
          <w:rFonts w:hint="cs"/>
          <w:rtl/>
        </w:rPr>
        <w:t>. כיון שבמקרה דנן אין כל בסיס לפגיעה נטענת, תידחה עתירת ההגנה וההרשעה לא תבוטל.</w:t>
      </w:r>
    </w:p>
    <w:p w14:paraId="15CC1256" w14:textId="77777777" w:rsidR="00471B97" w:rsidRDefault="00471B97">
      <w:pPr>
        <w:spacing w:line="360" w:lineRule="auto"/>
        <w:jc w:val="both"/>
        <w:rPr>
          <w:rtl/>
        </w:rPr>
      </w:pPr>
    </w:p>
    <w:p w14:paraId="50E81A59" w14:textId="77777777" w:rsidR="00471B97" w:rsidRDefault="00471B97">
      <w:pPr>
        <w:spacing w:line="360" w:lineRule="auto"/>
        <w:jc w:val="both"/>
      </w:pPr>
      <w:r>
        <w:rPr>
          <w:rFonts w:hint="cs"/>
          <w:b/>
          <w:bCs/>
          <w:u w:val="single"/>
          <w:rtl/>
        </w:rPr>
        <w:t>נסיבות העבירה - קביעת מתחם העונש ההולם:</w:t>
      </w:r>
    </w:p>
    <w:p w14:paraId="7347AF81" w14:textId="77777777" w:rsidR="00471B97" w:rsidRDefault="00471B97">
      <w:pPr>
        <w:pStyle w:val="a9"/>
        <w:numPr>
          <w:ilvl w:val="0"/>
          <w:numId w:val="3"/>
        </w:numPr>
        <w:spacing w:line="360" w:lineRule="auto"/>
        <w:jc w:val="both"/>
      </w:pPr>
      <w:r>
        <w:rPr>
          <w:rFonts w:hint="cs"/>
          <w:rtl/>
        </w:rPr>
        <w:t>אין צורך להכביר מילים על חומרת העבירה של הספקת סמים: המספק הוא חולייה חיונית בשלשלת העברת הסם "מהיצרן לצרכן", כאשר בנוסף לפגיעה הישירה של הסם במשתמש ובמשפחתו, גורר העיסוק בסם פגיעות נוספות ומרחיקות-לכת בחברה כולה, מחולל פשיעה ואף משמש למימון ארגוני פשיעה.</w:t>
      </w:r>
    </w:p>
    <w:p w14:paraId="2024ECA3" w14:textId="77777777" w:rsidR="00471B97" w:rsidRDefault="00471B97">
      <w:pPr>
        <w:pStyle w:val="a9"/>
        <w:numPr>
          <w:ilvl w:val="0"/>
          <w:numId w:val="3"/>
        </w:numPr>
        <w:spacing w:line="360" w:lineRule="auto"/>
        <w:jc w:val="both"/>
      </w:pPr>
      <w:r>
        <w:rPr>
          <w:rFonts w:hint="cs"/>
          <w:rtl/>
        </w:rPr>
        <w:t xml:space="preserve">כאשר מדובר על כמות קטנה של סם "קל" מסוג קנבוס, אותו סיפק הנאשם תמורת 500 ₪, הפגיעה בערכים המוגנים אינה חמורה, ואף הנזקים </w:t>
      </w:r>
      <w:r>
        <w:rPr>
          <w:rtl/>
        </w:rPr>
        <w:t>–</w:t>
      </w:r>
      <w:r>
        <w:rPr>
          <w:rFonts w:hint="cs"/>
          <w:rtl/>
        </w:rPr>
        <w:t xml:space="preserve"> קונקרטי כפוטנציאלי </w:t>
      </w:r>
      <w:r>
        <w:rPr>
          <w:rtl/>
        </w:rPr>
        <w:t>–</w:t>
      </w:r>
      <w:r>
        <w:rPr>
          <w:rFonts w:hint="cs"/>
          <w:rtl/>
        </w:rPr>
        <w:t xml:space="preserve">  מועטים. מטרת המעשה היתה 'חברתית', משסיפק הנאשם את הסם למכר שביקש ממנו.</w:t>
      </w:r>
    </w:p>
    <w:p w14:paraId="4396FDF5" w14:textId="77777777" w:rsidR="00471B97" w:rsidRDefault="00471B97">
      <w:pPr>
        <w:pStyle w:val="a9"/>
        <w:numPr>
          <w:ilvl w:val="0"/>
          <w:numId w:val="3"/>
        </w:numPr>
        <w:spacing w:line="360" w:lineRule="auto"/>
        <w:jc w:val="both"/>
      </w:pPr>
      <w:r>
        <w:rPr>
          <w:rFonts w:hint="cs"/>
          <w:rtl/>
        </w:rPr>
        <w:t xml:space="preserve">עיון בפסיקה מעלה כי בתי המשפט עוקבים אחרי המדיניות המחמירה של בית המשפט העליון, ובמקרים דומים נקבעו מתחמי ענישה בין מספר חודשי מאסר שניתן לרצותם בעבודות שירות ועד לשנת מאסר ואף יותר. </w:t>
      </w:r>
      <w:r>
        <w:rPr>
          <w:rFonts w:hint="cs"/>
          <w:rtl/>
        </w:rPr>
        <w:t xml:space="preserve">כך ראו </w:t>
      </w:r>
      <w:hyperlink r:id="rId18" w:history="1">
        <w:r>
          <w:rPr>
            <w:color w:val="0000FF"/>
            <w:u w:val="single"/>
            <w:rtl/>
          </w:rPr>
          <w:t>רע"פ 3627/13</w:t>
        </w:r>
      </w:hyperlink>
      <w:r>
        <w:rPr>
          <w:rFonts w:hint="cs"/>
          <w:rtl/>
        </w:rPr>
        <w:t xml:space="preserve"> </w:t>
      </w:r>
      <w:r>
        <w:rPr>
          <w:rFonts w:hint="cs"/>
          <w:b/>
          <w:bCs/>
          <w:rtl/>
        </w:rPr>
        <w:t>שדה נ' מ.י.</w:t>
      </w:r>
      <w:r>
        <w:rPr>
          <w:rFonts w:hint="cs"/>
          <w:rtl/>
        </w:rPr>
        <w:t xml:space="preserve"> </w:t>
      </w:r>
      <w:r>
        <w:rPr>
          <w:sz w:val="22"/>
          <w:rtl/>
        </w:rPr>
        <w:t xml:space="preserve">[פורסם בנבו] </w:t>
      </w:r>
      <w:r>
        <w:rPr>
          <w:rFonts w:hint="cs"/>
          <w:rtl/>
        </w:rPr>
        <w:t>(2013) בו אושר עונש שהוטל מלכתחילה ב</w:t>
      </w:r>
      <w:hyperlink r:id="rId19" w:history="1">
        <w:r>
          <w:rPr>
            <w:color w:val="0000FF"/>
            <w:u w:val="single"/>
            <w:rtl/>
          </w:rPr>
          <w:t>ת"פ 15948-01-11</w:t>
        </w:r>
      </w:hyperlink>
      <w:r>
        <w:rPr>
          <w:rFonts w:hint="cs"/>
          <w:rtl/>
        </w:rPr>
        <w:t xml:space="preserve"> </w:t>
      </w:r>
      <w:r>
        <w:rPr>
          <w:rFonts w:hint="cs"/>
          <w:b/>
          <w:bCs/>
          <w:rtl/>
        </w:rPr>
        <w:t>מ.י. נ' שדה</w:t>
      </w:r>
      <w:r>
        <w:rPr>
          <w:rFonts w:hint="cs"/>
          <w:rtl/>
        </w:rPr>
        <w:t xml:space="preserve"> </w:t>
      </w:r>
      <w:r>
        <w:rPr>
          <w:sz w:val="22"/>
          <w:rtl/>
        </w:rPr>
        <w:t xml:space="preserve">[פורסם בנבו] </w:t>
      </w:r>
      <w:r>
        <w:rPr>
          <w:rFonts w:hint="cs"/>
          <w:rtl/>
        </w:rPr>
        <w:t xml:space="preserve">(2012), </w:t>
      </w:r>
      <w:hyperlink r:id="rId20" w:history="1">
        <w:r>
          <w:rPr>
            <w:color w:val="0000FF"/>
            <w:u w:val="single"/>
            <w:rtl/>
          </w:rPr>
          <w:t>ת"פ 49458-10-13</w:t>
        </w:r>
      </w:hyperlink>
      <w:r>
        <w:rPr>
          <w:rFonts w:hint="cs"/>
          <w:rtl/>
        </w:rPr>
        <w:t xml:space="preserve"> </w:t>
      </w:r>
      <w:r>
        <w:rPr>
          <w:rFonts w:hint="cs"/>
          <w:b/>
          <w:bCs/>
          <w:rtl/>
        </w:rPr>
        <w:t>מ.י. נ' שוייץ</w:t>
      </w:r>
      <w:r>
        <w:rPr>
          <w:rFonts w:hint="cs"/>
          <w:rtl/>
        </w:rPr>
        <w:t xml:space="preserve"> </w:t>
      </w:r>
      <w:r>
        <w:rPr>
          <w:sz w:val="22"/>
          <w:rtl/>
        </w:rPr>
        <w:t xml:space="preserve">[פורסם בנבו] </w:t>
      </w:r>
      <w:r>
        <w:rPr>
          <w:rFonts w:hint="cs"/>
          <w:rtl/>
        </w:rPr>
        <w:t>(2015) ו</w:t>
      </w:r>
      <w:hyperlink r:id="rId21" w:history="1">
        <w:r>
          <w:rPr>
            <w:color w:val="0000FF"/>
            <w:u w:val="single"/>
            <w:rtl/>
          </w:rPr>
          <w:t>ת"פ 26513-05-12</w:t>
        </w:r>
      </w:hyperlink>
      <w:r>
        <w:rPr>
          <w:rFonts w:hint="cs"/>
          <w:rtl/>
        </w:rPr>
        <w:t xml:space="preserve"> </w:t>
      </w:r>
      <w:r>
        <w:rPr>
          <w:rFonts w:hint="cs"/>
          <w:b/>
          <w:bCs/>
          <w:rtl/>
        </w:rPr>
        <w:t>מ.י. נ' אברהים</w:t>
      </w:r>
      <w:r>
        <w:rPr>
          <w:rFonts w:hint="cs"/>
          <w:rtl/>
        </w:rPr>
        <w:t xml:space="preserve"> </w:t>
      </w:r>
      <w:r>
        <w:rPr>
          <w:sz w:val="22"/>
          <w:rtl/>
        </w:rPr>
        <w:t xml:space="preserve">[פורסם בנבו] </w:t>
      </w:r>
      <w:r>
        <w:rPr>
          <w:rFonts w:hint="cs"/>
          <w:rtl/>
        </w:rPr>
        <w:t>(2012).</w:t>
      </w:r>
    </w:p>
    <w:p w14:paraId="12998A8E" w14:textId="77777777" w:rsidR="00471B97" w:rsidRDefault="00471B97">
      <w:pPr>
        <w:pStyle w:val="a9"/>
        <w:numPr>
          <w:ilvl w:val="0"/>
          <w:numId w:val="3"/>
        </w:numPr>
        <w:spacing w:line="360" w:lineRule="auto"/>
        <w:jc w:val="both"/>
      </w:pPr>
      <w:r>
        <w:rPr>
          <w:rFonts w:hint="cs"/>
          <w:rtl/>
        </w:rPr>
        <w:t xml:space="preserve">אולם, במקרה דנן מדובר בהספקה על-רקע 'חברתי' ובנסיבות 'מינוריות', כפי שציינה בהגינותה התובעת המלומדת [פרוט', ע' 4-5), ולנתון זה משמעות רבה: מעגל הנזק מצומצם יותר והנאשם אינו חלק אינטגראלי ומתמיד בהפצת הסם. </w:t>
      </w:r>
    </w:p>
    <w:p w14:paraId="2765284E" w14:textId="77777777" w:rsidR="00471B97" w:rsidRDefault="00471B97">
      <w:pPr>
        <w:pStyle w:val="a9"/>
        <w:numPr>
          <w:ilvl w:val="0"/>
          <w:numId w:val="3"/>
        </w:numPr>
        <w:spacing w:line="360" w:lineRule="auto"/>
        <w:jc w:val="both"/>
      </w:pPr>
      <w:r>
        <w:rPr>
          <w:rFonts w:hint="cs"/>
          <w:rtl/>
        </w:rPr>
        <w:t>כיון שכך, ייקבע מתחם העונש ההולם בין מאסר מותנה ולצדו חיוב בשל"צ ועיצומים כספיים, לבין שנת מאסר.</w:t>
      </w:r>
    </w:p>
    <w:p w14:paraId="6EC7ED15" w14:textId="77777777" w:rsidR="00471B97" w:rsidRDefault="00471B97">
      <w:pPr>
        <w:spacing w:line="360" w:lineRule="auto"/>
        <w:jc w:val="both"/>
        <w:rPr>
          <w:rtl/>
        </w:rPr>
      </w:pPr>
    </w:p>
    <w:p w14:paraId="06DF3A0A" w14:textId="77777777" w:rsidR="00471B97" w:rsidRDefault="00471B97">
      <w:pPr>
        <w:spacing w:line="360" w:lineRule="auto"/>
        <w:jc w:val="both"/>
        <w:rPr>
          <w:rtl/>
        </w:rPr>
      </w:pPr>
      <w:r>
        <w:rPr>
          <w:rFonts w:hint="cs"/>
          <w:b/>
          <w:bCs/>
          <w:u w:val="single"/>
          <w:rtl/>
        </w:rPr>
        <w:t xml:space="preserve">נסיבות שאינן קשורות בעבירה </w:t>
      </w:r>
      <w:r>
        <w:rPr>
          <w:b/>
          <w:bCs/>
          <w:u w:val="single"/>
          <w:rtl/>
        </w:rPr>
        <w:t>–</w:t>
      </w:r>
      <w:r>
        <w:rPr>
          <w:rFonts w:hint="cs"/>
          <w:b/>
          <w:bCs/>
          <w:u w:val="single"/>
          <w:rtl/>
        </w:rPr>
        <w:t xml:space="preserve"> מיקום העונש במתחם:</w:t>
      </w:r>
    </w:p>
    <w:p w14:paraId="3CC24B67" w14:textId="77777777" w:rsidR="00471B97" w:rsidRDefault="00471B97">
      <w:pPr>
        <w:pStyle w:val="a9"/>
        <w:numPr>
          <w:ilvl w:val="0"/>
          <w:numId w:val="5"/>
        </w:numPr>
        <w:spacing w:line="360" w:lineRule="auto"/>
        <w:jc w:val="both"/>
      </w:pPr>
      <w:r>
        <w:rPr>
          <w:rFonts w:hint="cs"/>
          <w:rtl/>
        </w:rPr>
        <w:t>הנאשם יליד 1992, כבן 25 כיום, רווק, סיים שנות לימודיו ושירות צבאי כסדר, ועובד כיום כנהג או עוזר אישי של בעלי חברת השקעות. מוצא הנאשם במשפחה נורמטיבית, המספקת לו תמיכה וגם משקפת לו את חומרת מעשיו והסתבכותו.</w:t>
      </w:r>
    </w:p>
    <w:p w14:paraId="04D389FC" w14:textId="77777777" w:rsidR="00471B97" w:rsidRDefault="00471B97">
      <w:pPr>
        <w:pStyle w:val="a9"/>
        <w:numPr>
          <w:ilvl w:val="0"/>
          <w:numId w:val="5"/>
        </w:numPr>
        <w:spacing w:line="360" w:lineRule="auto"/>
        <w:jc w:val="both"/>
      </w:pPr>
      <w:r>
        <w:rPr>
          <w:rFonts w:hint="cs"/>
          <w:rtl/>
        </w:rPr>
        <w:t>אין לחובת הנאשם עבר פלילי.</w:t>
      </w:r>
    </w:p>
    <w:p w14:paraId="42613AAD" w14:textId="77777777" w:rsidR="00471B97" w:rsidRDefault="00471B97">
      <w:pPr>
        <w:pStyle w:val="a9"/>
        <w:numPr>
          <w:ilvl w:val="0"/>
          <w:numId w:val="5"/>
        </w:numPr>
        <w:spacing w:line="360" w:lineRule="auto"/>
        <w:jc w:val="both"/>
      </w:pPr>
      <w:r>
        <w:rPr>
          <w:rFonts w:hint="cs"/>
          <w:rtl/>
        </w:rPr>
        <w:t>הנאשם הופנה לאחר הרשעתו לשירות המבחן, וניכר השינוי לאורך הזמן:</w:t>
      </w:r>
    </w:p>
    <w:p w14:paraId="2714C62E" w14:textId="77777777" w:rsidR="00471B97" w:rsidRDefault="00471B97">
      <w:pPr>
        <w:pStyle w:val="a9"/>
        <w:numPr>
          <w:ilvl w:val="1"/>
          <w:numId w:val="6"/>
        </w:numPr>
        <w:spacing w:line="360" w:lineRule="auto"/>
        <w:jc w:val="both"/>
      </w:pPr>
      <w:r>
        <w:rPr>
          <w:rFonts w:hint="cs"/>
          <w:rtl/>
        </w:rPr>
        <w:t>הנאשם נהג להשתמש בקנבוס לצורך רוגע והנאה, ולא ראה בכך פסול. הנאשם פיתח תלות בסם ובתחילת היכרותו עם שירות המבחן גילה יחס אמביוולנטי לטיפול;</w:t>
      </w:r>
    </w:p>
    <w:p w14:paraId="6303A98D" w14:textId="77777777" w:rsidR="00471B97" w:rsidRDefault="00471B97">
      <w:pPr>
        <w:pStyle w:val="a9"/>
        <w:numPr>
          <w:ilvl w:val="1"/>
          <w:numId w:val="6"/>
        </w:numPr>
        <w:spacing w:line="360" w:lineRule="auto"/>
        <w:jc w:val="both"/>
      </w:pPr>
      <w:r>
        <w:rPr>
          <w:rFonts w:hint="cs"/>
          <w:rtl/>
        </w:rPr>
        <w:t xml:space="preserve">שירות המבחן מצא כי הנאשם מאופיין בקווי אישיות ילדותיים ולא-בשלים, ואף בחוסר בטחון שעלול לגרום לו להיגרר אחרי אחרים. עם-זאת, הנאשם גילה יכולות וכוחות </w:t>
      </w:r>
      <w:r>
        <w:rPr>
          <w:rtl/>
        </w:rPr>
        <w:t>–</w:t>
      </w:r>
      <w:r>
        <w:rPr>
          <w:rFonts w:hint="cs"/>
          <w:rtl/>
        </w:rPr>
        <w:t xml:space="preserve"> לא זו בלבד שהוא מכין עצמו לחיים בוגרים ועצמאיים, בעבודה ובלימודים, אלא הצליח לנתק עצמו כליל מצריכת סם (כפי שמעידות גם בדיקות השתן שמסר);</w:t>
      </w:r>
    </w:p>
    <w:p w14:paraId="1E8C7412" w14:textId="77777777" w:rsidR="00471B97" w:rsidRDefault="00471B97">
      <w:pPr>
        <w:pStyle w:val="a9"/>
        <w:numPr>
          <w:ilvl w:val="1"/>
          <w:numId w:val="6"/>
        </w:numPr>
        <w:spacing w:line="360" w:lineRule="auto"/>
        <w:jc w:val="both"/>
      </w:pPr>
      <w:r>
        <w:rPr>
          <w:rFonts w:hint="cs"/>
          <w:rtl/>
        </w:rPr>
        <w:t>הנאשם מצוי בטיפול שירות המבחן מחודש מאי 2017, משתף פעולה כמידת יכולתו עם גורמי הטיפול, אך לא הגיע להפנמה ממשית של משמעות מעשיו ונזקקותו להמשך טיפול;</w:t>
      </w:r>
    </w:p>
    <w:p w14:paraId="0D4D94F5" w14:textId="77777777" w:rsidR="00471B97" w:rsidRDefault="00471B97">
      <w:pPr>
        <w:pStyle w:val="a9"/>
        <w:numPr>
          <w:ilvl w:val="0"/>
          <w:numId w:val="5"/>
        </w:numPr>
        <w:spacing w:line="360" w:lineRule="auto"/>
        <w:jc w:val="both"/>
      </w:pPr>
      <w:r>
        <w:rPr>
          <w:rFonts w:hint="cs"/>
          <w:rtl/>
        </w:rPr>
        <w:t>שירות המבחן אינו רואה אפוא תועלת בהמשך הטיפול בנאשם, אך אינו מתעלם מנטילת האחריות למעשה, ממערך הערכים וההתנהגות הנורמטיביים שלו, וממה שכן הושג בטיפול. השירות המליץ אפוא על חיוב בשל"צ, ללא צו מבחן.</w:t>
      </w:r>
    </w:p>
    <w:p w14:paraId="74583A3E" w14:textId="77777777" w:rsidR="00471B97" w:rsidRDefault="00471B97">
      <w:pPr>
        <w:pStyle w:val="a9"/>
        <w:numPr>
          <w:ilvl w:val="0"/>
          <w:numId w:val="5"/>
        </w:numPr>
        <w:spacing w:line="360" w:lineRule="auto"/>
        <w:jc w:val="both"/>
      </w:pPr>
      <w:r>
        <w:rPr>
          <w:rFonts w:hint="cs"/>
          <w:rtl/>
        </w:rPr>
        <w:t xml:space="preserve">אף התביעה, בהגינותה, סבורה כי יש למקם את עונשו של הנאשם בתחתית המתחם (החמור יותר, לדעתה), ונראה כי מכלול המדדים מצדיק זאת: הנאשם צעיר מאוד; ללא עבר פלילי; ההליך המשפטי גרם לשינוי נדרש בחייו ובתפיסותיו, כאשר ראשית לכל חדל מהשימוש בסם; הנאשם הודה ונטל אחריות למעשיו; הנאשם השקיע מאמצים וזמן בטיפול משקם; התנהגותו הכללית נורמטיבית ויצרנית, כשהוא מכין עצמו להמשך חייו; ויש לתת משקל גם לחלוף הזמן, אותו ניצל הנאשם להפסקת השימוש בסם, לעבודה וללימודים. </w:t>
      </w:r>
    </w:p>
    <w:p w14:paraId="77BF420C" w14:textId="77777777" w:rsidR="00471B97" w:rsidRDefault="00471B97">
      <w:pPr>
        <w:pStyle w:val="a9"/>
        <w:numPr>
          <w:ilvl w:val="0"/>
          <w:numId w:val="5"/>
        </w:numPr>
        <w:spacing w:line="360" w:lineRule="auto"/>
        <w:jc w:val="both"/>
        <w:rPr>
          <w:rtl/>
        </w:rPr>
      </w:pPr>
      <w:r>
        <w:rPr>
          <w:rFonts w:hint="cs"/>
          <w:rtl/>
        </w:rPr>
        <w:t>עונשו של הנאשם ימוקם אפוא בתחתית המתחם: הצורך בקונקרטיות העונש ייענה בשל"צ בהיקף נכבד ובקנס, תוספת הרתעה תושג במאסר מותנה והתחייבות, ואילו פסילה מלנהוג תוטל באופן מותנה בלבד, לנוכח הפסקת השימוש בסם וכדי למנוע פגיעה בעיסוקו של הנאשם. לנוכח ההסכמה לחילוט, אמנע מקביעה כי הנאשם הוא 'סוחר סמים'.</w:t>
      </w:r>
    </w:p>
    <w:p w14:paraId="7F55CB5B" w14:textId="77777777" w:rsidR="00471B97" w:rsidRDefault="00471B97">
      <w:pPr>
        <w:spacing w:line="360" w:lineRule="auto"/>
        <w:jc w:val="both"/>
        <w:rPr>
          <w:rtl/>
        </w:rPr>
      </w:pPr>
    </w:p>
    <w:p w14:paraId="19674BC9" w14:textId="77777777" w:rsidR="00471B97" w:rsidRDefault="00471B97">
      <w:pPr>
        <w:spacing w:line="360" w:lineRule="auto"/>
        <w:jc w:val="both"/>
        <w:rPr>
          <w:b/>
          <w:bCs/>
          <w:u w:val="single"/>
          <w:rtl/>
        </w:rPr>
      </w:pPr>
      <w:r>
        <w:rPr>
          <w:rFonts w:hint="cs"/>
          <w:b/>
          <w:bCs/>
          <w:u w:val="single"/>
          <w:rtl/>
        </w:rPr>
        <w:t>אני גוזר אפוא על הנאשם את העונשים הבאים:</w:t>
      </w:r>
    </w:p>
    <w:p w14:paraId="2AD31CE3" w14:textId="77777777" w:rsidR="00471B97" w:rsidRDefault="00471B97">
      <w:pPr>
        <w:spacing w:line="360" w:lineRule="auto"/>
        <w:jc w:val="both"/>
        <w:rPr>
          <w:rtl/>
        </w:rPr>
      </w:pPr>
      <w:r>
        <w:rPr>
          <w:rFonts w:hint="cs"/>
          <w:rtl/>
        </w:rPr>
        <w:t>א.</w:t>
      </w:r>
      <w:r>
        <w:rPr>
          <w:rFonts w:hint="cs"/>
          <w:rtl/>
        </w:rPr>
        <w:tab/>
        <w:t>ארבעה חודשי מאסר על-תנאי למשך שלוש שנים, שלא יעבור עבירת סם שהיא פשע;</w:t>
      </w:r>
    </w:p>
    <w:p w14:paraId="0007F328" w14:textId="77777777" w:rsidR="00471B97" w:rsidRDefault="00471B97">
      <w:pPr>
        <w:spacing w:line="360" w:lineRule="auto"/>
        <w:jc w:val="both"/>
        <w:rPr>
          <w:rtl/>
        </w:rPr>
      </w:pPr>
      <w:r>
        <w:rPr>
          <w:rFonts w:hint="cs"/>
          <w:rtl/>
        </w:rPr>
        <w:t>ב.</w:t>
      </w:r>
      <w:r>
        <w:rPr>
          <w:rFonts w:hint="cs"/>
          <w:rtl/>
        </w:rPr>
        <w:tab/>
        <w:t xml:space="preserve"> קנס בסך 1,000 ₪ שישולם עד ליום 1.2.18 לזכות קרן הסמים, או שבועיים מאסר תמורתו;</w:t>
      </w:r>
    </w:p>
    <w:p w14:paraId="4C07EBF8" w14:textId="77777777" w:rsidR="00471B97" w:rsidRDefault="00471B97">
      <w:pPr>
        <w:spacing w:line="360" w:lineRule="auto"/>
        <w:ind w:left="720" w:hanging="720"/>
        <w:jc w:val="both"/>
        <w:rPr>
          <w:rtl/>
        </w:rPr>
      </w:pPr>
      <w:r>
        <w:rPr>
          <w:rFonts w:hint="cs"/>
          <w:rtl/>
        </w:rPr>
        <w:t>ג.</w:t>
      </w:r>
      <w:r>
        <w:rPr>
          <w:rFonts w:hint="cs"/>
          <w:rtl/>
        </w:rPr>
        <w:tab/>
        <w:t>התחייבות בסך 2,000 ₪ למשך שלוש שנים, שלא יעבור עבירת סם מכל סוג. לא תיחתם ההתחייבות, ייאסר הנאשם למשך חודש ימים;</w:t>
      </w:r>
    </w:p>
    <w:p w14:paraId="66F469E7" w14:textId="77777777" w:rsidR="00471B97" w:rsidRDefault="00471B97">
      <w:pPr>
        <w:spacing w:line="360" w:lineRule="auto"/>
        <w:ind w:left="720" w:hanging="720"/>
        <w:jc w:val="both"/>
        <w:rPr>
          <w:rtl/>
        </w:rPr>
      </w:pPr>
      <w:r>
        <w:rPr>
          <w:rFonts w:hint="cs"/>
          <w:rtl/>
        </w:rPr>
        <w:t>ד.</w:t>
      </w:r>
      <w:r>
        <w:rPr>
          <w:rFonts w:hint="cs"/>
          <w:rtl/>
        </w:rPr>
        <w:tab/>
        <w:t>שישה חודשי פסילה על-תנאי למשך שלוש שנים מהיום, מלקבל רישיון נהיגה או לנהוג;</w:t>
      </w:r>
    </w:p>
    <w:p w14:paraId="498F9E1B" w14:textId="77777777" w:rsidR="00471B97" w:rsidRDefault="00471B97">
      <w:pPr>
        <w:spacing w:line="360" w:lineRule="auto"/>
        <w:ind w:left="720" w:hanging="720"/>
        <w:jc w:val="both"/>
        <w:rPr>
          <w:rtl/>
        </w:rPr>
      </w:pPr>
      <w:r>
        <w:rPr>
          <w:rFonts w:hint="cs"/>
          <w:rtl/>
        </w:rPr>
        <w:t>ה.</w:t>
      </w:r>
      <w:r>
        <w:rPr>
          <w:rFonts w:hint="cs"/>
          <w:rtl/>
        </w:rPr>
        <w:tab/>
        <w:t xml:space="preserve">מאתיים שעות של"צ ב"מרכז הרכיבה רמת-גן", לפי תכנית שירות המבחן המאושרת עתה. תנאי מפורש בתכנית הוא המשך מסירת בדיקות שתן לגילוי סמים לשירות המבחן, לפי </w:t>
      </w:r>
      <w:hyperlink r:id="rId22" w:history="1">
        <w:r>
          <w:rPr>
            <w:color w:val="0000FF"/>
            <w:u w:val="single"/>
            <w:rtl/>
          </w:rPr>
          <w:t>סעיף 71א(ד)</w:t>
        </w:r>
      </w:hyperlink>
      <w:r>
        <w:rPr>
          <w:rFonts w:hint="cs"/>
          <w:rtl/>
        </w:rPr>
        <w:t xml:space="preserve"> ל</w:t>
      </w:r>
      <w:hyperlink r:id="rId23" w:history="1">
        <w:r>
          <w:rPr>
            <w:color w:val="0000FF"/>
            <w:u w:val="single"/>
            <w:rtl/>
          </w:rPr>
          <w:t>חוק העונשין</w:t>
        </w:r>
      </w:hyperlink>
      <w:r>
        <w:rPr>
          <w:rFonts w:hint="cs"/>
          <w:rtl/>
        </w:rPr>
        <w:t>, תשל"ז-1977. הנאשם מוזהר, כי אי-ציות להוראות שירות המבחן או הממונים במקום השל"צ, יוביל להשבת התיק לבית המשפט ולהטלת עונש חלופי נוסף;</w:t>
      </w:r>
    </w:p>
    <w:p w14:paraId="25B14DD3" w14:textId="77777777" w:rsidR="00471B97" w:rsidRDefault="00471B97">
      <w:pPr>
        <w:spacing w:line="360" w:lineRule="auto"/>
        <w:ind w:left="720" w:hanging="720"/>
        <w:jc w:val="both"/>
        <w:rPr>
          <w:rtl/>
        </w:rPr>
      </w:pPr>
      <w:r>
        <w:rPr>
          <w:rFonts w:hint="cs"/>
          <w:rtl/>
        </w:rPr>
        <w:t>ו.</w:t>
      </w:r>
      <w:r>
        <w:rPr>
          <w:rFonts w:hint="cs"/>
          <w:rtl/>
        </w:rPr>
        <w:tab/>
        <w:t>חילוט סך של 1,320 ₪ לזכות קרן הסמים;</w:t>
      </w:r>
    </w:p>
    <w:p w14:paraId="1E034D3A" w14:textId="77777777" w:rsidR="00471B97" w:rsidRDefault="00471B97">
      <w:pPr>
        <w:spacing w:line="360" w:lineRule="auto"/>
        <w:ind w:left="720" w:hanging="720"/>
        <w:jc w:val="both"/>
        <w:rPr>
          <w:rtl/>
        </w:rPr>
      </w:pPr>
    </w:p>
    <w:p w14:paraId="7FB67F09" w14:textId="77777777" w:rsidR="00471B97" w:rsidRDefault="00471B97">
      <w:pPr>
        <w:spacing w:line="360" w:lineRule="auto"/>
        <w:ind w:left="720" w:hanging="720"/>
        <w:jc w:val="both"/>
        <w:rPr>
          <w:rtl/>
        </w:rPr>
      </w:pPr>
      <w:r>
        <w:rPr>
          <w:rFonts w:hint="cs"/>
          <w:b/>
          <w:bCs/>
          <w:u w:val="single"/>
          <w:rtl/>
        </w:rPr>
        <w:t>הוראות נלוות:</w:t>
      </w:r>
    </w:p>
    <w:p w14:paraId="17347BBA" w14:textId="77777777" w:rsidR="00471B97" w:rsidRDefault="00471B97">
      <w:pPr>
        <w:spacing w:line="360" w:lineRule="auto"/>
        <w:ind w:left="720" w:hanging="720"/>
        <w:jc w:val="both"/>
        <w:rPr>
          <w:rtl/>
        </w:rPr>
      </w:pPr>
      <w:r>
        <w:rPr>
          <w:rFonts w:hint="cs"/>
          <w:rtl/>
        </w:rPr>
        <w:t>א.</w:t>
      </w:r>
      <w:r>
        <w:rPr>
          <w:rFonts w:hint="cs"/>
          <w:rtl/>
        </w:rPr>
        <w:tab/>
        <w:t>מוצגים: הסמים יושמדו וכל מוצג שלא הוריתי מה ייעשה בו יועבר להכרעה פרטנית של קצין משטרה;</w:t>
      </w:r>
    </w:p>
    <w:p w14:paraId="537B40FF" w14:textId="77777777" w:rsidR="00471B97" w:rsidRDefault="00471B97">
      <w:pPr>
        <w:spacing w:line="360" w:lineRule="auto"/>
        <w:ind w:left="720" w:hanging="720"/>
        <w:jc w:val="both"/>
        <w:rPr>
          <w:rtl/>
        </w:rPr>
      </w:pPr>
      <w:r>
        <w:rPr>
          <w:rFonts w:hint="cs"/>
          <w:rtl/>
        </w:rPr>
        <w:t>ב.</w:t>
      </w:r>
      <w:r>
        <w:rPr>
          <w:rFonts w:hint="cs"/>
          <w:rtl/>
        </w:rPr>
        <w:tab/>
        <w:t>עותק גזר הדין יועבר לשירות המבחן;</w:t>
      </w:r>
    </w:p>
    <w:p w14:paraId="3A7959D8" w14:textId="77777777" w:rsidR="00471B97" w:rsidRDefault="00471B97">
      <w:pPr>
        <w:spacing w:line="360" w:lineRule="auto"/>
        <w:ind w:left="720" w:hanging="720"/>
        <w:jc w:val="both"/>
        <w:rPr>
          <w:rtl/>
        </w:rPr>
      </w:pPr>
    </w:p>
    <w:p w14:paraId="5C7879D3" w14:textId="77777777" w:rsidR="00471B97" w:rsidRDefault="00471B97">
      <w:pPr>
        <w:spacing w:line="360" w:lineRule="auto"/>
        <w:ind w:left="720" w:hanging="720"/>
        <w:jc w:val="both"/>
        <w:rPr>
          <w:rtl/>
        </w:rPr>
      </w:pPr>
    </w:p>
    <w:p w14:paraId="14E68300" w14:textId="77777777" w:rsidR="00471B97" w:rsidRDefault="00471B97">
      <w:pPr>
        <w:spacing w:line="360" w:lineRule="auto"/>
        <w:ind w:left="720" w:hanging="720"/>
        <w:jc w:val="both"/>
        <w:rPr>
          <w:rtl/>
        </w:rPr>
      </w:pPr>
      <w:r>
        <w:rPr>
          <w:rFonts w:hint="cs"/>
          <w:rtl/>
        </w:rPr>
        <w:t>זכות ערעור לבית המשפט המחוזי תוך 45 יום מהיום.</w:t>
      </w:r>
    </w:p>
    <w:p w14:paraId="6A3C4754" w14:textId="77777777" w:rsidR="00471B97" w:rsidRDefault="00471B97">
      <w:pPr>
        <w:spacing w:line="360" w:lineRule="auto"/>
        <w:jc w:val="both"/>
        <w:rPr>
          <w:rtl/>
        </w:rPr>
      </w:pPr>
    </w:p>
    <w:p w14:paraId="2589416D" w14:textId="77777777" w:rsidR="00471B97" w:rsidRDefault="00471B97">
      <w:pPr>
        <w:spacing w:line="360" w:lineRule="auto"/>
        <w:jc w:val="both"/>
        <w:rPr>
          <w:color w:val="FFFFFF"/>
          <w:sz w:val="2"/>
          <w:szCs w:val="2"/>
          <w:rtl/>
        </w:rPr>
      </w:pPr>
      <w:r>
        <w:rPr>
          <w:color w:val="FFFFFF"/>
          <w:sz w:val="2"/>
          <w:szCs w:val="2"/>
          <w:rtl/>
        </w:rPr>
        <w:t>5129371</w:t>
      </w:r>
    </w:p>
    <w:p w14:paraId="1D9FB942" w14:textId="77777777" w:rsidR="00471B97" w:rsidRDefault="00471B97">
      <w:pPr>
        <w:rPr>
          <w:b/>
          <w:bCs/>
          <w:rtl/>
        </w:rPr>
      </w:pPr>
      <w:r>
        <w:rPr>
          <w:rFonts w:ascii="Arial" w:hAnsi="Arial"/>
          <w:b/>
          <w:bCs/>
          <w:color w:val="FFFFFF"/>
          <w:sz w:val="2"/>
          <w:szCs w:val="2"/>
          <w:rtl/>
        </w:rPr>
        <w:t>54678313</w:t>
      </w:r>
      <w:r>
        <w:rPr>
          <w:rFonts w:ascii="Arial" w:hAnsi="Arial"/>
          <w:b/>
          <w:bCs/>
          <w:rtl/>
        </w:rPr>
        <w:t xml:space="preserve">ניתן היום,  ט"ו טבת תשע"ח, 02 ינואר 2018, בנוכחות הצדדים. </w:t>
      </w:r>
    </w:p>
    <w:p w14:paraId="1392D778" w14:textId="77777777" w:rsidR="00471B97" w:rsidRDefault="00471B9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360DCCE" w14:textId="77777777" w:rsidR="00471B97" w:rsidRDefault="00471B97">
      <w:pPr>
        <w:jc w:val="center"/>
        <w:rPr>
          <w:rFonts w:ascii="Arial" w:hAnsi="Arial"/>
          <w:rtl/>
        </w:rPr>
      </w:pPr>
    </w:p>
    <w:p w14:paraId="360385E1" w14:textId="77777777" w:rsidR="00471B97" w:rsidRDefault="00471B97">
      <w:pPr>
        <w:rPr>
          <w:rtl/>
        </w:rPr>
      </w:pPr>
    </w:p>
    <w:p w14:paraId="4033E7AC" w14:textId="77777777" w:rsidR="00471B97" w:rsidRDefault="00471B97">
      <w:pPr>
        <w:pStyle w:val="a3"/>
        <w:jc w:val="center"/>
        <w:rPr>
          <w:color w:val="FFFFFF"/>
          <w:sz w:val="2"/>
          <w:szCs w:val="2"/>
          <w:rtl/>
        </w:rPr>
      </w:pPr>
      <w:r>
        <w:rPr>
          <w:color w:val="FFFFFF"/>
          <w:sz w:val="2"/>
          <w:szCs w:val="2"/>
          <w:rtl/>
        </w:rPr>
        <w:t>5129371</w:t>
      </w:r>
    </w:p>
    <w:p w14:paraId="224B90A5" w14:textId="77777777" w:rsidR="00471B97" w:rsidRDefault="00471B97">
      <w:pPr>
        <w:keepNext/>
        <w:rPr>
          <w:rFonts w:ascii="David" w:hAnsi="David"/>
          <w:color w:val="FFFFFF"/>
          <w:sz w:val="2"/>
          <w:szCs w:val="2"/>
          <w:rtl/>
        </w:rPr>
      </w:pPr>
      <w:r>
        <w:rPr>
          <w:rFonts w:ascii="David" w:hAnsi="David"/>
          <w:color w:val="FFFFFF"/>
          <w:sz w:val="2"/>
          <w:szCs w:val="2"/>
          <w:rtl/>
        </w:rPr>
        <w:t>54678313</w:t>
      </w:r>
    </w:p>
    <w:p w14:paraId="47F8D7A4" w14:textId="77777777" w:rsidR="00471B97" w:rsidRDefault="00471B97">
      <w:pPr>
        <w:keepNext/>
        <w:rPr>
          <w:rFonts w:ascii="David" w:hAnsi="David"/>
          <w:color w:val="000000"/>
          <w:sz w:val="22"/>
          <w:szCs w:val="22"/>
          <w:rtl/>
        </w:rPr>
      </w:pPr>
      <w:r>
        <w:rPr>
          <w:rFonts w:ascii="David" w:hAnsi="David"/>
          <w:color w:val="000000"/>
          <w:sz w:val="22"/>
          <w:szCs w:val="22"/>
          <w:rtl/>
        </w:rPr>
        <w:t>עידו דרויאן גמליאל 54678313</w:t>
      </w:r>
    </w:p>
    <w:p w14:paraId="30759648" w14:textId="77777777" w:rsidR="00471B97" w:rsidRDefault="00471B97">
      <w:r>
        <w:rPr>
          <w:color w:val="000000"/>
          <w:rtl/>
        </w:rPr>
        <w:t>נוסח מסמך זה כפוף לשינויי ניסוח ועריכה</w:t>
      </w:r>
    </w:p>
    <w:p w14:paraId="2A130A9F" w14:textId="77777777" w:rsidR="00471B97" w:rsidRDefault="00471B97">
      <w:pPr>
        <w:rPr>
          <w:rtl/>
        </w:rPr>
      </w:pPr>
    </w:p>
    <w:p w14:paraId="378B2DA9" w14:textId="77777777" w:rsidR="00471B97" w:rsidRDefault="00471B97">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71637333" w14:textId="77777777" w:rsidR="00471B97" w:rsidRDefault="00471B97">
      <w:pPr>
        <w:keepNext/>
        <w:rPr>
          <w:rFonts w:ascii="David" w:hAnsi="David"/>
          <w:color w:val="000000"/>
          <w:sz w:val="22"/>
          <w:szCs w:val="22"/>
          <w:rtl/>
        </w:rPr>
      </w:pPr>
    </w:p>
    <w:sectPr w:rsidR="00000000">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41CBF" w14:textId="77777777" w:rsidR="00471B97" w:rsidRDefault="00471B97">
      <w:r>
        <w:separator/>
      </w:r>
    </w:p>
  </w:endnote>
  <w:endnote w:type="continuationSeparator" w:id="0">
    <w:p w14:paraId="7CE11FB6" w14:textId="77777777" w:rsidR="00471B97" w:rsidRDefault="00471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4CEAE" w14:textId="77777777" w:rsidR="00471B97" w:rsidRDefault="00471B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A9AD8C" w14:textId="77777777" w:rsidR="00471B97" w:rsidRDefault="00471B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19477" w14:textId="77777777" w:rsidR="00471B97" w:rsidRDefault="00471B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40948A9" w14:textId="77777777" w:rsidR="00471B97" w:rsidRDefault="00471B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5F3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FA2DC1" w14:textId="77777777" w:rsidR="00471B97" w:rsidRDefault="00471B97">
      <w:r>
        <w:separator/>
      </w:r>
    </w:p>
  </w:footnote>
  <w:footnote w:type="continuationSeparator" w:id="0">
    <w:p w14:paraId="2F8159F5" w14:textId="77777777" w:rsidR="00471B97" w:rsidRDefault="00471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440DE" w14:textId="77777777" w:rsidR="00471B97" w:rsidRDefault="00471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47067-01-16</w:t>
    </w:r>
    <w:r>
      <w:rPr>
        <w:rFonts w:ascii="David" w:hAnsi="David"/>
        <w:color w:val="000000"/>
        <w:sz w:val="22"/>
        <w:szCs w:val="22"/>
        <w:rtl/>
      </w:rPr>
      <w:tab/>
      <w:t xml:space="preserve"> מדינת ישראל נ' אדר מן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01167" w14:textId="77777777" w:rsidR="00471B97" w:rsidRDefault="00471B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47067-01-16</w:t>
    </w:r>
    <w:r>
      <w:rPr>
        <w:rFonts w:ascii="David" w:hAnsi="David"/>
        <w:color w:val="000000"/>
        <w:sz w:val="22"/>
        <w:szCs w:val="22"/>
        <w:rtl/>
      </w:rPr>
      <w:tab/>
      <w:t xml:space="preserve"> מדינת ישראל נ' אדר מן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A3709"/>
    <w:multiLevelType w:val="hybridMultilevel"/>
    <w:tmpl w:val="FDCC0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043881"/>
    <w:multiLevelType w:val="hybridMultilevel"/>
    <w:tmpl w:val="87A07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C91DBB"/>
    <w:multiLevelType w:val="hybridMultilevel"/>
    <w:tmpl w:val="5AB2F666"/>
    <w:lvl w:ilvl="0" w:tplc="77160A3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530CEB"/>
    <w:multiLevelType w:val="hybridMultilevel"/>
    <w:tmpl w:val="F3CA170E"/>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B66A16"/>
    <w:multiLevelType w:val="hybridMultilevel"/>
    <w:tmpl w:val="D82E0CEE"/>
    <w:lvl w:ilvl="0" w:tplc="0409000F">
      <w:start w:val="1"/>
      <w:numFmt w:val="decimal"/>
      <w:lvlText w:val="%1."/>
      <w:lvlJc w:val="left"/>
      <w:pPr>
        <w:ind w:left="360" w:hanging="360"/>
      </w:pPr>
    </w:lvl>
    <w:lvl w:ilvl="1" w:tplc="04090013">
      <w:start w:val="1"/>
      <w:numFmt w:val="hebrew1"/>
      <w:lvlText w:val="%2."/>
      <w:lvlJc w:val="center"/>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7D2F4B0F"/>
    <w:multiLevelType w:val="hybridMultilevel"/>
    <w:tmpl w:val="5F6E9BD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7732098">
    <w:abstractNumId w:val="5"/>
  </w:num>
  <w:num w:numId="2" w16cid:durableId="1768114537">
    <w:abstractNumId w:val="1"/>
  </w:num>
  <w:num w:numId="3" w16cid:durableId="402601562">
    <w:abstractNumId w:val="0"/>
  </w:num>
  <w:num w:numId="4" w16cid:durableId="1410540422">
    <w:abstractNumId w:val="4"/>
  </w:num>
  <w:num w:numId="5" w16cid:durableId="2141725752">
    <w:abstractNumId w:val="2"/>
  </w:num>
  <w:num w:numId="6" w16cid:durableId="866673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325C"/>
    <w:rsid w:val="00471B97"/>
    <w:rsid w:val="00BD32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C0C7B4"/>
  <w15:chartTrackingRefBased/>
  <w15:docId w15:val="{22A2E401-3449-4B8E-9671-D6704D46C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153"/>
        <w:tab w:val="right" w:pos="8306"/>
      </w:tabs>
    </w:pPr>
  </w:style>
  <w:style w:type="character" w:customStyle="1" w:styleId="a4">
    <w:name w:val="כותרת עליונה תו"/>
    <w:link w:val="a3"/>
    <w:rPr>
      <w:rFonts w:ascii="Times New Roman" w:eastAsia="Times New Roman" w:hAnsi="Times New Roman" w:cs="David"/>
      <w:sz w:val="24"/>
      <w:szCs w:val="24"/>
    </w:rPr>
  </w:style>
  <w:style w:type="paragraph" w:styleId="a5">
    <w:name w:val="footer"/>
    <w:basedOn w:val="a"/>
    <w:link w:val="a6"/>
    <w:pPr>
      <w:tabs>
        <w:tab w:val="center" w:pos="4153"/>
        <w:tab w:val="right" w:pos="8306"/>
      </w:tabs>
    </w:pPr>
  </w:style>
  <w:style w:type="character" w:customStyle="1" w:styleId="a6">
    <w:name w:val="כותרת תחתונה תו"/>
    <w:link w:val="a5"/>
    <w:rPr>
      <w:rFonts w:ascii="Times New Roman" w:eastAsia="Times New Roman" w:hAnsi="Times New Roman" w:cs="David"/>
      <w:sz w:val="24"/>
      <w:szCs w:val="24"/>
    </w:rPr>
  </w:style>
  <w:style w:type="table" w:styleId="a7">
    <w:name w:val="Table Grid"/>
    <w:basedOn w:val="a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paragraph" w:styleId="a9">
    <w:name w:val="List Paragraph"/>
    <w:basedOn w:val="a"/>
    <w:qFormat/>
    <w:pPr>
      <w:ind w:left="720"/>
      <w:contextualSpacing/>
    </w:pPr>
  </w:style>
  <w:style w:type="character" w:styleId="Hyperlink">
    <w:name w:val="Hyperlink"/>
    <w:rPr>
      <w:color w:val="0563C1"/>
      <w:u w:val="single"/>
    </w:rPr>
  </w:style>
  <w:style w:type="character" w:styleId="aa">
    <w:name w:val="Unresolved Mention"/>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7012287"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case/4871250"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71a.d" TargetMode="External"/><Relationship Id="rId17" Type="http://schemas.openxmlformats.org/officeDocument/2006/relationships/hyperlink" Target="http://www.nevo.co.il/case/581078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84609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case/3549314"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71a.d"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1426</Words>
  <Characters>7132</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8541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4849667</vt:i4>
      </vt:variant>
      <vt:variant>
        <vt:i4>45</vt:i4>
      </vt:variant>
      <vt:variant>
        <vt:i4>0</vt:i4>
      </vt:variant>
      <vt:variant>
        <vt:i4>5</vt:i4>
      </vt:variant>
      <vt:variant>
        <vt:lpwstr>http://www.nevo.co.il/law/70301/71a.d</vt:lpwstr>
      </vt:variant>
      <vt:variant>
        <vt:lpwstr/>
      </vt:variant>
      <vt:variant>
        <vt:i4>3211384</vt:i4>
      </vt:variant>
      <vt:variant>
        <vt:i4>42</vt:i4>
      </vt:variant>
      <vt:variant>
        <vt:i4>0</vt:i4>
      </vt:variant>
      <vt:variant>
        <vt:i4>5</vt:i4>
      </vt:variant>
      <vt:variant>
        <vt:lpwstr>http://www.nevo.co.il/case/4871250</vt:lpwstr>
      </vt:variant>
      <vt:variant>
        <vt:lpwstr/>
      </vt:variant>
      <vt:variant>
        <vt:i4>3342452</vt:i4>
      </vt:variant>
      <vt:variant>
        <vt:i4>39</vt:i4>
      </vt:variant>
      <vt:variant>
        <vt:i4>0</vt:i4>
      </vt:variant>
      <vt:variant>
        <vt:i4>5</vt:i4>
      </vt:variant>
      <vt:variant>
        <vt:lpwstr>http://www.nevo.co.il/case/8460944</vt:lpwstr>
      </vt:variant>
      <vt:variant>
        <vt:lpwstr/>
      </vt:variant>
      <vt:variant>
        <vt:i4>3145849</vt:i4>
      </vt:variant>
      <vt:variant>
        <vt:i4>36</vt:i4>
      </vt:variant>
      <vt:variant>
        <vt:i4>0</vt:i4>
      </vt:variant>
      <vt:variant>
        <vt:i4>5</vt:i4>
      </vt:variant>
      <vt:variant>
        <vt:lpwstr>http://www.nevo.co.il/case/3549314</vt:lpwstr>
      </vt:variant>
      <vt:variant>
        <vt:lpwstr/>
      </vt:variant>
      <vt:variant>
        <vt:i4>3342462</vt:i4>
      </vt:variant>
      <vt:variant>
        <vt:i4>33</vt:i4>
      </vt:variant>
      <vt:variant>
        <vt:i4>0</vt:i4>
      </vt:variant>
      <vt:variant>
        <vt:i4>5</vt:i4>
      </vt:variant>
      <vt:variant>
        <vt:lpwstr>http://www.nevo.co.il/case/7012287</vt:lpwstr>
      </vt:variant>
      <vt:variant>
        <vt:lpwstr/>
      </vt:variant>
      <vt:variant>
        <vt:i4>3276916</vt:i4>
      </vt:variant>
      <vt:variant>
        <vt:i4>30</vt:i4>
      </vt:variant>
      <vt:variant>
        <vt:i4>0</vt:i4>
      </vt:variant>
      <vt:variant>
        <vt:i4>5</vt:i4>
      </vt:variant>
      <vt:variant>
        <vt:lpwstr>http://www.nevo.co.il/case/5810781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5177418</vt:i4>
      </vt:variant>
      <vt:variant>
        <vt:i4>18</vt:i4>
      </vt:variant>
      <vt:variant>
        <vt:i4>0</vt:i4>
      </vt:variant>
      <vt:variant>
        <vt:i4>5</vt:i4>
      </vt:variant>
      <vt:variant>
        <vt:lpwstr>http://www.nevo.co.il/law/4216/13</vt:lpwstr>
      </vt:variant>
      <vt:variant>
        <vt:lpwstr/>
      </vt:variant>
      <vt:variant>
        <vt:i4>4849667</vt:i4>
      </vt:variant>
      <vt:variant>
        <vt:i4>15</vt:i4>
      </vt:variant>
      <vt:variant>
        <vt:i4>0</vt:i4>
      </vt:variant>
      <vt:variant>
        <vt:i4>5</vt:i4>
      </vt:variant>
      <vt:variant>
        <vt:lpwstr>http://www.nevo.co.il/law/70301/71a.d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47067</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אדר מן </vt:lpwstr>
  </property>
  <property fmtid="{D5CDD505-2E9C-101B-9397-08002B2CF9AE}" pid="10" name="LAWYER">
    <vt:lpwstr>חבר ואדרי;גולברי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20180102</vt:lpwstr>
  </property>
  <property fmtid="{D5CDD505-2E9C-101B-9397-08002B2CF9AE}" pid="14" name="TYPE_N_DATE">
    <vt:lpwstr>38020180102</vt:lpwstr>
  </property>
  <property fmtid="{D5CDD505-2E9C-101B-9397-08002B2CF9AE}" pid="15" name="CASESLISTTMP1">
    <vt:lpwstr>5810781;7012287;3549314;8460944;4871250</vt:lpwstr>
  </property>
  <property fmtid="{D5CDD505-2E9C-101B-9397-08002B2CF9AE}" pid="16" name="WORDNUMPAGES">
    <vt:lpwstr>5</vt:lpwstr>
  </property>
  <property fmtid="{D5CDD505-2E9C-101B-9397-08002B2CF9AE}" pid="17" name="TYPE_ABS_DATE">
    <vt:lpwstr>380120180102</vt:lpwstr>
  </property>
  <property fmtid="{D5CDD505-2E9C-101B-9397-08002B2CF9AE}" pid="18" name="ISABSTRACT">
    <vt:lpwstr>Y</vt:lpwstr>
  </property>
  <property fmtid="{D5CDD505-2E9C-101B-9397-08002B2CF9AE}" pid="19" name="LAWLISTTMP1">
    <vt:lpwstr>4216/013;007.a;007.c</vt:lpwstr>
  </property>
  <property fmtid="{D5CDD505-2E9C-101B-9397-08002B2CF9AE}" pid="20" name="LAWLISTTMP2">
    <vt:lpwstr>70301/071a.d</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YES</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8991;8996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שיקולים לקולה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20180109</vt:lpwstr>
  </property>
  <property fmtid="{D5CDD505-2E9C-101B-9397-08002B2CF9AE}" pid="72" name="METAKZER">
    <vt:lpwstr>שירי</vt:lpwstr>
  </property>
</Properties>
</file>