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C4A04" w:rsidRPr="007B5FE9" w14:paraId="459A4A3F" w14:textId="77777777" w:rsidTr="00650F49">
        <w:trPr>
          <w:trHeight w:hRule="exact" w:val="418"/>
          <w:jc w:val="center"/>
        </w:trPr>
        <w:tc>
          <w:tcPr>
            <w:tcW w:w="8721" w:type="dxa"/>
            <w:gridSpan w:val="2"/>
          </w:tcPr>
          <w:p w14:paraId="0EF0C3F5" w14:textId="77777777" w:rsidR="005C4A04" w:rsidRPr="007B5FE9" w:rsidRDefault="005C4A04" w:rsidP="00560153">
            <w:pPr>
              <w:pStyle w:val="a3"/>
              <w:jc w:val="center"/>
              <w:rPr>
                <w:rFonts w:ascii="Tahoma" w:hAnsi="Tahoma"/>
                <w:color w:val="000080"/>
                <w:sz w:val="32"/>
                <w:szCs w:val="32"/>
                <w:rtl/>
              </w:rPr>
            </w:pPr>
            <w:bookmarkStart w:id="0" w:name="LastJudge"/>
            <w:r w:rsidRPr="007B5FE9">
              <w:rPr>
                <w:rFonts w:ascii="Tahoma" w:hAnsi="Tahoma"/>
                <w:b/>
                <w:bCs/>
                <w:color w:val="000080"/>
                <w:sz w:val="32"/>
                <w:szCs w:val="32"/>
                <w:rtl/>
              </w:rPr>
              <w:t>בית משפט השלום בתל אביב - יפו</w:t>
            </w:r>
          </w:p>
        </w:tc>
      </w:tr>
      <w:tr w:rsidR="005C4A04" w:rsidRPr="007B5FE9" w14:paraId="7FFEAF49" w14:textId="77777777" w:rsidTr="00650F49">
        <w:trPr>
          <w:trHeight w:val="337"/>
          <w:jc w:val="center"/>
        </w:trPr>
        <w:tc>
          <w:tcPr>
            <w:tcW w:w="5054" w:type="dxa"/>
          </w:tcPr>
          <w:p w14:paraId="4B1F2E39" w14:textId="77777777" w:rsidR="005C4A04" w:rsidRPr="007B5FE9" w:rsidRDefault="005C4A04" w:rsidP="00560153">
            <w:pPr>
              <w:rPr>
                <w:sz w:val="26"/>
                <w:szCs w:val="26"/>
                <w:rtl/>
              </w:rPr>
            </w:pPr>
            <w:r w:rsidRPr="007B5FE9">
              <w:rPr>
                <w:sz w:val="26"/>
                <w:szCs w:val="26"/>
                <w:rtl/>
              </w:rPr>
              <w:t>ת"פ</w:t>
            </w:r>
            <w:r w:rsidRPr="007B5FE9">
              <w:rPr>
                <w:rFonts w:hint="cs"/>
                <w:sz w:val="26"/>
                <w:szCs w:val="26"/>
                <w:rtl/>
              </w:rPr>
              <w:t xml:space="preserve"> </w:t>
            </w:r>
            <w:r w:rsidRPr="007B5FE9">
              <w:rPr>
                <w:sz w:val="26"/>
                <w:szCs w:val="26"/>
                <w:rtl/>
              </w:rPr>
              <w:t>55701-01-16</w:t>
            </w:r>
            <w:r w:rsidRPr="007B5FE9">
              <w:rPr>
                <w:rFonts w:hint="cs"/>
                <w:sz w:val="26"/>
                <w:szCs w:val="26"/>
                <w:rtl/>
              </w:rPr>
              <w:t xml:space="preserve"> </w:t>
            </w:r>
            <w:r w:rsidRPr="007B5FE9">
              <w:rPr>
                <w:sz w:val="26"/>
                <w:szCs w:val="26"/>
                <w:rtl/>
              </w:rPr>
              <w:t>מדינת ישראל נ' אבו רחימה</w:t>
            </w:r>
          </w:p>
          <w:p w14:paraId="063D2AA9" w14:textId="77777777" w:rsidR="005C4A04" w:rsidRPr="007B5FE9" w:rsidRDefault="005C4A04" w:rsidP="00560153">
            <w:pPr>
              <w:pStyle w:val="a3"/>
              <w:rPr>
                <w:rFonts w:cs="FrankRuehl"/>
                <w:sz w:val="28"/>
                <w:szCs w:val="28"/>
                <w:rtl/>
              </w:rPr>
            </w:pPr>
          </w:p>
        </w:tc>
        <w:tc>
          <w:tcPr>
            <w:tcW w:w="3667" w:type="dxa"/>
          </w:tcPr>
          <w:p w14:paraId="739A42B9" w14:textId="77777777" w:rsidR="005C4A04" w:rsidRPr="007B5FE9" w:rsidRDefault="005C4A04" w:rsidP="00560153">
            <w:pPr>
              <w:pStyle w:val="a3"/>
              <w:jc w:val="right"/>
              <w:rPr>
                <w:rFonts w:cs="FrankRuehl"/>
                <w:sz w:val="28"/>
                <w:szCs w:val="28"/>
                <w:rtl/>
              </w:rPr>
            </w:pPr>
          </w:p>
        </w:tc>
      </w:tr>
    </w:tbl>
    <w:p w14:paraId="68977BED" w14:textId="77777777" w:rsidR="005C4A04" w:rsidRPr="007B5FE9" w:rsidRDefault="005C4A04" w:rsidP="005C4A04">
      <w:pPr>
        <w:pStyle w:val="a3"/>
        <w:rPr>
          <w:rtl/>
        </w:rPr>
      </w:pPr>
      <w:r w:rsidRPr="007B5FE9">
        <w:rPr>
          <w:rFonts w:hint="cs"/>
          <w:rtl/>
        </w:rPr>
        <w:t xml:space="preserve"> </w:t>
      </w:r>
    </w:p>
    <w:p w14:paraId="167A2F68" w14:textId="77777777" w:rsidR="005C4A04" w:rsidRPr="007B5FE9" w:rsidRDefault="005C4A04" w:rsidP="005C4A0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40"/>
        <w:gridCol w:w="3349"/>
      </w:tblGrid>
      <w:tr w:rsidR="005C4A04" w:rsidRPr="007B5FE9" w14:paraId="20BA683B" w14:textId="77777777" w:rsidTr="005C4A04">
        <w:trPr>
          <w:trHeight w:val="295"/>
          <w:jc w:val="center"/>
        </w:trPr>
        <w:tc>
          <w:tcPr>
            <w:tcW w:w="598" w:type="dxa"/>
            <w:tcBorders>
              <w:top w:val="nil"/>
              <w:left w:val="nil"/>
              <w:bottom w:val="nil"/>
              <w:right w:val="nil"/>
            </w:tcBorders>
            <w:shd w:val="clear" w:color="auto" w:fill="auto"/>
          </w:tcPr>
          <w:p w14:paraId="6879695E" w14:textId="77777777" w:rsidR="005C4A04" w:rsidRPr="007B5FE9" w:rsidRDefault="005C4A04" w:rsidP="005C4A04">
            <w:pPr>
              <w:jc w:val="both"/>
              <w:rPr>
                <w:rFonts w:ascii="Arial" w:hAnsi="Arial"/>
                <w:b/>
                <w:bCs/>
                <w:sz w:val="26"/>
                <w:szCs w:val="26"/>
              </w:rPr>
            </w:pPr>
            <w:r w:rsidRPr="007B5FE9">
              <w:rPr>
                <w:rFonts w:ascii="Arial" w:hAnsi="Arial" w:hint="cs"/>
                <w:b/>
                <w:bCs/>
                <w:sz w:val="26"/>
                <w:szCs w:val="26"/>
                <w:rtl/>
              </w:rPr>
              <w:t>ל</w:t>
            </w:r>
            <w:r w:rsidRPr="007B5FE9">
              <w:rPr>
                <w:rFonts w:ascii="Arial" w:hAnsi="Arial"/>
                <w:b/>
                <w:bCs/>
                <w:sz w:val="26"/>
                <w:szCs w:val="26"/>
                <w:rtl/>
              </w:rPr>
              <w:t xml:space="preserve">פני </w:t>
            </w:r>
          </w:p>
        </w:tc>
        <w:tc>
          <w:tcPr>
            <w:tcW w:w="8222" w:type="dxa"/>
            <w:gridSpan w:val="2"/>
            <w:tcBorders>
              <w:top w:val="nil"/>
              <w:left w:val="nil"/>
              <w:bottom w:val="nil"/>
              <w:right w:val="nil"/>
            </w:tcBorders>
            <w:shd w:val="clear" w:color="auto" w:fill="auto"/>
          </w:tcPr>
          <w:p w14:paraId="14CC2B05" w14:textId="77777777" w:rsidR="005C4A04" w:rsidRPr="007B5FE9" w:rsidRDefault="005C4A04" w:rsidP="00560153">
            <w:pPr>
              <w:rPr>
                <w:rFonts w:ascii="Arial" w:hAnsi="Arial"/>
                <w:b/>
                <w:bCs/>
                <w:sz w:val="26"/>
                <w:szCs w:val="26"/>
                <w:rtl/>
              </w:rPr>
            </w:pPr>
            <w:r w:rsidRPr="007B5FE9">
              <w:rPr>
                <w:rFonts w:ascii="Arial" w:hAnsi="Arial" w:hint="cs"/>
                <w:b/>
                <w:bCs/>
                <w:sz w:val="26"/>
                <w:szCs w:val="26"/>
                <w:rtl/>
              </w:rPr>
              <w:t>כבוד ה</w:t>
            </w:r>
            <w:r w:rsidRPr="007B5FE9">
              <w:rPr>
                <w:rFonts w:ascii="Arial" w:hAnsi="Arial"/>
                <w:b/>
                <w:bCs/>
                <w:sz w:val="26"/>
                <w:szCs w:val="26"/>
                <w:rtl/>
              </w:rPr>
              <w:t>שופט</w:t>
            </w:r>
            <w:r w:rsidRPr="007B5FE9">
              <w:rPr>
                <w:rFonts w:ascii="Arial" w:hAnsi="Arial" w:hint="cs"/>
                <w:b/>
                <w:bCs/>
                <w:sz w:val="26"/>
                <w:szCs w:val="26"/>
                <w:rtl/>
              </w:rPr>
              <w:t xml:space="preserve">  </w:t>
            </w:r>
            <w:r w:rsidRPr="007B5FE9">
              <w:rPr>
                <w:rFonts w:ascii="Arial" w:hAnsi="Arial"/>
                <w:b/>
                <w:bCs/>
                <w:sz w:val="26"/>
                <w:szCs w:val="26"/>
                <w:rtl/>
              </w:rPr>
              <w:t>עידו דרויאן-גמליאל</w:t>
            </w:r>
          </w:p>
          <w:p w14:paraId="779B198F" w14:textId="77777777" w:rsidR="005C4A04" w:rsidRPr="007B5FE9" w:rsidRDefault="005C4A04" w:rsidP="00560153">
            <w:pPr>
              <w:rPr>
                <w:sz w:val="26"/>
                <w:szCs w:val="26"/>
                <w:rtl/>
              </w:rPr>
            </w:pPr>
          </w:p>
          <w:p w14:paraId="14306C60" w14:textId="77777777" w:rsidR="005C4A04" w:rsidRPr="007B5FE9" w:rsidRDefault="005C4A04" w:rsidP="005C4A04">
            <w:pPr>
              <w:jc w:val="both"/>
              <w:rPr>
                <w:rFonts w:ascii="Arial" w:hAnsi="Arial"/>
                <w:sz w:val="26"/>
                <w:szCs w:val="26"/>
              </w:rPr>
            </w:pPr>
          </w:p>
        </w:tc>
      </w:tr>
      <w:tr w:rsidR="005C4A04" w:rsidRPr="007B5FE9" w14:paraId="66249B01" w14:textId="77777777" w:rsidTr="005C4A04">
        <w:trPr>
          <w:trHeight w:val="355"/>
          <w:jc w:val="center"/>
        </w:trPr>
        <w:tc>
          <w:tcPr>
            <w:tcW w:w="598" w:type="dxa"/>
            <w:tcBorders>
              <w:top w:val="nil"/>
              <w:left w:val="nil"/>
              <w:bottom w:val="nil"/>
              <w:right w:val="nil"/>
            </w:tcBorders>
            <w:shd w:val="clear" w:color="auto" w:fill="auto"/>
          </w:tcPr>
          <w:p w14:paraId="2A3D729B" w14:textId="77777777" w:rsidR="005C4A04" w:rsidRPr="007B5FE9" w:rsidRDefault="005C4A04" w:rsidP="005C4A04">
            <w:pPr>
              <w:jc w:val="both"/>
              <w:rPr>
                <w:rFonts w:ascii="Arial" w:hAnsi="Arial"/>
                <w:b/>
                <w:bCs/>
                <w:sz w:val="26"/>
                <w:szCs w:val="26"/>
              </w:rPr>
            </w:pPr>
            <w:bookmarkStart w:id="1" w:name="FirstAppellant"/>
            <w:bookmarkStart w:id="2" w:name="FirstLawyer"/>
            <w:r w:rsidRPr="007B5FE9">
              <w:rPr>
                <w:rFonts w:ascii="Arial" w:hAnsi="Arial" w:hint="cs"/>
                <w:b/>
                <w:bCs/>
                <w:sz w:val="26"/>
                <w:szCs w:val="26"/>
                <w:rtl/>
              </w:rPr>
              <w:t>ה</w:t>
            </w:r>
            <w:r w:rsidRPr="007B5FE9">
              <w:rPr>
                <w:rFonts w:ascii="Arial" w:hAnsi="Arial"/>
                <w:b/>
                <w:bCs/>
                <w:sz w:val="26"/>
                <w:szCs w:val="26"/>
                <w:rtl/>
              </w:rPr>
              <w:t>מאשימה</w:t>
            </w:r>
          </w:p>
        </w:tc>
        <w:tc>
          <w:tcPr>
            <w:tcW w:w="4565" w:type="dxa"/>
            <w:tcBorders>
              <w:top w:val="nil"/>
              <w:left w:val="nil"/>
              <w:bottom w:val="nil"/>
              <w:right w:val="nil"/>
            </w:tcBorders>
            <w:shd w:val="clear" w:color="auto" w:fill="auto"/>
          </w:tcPr>
          <w:p w14:paraId="12626F9D" w14:textId="77777777" w:rsidR="005C4A04" w:rsidRPr="007B5FE9" w:rsidRDefault="005C4A04" w:rsidP="00560153">
            <w:pPr>
              <w:rPr>
                <w:sz w:val="26"/>
                <w:szCs w:val="26"/>
                <w:rtl/>
              </w:rPr>
            </w:pPr>
            <w:r w:rsidRPr="007B5FE9">
              <w:rPr>
                <w:rFonts w:ascii="Arial" w:hAnsi="Arial"/>
                <w:b/>
                <w:bCs/>
                <w:sz w:val="26"/>
                <w:szCs w:val="26"/>
                <w:rtl/>
              </w:rPr>
              <w:t>מדינת ישראל</w:t>
            </w:r>
          </w:p>
          <w:p w14:paraId="6560A290" w14:textId="77777777" w:rsidR="005C4A04" w:rsidRPr="007B5FE9" w:rsidRDefault="005C4A04" w:rsidP="00560153">
            <w:pPr>
              <w:rPr>
                <w:sz w:val="26"/>
                <w:szCs w:val="26"/>
              </w:rPr>
            </w:pPr>
            <w:r w:rsidRPr="007B5FE9">
              <w:rPr>
                <w:rFonts w:hint="cs"/>
                <w:sz w:val="26"/>
                <w:szCs w:val="26"/>
                <w:rtl/>
              </w:rPr>
              <w:t>ע"י ב"כ עוה"ד הוד ופרשר</w:t>
            </w:r>
          </w:p>
        </w:tc>
        <w:tc>
          <w:tcPr>
            <w:tcW w:w="3657" w:type="dxa"/>
            <w:tcBorders>
              <w:top w:val="nil"/>
              <w:left w:val="nil"/>
              <w:bottom w:val="nil"/>
              <w:right w:val="nil"/>
            </w:tcBorders>
            <w:shd w:val="clear" w:color="auto" w:fill="auto"/>
          </w:tcPr>
          <w:p w14:paraId="474967EC" w14:textId="77777777" w:rsidR="005C4A04" w:rsidRPr="007B5FE9" w:rsidRDefault="005C4A04" w:rsidP="005C4A04">
            <w:pPr>
              <w:jc w:val="both"/>
              <w:rPr>
                <w:rFonts w:ascii="Arial" w:hAnsi="Arial"/>
                <w:sz w:val="26"/>
                <w:szCs w:val="26"/>
              </w:rPr>
            </w:pPr>
          </w:p>
        </w:tc>
      </w:tr>
      <w:bookmarkEnd w:id="1"/>
      <w:bookmarkEnd w:id="2"/>
      <w:tr w:rsidR="005C4A04" w:rsidRPr="007B5FE9" w14:paraId="08113572" w14:textId="77777777" w:rsidTr="005C4A04">
        <w:trPr>
          <w:trHeight w:val="355"/>
          <w:jc w:val="center"/>
        </w:trPr>
        <w:tc>
          <w:tcPr>
            <w:tcW w:w="598" w:type="dxa"/>
            <w:tcBorders>
              <w:top w:val="nil"/>
              <w:left w:val="nil"/>
              <w:bottom w:val="nil"/>
              <w:right w:val="nil"/>
            </w:tcBorders>
            <w:shd w:val="clear" w:color="auto" w:fill="auto"/>
          </w:tcPr>
          <w:p w14:paraId="255B6023" w14:textId="77777777" w:rsidR="005C4A04" w:rsidRPr="007B5FE9" w:rsidRDefault="005C4A04" w:rsidP="005C4A04">
            <w:pPr>
              <w:jc w:val="both"/>
              <w:rPr>
                <w:rFonts w:ascii="Arial" w:hAnsi="Arial"/>
                <w:sz w:val="26"/>
                <w:szCs w:val="26"/>
                <w:rtl/>
              </w:rPr>
            </w:pPr>
          </w:p>
        </w:tc>
        <w:tc>
          <w:tcPr>
            <w:tcW w:w="4565" w:type="dxa"/>
            <w:tcBorders>
              <w:top w:val="nil"/>
              <w:left w:val="nil"/>
              <w:bottom w:val="nil"/>
              <w:right w:val="nil"/>
            </w:tcBorders>
            <w:shd w:val="clear" w:color="auto" w:fill="auto"/>
          </w:tcPr>
          <w:p w14:paraId="3D83F256" w14:textId="77777777" w:rsidR="005C4A04" w:rsidRPr="007B5FE9" w:rsidRDefault="005C4A04" w:rsidP="00560153">
            <w:pPr>
              <w:rPr>
                <w:rFonts w:ascii="Arial" w:hAnsi="Arial"/>
                <w:sz w:val="26"/>
                <w:szCs w:val="26"/>
                <w:rtl/>
              </w:rPr>
            </w:pPr>
          </w:p>
        </w:tc>
        <w:tc>
          <w:tcPr>
            <w:tcW w:w="3657" w:type="dxa"/>
            <w:tcBorders>
              <w:top w:val="nil"/>
              <w:left w:val="nil"/>
              <w:bottom w:val="nil"/>
              <w:right w:val="nil"/>
            </w:tcBorders>
            <w:shd w:val="clear" w:color="auto" w:fill="auto"/>
          </w:tcPr>
          <w:p w14:paraId="09F49BFF" w14:textId="77777777" w:rsidR="005C4A04" w:rsidRPr="007B5FE9" w:rsidRDefault="005C4A04" w:rsidP="005C4A04">
            <w:pPr>
              <w:jc w:val="right"/>
              <w:rPr>
                <w:rFonts w:ascii="Arial" w:hAnsi="Arial"/>
                <w:sz w:val="26"/>
                <w:szCs w:val="26"/>
                <w:rtl/>
              </w:rPr>
            </w:pPr>
          </w:p>
        </w:tc>
      </w:tr>
      <w:tr w:rsidR="005C4A04" w:rsidRPr="007B5FE9" w14:paraId="4E65324F" w14:textId="77777777" w:rsidTr="005C4A04">
        <w:trPr>
          <w:trHeight w:val="355"/>
          <w:jc w:val="center"/>
        </w:trPr>
        <w:tc>
          <w:tcPr>
            <w:tcW w:w="598" w:type="dxa"/>
            <w:tcBorders>
              <w:top w:val="nil"/>
              <w:left w:val="nil"/>
              <w:bottom w:val="nil"/>
              <w:right w:val="nil"/>
            </w:tcBorders>
            <w:shd w:val="clear" w:color="auto" w:fill="auto"/>
          </w:tcPr>
          <w:p w14:paraId="173C058C" w14:textId="77777777" w:rsidR="005C4A04" w:rsidRPr="007B5FE9" w:rsidRDefault="005C4A04" w:rsidP="005C4A04">
            <w:pPr>
              <w:jc w:val="both"/>
              <w:rPr>
                <w:rFonts w:ascii="Arial" w:hAnsi="Arial"/>
                <w:sz w:val="26"/>
                <w:szCs w:val="26"/>
                <w:rtl/>
              </w:rPr>
            </w:pPr>
          </w:p>
        </w:tc>
        <w:tc>
          <w:tcPr>
            <w:tcW w:w="8222" w:type="dxa"/>
            <w:gridSpan w:val="2"/>
            <w:tcBorders>
              <w:top w:val="nil"/>
              <w:left w:val="nil"/>
              <w:bottom w:val="nil"/>
              <w:right w:val="nil"/>
            </w:tcBorders>
            <w:shd w:val="clear" w:color="auto" w:fill="auto"/>
          </w:tcPr>
          <w:p w14:paraId="74AD88FF" w14:textId="77777777" w:rsidR="005C4A04" w:rsidRPr="007B5FE9" w:rsidRDefault="005C4A04" w:rsidP="005C4A04">
            <w:pPr>
              <w:jc w:val="center"/>
              <w:rPr>
                <w:rFonts w:ascii="Arial" w:hAnsi="Arial"/>
                <w:b/>
                <w:bCs/>
                <w:sz w:val="26"/>
                <w:szCs w:val="26"/>
                <w:rtl/>
              </w:rPr>
            </w:pPr>
          </w:p>
          <w:p w14:paraId="406DA73B" w14:textId="77777777" w:rsidR="005C4A04" w:rsidRPr="007B5FE9" w:rsidRDefault="005C4A04" w:rsidP="005C4A04">
            <w:pPr>
              <w:jc w:val="center"/>
              <w:rPr>
                <w:rFonts w:ascii="Arial" w:hAnsi="Arial"/>
                <w:b/>
                <w:bCs/>
                <w:sz w:val="26"/>
                <w:szCs w:val="26"/>
                <w:rtl/>
              </w:rPr>
            </w:pPr>
            <w:r w:rsidRPr="007B5FE9">
              <w:rPr>
                <w:rFonts w:ascii="Arial" w:hAnsi="Arial"/>
                <w:b/>
                <w:bCs/>
                <w:sz w:val="26"/>
                <w:szCs w:val="26"/>
                <w:rtl/>
              </w:rPr>
              <w:t>נגד</w:t>
            </w:r>
          </w:p>
          <w:p w14:paraId="49B5615E" w14:textId="77777777" w:rsidR="005C4A04" w:rsidRPr="007B5FE9" w:rsidRDefault="005C4A04" w:rsidP="005C4A04">
            <w:pPr>
              <w:jc w:val="both"/>
              <w:rPr>
                <w:rFonts w:ascii="Arial" w:hAnsi="Arial"/>
                <w:sz w:val="26"/>
                <w:szCs w:val="26"/>
              </w:rPr>
            </w:pPr>
          </w:p>
        </w:tc>
      </w:tr>
      <w:tr w:rsidR="005C4A04" w:rsidRPr="007B5FE9" w14:paraId="2362F596" w14:textId="77777777" w:rsidTr="005C4A04">
        <w:trPr>
          <w:trHeight w:val="355"/>
          <w:jc w:val="center"/>
        </w:trPr>
        <w:tc>
          <w:tcPr>
            <w:tcW w:w="598" w:type="dxa"/>
            <w:tcBorders>
              <w:top w:val="nil"/>
              <w:left w:val="nil"/>
              <w:bottom w:val="nil"/>
              <w:right w:val="nil"/>
            </w:tcBorders>
            <w:shd w:val="clear" w:color="auto" w:fill="auto"/>
          </w:tcPr>
          <w:p w14:paraId="1B47CE67" w14:textId="77777777" w:rsidR="005C4A04" w:rsidRPr="007B5FE9" w:rsidRDefault="005C4A04" w:rsidP="00560153">
            <w:pPr>
              <w:rPr>
                <w:rFonts w:ascii="Arial" w:hAnsi="Arial"/>
                <w:sz w:val="26"/>
                <w:szCs w:val="26"/>
                <w:rtl/>
              </w:rPr>
            </w:pPr>
            <w:r w:rsidRPr="007B5FE9">
              <w:rPr>
                <w:rFonts w:ascii="Arial" w:hAnsi="Arial" w:hint="cs"/>
                <w:b/>
                <w:bCs/>
                <w:sz w:val="26"/>
                <w:szCs w:val="26"/>
                <w:rtl/>
              </w:rPr>
              <w:t>ה</w:t>
            </w:r>
            <w:r w:rsidRPr="007B5FE9">
              <w:rPr>
                <w:rFonts w:ascii="Arial" w:hAnsi="Arial"/>
                <w:b/>
                <w:bCs/>
                <w:sz w:val="26"/>
                <w:szCs w:val="26"/>
                <w:rtl/>
              </w:rPr>
              <w:t>נאשמ</w:t>
            </w:r>
            <w:r w:rsidRPr="007B5FE9">
              <w:rPr>
                <w:rFonts w:ascii="Arial" w:hAnsi="Arial" w:hint="cs"/>
                <w:b/>
                <w:bCs/>
                <w:sz w:val="26"/>
                <w:szCs w:val="26"/>
                <w:rtl/>
              </w:rPr>
              <w:t>ת</w:t>
            </w:r>
          </w:p>
        </w:tc>
        <w:tc>
          <w:tcPr>
            <w:tcW w:w="4565" w:type="dxa"/>
            <w:tcBorders>
              <w:top w:val="nil"/>
              <w:left w:val="nil"/>
              <w:bottom w:val="nil"/>
              <w:right w:val="nil"/>
            </w:tcBorders>
            <w:shd w:val="clear" w:color="auto" w:fill="auto"/>
          </w:tcPr>
          <w:p w14:paraId="2CC606C2" w14:textId="77777777" w:rsidR="005C4A04" w:rsidRPr="007B5FE9" w:rsidRDefault="005C4A04" w:rsidP="00560153">
            <w:pPr>
              <w:rPr>
                <w:sz w:val="26"/>
                <w:szCs w:val="26"/>
                <w:rtl/>
              </w:rPr>
            </w:pPr>
            <w:r w:rsidRPr="007B5FE9">
              <w:rPr>
                <w:rFonts w:ascii="Arial" w:hAnsi="Arial"/>
                <w:b/>
                <w:bCs/>
                <w:sz w:val="26"/>
                <w:szCs w:val="26"/>
                <w:rtl/>
              </w:rPr>
              <w:t>פטמה אבו רחימה</w:t>
            </w:r>
          </w:p>
          <w:p w14:paraId="43FE02F0" w14:textId="77777777" w:rsidR="005C4A04" w:rsidRPr="007B5FE9" w:rsidRDefault="005C4A04" w:rsidP="00560153">
            <w:pPr>
              <w:rPr>
                <w:sz w:val="26"/>
                <w:szCs w:val="26"/>
                <w:rtl/>
              </w:rPr>
            </w:pPr>
            <w:r w:rsidRPr="007B5FE9">
              <w:rPr>
                <w:rFonts w:hint="cs"/>
                <w:sz w:val="26"/>
                <w:szCs w:val="26"/>
                <w:rtl/>
              </w:rPr>
              <w:t>ע"י ב"כ עו"ד נעאמנה</w:t>
            </w:r>
          </w:p>
        </w:tc>
        <w:tc>
          <w:tcPr>
            <w:tcW w:w="3657" w:type="dxa"/>
            <w:tcBorders>
              <w:top w:val="nil"/>
              <w:left w:val="nil"/>
              <w:bottom w:val="nil"/>
              <w:right w:val="nil"/>
            </w:tcBorders>
            <w:shd w:val="clear" w:color="auto" w:fill="auto"/>
          </w:tcPr>
          <w:p w14:paraId="02C38F74" w14:textId="77777777" w:rsidR="005C4A04" w:rsidRPr="007B5FE9" w:rsidRDefault="005C4A04" w:rsidP="005C4A04">
            <w:pPr>
              <w:jc w:val="right"/>
              <w:rPr>
                <w:rFonts w:ascii="Arial" w:hAnsi="Arial"/>
                <w:sz w:val="26"/>
                <w:szCs w:val="26"/>
              </w:rPr>
            </w:pPr>
          </w:p>
        </w:tc>
      </w:tr>
      <w:tr w:rsidR="005C4A04" w:rsidRPr="007B5FE9" w14:paraId="3A413666" w14:textId="77777777" w:rsidTr="005C4A04">
        <w:trPr>
          <w:trHeight w:val="355"/>
          <w:jc w:val="center"/>
        </w:trPr>
        <w:tc>
          <w:tcPr>
            <w:tcW w:w="598" w:type="dxa"/>
            <w:tcBorders>
              <w:top w:val="nil"/>
              <w:left w:val="nil"/>
              <w:bottom w:val="nil"/>
              <w:right w:val="nil"/>
            </w:tcBorders>
            <w:shd w:val="clear" w:color="auto" w:fill="auto"/>
          </w:tcPr>
          <w:p w14:paraId="267447EC" w14:textId="77777777" w:rsidR="005C4A04" w:rsidRPr="007B5FE9" w:rsidRDefault="005C4A04" w:rsidP="005C4A04">
            <w:pPr>
              <w:jc w:val="both"/>
              <w:rPr>
                <w:rFonts w:ascii="Arial" w:hAnsi="Arial"/>
                <w:sz w:val="26"/>
                <w:szCs w:val="26"/>
                <w:rtl/>
              </w:rPr>
            </w:pPr>
          </w:p>
        </w:tc>
        <w:tc>
          <w:tcPr>
            <w:tcW w:w="4565" w:type="dxa"/>
            <w:tcBorders>
              <w:top w:val="nil"/>
              <w:left w:val="nil"/>
              <w:bottom w:val="nil"/>
              <w:right w:val="nil"/>
            </w:tcBorders>
            <w:shd w:val="clear" w:color="auto" w:fill="auto"/>
          </w:tcPr>
          <w:p w14:paraId="55F7FDB4" w14:textId="77777777" w:rsidR="005C4A04" w:rsidRPr="007B5FE9" w:rsidRDefault="005C4A04" w:rsidP="00560153">
            <w:pPr>
              <w:rPr>
                <w:rFonts w:ascii="Arial" w:hAnsi="Arial"/>
                <w:sz w:val="26"/>
                <w:szCs w:val="26"/>
              </w:rPr>
            </w:pPr>
          </w:p>
        </w:tc>
        <w:tc>
          <w:tcPr>
            <w:tcW w:w="3657" w:type="dxa"/>
            <w:tcBorders>
              <w:top w:val="nil"/>
              <w:left w:val="nil"/>
              <w:bottom w:val="nil"/>
              <w:right w:val="nil"/>
            </w:tcBorders>
            <w:shd w:val="clear" w:color="auto" w:fill="auto"/>
          </w:tcPr>
          <w:p w14:paraId="25CCBB7B" w14:textId="77777777" w:rsidR="005C4A04" w:rsidRPr="007B5FE9" w:rsidRDefault="005C4A04" w:rsidP="005C4A04">
            <w:pPr>
              <w:jc w:val="right"/>
              <w:rPr>
                <w:rFonts w:ascii="Arial" w:hAnsi="Arial"/>
                <w:sz w:val="26"/>
                <w:szCs w:val="26"/>
              </w:rPr>
            </w:pPr>
          </w:p>
        </w:tc>
      </w:tr>
    </w:tbl>
    <w:p w14:paraId="72D0C34A" w14:textId="77777777" w:rsidR="00650F49" w:rsidRDefault="00650F49" w:rsidP="005C4A04">
      <w:pPr>
        <w:rPr>
          <w:rtl/>
        </w:rPr>
      </w:pPr>
      <w:bookmarkStart w:id="3" w:name="LawTable"/>
      <w:bookmarkEnd w:id="3"/>
    </w:p>
    <w:p w14:paraId="4DE0DEB9" w14:textId="77777777" w:rsidR="00650F49" w:rsidRPr="00650F49" w:rsidRDefault="00650F49" w:rsidP="00650F49">
      <w:pPr>
        <w:spacing w:after="120" w:line="240" w:lineRule="exact"/>
        <w:ind w:left="283" w:hanging="283"/>
        <w:jc w:val="both"/>
        <w:rPr>
          <w:rFonts w:ascii="FrankRuehl" w:hAnsi="FrankRuehl" w:cs="FrankRuehl"/>
          <w:rtl/>
        </w:rPr>
      </w:pPr>
    </w:p>
    <w:p w14:paraId="46CD4E53" w14:textId="77777777" w:rsidR="00650F49" w:rsidRPr="00650F49" w:rsidRDefault="00650F49" w:rsidP="00650F49">
      <w:pPr>
        <w:spacing w:after="120" w:line="240" w:lineRule="exact"/>
        <w:ind w:left="283" w:hanging="283"/>
        <w:jc w:val="both"/>
        <w:rPr>
          <w:rFonts w:ascii="FrankRuehl" w:hAnsi="FrankRuehl" w:cs="FrankRuehl"/>
          <w:rtl/>
        </w:rPr>
      </w:pPr>
      <w:r w:rsidRPr="00650F49">
        <w:rPr>
          <w:rFonts w:ascii="FrankRuehl" w:hAnsi="FrankRuehl" w:cs="FrankRuehl"/>
          <w:rtl/>
        </w:rPr>
        <w:t xml:space="preserve">חקיקה שאוזכרה: </w:t>
      </w:r>
    </w:p>
    <w:p w14:paraId="4D42AE4D" w14:textId="77777777" w:rsidR="00650F49" w:rsidRPr="00650F49" w:rsidRDefault="00650F49" w:rsidP="00650F49">
      <w:pPr>
        <w:spacing w:after="120" w:line="240" w:lineRule="exact"/>
        <w:ind w:left="283" w:hanging="283"/>
        <w:jc w:val="both"/>
        <w:rPr>
          <w:rFonts w:ascii="FrankRuehl" w:hAnsi="FrankRuehl" w:cs="FrankRuehl"/>
          <w:rtl/>
        </w:rPr>
      </w:pPr>
      <w:hyperlink r:id="rId7" w:history="1">
        <w:r w:rsidRPr="00650F49">
          <w:rPr>
            <w:rFonts w:ascii="FrankRuehl" w:hAnsi="FrankRuehl" w:cs="FrankRuehl"/>
            <w:color w:val="0000FF"/>
            <w:u w:val="single"/>
            <w:rtl/>
          </w:rPr>
          <w:t>פקודת הסמים המסוכנים [נוסח חדש], תשל"ג-1973</w:t>
        </w:r>
      </w:hyperlink>
      <w:r w:rsidRPr="00650F49">
        <w:rPr>
          <w:rFonts w:ascii="FrankRuehl" w:hAnsi="FrankRuehl" w:cs="FrankRuehl"/>
          <w:rtl/>
        </w:rPr>
        <w:t xml:space="preserve">: סע'  </w:t>
      </w:r>
      <w:hyperlink r:id="rId8" w:history="1">
        <w:r w:rsidRPr="00650F49">
          <w:rPr>
            <w:rFonts w:ascii="FrankRuehl" w:hAnsi="FrankRuehl" w:cs="FrankRuehl"/>
            <w:color w:val="0000FF"/>
            <w:u w:val="single"/>
            <w:rtl/>
          </w:rPr>
          <w:t>7 (א)</w:t>
        </w:r>
      </w:hyperlink>
      <w:r w:rsidRPr="00650F49">
        <w:rPr>
          <w:rFonts w:ascii="FrankRuehl" w:hAnsi="FrankRuehl" w:cs="FrankRuehl"/>
          <w:rtl/>
        </w:rPr>
        <w:t xml:space="preserve">, </w:t>
      </w:r>
      <w:hyperlink r:id="rId9" w:history="1">
        <w:r w:rsidRPr="00650F49">
          <w:rPr>
            <w:rFonts w:ascii="FrankRuehl" w:hAnsi="FrankRuehl" w:cs="FrankRuehl"/>
            <w:color w:val="0000FF"/>
            <w:u w:val="single"/>
            <w:rtl/>
          </w:rPr>
          <w:t>7 (ג)</w:t>
        </w:r>
      </w:hyperlink>
    </w:p>
    <w:p w14:paraId="1225AC3F" w14:textId="77777777" w:rsidR="00650F49" w:rsidRPr="00650F49" w:rsidRDefault="00650F49" w:rsidP="00650F49">
      <w:pPr>
        <w:spacing w:after="120" w:line="240" w:lineRule="exact"/>
        <w:ind w:left="283" w:hanging="283"/>
        <w:jc w:val="both"/>
        <w:rPr>
          <w:rFonts w:ascii="FrankRuehl" w:hAnsi="FrankRuehl" w:cs="FrankRuehl"/>
          <w:rtl/>
        </w:rPr>
      </w:pPr>
      <w:hyperlink r:id="rId10" w:history="1">
        <w:r w:rsidRPr="00650F49">
          <w:rPr>
            <w:rFonts w:ascii="FrankRuehl" w:hAnsi="FrankRuehl" w:cs="FrankRuehl"/>
            <w:color w:val="0000FF"/>
            <w:u w:val="single"/>
            <w:rtl/>
          </w:rPr>
          <w:t>חוק העונשין, תשל"ז-1977</w:t>
        </w:r>
      </w:hyperlink>
      <w:r w:rsidRPr="00650F49">
        <w:rPr>
          <w:rFonts w:ascii="FrankRuehl" w:hAnsi="FrankRuehl" w:cs="FrankRuehl"/>
          <w:rtl/>
        </w:rPr>
        <w:t xml:space="preserve">: סע'  </w:t>
      </w:r>
      <w:hyperlink r:id="rId11" w:history="1">
        <w:r w:rsidRPr="00650F49">
          <w:rPr>
            <w:rFonts w:ascii="FrankRuehl" w:hAnsi="FrankRuehl" w:cs="FrankRuehl"/>
            <w:color w:val="0000FF"/>
            <w:u w:val="single"/>
            <w:rtl/>
          </w:rPr>
          <w:t>244</w:t>
        </w:r>
      </w:hyperlink>
      <w:r w:rsidRPr="00650F49">
        <w:rPr>
          <w:rFonts w:ascii="FrankRuehl" w:hAnsi="FrankRuehl" w:cs="FrankRuehl"/>
          <w:rtl/>
        </w:rPr>
        <w:t xml:space="preserve">, </w:t>
      </w:r>
      <w:hyperlink r:id="rId12" w:history="1">
        <w:r w:rsidRPr="00650F49">
          <w:rPr>
            <w:rFonts w:ascii="FrankRuehl" w:hAnsi="FrankRuehl" w:cs="FrankRuehl"/>
            <w:color w:val="0000FF"/>
            <w:u w:val="single"/>
            <w:rtl/>
          </w:rPr>
          <w:t>א' לפרק ט'</w:t>
        </w:r>
      </w:hyperlink>
    </w:p>
    <w:p w14:paraId="4A4DB26B" w14:textId="77777777" w:rsidR="005C4A04" w:rsidRPr="007B5FE9" w:rsidRDefault="005C4A04" w:rsidP="005C4A04">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C4A04" w14:paraId="12788649" w14:textId="77777777" w:rsidTr="005C4A04">
        <w:trPr>
          <w:trHeight w:val="355"/>
          <w:jc w:val="center"/>
        </w:trPr>
        <w:tc>
          <w:tcPr>
            <w:tcW w:w="8820" w:type="dxa"/>
            <w:tcBorders>
              <w:top w:val="nil"/>
              <w:left w:val="nil"/>
              <w:bottom w:val="nil"/>
              <w:right w:val="nil"/>
            </w:tcBorders>
            <w:shd w:val="clear" w:color="auto" w:fill="auto"/>
          </w:tcPr>
          <w:p w14:paraId="21C2A24B" w14:textId="77777777" w:rsidR="007B5FE9" w:rsidRPr="007B5FE9" w:rsidRDefault="007B5FE9" w:rsidP="007B5FE9">
            <w:pPr>
              <w:jc w:val="center"/>
              <w:rPr>
                <w:rFonts w:ascii="Arial" w:hAnsi="Arial"/>
                <w:b/>
                <w:bCs/>
                <w:sz w:val="28"/>
                <w:szCs w:val="28"/>
                <w:u w:val="single"/>
                <w:rtl/>
              </w:rPr>
            </w:pPr>
            <w:bookmarkStart w:id="5" w:name="PsakDin" w:colFirst="0" w:colLast="0"/>
            <w:bookmarkEnd w:id="0"/>
            <w:r w:rsidRPr="007B5FE9">
              <w:rPr>
                <w:rFonts w:ascii="Arial" w:hAnsi="Arial"/>
                <w:b/>
                <w:bCs/>
                <w:sz w:val="28"/>
                <w:szCs w:val="28"/>
                <w:u w:val="single"/>
                <w:rtl/>
              </w:rPr>
              <w:t>גזר דין</w:t>
            </w:r>
          </w:p>
          <w:p w14:paraId="42D8CE8B" w14:textId="77777777" w:rsidR="005C4A04" w:rsidRPr="007B5FE9" w:rsidRDefault="005C4A04" w:rsidP="007B5FE9">
            <w:pPr>
              <w:jc w:val="center"/>
              <w:rPr>
                <w:rFonts w:ascii="Arial" w:hAnsi="Arial"/>
                <w:bCs/>
                <w:sz w:val="28"/>
                <w:szCs w:val="28"/>
                <w:u w:val="single"/>
                <w:rtl/>
              </w:rPr>
            </w:pPr>
          </w:p>
        </w:tc>
      </w:tr>
    </w:tbl>
    <w:p w14:paraId="34C4658D" w14:textId="77777777" w:rsidR="005C4A04" w:rsidRDefault="005C4A04" w:rsidP="005C4A04">
      <w:pPr>
        <w:spacing w:line="360" w:lineRule="auto"/>
        <w:jc w:val="both"/>
        <w:rPr>
          <w:rFonts w:ascii="Arial" w:hAnsi="Arial"/>
          <w:rtl/>
        </w:rPr>
      </w:pPr>
      <w:bookmarkStart w:id="6" w:name="ABSTRACT_START"/>
      <w:bookmarkEnd w:id="5"/>
      <w:bookmarkEnd w:id="6"/>
    </w:p>
    <w:p w14:paraId="6D78B38D" w14:textId="77777777" w:rsidR="005C4A04" w:rsidRPr="009C38E9" w:rsidRDefault="005C4A04" w:rsidP="005C4A04">
      <w:pPr>
        <w:spacing w:line="360" w:lineRule="auto"/>
        <w:rPr>
          <w:rFonts w:ascii="Arial" w:hAnsi="Arial"/>
          <w:rtl/>
        </w:rPr>
      </w:pPr>
      <w:r>
        <w:rPr>
          <w:rFonts w:ascii="Arial" w:hAnsi="Arial" w:hint="cs"/>
          <w:rtl/>
        </w:rPr>
        <w:t xml:space="preserve">במסגרת הסדר טיעון הודתה הנאשמת והורשעה ביום 6.12.16 </w:t>
      </w:r>
      <w:r w:rsidRPr="009C38E9">
        <w:rPr>
          <w:rFonts w:ascii="Arial" w:hAnsi="Arial"/>
          <w:rtl/>
        </w:rPr>
        <w:t>בעבירות הבאות:</w:t>
      </w:r>
    </w:p>
    <w:p w14:paraId="4A8D268D" w14:textId="77777777" w:rsidR="005C4A04" w:rsidRPr="009C38E9" w:rsidRDefault="005C4A04" w:rsidP="005C4A04">
      <w:pPr>
        <w:spacing w:line="360" w:lineRule="auto"/>
        <w:ind w:left="720" w:hanging="720"/>
        <w:rPr>
          <w:rFonts w:ascii="Arial" w:hAnsi="Arial"/>
          <w:rtl/>
        </w:rPr>
      </w:pPr>
      <w:r w:rsidRPr="009C38E9">
        <w:rPr>
          <w:rFonts w:ascii="Arial" w:hAnsi="Arial"/>
          <w:rtl/>
        </w:rPr>
        <w:t>א.</w:t>
      </w:r>
      <w:r w:rsidRPr="009C38E9">
        <w:rPr>
          <w:rFonts w:ascii="Arial" w:hAnsi="Arial"/>
          <w:rtl/>
        </w:rPr>
        <w:tab/>
        <w:t xml:space="preserve">החזקת סם מסוכן שלא לצריכה עצמית, לפי </w:t>
      </w:r>
      <w:hyperlink r:id="rId13" w:history="1">
        <w:r w:rsidR="00650F49" w:rsidRPr="00650F49">
          <w:rPr>
            <w:rFonts w:ascii="Arial" w:hAnsi="Arial"/>
            <w:color w:val="0000FF"/>
            <w:u w:val="single"/>
            <w:rtl/>
          </w:rPr>
          <w:t>סעיף 7 (א)</w:t>
        </w:r>
      </w:hyperlink>
      <w:r w:rsidRPr="009C38E9">
        <w:rPr>
          <w:rFonts w:ascii="Arial" w:hAnsi="Arial"/>
          <w:rtl/>
        </w:rPr>
        <w:t xml:space="preserve"> בצירוף </w:t>
      </w:r>
      <w:hyperlink r:id="rId14" w:history="1">
        <w:r w:rsidR="00650F49" w:rsidRPr="00650F49">
          <w:rPr>
            <w:rFonts w:ascii="Arial" w:hAnsi="Arial"/>
            <w:color w:val="0000FF"/>
            <w:u w:val="single"/>
            <w:rtl/>
          </w:rPr>
          <w:t>סעיף 7 (ג)</w:t>
        </w:r>
      </w:hyperlink>
      <w:r>
        <w:rPr>
          <w:rFonts w:ascii="Arial" w:hAnsi="Arial"/>
          <w:rtl/>
        </w:rPr>
        <w:t xml:space="preserve"> רישא ל</w:t>
      </w:r>
      <w:hyperlink r:id="rId15" w:history="1">
        <w:r w:rsidR="007B5FE9" w:rsidRPr="007B5FE9">
          <w:rPr>
            <w:rFonts w:ascii="Arial" w:hAnsi="Arial"/>
            <w:color w:val="0000FF"/>
            <w:u w:val="single"/>
            <w:rtl/>
          </w:rPr>
          <w:t>פקודת הסמים המסוכנים</w:t>
        </w:r>
      </w:hyperlink>
      <w:r>
        <w:rPr>
          <w:rFonts w:ascii="Arial" w:hAnsi="Arial" w:hint="cs"/>
          <w:rtl/>
        </w:rPr>
        <w:t>;</w:t>
      </w:r>
    </w:p>
    <w:p w14:paraId="240CD2A8" w14:textId="77777777" w:rsidR="005C4A04" w:rsidRDefault="005C4A04" w:rsidP="005C4A04">
      <w:pPr>
        <w:spacing w:line="360" w:lineRule="auto"/>
        <w:jc w:val="both"/>
        <w:rPr>
          <w:rFonts w:ascii="Arial" w:hAnsi="Arial"/>
          <w:rtl/>
        </w:rPr>
      </w:pPr>
      <w:r w:rsidRPr="009C38E9">
        <w:rPr>
          <w:rFonts w:ascii="Arial" w:hAnsi="Arial"/>
          <w:rtl/>
        </w:rPr>
        <w:t>ב.</w:t>
      </w:r>
      <w:r w:rsidRPr="009C38E9">
        <w:rPr>
          <w:rFonts w:ascii="Arial" w:hAnsi="Arial"/>
          <w:rtl/>
        </w:rPr>
        <w:tab/>
        <w:t xml:space="preserve">שיבוש מהלכי משפט, לפי </w:t>
      </w:r>
      <w:hyperlink r:id="rId16" w:history="1">
        <w:r w:rsidR="00650F49" w:rsidRPr="00650F49">
          <w:rPr>
            <w:rFonts w:ascii="Arial" w:hAnsi="Arial"/>
            <w:color w:val="0000FF"/>
            <w:u w:val="single"/>
            <w:rtl/>
          </w:rPr>
          <w:t>סעיף 244</w:t>
        </w:r>
      </w:hyperlink>
      <w:r>
        <w:rPr>
          <w:rFonts w:ascii="Arial" w:hAnsi="Arial"/>
          <w:rtl/>
        </w:rPr>
        <w:t xml:space="preserve"> ל</w:t>
      </w:r>
      <w:hyperlink r:id="rId17" w:history="1">
        <w:r w:rsidR="007B5FE9" w:rsidRPr="007B5FE9">
          <w:rPr>
            <w:rFonts w:ascii="Arial" w:hAnsi="Arial"/>
            <w:color w:val="0000FF"/>
            <w:u w:val="single"/>
            <w:rtl/>
          </w:rPr>
          <w:t>חוק העונשין</w:t>
        </w:r>
      </w:hyperlink>
      <w:r>
        <w:rPr>
          <w:rFonts w:ascii="Arial" w:hAnsi="Arial"/>
          <w:rtl/>
        </w:rPr>
        <w:t>, תשל"ז-</w:t>
      </w:r>
      <w:bookmarkStart w:id="7" w:name="ABSTRACT_END"/>
      <w:bookmarkEnd w:id="7"/>
      <w:r>
        <w:rPr>
          <w:rFonts w:ascii="Arial" w:hAnsi="Arial"/>
          <w:rtl/>
        </w:rPr>
        <w:t>1977</w:t>
      </w:r>
      <w:r>
        <w:rPr>
          <w:rFonts w:ascii="Arial" w:hAnsi="Arial" w:hint="cs"/>
          <w:rtl/>
        </w:rPr>
        <w:t>;</w:t>
      </w:r>
    </w:p>
    <w:p w14:paraId="1AFA2BEF" w14:textId="77777777" w:rsidR="005C4A04" w:rsidRDefault="005C4A04" w:rsidP="005C4A04">
      <w:pPr>
        <w:spacing w:line="360" w:lineRule="auto"/>
        <w:jc w:val="both"/>
        <w:rPr>
          <w:rFonts w:ascii="Arial" w:hAnsi="Arial"/>
          <w:rtl/>
        </w:rPr>
      </w:pPr>
    </w:p>
    <w:p w14:paraId="0A742C72" w14:textId="77777777" w:rsidR="005C4A04" w:rsidRDefault="005C4A04" w:rsidP="005C4A04">
      <w:pPr>
        <w:spacing w:line="360" w:lineRule="auto"/>
        <w:jc w:val="both"/>
        <w:rPr>
          <w:rFonts w:ascii="Arial" w:hAnsi="Arial"/>
          <w:rtl/>
        </w:rPr>
      </w:pPr>
      <w:r>
        <w:rPr>
          <w:rFonts w:ascii="Arial" w:hAnsi="Arial" w:hint="cs"/>
          <w:rtl/>
        </w:rPr>
        <w:t>לפי ההסדר, הופנתה הנאשמת לשירות המבחן, ולנוכח התסקיר החיובי-דיו הגבילה התביעה עתירתה לעונש עיקרי של חמישה חודשי מאסר לריצוי בעבודות שירות, מאסר מותנה, קנס ופסילה (התביעה לא עתרה לפיצוי הנפגע). ההגנה עתרה לענישה שעיקרה צו מבחן.</w:t>
      </w:r>
    </w:p>
    <w:p w14:paraId="25D9C2DE" w14:textId="77777777" w:rsidR="005C4A04" w:rsidRDefault="005C4A04" w:rsidP="005C4A04">
      <w:pPr>
        <w:spacing w:line="360" w:lineRule="auto"/>
        <w:jc w:val="both"/>
        <w:rPr>
          <w:rFonts w:ascii="Arial" w:hAnsi="Arial"/>
          <w:rtl/>
        </w:rPr>
      </w:pPr>
    </w:p>
    <w:p w14:paraId="2E1593FE" w14:textId="77777777" w:rsidR="005C4A04" w:rsidRDefault="005C4A04" w:rsidP="005C4A04">
      <w:pPr>
        <w:spacing w:line="360" w:lineRule="auto"/>
        <w:jc w:val="both"/>
        <w:rPr>
          <w:rFonts w:ascii="Arial" w:hAnsi="Arial"/>
          <w:rtl/>
        </w:rPr>
      </w:pPr>
      <w:r>
        <w:rPr>
          <w:rFonts w:ascii="Arial" w:hAnsi="Arial" w:hint="cs"/>
          <w:b/>
          <w:bCs/>
          <w:u w:val="single"/>
          <w:rtl/>
        </w:rPr>
        <w:t>מעשי הנאשמת:</w:t>
      </w:r>
    </w:p>
    <w:p w14:paraId="0CDB4CD8" w14:textId="77777777" w:rsidR="005C4A04" w:rsidRDefault="005C4A04" w:rsidP="005C4A04">
      <w:pPr>
        <w:pStyle w:val="a9"/>
        <w:numPr>
          <w:ilvl w:val="0"/>
          <w:numId w:val="1"/>
        </w:numPr>
        <w:spacing w:line="360" w:lineRule="auto"/>
        <w:jc w:val="both"/>
        <w:rPr>
          <w:rFonts w:ascii="Arial" w:hAnsi="Arial"/>
        </w:rPr>
      </w:pPr>
      <w:r>
        <w:rPr>
          <w:rFonts w:ascii="Arial" w:hAnsi="Arial" w:hint="cs"/>
          <w:rtl/>
        </w:rPr>
        <w:t>הנאשמת, המתגוררת עם בעלה אסמעאיל, עבדה כמנקה בבית-ספר בתל-אביב.</w:t>
      </w:r>
    </w:p>
    <w:p w14:paraId="541FBE94" w14:textId="77777777" w:rsidR="005C4A04" w:rsidRDefault="005C4A04" w:rsidP="005C4A04">
      <w:pPr>
        <w:pStyle w:val="a9"/>
        <w:numPr>
          <w:ilvl w:val="0"/>
          <w:numId w:val="1"/>
        </w:numPr>
        <w:spacing w:line="360" w:lineRule="auto"/>
        <w:jc w:val="both"/>
        <w:rPr>
          <w:rFonts w:ascii="Arial" w:hAnsi="Arial"/>
        </w:rPr>
      </w:pPr>
      <w:r>
        <w:rPr>
          <w:rFonts w:ascii="Arial" w:hAnsi="Arial" w:hint="cs"/>
          <w:rtl/>
        </w:rPr>
        <w:t>ביום 16.11.15 ביקש אסמעאיל מהנאשמת להחביא עבורו עשר שקיות של סם מסוכן מסוג קנבוס במשקל כולל של 497.30 גרם נטו. הנאשמת שמה את הסם בתיק, עטפה אותו בשקיות, והחביאה אותו בארון שנמצא בכיתה בבית הספר.</w:t>
      </w:r>
    </w:p>
    <w:p w14:paraId="60DF11E0" w14:textId="77777777" w:rsidR="005C4A04" w:rsidRDefault="005C4A04" w:rsidP="005C4A04">
      <w:pPr>
        <w:pStyle w:val="a9"/>
        <w:numPr>
          <w:ilvl w:val="0"/>
          <w:numId w:val="1"/>
        </w:numPr>
        <w:spacing w:line="360" w:lineRule="auto"/>
        <w:jc w:val="both"/>
        <w:rPr>
          <w:rFonts w:ascii="Arial" w:hAnsi="Arial"/>
        </w:rPr>
      </w:pPr>
      <w:r>
        <w:rPr>
          <w:rFonts w:ascii="Arial" w:hAnsi="Arial" w:hint="cs"/>
          <w:rtl/>
        </w:rPr>
        <w:lastRenderedPageBreak/>
        <w:t>למחר, ביום 17.11.15, מצאה אחת המורות את הסם והמשטרה הוזעקה למקום. הנאשמת נעצרה ואז טפלה אשם על הנפגע שי רון, עובד תחזוקה בבית הספר, וטענה שקיבלה את הסם ממנו. על טענת-שווא זו חזרה הנאשמת בחקירתה ובעימות מול הנפגע, עד שביום 19.11.17 חזרה מדבריה.</w:t>
      </w:r>
    </w:p>
    <w:p w14:paraId="68BD9D9B" w14:textId="77777777" w:rsidR="005C4A04" w:rsidRDefault="005C4A04" w:rsidP="005C4A04">
      <w:pPr>
        <w:pStyle w:val="a9"/>
        <w:numPr>
          <w:ilvl w:val="0"/>
          <w:numId w:val="1"/>
        </w:numPr>
        <w:spacing w:line="360" w:lineRule="auto"/>
        <w:jc w:val="both"/>
        <w:rPr>
          <w:rFonts w:ascii="Arial" w:hAnsi="Arial"/>
        </w:rPr>
      </w:pPr>
      <w:r>
        <w:rPr>
          <w:rFonts w:ascii="Arial" w:hAnsi="Arial" w:hint="cs"/>
          <w:rtl/>
        </w:rPr>
        <w:t>כתוצאה ממעשי הנאשמת שהה הנפגע ארבעה ימים במעצר.</w:t>
      </w:r>
    </w:p>
    <w:p w14:paraId="4D543E57" w14:textId="77777777" w:rsidR="005C4A04" w:rsidRDefault="005C4A04" w:rsidP="005C4A04">
      <w:pPr>
        <w:spacing w:line="360" w:lineRule="auto"/>
        <w:jc w:val="both"/>
        <w:rPr>
          <w:rFonts w:ascii="Arial" w:hAnsi="Arial"/>
          <w:rtl/>
        </w:rPr>
      </w:pPr>
    </w:p>
    <w:p w14:paraId="33E87330" w14:textId="77777777" w:rsidR="005C4A04" w:rsidRDefault="005C4A04" w:rsidP="005C4A04">
      <w:pPr>
        <w:spacing w:line="360" w:lineRule="auto"/>
        <w:jc w:val="both"/>
        <w:rPr>
          <w:rFonts w:ascii="Arial" w:hAnsi="Arial"/>
          <w:rtl/>
        </w:rPr>
      </w:pPr>
    </w:p>
    <w:p w14:paraId="7797BB45" w14:textId="77777777" w:rsidR="005C4A04" w:rsidRDefault="005C4A04" w:rsidP="005C4A04">
      <w:pPr>
        <w:spacing w:line="360" w:lineRule="auto"/>
        <w:jc w:val="both"/>
        <w:rPr>
          <w:rFonts w:ascii="Arial" w:hAnsi="Arial"/>
          <w:rtl/>
        </w:rPr>
      </w:pPr>
      <w:r>
        <w:rPr>
          <w:rFonts w:ascii="Arial" w:hAnsi="Arial" w:hint="cs"/>
          <w:b/>
          <w:bCs/>
          <w:u w:val="single"/>
          <w:rtl/>
        </w:rPr>
        <w:t>קביעת מתחם העונש ההולם והסדר הטיעון:</w:t>
      </w:r>
    </w:p>
    <w:p w14:paraId="12F8472C" w14:textId="77777777" w:rsidR="005C4A04" w:rsidRDefault="005C4A04" w:rsidP="005C4A04">
      <w:pPr>
        <w:pStyle w:val="a9"/>
        <w:numPr>
          <w:ilvl w:val="0"/>
          <w:numId w:val="2"/>
        </w:numPr>
        <w:spacing w:line="360" w:lineRule="auto"/>
        <w:jc w:val="both"/>
        <w:rPr>
          <w:rtl/>
        </w:rPr>
      </w:pPr>
      <w:r>
        <w:rPr>
          <w:rFonts w:hint="cs"/>
          <w:rtl/>
        </w:rPr>
        <w:t>כ</w:t>
      </w:r>
      <w:r>
        <w:rPr>
          <w:rtl/>
        </w:rPr>
        <w:t>ידוע, בית המשפט לא ידחה בנקל הסדר טיעון לעונש שמובא לאישורו</w:t>
      </w:r>
      <w:r>
        <w:rPr>
          <w:rFonts w:hint="cs"/>
          <w:rtl/>
        </w:rPr>
        <w:t>,</w:t>
      </w:r>
      <w:r>
        <w:rPr>
          <w:rtl/>
        </w:rPr>
        <w:t xml:space="preserve"> לנוכח קיומם של שיקולים כבדי משקל התומכים במוסד הסדרי הטיעון, ובראשם</w:t>
      </w:r>
      <w:r>
        <w:rPr>
          <w:rFonts w:hint="cs"/>
          <w:rtl/>
        </w:rPr>
        <w:t xml:space="preserve"> </w:t>
      </w:r>
      <w:r>
        <w:rPr>
          <w:rtl/>
        </w:rPr>
        <w:t>האינטרס הציבורי שלא לכרסם במעמדו כמכשיר אכיפה ו</w:t>
      </w:r>
      <w:r>
        <w:rPr>
          <w:rFonts w:hint="cs"/>
          <w:rtl/>
        </w:rPr>
        <w:t>ש</w:t>
      </w:r>
      <w:r>
        <w:rPr>
          <w:rtl/>
        </w:rPr>
        <w:t>לא לפגוע באינטרס</w:t>
      </w:r>
      <w:r>
        <w:rPr>
          <w:rFonts w:hint="cs"/>
          <w:rtl/>
        </w:rPr>
        <w:t xml:space="preserve"> </w:t>
      </w:r>
      <w:r>
        <w:rPr>
          <w:rtl/>
        </w:rPr>
        <w:t xml:space="preserve">ההסתמכות של הנאשם </w:t>
      </w:r>
      <w:r>
        <w:rPr>
          <w:rFonts w:hint="cs"/>
          <w:rtl/>
        </w:rPr>
        <w:t>(</w:t>
      </w:r>
      <w:hyperlink r:id="rId18" w:history="1">
        <w:r w:rsidR="007B5FE9" w:rsidRPr="007B5FE9">
          <w:rPr>
            <w:color w:val="0000FF"/>
            <w:u w:val="single"/>
            <w:rtl/>
          </w:rPr>
          <w:t>ע"פ 2021/17</w:t>
        </w:r>
      </w:hyperlink>
      <w:r>
        <w:rPr>
          <w:rtl/>
        </w:rPr>
        <w:t xml:space="preserve"> </w:t>
      </w:r>
      <w:r w:rsidRPr="00515BE5">
        <w:rPr>
          <w:b/>
          <w:bCs/>
          <w:rtl/>
        </w:rPr>
        <w:t>מצגר נ' מ</w:t>
      </w:r>
      <w:r w:rsidRPr="00515BE5">
        <w:rPr>
          <w:rFonts w:hint="cs"/>
          <w:b/>
          <w:bCs/>
          <w:rtl/>
        </w:rPr>
        <w:t>.י.</w:t>
      </w:r>
      <w:r>
        <w:rPr>
          <w:rFonts w:hint="cs"/>
          <w:rtl/>
        </w:rPr>
        <w:t xml:space="preserve"> (2017), פסקה 11). </w:t>
      </w:r>
      <w:r>
        <w:rPr>
          <w:rtl/>
        </w:rPr>
        <w:t>יחד עם זאת, בית המשפט</w:t>
      </w:r>
      <w:r>
        <w:rPr>
          <w:rFonts w:hint="cs"/>
          <w:rtl/>
        </w:rPr>
        <w:t xml:space="preserve"> </w:t>
      </w:r>
      <w:r>
        <w:rPr>
          <w:rtl/>
        </w:rPr>
        <w:t>אינו כבול להסכמות הצדדים בהסדר הטיעון לעניין העונש, ובבואו לגזור את הדין הוא</w:t>
      </w:r>
      <w:r>
        <w:rPr>
          <w:rFonts w:hint="cs"/>
          <w:rtl/>
        </w:rPr>
        <w:t xml:space="preserve"> </w:t>
      </w:r>
      <w:r>
        <w:rPr>
          <w:rtl/>
        </w:rPr>
        <w:t>רשאי ואף חייב לבחון את נאותות הסדר הטיעון אשר הובא לפניו</w:t>
      </w:r>
      <w:r>
        <w:rPr>
          <w:rFonts w:hint="cs"/>
          <w:rtl/>
        </w:rPr>
        <w:t xml:space="preserve">, </w:t>
      </w:r>
      <w:r>
        <w:rPr>
          <w:rtl/>
        </w:rPr>
        <w:t>אם בהסדר שהוגש לפניו התקיים איזון בין טובת ההנאה הצומחת לנאשם</w:t>
      </w:r>
      <w:r>
        <w:rPr>
          <w:rFonts w:hint="cs"/>
          <w:rtl/>
        </w:rPr>
        <w:t xml:space="preserve"> </w:t>
      </w:r>
      <w:r>
        <w:rPr>
          <w:rtl/>
        </w:rPr>
        <w:t>מהסדר טיעון לעניין העונש, לבין אינטרס הציבור כפי שהוא בא לידי ביטוי בעונש</w:t>
      </w:r>
      <w:r>
        <w:rPr>
          <w:rFonts w:hint="cs"/>
          <w:rtl/>
        </w:rPr>
        <w:t xml:space="preserve"> המוסכם. </w:t>
      </w:r>
      <w:r>
        <w:rPr>
          <w:rtl/>
        </w:rPr>
        <w:t>על מנת לקבוע אם התקיים האיזון הראוי, על בית המשפט לבחון את העונש</w:t>
      </w:r>
      <w:r>
        <w:rPr>
          <w:rFonts w:hint="cs"/>
          <w:rtl/>
        </w:rPr>
        <w:t xml:space="preserve"> </w:t>
      </w:r>
      <w:r>
        <w:rPr>
          <w:rtl/>
        </w:rPr>
        <w:t>המוסכם בהסדר הטיעון אל מול העונש שהיה נגזר על הנאשם לולא הסדר הטיעון,</w:t>
      </w:r>
      <w:r>
        <w:rPr>
          <w:rFonts w:hint="cs"/>
          <w:rtl/>
        </w:rPr>
        <w:t xml:space="preserve"> </w:t>
      </w:r>
      <w:r>
        <w:rPr>
          <w:rtl/>
        </w:rPr>
        <w:t>ומהי מידת ההקלה שניתנה לו עקב הסדר הטיעון</w:t>
      </w:r>
      <w:r>
        <w:rPr>
          <w:rFonts w:hint="cs"/>
          <w:rtl/>
        </w:rPr>
        <w:t xml:space="preserve"> (</w:t>
      </w:r>
      <w:hyperlink r:id="rId19" w:history="1">
        <w:r w:rsidR="007B5FE9" w:rsidRPr="007B5FE9">
          <w:rPr>
            <w:color w:val="0000FF"/>
            <w:u w:val="single"/>
            <w:rtl/>
          </w:rPr>
          <w:t>ע"פ 1958/98</w:t>
        </w:r>
      </w:hyperlink>
      <w:r>
        <w:rPr>
          <w:rFonts w:hint="cs"/>
          <w:rtl/>
        </w:rPr>
        <w:t xml:space="preserve"> </w:t>
      </w:r>
      <w:r w:rsidRPr="00515BE5">
        <w:rPr>
          <w:rFonts w:hint="cs"/>
          <w:b/>
          <w:bCs/>
          <w:rtl/>
        </w:rPr>
        <w:t xml:space="preserve">פלוני נ' מ.י. </w:t>
      </w:r>
      <w:r w:rsidRPr="00F64450">
        <w:rPr>
          <w:rFonts w:hint="cs"/>
          <w:rtl/>
        </w:rPr>
        <w:t>(2002)</w:t>
      </w:r>
      <w:r>
        <w:rPr>
          <w:rFonts w:hint="cs"/>
          <w:rtl/>
        </w:rPr>
        <w:t xml:space="preserve">; </w:t>
      </w:r>
      <w:hyperlink r:id="rId20" w:history="1">
        <w:r w:rsidR="007B5FE9" w:rsidRPr="007B5FE9">
          <w:rPr>
            <w:color w:val="0000FF"/>
            <w:u w:val="single"/>
            <w:rtl/>
          </w:rPr>
          <w:t>ע"פ 3068/10</w:t>
        </w:r>
      </w:hyperlink>
      <w:r>
        <w:rPr>
          <w:rFonts w:hint="cs"/>
          <w:rtl/>
        </w:rPr>
        <w:t xml:space="preserve"> </w:t>
      </w:r>
      <w:r w:rsidRPr="00515BE5">
        <w:rPr>
          <w:rFonts w:hint="cs"/>
          <w:b/>
          <w:bCs/>
          <w:rtl/>
        </w:rPr>
        <w:t>פלונית נ' מ.י.</w:t>
      </w:r>
      <w:r>
        <w:rPr>
          <w:rFonts w:hint="cs"/>
          <w:rtl/>
        </w:rPr>
        <w:t xml:space="preserve"> (2010), פסקאות 40-44).</w:t>
      </w:r>
    </w:p>
    <w:p w14:paraId="59CF1543" w14:textId="77777777" w:rsidR="005C4A04" w:rsidRDefault="005C4A04" w:rsidP="005C4A04">
      <w:pPr>
        <w:pStyle w:val="a9"/>
        <w:numPr>
          <w:ilvl w:val="0"/>
          <w:numId w:val="2"/>
        </w:numPr>
        <w:spacing w:line="360" w:lineRule="auto"/>
        <w:jc w:val="both"/>
      </w:pPr>
      <w:r>
        <w:rPr>
          <w:rFonts w:hint="cs"/>
          <w:rtl/>
        </w:rPr>
        <w:t>בית המשפט העליון קבע פעמים רבות שהוראותיו של תיקון 113 ל</w:t>
      </w:r>
      <w:hyperlink r:id="rId21" w:history="1">
        <w:r w:rsidR="007B5FE9" w:rsidRPr="007B5FE9">
          <w:rPr>
            <w:color w:val="0000FF"/>
            <w:u w:val="single"/>
            <w:rtl/>
          </w:rPr>
          <w:t>חוק העונשין</w:t>
        </w:r>
      </w:hyperlink>
      <w:r>
        <w:rPr>
          <w:rFonts w:hint="cs"/>
          <w:rtl/>
        </w:rPr>
        <w:t xml:space="preserve"> אינן עומדות בסתירה ל"גישת האיזון הראוי" </w:t>
      </w:r>
      <w:r>
        <w:rPr>
          <w:rtl/>
        </w:rPr>
        <w:t>–</w:t>
      </w:r>
      <w:r>
        <w:rPr>
          <w:rFonts w:hint="cs"/>
          <w:rtl/>
        </w:rPr>
        <w:t xml:space="preserve">  </w:t>
      </w:r>
      <w:r>
        <w:rPr>
          <w:rtl/>
        </w:rPr>
        <w:t xml:space="preserve">דהיינו, </w:t>
      </w:r>
      <w:r w:rsidRPr="00C30FF9">
        <w:rPr>
          <w:u w:val="single"/>
          <w:rtl/>
        </w:rPr>
        <w:t>הערכאה הדיונית מוסמכת ואף נדרשת לבחון הסדרי טיעון על</w:t>
      </w:r>
      <w:r w:rsidRPr="00C30FF9">
        <w:rPr>
          <w:rFonts w:hint="cs"/>
          <w:u w:val="single"/>
          <w:rtl/>
        </w:rPr>
        <w:t xml:space="preserve"> </w:t>
      </w:r>
      <w:r w:rsidRPr="00C30FF9">
        <w:rPr>
          <w:u w:val="single"/>
          <w:rtl/>
        </w:rPr>
        <w:t>רקע מתחם הענישה ההולם, שאותו יש לגבש בהתאם להוראות הקונקרטיות של תיקון</w:t>
      </w:r>
      <w:r w:rsidRPr="00C30FF9">
        <w:rPr>
          <w:rFonts w:hint="cs"/>
          <w:u w:val="single"/>
          <w:rtl/>
        </w:rPr>
        <w:t xml:space="preserve"> </w:t>
      </w:r>
      <w:r w:rsidRPr="00C30FF9">
        <w:rPr>
          <w:u w:val="single"/>
          <w:rtl/>
        </w:rPr>
        <w:t>113</w:t>
      </w:r>
      <w:r>
        <w:rPr>
          <w:rtl/>
        </w:rPr>
        <w:t xml:space="preserve"> </w:t>
      </w:r>
      <w:r>
        <w:rPr>
          <w:rFonts w:hint="cs"/>
          <w:rtl/>
        </w:rPr>
        <w:t>(</w:t>
      </w:r>
      <w:hyperlink r:id="rId22" w:history="1">
        <w:r w:rsidR="007B5FE9" w:rsidRPr="007B5FE9">
          <w:rPr>
            <w:color w:val="0000FF"/>
            <w:u w:val="single"/>
            <w:rtl/>
          </w:rPr>
          <w:t>ע"פ 921/17</w:t>
        </w:r>
      </w:hyperlink>
      <w:r>
        <w:rPr>
          <w:rFonts w:hint="cs"/>
          <w:rtl/>
        </w:rPr>
        <w:t xml:space="preserve"> </w:t>
      </w:r>
      <w:r w:rsidRPr="00C30FF9">
        <w:rPr>
          <w:rFonts w:hint="cs"/>
          <w:b/>
          <w:bCs/>
          <w:rtl/>
        </w:rPr>
        <w:t>אבו זעילה נ' מ.י.</w:t>
      </w:r>
      <w:r>
        <w:rPr>
          <w:rFonts w:hint="cs"/>
          <w:rtl/>
        </w:rPr>
        <w:t xml:space="preserve"> (2017); </w:t>
      </w:r>
      <w:r w:rsidRPr="0049184A">
        <w:rPr>
          <w:rFonts w:hint="cs"/>
          <w:b/>
          <w:bCs/>
          <w:rtl/>
        </w:rPr>
        <w:t>מצגר</w:t>
      </w:r>
      <w:r>
        <w:rPr>
          <w:rFonts w:hint="cs"/>
          <w:rtl/>
        </w:rPr>
        <w:t xml:space="preserve"> הנ"ל, פסקה 16; </w:t>
      </w:r>
      <w:hyperlink r:id="rId23" w:history="1">
        <w:r w:rsidR="007B5FE9" w:rsidRPr="007B5FE9">
          <w:rPr>
            <w:color w:val="0000FF"/>
            <w:u w:val="single"/>
            <w:rtl/>
          </w:rPr>
          <w:t>ע"פ 5855/15</w:t>
        </w:r>
      </w:hyperlink>
      <w:r w:rsidRPr="00515BE5">
        <w:rPr>
          <w:rtl/>
        </w:rPr>
        <w:t xml:space="preserve"> </w:t>
      </w:r>
      <w:r w:rsidRPr="00C30FF9">
        <w:rPr>
          <w:b/>
          <w:bCs/>
          <w:rtl/>
        </w:rPr>
        <w:t xml:space="preserve">לוגסי נ' </w:t>
      </w:r>
      <w:r w:rsidRPr="00C30FF9">
        <w:rPr>
          <w:rFonts w:hint="cs"/>
          <w:b/>
          <w:bCs/>
          <w:rtl/>
        </w:rPr>
        <w:t>מ.י.</w:t>
      </w:r>
      <w:r>
        <w:rPr>
          <w:rFonts w:hint="cs"/>
          <w:rtl/>
        </w:rPr>
        <w:t xml:space="preserve"> (2016)</w:t>
      </w:r>
      <w:r>
        <w:rPr>
          <w:rtl/>
        </w:rPr>
        <w:t>, פסקה 11</w:t>
      </w:r>
      <w:r>
        <w:rPr>
          <w:rFonts w:hint="cs"/>
          <w:rtl/>
        </w:rPr>
        <w:t xml:space="preserve">; </w:t>
      </w:r>
      <w:hyperlink r:id="rId24" w:history="1">
        <w:r w:rsidR="007B5FE9" w:rsidRPr="007B5FE9">
          <w:rPr>
            <w:color w:val="0000FF"/>
            <w:u w:val="single"/>
            <w:rtl/>
          </w:rPr>
          <w:t>ע"פ 512/13</w:t>
        </w:r>
      </w:hyperlink>
      <w:r w:rsidRPr="00515BE5">
        <w:rPr>
          <w:rtl/>
        </w:rPr>
        <w:t xml:space="preserve"> </w:t>
      </w:r>
      <w:r w:rsidRPr="00C30FF9">
        <w:rPr>
          <w:b/>
          <w:bCs/>
          <w:rtl/>
        </w:rPr>
        <w:t xml:space="preserve">פלוני נ' </w:t>
      </w:r>
      <w:r w:rsidRPr="00C30FF9">
        <w:rPr>
          <w:rFonts w:hint="cs"/>
          <w:b/>
          <w:bCs/>
          <w:rtl/>
        </w:rPr>
        <w:t>מ.י.</w:t>
      </w:r>
      <w:r>
        <w:rPr>
          <w:rFonts w:hint="cs"/>
          <w:rtl/>
        </w:rPr>
        <w:t xml:space="preserve"> (2013)</w:t>
      </w:r>
      <w:r w:rsidRPr="00515BE5">
        <w:rPr>
          <w:rtl/>
        </w:rPr>
        <w:t>, פסקאות 18-12 לפסק דינו של השופט ח' מלצר</w:t>
      </w:r>
      <w:r>
        <w:rPr>
          <w:rFonts w:hint="cs"/>
          <w:rtl/>
        </w:rPr>
        <w:t>; קול אחר שנשמע בדברי הש' זילברטל ב</w:t>
      </w:r>
      <w:hyperlink r:id="rId25" w:history="1">
        <w:r w:rsidR="007B5FE9" w:rsidRPr="007B5FE9">
          <w:rPr>
            <w:color w:val="0000FF"/>
            <w:u w:val="single"/>
            <w:rtl/>
          </w:rPr>
          <w:t>ע"פ 2524/15</w:t>
        </w:r>
      </w:hyperlink>
      <w:r w:rsidRPr="00515BE5">
        <w:rPr>
          <w:rtl/>
        </w:rPr>
        <w:t xml:space="preserve"> </w:t>
      </w:r>
      <w:r w:rsidRPr="00C30FF9">
        <w:rPr>
          <w:b/>
          <w:bCs/>
          <w:rtl/>
        </w:rPr>
        <w:t xml:space="preserve">שפרנוביץ נ' </w:t>
      </w:r>
      <w:r w:rsidRPr="00C30FF9">
        <w:rPr>
          <w:rFonts w:hint="cs"/>
          <w:b/>
          <w:bCs/>
          <w:rtl/>
        </w:rPr>
        <w:t xml:space="preserve">מ.י. </w:t>
      </w:r>
      <w:r>
        <w:rPr>
          <w:rFonts w:hint="cs"/>
          <w:rtl/>
        </w:rPr>
        <w:t>(2016) איננו אפוא עיקרה של הלכה).</w:t>
      </w:r>
    </w:p>
    <w:p w14:paraId="786F809B" w14:textId="77777777" w:rsidR="005C4A04" w:rsidRDefault="005C4A04" w:rsidP="005C4A04">
      <w:pPr>
        <w:pStyle w:val="a9"/>
        <w:numPr>
          <w:ilvl w:val="0"/>
          <w:numId w:val="2"/>
        </w:numPr>
        <w:spacing w:line="360" w:lineRule="auto"/>
        <w:jc w:val="both"/>
      </w:pPr>
      <w:r>
        <w:rPr>
          <w:rFonts w:hint="cs"/>
          <w:rtl/>
        </w:rPr>
        <w:t>קביעתו של מתחם העונש:</w:t>
      </w:r>
    </w:p>
    <w:p w14:paraId="68A5AF45" w14:textId="77777777" w:rsidR="005C4A04" w:rsidRDefault="005C4A04" w:rsidP="005C4A04">
      <w:pPr>
        <w:pStyle w:val="a9"/>
        <w:numPr>
          <w:ilvl w:val="1"/>
          <w:numId w:val="2"/>
        </w:numPr>
        <w:spacing w:line="360" w:lineRule="auto"/>
        <w:jc w:val="both"/>
      </w:pPr>
      <w:r>
        <w:rPr>
          <w:rFonts w:hint="cs"/>
          <w:rtl/>
        </w:rPr>
        <w:t>מעשי הנאשמת מהווים מסכת אחת, ולפיכך יהוו "אירוע עבירה אחד", בגינו ייקבע מתחם עונשי אחד;</w:t>
      </w:r>
    </w:p>
    <w:p w14:paraId="3741D8BD" w14:textId="77777777" w:rsidR="005C4A04" w:rsidRDefault="005C4A04" w:rsidP="005C4A04">
      <w:pPr>
        <w:pStyle w:val="a9"/>
        <w:numPr>
          <w:ilvl w:val="1"/>
          <w:numId w:val="2"/>
        </w:numPr>
        <w:spacing w:line="360" w:lineRule="auto"/>
        <w:jc w:val="both"/>
      </w:pPr>
      <w:r>
        <w:rPr>
          <w:rFonts w:hint="cs"/>
          <w:rtl/>
        </w:rPr>
        <w:t>קביעת המתחם לא תיעשה בדקדקנות הרגילה, אלא במידה המאפשרת בחינתו של הסדר הטיעון במבחן האיזון הראוי;</w:t>
      </w:r>
    </w:p>
    <w:p w14:paraId="742488FF" w14:textId="77777777" w:rsidR="005C4A04" w:rsidRDefault="005C4A04" w:rsidP="005C4A04">
      <w:pPr>
        <w:pStyle w:val="a9"/>
        <w:numPr>
          <w:ilvl w:val="1"/>
          <w:numId w:val="2"/>
        </w:numPr>
        <w:spacing w:line="360" w:lineRule="auto"/>
        <w:jc w:val="both"/>
      </w:pPr>
      <w:r>
        <w:rPr>
          <w:rFonts w:hint="cs"/>
          <w:rtl/>
        </w:rPr>
        <w:t xml:space="preserve">הנאשמת פגעה באופן מהותי בערך המוגן בעבירת  הסמים, בהחביאה כמות ניכרת של קנביס, כשבכך הפכה לחולייה אקטיבית במערך הפצת הסם. תוספת חומרה יש בהחבאת הסם בכיתה בבית-ספר, ומה טוב שהסם נמצא על-ידי מורה ולא על-ידי </w:t>
      </w:r>
      <w:r>
        <w:rPr>
          <w:rFonts w:hint="cs"/>
          <w:rtl/>
        </w:rPr>
        <w:lastRenderedPageBreak/>
        <w:t>תלמידים בגיל ההתבגרות הרגיש, אחרת יכול היה פוטנציאל הנזק החמור להתממש. העבירה בוצעה באופן מתוכנן ומחושב, כדי להסיר סיכון שבהחזקת הסם בבית;</w:t>
      </w:r>
    </w:p>
    <w:p w14:paraId="38A8A3A3" w14:textId="77777777" w:rsidR="005C4A04" w:rsidRDefault="005C4A04" w:rsidP="005C4A04">
      <w:pPr>
        <w:pStyle w:val="a9"/>
        <w:numPr>
          <w:ilvl w:val="1"/>
          <w:numId w:val="2"/>
        </w:numPr>
        <w:spacing w:line="360" w:lineRule="auto"/>
        <w:jc w:val="both"/>
      </w:pPr>
      <w:r>
        <w:rPr>
          <w:rFonts w:hint="cs"/>
          <w:rtl/>
        </w:rPr>
        <w:t>הנאשמת פגעה באופן חמור גם בערך המוגן בעבירה של שבוש מהלכי החקירה, כשלא זו בלבד שהכשילה את החקירה באופן אקטיבי, אלא גם גרמה לעוול הנורא שבמעצרו של אדם חף מפשע למשך ימים. אף עבירה זו ביצעה הנאשמת באופן מתוכנן ומחושב, כשהיא חוזרת על השקר פעמיים ושלוש, במטרה להציל את בעלה מדין פלילי, וכשהנזק יצא מהכוח אל הפועל;</w:t>
      </w:r>
    </w:p>
    <w:p w14:paraId="389A6793" w14:textId="77777777" w:rsidR="005C4A04" w:rsidRDefault="005C4A04" w:rsidP="005C4A04">
      <w:pPr>
        <w:pStyle w:val="a9"/>
        <w:numPr>
          <w:ilvl w:val="1"/>
          <w:numId w:val="2"/>
        </w:numPr>
        <w:spacing w:line="360" w:lineRule="auto"/>
        <w:jc w:val="both"/>
      </w:pPr>
      <w:r>
        <w:rPr>
          <w:rFonts w:hint="cs"/>
          <w:rtl/>
        </w:rPr>
        <w:t>לנוכח מדדי החומרה שנמנו לעיל, חייב מתחם העונש ההולם להתחיל ממספר חודשי מאסר;</w:t>
      </w:r>
    </w:p>
    <w:p w14:paraId="1684578F" w14:textId="77777777" w:rsidR="005C4A04" w:rsidRDefault="005C4A04" w:rsidP="005C4A04">
      <w:pPr>
        <w:pStyle w:val="a9"/>
        <w:numPr>
          <w:ilvl w:val="0"/>
          <w:numId w:val="2"/>
        </w:numPr>
        <w:spacing w:line="360" w:lineRule="auto"/>
        <w:jc w:val="both"/>
      </w:pPr>
      <w:r>
        <w:rPr>
          <w:rFonts w:hint="cs"/>
          <w:rtl/>
        </w:rPr>
        <w:t>הסדר הטיעון שלפנינו הוא בעיקרו הגבלת הרף העונשי לו עותרת התביעה. אמנם, מדובר בהסדר מקל מאוד, אך חזקה על התביעה שלקחה בחשבון את כל הנתונים הרלוונטיים, ובמיוחד את אלו העולים מתסקיר שירות המבחן. בהתחשב באינטרס הציבור שבכיבוד הסדרי הטיעון, באינטרס ההסתמכות של הנאשמת, ובהיות ההקלה העונשית סבירה על-אף גודלה, אני מוצא כי ניתן וראוי לכבד את הסדר הטיעון, לעניין העונש העיקרי.</w:t>
      </w:r>
    </w:p>
    <w:p w14:paraId="6E1FC4AA" w14:textId="77777777" w:rsidR="005C4A04" w:rsidRDefault="005C4A04" w:rsidP="005C4A04">
      <w:pPr>
        <w:spacing w:line="360" w:lineRule="auto"/>
        <w:jc w:val="both"/>
        <w:rPr>
          <w:rtl/>
        </w:rPr>
      </w:pPr>
    </w:p>
    <w:p w14:paraId="53C8A50B" w14:textId="77777777" w:rsidR="005C4A04" w:rsidRPr="0049184A" w:rsidRDefault="005C4A04" w:rsidP="005C4A04">
      <w:pPr>
        <w:spacing w:line="360" w:lineRule="auto"/>
        <w:jc w:val="both"/>
        <w:rPr>
          <w:b/>
          <w:bCs/>
          <w:u w:val="single"/>
          <w:rtl/>
        </w:rPr>
      </w:pPr>
      <w:r>
        <w:rPr>
          <w:rFonts w:hint="cs"/>
          <w:b/>
          <w:bCs/>
          <w:u w:val="single"/>
          <w:rtl/>
        </w:rPr>
        <w:t>קביעת העונש:</w:t>
      </w:r>
    </w:p>
    <w:p w14:paraId="5370776E" w14:textId="77777777" w:rsidR="005C4A04" w:rsidRDefault="005C4A04" w:rsidP="005C4A04">
      <w:pPr>
        <w:pStyle w:val="a9"/>
        <w:numPr>
          <w:ilvl w:val="0"/>
          <w:numId w:val="3"/>
        </w:numPr>
        <w:spacing w:line="360" w:lineRule="auto"/>
        <w:jc w:val="both"/>
      </w:pPr>
      <w:r>
        <w:rPr>
          <w:rFonts w:hint="cs"/>
          <w:rtl/>
        </w:rPr>
        <w:t>הנאשמת ילידת 1990, כבת 27, נשואה ואם לארבעה ילדים שהקטן ביניהם בן שנתיים. הנאשמת עובדת כמנקה והמשפחה מתפרנסת משכרה ומקצבת הנכות של בעלה. לחובת הנאשמת הרשעה קודמת בגין גניבה אותה ביצעה בשנת 2015 ובגינה נדונה באותה שנה למאסר מותנה וקנס זעום.</w:t>
      </w:r>
    </w:p>
    <w:p w14:paraId="1CA28809" w14:textId="77777777" w:rsidR="005C4A04" w:rsidRDefault="005C4A04" w:rsidP="005C4A04">
      <w:pPr>
        <w:pStyle w:val="a9"/>
        <w:numPr>
          <w:ilvl w:val="0"/>
          <w:numId w:val="3"/>
        </w:numPr>
        <w:spacing w:line="360" w:lineRule="auto"/>
        <w:jc w:val="both"/>
      </w:pPr>
      <w:r>
        <w:rPr>
          <w:rFonts w:hint="cs"/>
          <w:rtl/>
        </w:rPr>
        <w:t>שירות המבחן מגולל בתסקירו את תולדות חייה הקשים של הנאשמת, מעת נטישתה בגיל ינקות על-ידי הוריה וגדילתה בתנאי מצוקה כלכלית קשה. הנאשמת לא זכתה לחינוך הולם ונאלצה לעבוד כבר מגיל צעיר מאוד. כיום מתמודדת הנאשמת עם צרכיו של בעלה, נכה 100% המכור לסמים, ועם צרכי ילדיה. השירות התרשם כי למרות קשיים מרובים, מצליחה הנאשמת לתפקד כהלכה ולספק לילדיה את צרכיהם.</w:t>
      </w:r>
    </w:p>
    <w:p w14:paraId="22498947" w14:textId="77777777" w:rsidR="005C4A04" w:rsidRDefault="005C4A04" w:rsidP="005C4A04">
      <w:pPr>
        <w:pStyle w:val="a9"/>
        <w:numPr>
          <w:ilvl w:val="0"/>
          <w:numId w:val="3"/>
        </w:numPr>
        <w:spacing w:line="360" w:lineRule="auto"/>
        <w:jc w:val="both"/>
      </w:pPr>
      <w:r>
        <w:rPr>
          <w:rFonts w:hint="cs"/>
          <w:rtl/>
        </w:rPr>
        <w:t>הנאשמת נטלה אחריות על ביצוע העבירה, אך לא הפגינה הבנה מלאה לחומרת המעשה ולחומרת הפגיעה בנפגע. השירות מעריך כי הדבר נובע מדפוס קורבנוּת חוזר, לפיו תולה הנאשמת את מאורעות חייה בקשיים שחוותה מילדותה. דפוס זה ניתן לשינוי בטיפול.</w:t>
      </w:r>
    </w:p>
    <w:p w14:paraId="7A24319F" w14:textId="77777777" w:rsidR="005C4A04" w:rsidRDefault="005C4A04" w:rsidP="005C4A04">
      <w:pPr>
        <w:pStyle w:val="a9"/>
        <w:numPr>
          <w:ilvl w:val="0"/>
          <w:numId w:val="3"/>
        </w:numPr>
        <w:spacing w:line="360" w:lineRule="auto"/>
        <w:jc w:val="both"/>
      </w:pPr>
      <w:r>
        <w:rPr>
          <w:rFonts w:hint="cs"/>
          <w:rtl/>
        </w:rPr>
        <w:t>הנאשמת מוכנה ורוצה להעמיק בטיפול, להגברת יכולתה לעמוד בתנאי לחץ ומשבר, והשירות ממליץ על ענישה שיש עמה גמול קונקרטי ושיקום גם-יחד: מאסר קצר בעבודות שירות, לצד צו מבחן.</w:t>
      </w:r>
    </w:p>
    <w:p w14:paraId="59908FE1" w14:textId="77777777" w:rsidR="005C4A04" w:rsidRDefault="005C4A04" w:rsidP="005C4A04">
      <w:pPr>
        <w:pStyle w:val="a9"/>
        <w:numPr>
          <w:ilvl w:val="0"/>
          <w:numId w:val="3"/>
        </w:numPr>
        <w:spacing w:line="360" w:lineRule="auto"/>
        <w:jc w:val="both"/>
      </w:pPr>
      <w:r>
        <w:rPr>
          <w:rFonts w:hint="cs"/>
          <w:rtl/>
        </w:rPr>
        <w:t xml:space="preserve">השירות הדגיש שמאסר בכליאה, או-אף מאסר ממושך מדי שירוצה בעבודות שירות, יוביל לקריסת המשפחה, שהנאשמת נושאת על כתפיה לבדה. </w:t>
      </w:r>
    </w:p>
    <w:p w14:paraId="19EC92F7" w14:textId="77777777" w:rsidR="005C4A04" w:rsidRDefault="005C4A04" w:rsidP="005C4A04">
      <w:pPr>
        <w:pStyle w:val="a9"/>
        <w:numPr>
          <w:ilvl w:val="0"/>
          <w:numId w:val="3"/>
        </w:numPr>
        <w:spacing w:line="360" w:lineRule="auto"/>
        <w:jc w:val="both"/>
      </w:pPr>
      <w:r>
        <w:rPr>
          <w:rFonts w:hint="cs"/>
          <w:rtl/>
        </w:rPr>
        <w:t>בנסיבות העניין, יש להקל עם הנאשמת לעניין רכיב המאסר בעבודות שירות, על-דרך צמצום אורך המאסר ביחס לעתירתה של התביעה.</w:t>
      </w:r>
    </w:p>
    <w:p w14:paraId="23CEDA9C" w14:textId="77777777" w:rsidR="005C4A04" w:rsidRDefault="005C4A04" w:rsidP="005C4A04">
      <w:pPr>
        <w:pStyle w:val="a9"/>
        <w:numPr>
          <w:ilvl w:val="0"/>
          <w:numId w:val="3"/>
        </w:numPr>
        <w:spacing w:line="360" w:lineRule="auto"/>
        <w:jc w:val="both"/>
      </w:pPr>
      <w:r>
        <w:rPr>
          <w:rFonts w:hint="cs"/>
          <w:rtl/>
        </w:rPr>
        <w:t>לעניין הרכיב הכלכלי בענישה:</w:t>
      </w:r>
    </w:p>
    <w:p w14:paraId="51A55415" w14:textId="77777777" w:rsidR="005C4A04" w:rsidRDefault="005C4A04" w:rsidP="005C4A04">
      <w:pPr>
        <w:pStyle w:val="a9"/>
        <w:numPr>
          <w:ilvl w:val="1"/>
          <w:numId w:val="4"/>
        </w:numPr>
        <w:spacing w:line="360" w:lineRule="auto"/>
        <w:jc w:val="both"/>
      </w:pPr>
      <w:r>
        <w:rPr>
          <w:rFonts w:hint="cs"/>
          <w:rtl/>
        </w:rPr>
        <w:t xml:space="preserve">התביעה לא עתרה לפיצוי הנפגע, ואין זה חלק מההסכם; אולם, כפי שכבר נפסק, </w:t>
      </w:r>
      <w:r w:rsidRPr="000D71D4">
        <w:rPr>
          <w:rtl/>
        </w:rPr>
        <w:t>פסיקת פיצויים לקורבן עבירה אינה מותנית בבקשת התביעה</w:t>
      </w:r>
      <w:r>
        <w:rPr>
          <w:rFonts w:hint="cs"/>
          <w:rtl/>
        </w:rPr>
        <w:t xml:space="preserve"> (</w:t>
      </w:r>
      <w:hyperlink r:id="rId26" w:history="1">
        <w:r w:rsidR="007B5FE9" w:rsidRPr="007B5FE9">
          <w:rPr>
            <w:color w:val="0000FF"/>
            <w:u w:val="single"/>
            <w:rtl/>
          </w:rPr>
          <w:t>ע"פ 5860/14</w:t>
        </w:r>
      </w:hyperlink>
      <w:r>
        <w:rPr>
          <w:rFonts w:hint="cs"/>
          <w:rtl/>
        </w:rPr>
        <w:t xml:space="preserve"> </w:t>
      </w:r>
      <w:r>
        <w:rPr>
          <w:rFonts w:hint="cs"/>
          <w:b/>
          <w:bCs/>
          <w:rtl/>
        </w:rPr>
        <w:t>לביא נ' מ.י.</w:t>
      </w:r>
      <w:r>
        <w:rPr>
          <w:rFonts w:hint="cs"/>
          <w:rtl/>
        </w:rPr>
        <w:t xml:space="preserve"> (2016));</w:t>
      </w:r>
    </w:p>
    <w:p w14:paraId="4E97996C" w14:textId="77777777" w:rsidR="005C4A04" w:rsidRDefault="005C4A04" w:rsidP="005C4A04">
      <w:pPr>
        <w:pStyle w:val="a9"/>
        <w:numPr>
          <w:ilvl w:val="1"/>
          <w:numId w:val="4"/>
        </w:numPr>
        <w:spacing w:line="360" w:lineRule="auto"/>
        <w:jc w:val="both"/>
      </w:pPr>
      <w:r>
        <w:rPr>
          <w:rFonts w:hint="cs"/>
          <w:rtl/>
        </w:rPr>
        <w:t>מצבה הכלכלי של הנאשמת יצדיק הטלתו של קנס מתון, סמלי-למעשה, אך חומרת התוצאות לנפגע תצדיק קביעתו של פיצוי אף ללא עתירת התביעה ובחריגה מההסכם. גם בהשתת הפיצוי אתחשב במצבה של הנאשמת והוא יישא אופי של הכרה בחומרת הפגיעה בנפגע, ללא מיצוי של הנזק;</w:t>
      </w:r>
    </w:p>
    <w:p w14:paraId="28E59E60" w14:textId="77777777" w:rsidR="005C4A04" w:rsidRDefault="005C4A04" w:rsidP="005C4A04">
      <w:pPr>
        <w:pStyle w:val="a9"/>
        <w:numPr>
          <w:ilvl w:val="0"/>
          <w:numId w:val="3"/>
        </w:numPr>
        <w:spacing w:line="360" w:lineRule="auto"/>
        <w:jc w:val="both"/>
      </w:pPr>
      <w:r>
        <w:rPr>
          <w:rFonts w:hint="cs"/>
          <w:rtl/>
        </w:rPr>
        <w:t>הנאשמת אינה צורכת סמים ונהיגתה אינה מסכנת את הציבור. כפי שהראה הסניגור המלומד, שלילת רישיונה של הנאשמת יוביל להכבדה קשה מאוד עליה ועל משפחתה. בנסיבות אלו, וכדי לאפשר חזרתה של הנאשמת לחיים נורמטיביים לאחר ריצוי עונשה, אמנע מפסילת רישיונה בפועל.</w:t>
      </w:r>
    </w:p>
    <w:p w14:paraId="0BF9900F" w14:textId="77777777" w:rsidR="005C4A04" w:rsidRDefault="005C4A04" w:rsidP="005C4A04">
      <w:pPr>
        <w:spacing w:line="360" w:lineRule="auto"/>
        <w:jc w:val="both"/>
        <w:rPr>
          <w:rtl/>
        </w:rPr>
      </w:pPr>
    </w:p>
    <w:p w14:paraId="0018585C" w14:textId="77777777" w:rsidR="005C4A04" w:rsidRPr="0000098B" w:rsidRDefault="005C4A04" w:rsidP="005C4A04">
      <w:pPr>
        <w:spacing w:line="360" w:lineRule="auto"/>
        <w:jc w:val="both"/>
        <w:rPr>
          <w:b/>
          <w:bCs/>
          <w:u w:val="single"/>
          <w:rtl/>
        </w:rPr>
      </w:pPr>
      <w:r>
        <w:rPr>
          <w:rFonts w:hint="cs"/>
          <w:b/>
          <w:bCs/>
          <w:u w:val="single"/>
          <w:rtl/>
        </w:rPr>
        <w:t>סוף-דבר, אני גוזר על הנאשמת את העונשים הבאים:</w:t>
      </w:r>
    </w:p>
    <w:p w14:paraId="41026AC8" w14:textId="77777777" w:rsidR="005C4A04" w:rsidRDefault="005C4A04" w:rsidP="005C4A04">
      <w:pPr>
        <w:spacing w:line="360" w:lineRule="auto"/>
        <w:ind w:left="720" w:hanging="720"/>
        <w:jc w:val="both"/>
        <w:rPr>
          <w:rtl/>
        </w:rPr>
      </w:pPr>
      <w:r>
        <w:rPr>
          <w:rFonts w:hint="cs"/>
          <w:rtl/>
        </w:rPr>
        <w:t>א.</w:t>
      </w:r>
      <w:r>
        <w:rPr>
          <w:rtl/>
        </w:rPr>
        <w:tab/>
      </w:r>
      <w:r>
        <w:rPr>
          <w:rFonts w:hint="cs"/>
          <w:rtl/>
        </w:rPr>
        <w:t>שלושה חודשי מאסר, שירוצו בעבודות שירות החל מיום 14.8.17, ב"בית לשובע" בתל-אביב. הנאשמת מוזהרת כי אי-ציות להוראות הממונה על עבודות השירות, או הממונים במקום העבודות, יוביל להפסקת העבודות ולהמשך ריצוי המאסר בכליאה. תשומת-לב הנאשמת להוראות שבחוות-דעתו של הממונה;</w:t>
      </w:r>
    </w:p>
    <w:p w14:paraId="14C75EB1" w14:textId="77777777" w:rsidR="005C4A04" w:rsidRDefault="005C4A04" w:rsidP="005C4A04">
      <w:pPr>
        <w:spacing w:line="360" w:lineRule="auto"/>
        <w:ind w:left="720" w:hanging="720"/>
        <w:jc w:val="both"/>
        <w:rPr>
          <w:rtl/>
        </w:rPr>
      </w:pPr>
      <w:r>
        <w:rPr>
          <w:rFonts w:hint="cs"/>
          <w:rtl/>
        </w:rPr>
        <w:t>ב.</w:t>
      </w:r>
      <w:r>
        <w:rPr>
          <w:rtl/>
        </w:rPr>
        <w:tab/>
      </w:r>
      <w:r>
        <w:rPr>
          <w:rFonts w:hint="cs"/>
          <w:rtl/>
        </w:rPr>
        <w:t xml:space="preserve">שישה חודשי מאסר על-תנאי למשך שנתיים מהיום, שלא תעבור עבירת סמים מסוג פשע או עבירה לפי </w:t>
      </w:r>
      <w:hyperlink r:id="rId27" w:history="1">
        <w:r w:rsidR="00650F49" w:rsidRPr="00650F49">
          <w:rPr>
            <w:color w:val="0000FF"/>
            <w:u w:val="single"/>
            <w:rtl/>
          </w:rPr>
          <w:t>סימן א' לפרק ט'</w:t>
        </w:r>
      </w:hyperlink>
      <w:r>
        <w:rPr>
          <w:rFonts w:hint="cs"/>
          <w:rtl/>
        </w:rPr>
        <w:t xml:space="preserve"> ב</w:t>
      </w:r>
      <w:hyperlink r:id="rId28" w:history="1">
        <w:r w:rsidR="007B5FE9" w:rsidRPr="007B5FE9">
          <w:rPr>
            <w:color w:val="0000FF"/>
            <w:u w:val="single"/>
            <w:rtl/>
          </w:rPr>
          <w:t>חוק העונשין</w:t>
        </w:r>
      </w:hyperlink>
      <w:r>
        <w:rPr>
          <w:rFonts w:hint="cs"/>
          <w:rtl/>
        </w:rPr>
        <w:t xml:space="preserve"> (שבוש מהלכי משפט);</w:t>
      </w:r>
    </w:p>
    <w:p w14:paraId="3F8859DC" w14:textId="77777777" w:rsidR="005C4A04" w:rsidRDefault="005C4A04" w:rsidP="005C4A04">
      <w:pPr>
        <w:spacing w:line="360" w:lineRule="auto"/>
        <w:jc w:val="both"/>
        <w:rPr>
          <w:rtl/>
        </w:rPr>
      </w:pPr>
      <w:r>
        <w:rPr>
          <w:rFonts w:hint="cs"/>
          <w:rtl/>
        </w:rPr>
        <w:t>ג.</w:t>
      </w:r>
      <w:r>
        <w:rPr>
          <w:rtl/>
        </w:rPr>
        <w:tab/>
      </w:r>
      <w:r>
        <w:rPr>
          <w:rFonts w:hint="cs"/>
          <w:rtl/>
        </w:rPr>
        <w:t>שלושה חודשי פסילה על-תנאי, מלנהוג או לקבל רישיון נהיגה, למשך שנתיים מהיום;</w:t>
      </w:r>
    </w:p>
    <w:p w14:paraId="6CEC112E" w14:textId="77777777" w:rsidR="005C4A04" w:rsidRDefault="005C4A04" w:rsidP="005C4A04">
      <w:pPr>
        <w:spacing w:line="360" w:lineRule="auto"/>
        <w:ind w:left="720" w:hanging="720"/>
        <w:jc w:val="both"/>
        <w:rPr>
          <w:rtl/>
        </w:rPr>
      </w:pPr>
      <w:r>
        <w:rPr>
          <w:rFonts w:hint="cs"/>
          <w:rtl/>
        </w:rPr>
        <w:t>ד.</w:t>
      </w:r>
      <w:r>
        <w:rPr>
          <w:rFonts w:hint="cs"/>
          <w:rtl/>
        </w:rPr>
        <w:tab/>
        <w:t>קנס בסך 500 ₪ או שבוע מאסר תמורתו;</w:t>
      </w:r>
    </w:p>
    <w:p w14:paraId="375BFDC2" w14:textId="77777777" w:rsidR="005C4A04" w:rsidRDefault="005C4A04" w:rsidP="005C4A04">
      <w:pPr>
        <w:spacing w:line="360" w:lineRule="auto"/>
        <w:ind w:left="720" w:hanging="720"/>
        <w:jc w:val="both"/>
        <w:rPr>
          <w:rtl/>
        </w:rPr>
      </w:pPr>
      <w:r>
        <w:rPr>
          <w:rFonts w:hint="cs"/>
          <w:rtl/>
        </w:rPr>
        <w:t>ה.</w:t>
      </w:r>
      <w:r>
        <w:rPr>
          <w:rtl/>
        </w:rPr>
        <w:tab/>
      </w:r>
      <w:r>
        <w:rPr>
          <w:rFonts w:hint="cs"/>
          <w:rtl/>
        </w:rPr>
        <w:t>פיצוי לנפגע מר שי רון (ע"ת 10 בכתב האישום) בסך 2,500 ₪. הפיצוי והקנס ישולמו בשישה תשלומים חודשיים, שווים ורצופים, שהראשון שבהם לא יאוחר מיום 1.8.17. מחדל או עיכוב באחד התשלומים יעמיד מלוא הסך לפירעון מידי;</w:t>
      </w:r>
    </w:p>
    <w:p w14:paraId="5F22D29E" w14:textId="77777777" w:rsidR="005C4A04" w:rsidRDefault="005C4A04" w:rsidP="005C4A04">
      <w:pPr>
        <w:spacing w:line="360" w:lineRule="auto"/>
        <w:ind w:left="720" w:hanging="720"/>
        <w:jc w:val="both"/>
        <w:rPr>
          <w:rtl/>
        </w:rPr>
      </w:pPr>
      <w:r>
        <w:rPr>
          <w:rFonts w:hint="cs"/>
          <w:rtl/>
        </w:rPr>
        <w:t>ו.</w:t>
      </w:r>
      <w:r>
        <w:rPr>
          <w:rFonts w:hint="cs"/>
          <w:rtl/>
        </w:rPr>
        <w:tab/>
        <w:t>אני מעמיד את הנאשמת בפיקוח שירות המבחן למשך שנה מהיום ומזהיר אותה, שאי-שיתוף פעולה עם השירות יוביל להשבת התיק לבית המשפט ולהטלת עונש חלופי נוסף;</w:t>
      </w:r>
    </w:p>
    <w:p w14:paraId="55F6DAC1" w14:textId="77777777" w:rsidR="005C4A04" w:rsidRDefault="005C4A04" w:rsidP="005C4A04">
      <w:pPr>
        <w:spacing w:line="360" w:lineRule="auto"/>
        <w:ind w:left="720" w:hanging="720"/>
        <w:jc w:val="both"/>
        <w:rPr>
          <w:rFonts w:hint="cs"/>
          <w:rtl/>
        </w:rPr>
      </w:pPr>
    </w:p>
    <w:p w14:paraId="7A32F268" w14:textId="77777777" w:rsidR="00650F49" w:rsidRDefault="00650F49" w:rsidP="005C4A04">
      <w:pPr>
        <w:spacing w:line="360" w:lineRule="auto"/>
        <w:ind w:left="720" w:hanging="720"/>
        <w:jc w:val="both"/>
        <w:rPr>
          <w:rFonts w:hint="cs"/>
          <w:rtl/>
        </w:rPr>
      </w:pPr>
    </w:p>
    <w:p w14:paraId="0F8A66E3" w14:textId="77777777" w:rsidR="00650F49" w:rsidRDefault="00650F49" w:rsidP="005C4A04">
      <w:pPr>
        <w:spacing w:line="360" w:lineRule="auto"/>
        <w:ind w:left="720" w:hanging="720"/>
        <w:jc w:val="both"/>
        <w:rPr>
          <w:rFonts w:hint="cs"/>
          <w:rtl/>
        </w:rPr>
      </w:pPr>
    </w:p>
    <w:p w14:paraId="4B99C38B" w14:textId="77777777" w:rsidR="005C4A04" w:rsidRPr="00D643C4" w:rsidRDefault="005C4A04" w:rsidP="005C4A04">
      <w:pPr>
        <w:spacing w:line="360" w:lineRule="auto"/>
        <w:ind w:left="720" w:hanging="720"/>
        <w:jc w:val="both"/>
        <w:rPr>
          <w:b/>
          <w:bCs/>
          <w:u w:val="single"/>
          <w:rtl/>
        </w:rPr>
      </w:pPr>
      <w:r>
        <w:rPr>
          <w:rFonts w:hint="cs"/>
          <w:b/>
          <w:bCs/>
          <w:u w:val="single"/>
          <w:rtl/>
        </w:rPr>
        <w:t>הוראות נלוות:</w:t>
      </w:r>
    </w:p>
    <w:p w14:paraId="64EF845C" w14:textId="77777777" w:rsidR="005C4A04" w:rsidRDefault="005C4A04" w:rsidP="005C4A04">
      <w:pPr>
        <w:spacing w:line="360" w:lineRule="auto"/>
        <w:jc w:val="both"/>
        <w:rPr>
          <w:rtl/>
        </w:rPr>
      </w:pPr>
      <w:r>
        <w:rPr>
          <w:rFonts w:hint="cs"/>
          <w:rtl/>
        </w:rPr>
        <w:t>א.</w:t>
      </w:r>
      <w:r>
        <w:rPr>
          <w:rtl/>
        </w:rPr>
        <w:tab/>
      </w:r>
      <w:r>
        <w:rPr>
          <w:rFonts w:hint="cs"/>
          <w:rtl/>
        </w:rPr>
        <w:t>מוצגים: הסמים יושמדו. כל פריט אחר, פרט לכסף, יועבר להכרעה פרטנית של קצין משטרה;</w:t>
      </w:r>
    </w:p>
    <w:p w14:paraId="53B5A798" w14:textId="77777777" w:rsidR="005C4A04" w:rsidRDefault="005C4A04" w:rsidP="005C4A04">
      <w:pPr>
        <w:spacing w:line="360" w:lineRule="auto"/>
        <w:jc w:val="both"/>
        <w:rPr>
          <w:rtl/>
        </w:rPr>
      </w:pPr>
      <w:r>
        <w:rPr>
          <w:rFonts w:hint="cs"/>
          <w:rtl/>
        </w:rPr>
        <w:t>ב.</w:t>
      </w:r>
      <w:r>
        <w:rPr>
          <w:rtl/>
        </w:rPr>
        <w:tab/>
      </w:r>
      <w:r>
        <w:rPr>
          <w:rFonts w:hint="cs"/>
          <w:rtl/>
        </w:rPr>
        <w:t>עותקי גזר הדין יועברו לשירות המבחן ולממונה על עבודות השירות;</w:t>
      </w:r>
    </w:p>
    <w:p w14:paraId="7AEB5AD1" w14:textId="77777777" w:rsidR="005C4A04" w:rsidRDefault="005C4A04" w:rsidP="005C4A04">
      <w:pPr>
        <w:spacing w:line="360" w:lineRule="auto"/>
        <w:jc w:val="both"/>
        <w:rPr>
          <w:rtl/>
        </w:rPr>
      </w:pPr>
    </w:p>
    <w:p w14:paraId="3207F3A5" w14:textId="77777777" w:rsidR="005C4A04" w:rsidRDefault="005C4A04" w:rsidP="005C4A04">
      <w:pPr>
        <w:spacing w:line="360" w:lineRule="auto"/>
        <w:jc w:val="both"/>
        <w:rPr>
          <w:rtl/>
        </w:rPr>
      </w:pPr>
      <w:r>
        <w:rPr>
          <w:rFonts w:hint="cs"/>
          <w:rtl/>
        </w:rPr>
        <w:t>זכות ערעור תוך 45 יום לבית המשפט המחוזי.</w:t>
      </w:r>
    </w:p>
    <w:p w14:paraId="761AD42F" w14:textId="77777777" w:rsidR="005C4A04" w:rsidRPr="007B5FE9" w:rsidRDefault="007B5FE9" w:rsidP="005C4A04">
      <w:pPr>
        <w:spacing w:line="360" w:lineRule="auto"/>
        <w:jc w:val="both"/>
        <w:rPr>
          <w:color w:val="FFFFFF"/>
          <w:sz w:val="2"/>
          <w:szCs w:val="2"/>
          <w:rtl/>
        </w:rPr>
      </w:pPr>
      <w:r w:rsidRPr="007B5FE9">
        <w:rPr>
          <w:color w:val="FFFFFF"/>
          <w:sz w:val="2"/>
          <w:szCs w:val="2"/>
          <w:rtl/>
        </w:rPr>
        <w:t>5129371</w:t>
      </w:r>
    </w:p>
    <w:p w14:paraId="7E4B07B5" w14:textId="77777777" w:rsidR="005C4A04" w:rsidRPr="00250B83" w:rsidRDefault="007B5FE9" w:rsidP="005C4A04">
      <w:pPr>
        <w:rPr>
          <w:rtl/>
        </w:rPr>
      </w:pPr>
      <w:r w:rsidRPr="007B5FE9">
        <w:rPr>
          <w:rFonts w:ascii="Arial" w:hAnsi="Arial"/>
          <w:color w:val="FFFFFF"/>
          <w:sz w:val="2"/>
          <w:szCs w:val="2"/>
          <w:rtl/>
        </w:rPr>
        <w:t>54678313</w:t>
      </w:r>
      <w:r>
        <w:rPr>
          <w:rFonts w:ascii="Arial" w:hAnsi="Arial"/>
          <w:rtl/>
        </w:rPr>
        <w:t xml:space="preserve">ניתן היום,  י"ט סיוון תשע"ז, 13 יוני 2017, במעמד הצדדים. </w:t>
      </w:r>
    </w:p>
    <w:p w14:paraId="1F7395AE" w14:textId="77777777" w:rsidR="005C4A04" w:rsidRPr="00250B83" w:rsidRDefault="005C4A04" w:rsidP="005C4A04">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3041EF7B" w14:textId="77777777" w:rsidR="005C4A04" w:rsidRPr="00250B83" w:rsidRDefault="005C4A04" w:rsidP="005C4A04">
      <w:pPr>
        <w:jc w:val="center"/>
        <w:rPr>
          <w:rFonts w:ascii="Arial" w:hAnsi="Arial"/>
          <w:rtl/>
        </w:rPr>
      </w:pPr>
    </w:p>
    <w:p w14:paraId="6C8D0F28" w14:textId="77777777" w:rsidR="005C4A04" w:rsidRPr="00250B83" w:rsidRDefault="005C4A04" w:rsidP="005C4A04">
      <w:pPr>
        <w:rPr>
          <w:rtl/>
        </w:rPr>
      </w:pPr>
    </w:p>
    <w:p w14:paraId="7A8B6AB0" w14:textId="77777777" w:rsidR="005C4A04" w:rsidRDefault="005C4A04" w:rsidP="005C4A04">
      <w:pPr>
        <w:pStyle w:val="a3"/>
        <w:jc w:val="center"/>
        <w:rPr>
          <w:rtl/>
        </w:rPr>
      </w:pPr>
    </w:p>
    <w:p w14:paraId="5188D733" w14:textId="77777777" w:rsidR="002D7B2F" w:rsidRPr="007B5FE9" w:rsidRDefault="002D7B2F" w:rsidP="007B5FE9">
      <w:pPr>
        <w:keepNext/>
        <w:rPr>
          <w:rFonts w:ascii="David" w:hAnsi="David"/>
          <w:color w:val="000000"/>
          <w:sz w:val="22"/>
          <w:szCs w:val="22"/>
          <w:rtl/>
        </w:rPr>
      </w:pPr>
    </w:p>
    <w:p w14:paraId="09B4A3B6" w14:textId="77777777" w:rsidR="007B5FE9" w:rsidRPr="007B5FE9" w:rsidRDefault="007B5FE9" w:rsidP="007B5FE9">
      <w:pPr>
        <w:keepNext/>
        <w:rPr>
          <w:rFonts w:ascii="David" w:hAnsi="David"/>
          <w:color w:val="000000"/>
          <w:sz w:val="22"/>
          <w:szCs w:val="22"/>
          <w:rtl/>
        </w:rPr>
      </w:pPr>
      <w:r w:rsidRPr="007B5FE9">
        <w:rPr>
          <w:rFonts w:ascii="David" w:hAnsi="David"/>
          <w:color w:val="000000"/>
          <w:sz w:val="22"/>
          <w:szCs w:val="22"/>
          <w:rtl/>
        </w:rPr>
        <w:t>עידו דרויאן גמליאל 54678313</w:t>
      </w:r>
    </w:p>
    <w:p w14:paraId="71F92AF8" w14:textId="77777777" w:rsidR="007B5FE9" w:rsidRDefault="007B5FE9" w:rsidP="007B5FE9">
      <w:r w:rsidRPr="007B5FE9">
        <w:rPr>
          <w:color w:val="000000"/>
          <w:rtl/>
        </w:rPr>
        <w:t>נוסח מסמך זה כפוף לשינויי ניסוח ועריכה</w:t>
      </w:r>
    </w:p>
    <w:p w14:paraId="7EF27296" w14:textId="77777777" w:rsidR="007B5FE9" w:rsidRDefault="007B5FE9" w:rsidP="007B5FE9">
      <w:pPr>
        <w:rPr>
          <w:rtl/>
        </w:rPr>
      </w:pPr>
    </w:p>
    <w:p w14:paraId="3622E67E" w14:textId="77777777" w:rsidR="007B5FE9" w:rsidRDefault="007B5FE9" w:rsidP="007B5FE9">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73F14F4E" w14:textId="77777777" w:rsidR="007B5FE9" w:rsidRPr="007B5FE9" w:rsidRDefault="007B5FE9" w:rsidP="007B5FE9">
      <w:pPr>
        <w:jc w:val="center"/>
        <w:rPr>
          <w:color w:val="0000FF"/>
          <w:u w:val="single"/>
        </w:rPr>
      </w:pPr>
    </w:p>
    <w:sectPr w:rsidR="007B5FE9" w:rsidRPr="007B5FE9" w:rsidSect="007B5FE9">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E830D" w14:textId="77777777" w:rsidR="00EB4BC0" w:rsidRDefault="00EB4BC0" w:rsidP="005F5C83">
      <w:r>
        <w:separator/>
      </w:r>
    </w:p>
  </w:endnote>
  <w:endnote w:type="continuationSeparator" w:id="0">
    <w:p w14:paraId="3B394142" w14:textId="77777777" w:rsidR="00EB4BC0" w:rsidRDefault="00EB4BC0" w:rsidP="005F5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307ED" w14:textId="77777777" w:rsidR="00EB4BC0" w:rsidRDefault="00EB4BC0" w:rsidP="007B5FE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4A3D83A" w14:textId="77777777" w:rsidR="00EB4BC0" w:rsidRPr="007B5FE9" w:rsidRDefault="00EB4BC0" w:rsidP="007B5FE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3B2" w14:textId="77777777" w:rsidR="00EB4BC0" w:rsidRDefault="00EB4BC0" w:rsidP="007B5FE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85337">
      <w:rPr>
        <w:rFonts w:ascii="FrankRuehl" w:hAnsi="FrankRuehl" w:cs="FrankRuehl"/>
        <w:noProof/>
        <w:rtl/>
      </w:rPr>
      <w:t>1</w:t>
    </w:r>
    <w:r>
      <w:rPr>
        <w:rFonts w:ascii="FrankRuehl" w:hAnsi="FrankRuehl" w:cs="FrankRuehl"/>
        <w:rtl/>
      </w:rPr>
      <w:fldChar w:fldCharType="end"/>
    </w:r>
  </w:p>
  <w:p w14:paraId="19B26B13" w14:textId="77777777" w:rsidR="00EB4BC0" w:rsidRPr="007B5FE9" w:rsidRDefault="00EB4BC0" w:rsidP="007B5FE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AB46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AB1FC" w14:textId="77777777" w:rsidR="00EB4BC0" w:rsidRDefault="00EB4BC0" w:rsidP="005F5C83">
      <w:r>
        <w:separator/>
      </w:r>
    </w:p>
  </w:footnote>
  <w:footnote w:type="continuationSeparator" w:id="0">
    <w:p w14:paraId="6B5C56B2" w14:textId="77777777" w:rsidR="00EB4BC0" w:rsidRDefault="00EB4BC0" w:rsidP="005F5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78F14" w14:textId="77777777" w:rsidR="00EB4BC0" w:rsidRPr="007B5FE9" w:rsidRDefault="00EB4BC0" w:rsidP="007B5FE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55701-01-16</w:t>
    </w:r>
    <w:r>
      <w:rPr>
        <w:rFonts w:ascii="David" w:hAnsi="David"/>
        <w:color w:val="000000"/>
        <w:sz w:val="22"/>
        <w:szCs w:val="22"/>
        <w:rtl/>
      </w:rPr>
      <w:tab/>
      <w:t xml:space="preserve"> מדינת ישראל נ' פטמה אבו רחימה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891BC" w14:textId="77777777" w:rsidR="00EB4BC0" w:rsidRPr="007B5FE9" w:rsidRDefault="00EB4BC0" w:rsidP="007B5FE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55701-01-16</w:t>
    </w:r>
    <w:r>
      <w:rPr>
        <w:rFonts w:ascii="David" w:hAnsi="David"/>
        <w:color w:val="000000"/>
        <w:sz w:val="22"/>
        <w:szCs w:val="22"/>
        <w:rtl/>
      </w:rPr>
      <w:tab/>
      <w:t xml:space="preserve"> מדינת ישראל נ' פטמה אבו רחימה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578D3"/>
    <w:multiLevelType w:val="hybridMultilevel"/>
    <w:tmpl w:val="F44CC2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55783E"/>
    <w:multiLevelType w:val="hybridMultilevel"/>
    <w:tmpl w:val="9E64EDD8"/>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873F53"/>
    <w:multiLevelType w:val="hybridMultilevel"/>
    <w:tmpl w:val="DDBCF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8486005"/>
    <w:multiLevelType w:val="hybridMultilevel"/>
    <w:tmpl w:val="CA42F600"/>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32775225">
    <w:abstractNumId w:val="0"/>
  </w:num>
  <w:num w:numId="2" w16cid:durableId="2001155775">
    <w:abstractNumId w:val="1"/>
  </w:num>
  <w:num w:numId="3" w16cid:durableId="12077075">
    <w:abstractNumId w:val="2"/>
  </w:num>
  <w:num w:numId="4" w16cid:durableId="10940122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C4A04"/>
    <w:rsid w:val="002D7B2F"/>
    <w:rsid w:val="003D12C4"/>
    <w:rsid w:val="00560153"/>
    <w:rsid w:val="005C4A04"/>
    <w:rsid w:val="005F5C83"/>
    <w:rsid w:val="00650F49"/>
    <w:rsid w:val="007B5FE9"/>
    <w:rsid w:val="00870EEA"/>
    <w:rsid w:val="00BA16A0"/>
    <w:rsid w:val="00C07B25"/>
    <w:rsid w:val="00D85337"/>
    <w:rsid w:val="00EB4B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677E036"/>
  <w15:chartTrackingRefBased/>
  <w15:docId w15:val="{B3CCA629-9B2D-4ACF-A6A6-20818811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C4A0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C4A04"/>
    <w:pPr>
      <w:tabs>
        <w:tab w:val="center" w:pos="4153"/>
        <w:tab w:val="right" w:pos="8306"/>
      </w:tabs>
    </w:pPr>
  </w:style>
  <w:style w:type="character" w:customStyle="1" w:styleId="a4">
    <w:name w:val="כותרת עליונה תו"/>
    <w:link w:val="a3"/>
    <w:rsid w:val="005C4A04"/>
    <w:rPr>
      <w:rFonts w:ascii="Times New Roman" w:eastAsia="Times New Roman" w:hAnsi="Times New Roman" w:cs="David"/>
      <w:sz w:val="24"/>
      <w:szCs w:val="24"/>
    </w:rPr>
  </w:style>
  <w:style w:type="paragraph" w:styleId="a5">
    <w:name w:val="footer"/>
    <w:basedOn w:val="a"/>
    <w:link w:val="a6"/>
    <w:rsid w:val="005C4A04"/>
    <w:pPr>
      <w:tabs>
        <w:tab w:val="center" w:pos="4153"/>
        <w:tab w:val="right" w:pos="8306"/>
      </w:tabs>
    </w:pPr>
  </w:style>
  <w:style w:type="character" w:customStyle="1" w:styleId="a6">
    <w:name w:val="כותרת תחתונה תו"/>
    <w:link w:val="a5"/>
    <w:rsid w:val="005C4A04"/>
    <w:rPr>
      <w:rFonts w:ascii="Times New Roman" w:eastAsia="Times New Roman" w:hAnsi="Times New Roman" w:cs="David"/>
      <w:sz w:val="24"/>
      <w:szCs w:val="24"/>
    </w:rPr>
  </w:style>
  <w:style w:type="table" w:styleId="a7">
    <w:name w:val="Table Grid"/>
    <w:basedOn w:val="a1"/>
    <w:rsid w:val="005C4A0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C4A04"/>
  </w:style>
  <w:style w:type="paragraph" w:styleId="a9">
    <w:name w:val="List Paragraph"/>
    <w:basedOn w:val="a"/>
    <w:qFormat/>
    <w:rsid w:val="005C4A04"/>
    <w:pPr>
      <w:ind w:left="720"/>
      <w:contextualSpacing/>
    </w:pPr>
  </w:style>
  <w:style w:type="character" w:styleId="Hyperlink">
    <w:name w:val="Hyperlink"/>
    <w:rsid w:val="007B5FE9"/>
    <w:rPr>
      <w:color w:val="0563C1"/>
      <w:u w:val="single"/>
    </w:rPr>
  </w:style>
  <w:style w:type="character" w:styleId="aa">
    <w:name w:val="Unresolved Mention"/>
    <w:rsid w:val="007B5FE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22294063" TargetMode="External"/><Relationship Id="rId26" Type="http://schemas.openxmlformats.org/officeDocument/2006/relationships/hyperlink" Target="http://www.nevo.co.il/case/17948122" TargetMode="External"/><Relationship Id="rId3" Type="http://schemas.openxmlformats.org/officeDocument/2006/relationships/settings" Target="settings.xml"/><Relationship Id="rId21" Type="http://schemas.openxmlformats.org/officeDocument/2006/relationships/hyperlink" Target="http://www.nevo.co.il/law/70301"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70301/iCaS"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0181627"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244" TargetMode="External"/><Relationship Id="rId20" Type="http://schemas.openxmlformats.org/officeDocument/2006/relationships/hyperlink" Target="http://www.nevo.co.il/case/6244684"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44" TargetMode="External"/><Relationship Id="rId24" Type="http://schemas.openxmlformats.org/officeDocument/2006/relationships/hyperlink" Target="http://www.nevo.co.il/case/5569233"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1472959" TargetMode="External"/><Relationship Id="rId28" Type="http://schemas.openxmlformats.org/officeDocument/2006/relationships/hyperlink" Target="http://www.nevo.co.il/law/70301"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161892"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22201884" TargetMode="External"/><Relationship Id="rId27" Type="http://schemas.openxmlformats.org/officeDocument/2006/relationships/hyperlink" Target="http://www.nevo.co.il/law/70301/iCaS"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1419</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8500</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7995492</vt:i4>
      </vt:variant>
      <vt:variant>
        <vt:i4>63</vt:i4>
      </vt:variant>
      <vt:variant>
        <vt:i4>0</vt:i4>
      </vt:variant>
      <vt:variant>
        <vt:i4>5</vt:i4>
      </vt:variant>
      <vt:variant>
        <vt:lpwstr>http://www.nevo.co.il/law/70301</vt:lpwstr>
      </vt:variant>
      <vt:variant>
        <vt:lpwstr/>
      </vt:variant>
      <vt:variant>
        <vt:i4>4522077</vt:i4>
      </vt:variant>
      <vt:variant>
        <vt:i4>60</vt:i4>
      </vt:variant>
      <vt:variant>
        <vt:i4>0</vt:i4>
      </vt:variant>
      <vt:variant>
        <vt:i4>5</vt:i4>
      </vt:variant>
      <vt:variant>
        <vt:lpwstr>http://www.nevo.co.il/law/70301/iCaS</vt:lpwstr>
      </vt:variant>
      <vt:variant>
        <vt:lpwstr/>
      </vt:variant>
      <vt:variant>
        <vt:i4>3276918</vt:i4>
      </vt:variant>
      <vt:variant>
        <vt:i4>57</vt:i4>
      </vt:variant>
      <vt:variant>
        <vt:i4>0</vt:i4>
      </vt:variant>
      <vt:variant>
        <vt:i4>5</vt:i4>
      </vt:variant>
      <vt:variant>
        <vt:lpwstr>http://www.nevo.co.il/case/17948122</vt:lpwstr>
      </vt:variant>
      <vt:variant>
        <vt:lpwstr/>
      </vt:variant>
      <vt:variant>
        <vt:i4>3145850</vt:i4>
      </vt:variant>
      <vt:variant>
        <vt:i4>54</vt:i4>
      </vt:variant>
      <vt:variant>
        <vt:i4>0</vt:i4>
      </vt:variant>
      <vt:variant>
        <vt:i4>5</vt:i4>
      </vt:variant>
      <vt:variant>
        <vt:lpwstr>http://www.nevo.co.il/case/20181627</vt:lpwstr>
      </vt:variant>
      <vt:variant>
        <vt:lpwstr/>
      </vt:variant>
      <vt:variant>
        <vt:i4>3276923</vt:i4>
      </vt:variant>
      <vt:variant>
        <vt:i4>51</vt:i4>
      </vt:variant>
      <vt:variant>
        <vt:i4>0</vt:i4>
      </vt:variant>
      <vt:variant>
        <vt:i4>5</vt:i4>
      </vt:variant>
      <vt:variant>
        <vt:lpwstr>http://www.nevo.co.il/case/5569233</vt:lpwstr>
      </vt:variant>
      <vt:variant>
        <vt:lpwstr/>
      </vt:variant>
      <vt:variant>
        <vt:i4>3211387</vt:i4>
      </vt:variant>
      <vt:variant>
        <vt:i4>48</vt:i4>
      </vt:variant>
      <vt:variant>
        <vt:i4>0</vt:i4>
      </vt:variant>
      <vt:variant>
        <vt:i4>5</vt:i4>
      </vt:variant>
      <vt:variant>
        <vt:lpwstr>http://www.nevo.co.il/case/21472959</vt:lpwstr>
      </vt:variant>
      <vt:variant>
        <vt:lpwstr/>
      </vt:variant>
      <vt:variant>
        <vt:i4>3735678</vt:i4>
      </vt:variant>
      <vt:variant>
        <vt:i4>45</vt:i4>
      </vt:variant>
      <vt:variant>
        <vt:i4>0</vt:i4>
      </vt:variant>
      <vt:variant>
        <vt:i4>5</vt:i4>
      </vt:variant>
      <vt:variant>
        <vt:lpwstr>http://www.nevo.co.il/case/22201884</vt:lpwstr>
      </vt:variant>
      <vt:variant>
        <vt:lpwstr/>
      </vt:variant>
      <vt:variant>
        <vt:i4>7995492</vt:i4>
      </vt:variant>
      <vt:variant>
        <vt:i4>42</vt:i4>
      </vt:variant>
      <vt:variant>
        <vt:i4>0</vt:i4>
      </vt:variant>
      <vt:variant>
        <vt:i4>5</vt:i4>
      </vt:variant>
      <vt:variant>
        <vt:lpwstr>http://www.nevo.co.il/law/70301</vt:lpwstr>
      </vt:variant>
      <vt:variant>
        <vt:lpwstr/>
      </vt:variant>
      <vt:variant>
        <vt:i4>3145850</vt:i4>
      </vt:variant>
      <vt:variant>
        <vt:i4>39</vt:i4>
      </vt:variant>
      <vt:variant>
        <vt:i4>0</vt:i4>
      </vt:variant>
      <vt:variant>
        <vt:i4>5</vt:i4>
      </vt:variant>
      <vt:variant>
        <vt:lpwstr>http://www.nevo.co.il/case/6244684</vt:lpwstr>
      </vt:variant>
      <vt:variant>
        <vt:lpwstr/>
      </vt:variant>
      <vt:variant>
        <vt:i4>589898</vt:i4>
      </vt:variant>
      <vt:variant>
        <vt:i4>36</vt:i4>
      </vt:variant>
      <vt:variant>
        <vt:i4>0</vt:i4>
      </vt:variant>
      <vt:variant>
        <vt:i4>5</vt:i4>
      </vt:variant>
      <vt:variant>
        <vt:lpwstr>http://www.nevo.co.il/case/161892</vt:lpwstr>
      </vt:variant>
      <vt:variant>
        <vt:lpwstr/>
      </vt:variant>
      <vt:variant>
        <vt:i4>3276927</vt:i4>
      </vt:variant>
      <vt:variant>
        <vt:i4>33</vt:i4>
      </vt:variant>
      <vt:variant>
        <vt:i4>0</vt:i4>
      </vt:variant>
      <vt:variant>
        <vt:i4>5</vt:i4>
      </vt:variant>
      <vt:variant>
        <vt:lpwstr>http://www.nevo.co.il/case/22294063</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6357095</vt:i4>
      </vt:variant>
      <vt:variant>
        <vt:i4>27</vt:i4>
      </vt:variant>
      <vt:variant>
        <vt:i4>0</vt:i4>
      </vt:variant>
      <vt:variant>
        <vt:i4>5</vt:i4>
      </vt:variant>
      <vt:variant>
        <vt:lpwstr>http://www.nevo.co.il/law/70301/244</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4522077</vt:i4>
      </vt:variant>
      <vt:variant>
        <vt:i4>15</vt:i4>
      </vt:variant>
      <vt:variant>
        <vt:i4>0</vt:i4>
      </vt:variant>
      <vt:variant>
        <vt:i4>5</vt:i4>
      </vt:variant>
      <vt:variant>
        <vt:lpwstr>http://www.nevo.co.il/law/70301/iCaS</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2025-04-22T22:58:00Z</dcterms:created>
  <dcterms:modified xsi:type="dcterms:W3CDTF">2025-04-22T22:58:00Z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55701</vt:lpwstr>
  </property>
  <property fmtid="{D5CDD505-2E9C-101B-9397-08002B2CF9AE}" pid="6" name="NEWPARTB">
    <vt:lpwstr>01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פטמה אבו רחימה</vt:lpwstr>
  </property>
  <property fmtid="{D5CDD505-2E9C-101B-9397-08002B2CF9AE}" pid="10" name="LAWYER">
    <vt:lpwstr>הוד ופרשר;נעאמנה</vt:lpwstr>
  </property>
  <property fmtid="{D5CDD505-2E9C-101B-9397-08002B2CF9AE}" pid="11" name="JUDGE">
    <vt:lpwstr>עידו דרויאן גמליאל</vt:lpwstr>
  </property>
  <property fmtid="{D5CDD505-2E9C-101B-9397-08002B2CF9AE}" pid="12" name="CITY">
    <vt:lpwstr>ת"א</vt:lpwstr>
  </property>
  <property fmtid="{D5CDD505-2E9C-101B-9397-08002B2CF9AE}" pid="13" name="DATE">
    <vt:lpwstr>20170613</vt:lpwstr>
  </property>
  <property fmtid="{D5CDD505-2E9C-101B-9397-08002B2CF9AE}" pid="14" name="TYPE_N_DATE">
    <vt:lpwstr>38020170613</vt:lpwstr>
  </property>
  <property fmtid="{D5CDD505-2E9C-101B-9397-08002B2CF9AE}" pid="15" name="CASESLISTTMP1">
    <vt:lpwstr>22294063;161892;6244684;22201884;21472959;5569233;20181627;17948122</vt:lpwstr>
  </property>
  <property fmtid="{D5CDD505-2E9C-101B-9397-08002B2CF9AE}" pid="16" name="CASENOTES1">
    <vt:lpwstr>ProcID=213&amp;PartA=40&amp;PartC=44</vt:lpwstr>
  </property>
  <property fmtid="{D5CDD505-2E9C-101B-9397-08002B2CF9AE}" pid="17" name="WORDNUMPAGES">
    <vt:lpwstr>5</vt:lpwstr>
  </property>
  <property fmtid="{D5CDD505-2E9C-101B-9397-08002B2CF9AE}" pid="18" name="TYPE_ABS_DATE">
    <vt:lpwstr>380020170613</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4216/007.a;007.c</vt:lpwstr>
  </property>
  <property fmtid="{D5CDD505-2E9C-101B-9397-08002B2CF9AE}" pid="38" name="LAWLISTTMP2">
    <vt:lpwstr>70301/244;iCaS</vt:lpwstr>
  </property>
</Properties>
</file>