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07CDB" w:rsidRPr="00FF2516" w14:paraId="473C1E89" w14:textId="77777777" w:rsidTr="00054AF8">
        <w:trPr>
          <w:trHeight w:hRule="exact" w:val="418"/>
          <w:jc w:val="center"/>
        </w:trPr>
        <w:tc>
          <w:tcPr>
            <w:tcW w:w="8721" w:type="dxa"/>
            <w:gridSpan w:val="2"/>
          </w:tcPr>
          <w:p w14:paraId="149585D6" w14:textId="77777777" w:rsidR="00107CDB" w:rsidRPr="00FF2516" w:rsidRDefault="00107CDB" w:rsidP="00D50C04">
            <w:pPr>
              <w:pStyle w:val="a3"/>
              <w:jc w:val="center"/>
              <w:rPr>
                <w:rFonts w:ascii="Tahoma" w:hAnsi="Tahoma"/>
                <w:color w:val="000080"/>
                <w:sz w:val="32"/>
                <w:szCs w:val="32"/>
                <w:rtl/>
              </w:rPr>
            </w:pPr>
            <w:bookmarkStart w:id="0" w:name="LastJudge"/>
            <w:r w:rsidRPr="00FF2516">
              <w:rPr>
                <w:rFonts w:ascii="Tahoma" w:hAnsi="Tahoma"/>
                <w:b/>
                <w:bCs/>
                <w:color w:val="000080"/>
                <w:sz w:val="32"/>
                <w:szCs w:val="32"/>
                <w:rtl/>
              </w:rPr>
              <w:t>בית משפט השלום בתל אביב - יפו</w:t>
            </w:r>
          </w:p>
        </w:tc>
      </w:tr>
      <w:tr w:rsidR="00107CDB" w:rsidRPr="00FF2516" w14:paraId="09F43134" w14:textId="77777777" w:rsidTr="00054AF8">
        <w:trPr>
          <w:trHeight w:val="337"/>
          <w:jc w:val="center"/>
        </w:trPr>
        <w:tc>
          <w:tcPr>
            <w:tcW w:w="5054" w:type="dxa"/>
          </w:tcPr>
          <w:p w14:paraId="686C45A9" w14:textId="77777777" w:rsidR="00107CDB" w:rsidRPr="00FF2516" w:rsidRDefault="00107CDB" w:rsidP="00D50C04">
            <w:pPr>
              <w:rPr>
                <w:sz w:val="26"/>
                <w:szCs w:val="26"/>
                <w:rtl/>
              </w:rPr>
            </w:pPr>
            <w:r w:rsidRPr="00FF2516">
              <w:rPr>
                <w:sz w:val="26"/>
                <w:szCs w:val="26"/>
                <w:rtl/>
              </w:rPr>
              <w:t>ת"פ</w:t>
            </w:r>
            <w:r w:rsidRPr="00FF2516">
              <w:rPr>
                <w:rFonts w:hint="cs"/>
                <w:sz w:val="26"/>
                <w:szCs w:val="26"/>
                <w:rtl/>
              </w:rPr>
              <w:t xml:space="preserve"> </w:t>
            </w:r>
            <w:r w:rsidRPr="00FF2516">
              <w:rPr>
                <w:sz w:val="26"/>
                <w:szCs w:val="26"/>
                <w:rtl/>
              </w:rPr>
              <w:t>39397-02-16</w:t>
            </w:r>
            <w:r w:rsidRPr="00FF2516">
              <w:rPr>
                <w:rFonts w:hint="cs"/>
                <w:sz w:val="26"/>
                <w:szCs w:val="26"/>
                <w:rtl/>
              </w:rPr>
              <w:t xml:space="preserve"> </w:t>
            </w:r>
            <w:r w:rsidRPr="00FF2516">
              <w:rPr>
                <w:sz w:val="26"/>
                <w:szCs w:val="26"/>
                <w:rtl/>
              </w:rPr>
              <w:t>מדינת ישראל נ' גרדשוב</w:t>
            </w:r>
          </w:p>
        </w:tc>
        <w:tc>
          <w:tcPr>
            <w:tcW w:w="3667" w:type="dxa"/>
          </w:tcPr>
          <w:p w14:paraId="1CB940B5" w14:textId="77777777" w:rsidR="00107CDB" w:rsidRPr="00FF2516" w:rsidRDefault="00107CDB" w:rsidP="00D50C04">
            <w:pPr>
              <w:pStyle w:val="a3"/>
              <w:jc w:val="right"/>
              <w:rPr>
                <w:rFonts w:cs="FrankRuehl"/>
                <w:sz w:val="28"/>
                <w:szCs w:val="28"/>
                <w:rtl/>
              </w:rPr>
            </w:pPr>
          </w:p>
        </w:tc>
      </w:tr>
    </w:tbl>
    <w:p w14:paraId="78105C5F" w14:textId="77777777" w:rsidR="00107CDB" w:rsidRPr="00FF2516" w:rsidRDefault="00107CDB" w:rsidP="00107CDB">
      <w:pPr>
        <w:pStyle w:val="a3"/>
        <w:rPr>
          <w:rtl/>
        </w:rPr>
      </w:pPr>
      <w:r w:rsidRPr="00FF2516">
        <w:rPr>
          <w:rFonts w:hint="cs"/>
          <w:rtl/>
        </w:rPr>
        <w:t xml:space="preserve"> </w:t>
      </w:r>
    </w:p>
    <w:p w14:paraId="26B4A977" w14:textId="77777777" w:rsidR="00107CDB" w:rsidRPr="00FF2516" w:rsidRDefault="00107CDB" w:rsidP="00107CD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6"/>
        <w:gridCol w:w="3399"/>
      </w:tblGrid>
      <w:tr w:rsidR="00107CDB" w:rsidRPr="00FF2516" w14:paraId="5C882255" w14:textId="77777777" w:rsidTr="00107CDB">
        <w:trPr>
          <w:trHeight w:val="295"/>
          <w:jc w:val="center"/>
        </w:trPr>
        <w:tc>
          <w:tcPr>
            <w:tcW w:w="8820" w:type="dxa"/>
            <w:gridSpan w:val="3"/>
            <w:tcBorders>
              <w:top w:val="nil"/>
              <w:left w:val="nil"/>
              <w:bottom w:val="nil"/>
              <w:right w:val="nil"/>
            </w:tcBorders>
            <w:shd w:val="clear" w:color="auto" w:fill="auto"/>
          </w:tcPr>
          <w:p w14:paraId="7BD604EE" w14:textId="77777777" w:rsidR="00107CDB" w:rsidRPr="00FF2516" w:rsidRDefault="00107CDB" w:rsidP="00107CDB">
            <w:pPr>
              <w:jc w:val="both"/>
              <w:rPr>
                <w:rFonts w:ascii="Arial" w:hAnsi="Arial"/>
                <w:b/>
                <w:bCs/>
                <w:sz w:val="26"/>
                <w:szCs w:val="26"/>
              </w:rPr>
            </w:pPr>
            <w:r w:rsidRPr="00FF2516">
              <w:rPr>
                <w:rFonts w:ascii="Arial" w:hAnsi="Arial" w:hint="cs"/>
                <w:b/>
                <w:bCs/>
                <w:sz w:val="26"/>
                <w:szCs w:val="26"/>
                <w:rtl/>
              </w:rPr>
              <w:t>ל</w:t>
            </w:r>
            <w:r w:rsidRPr="00FF2516">
              <w:rPr>
                <w:rFonts w:ascii="Arial" w:hAnsi="Arial"/>
                <w:b/>
                <w:bCs/>
                <w:sz w:val="26"/>
                <w:szCs w:val="26"/>
                <w:rtl/>
              </w:rPr>
              <w:t xml:space="preserve">פני </w:t>
            </w:r>
            <w:r w:rsidRPr="00FF2516">
              <w:rPr>
                <w:rFonts w:ascii="Arial" w:hAnsi="Arial" w:hint="cs"/>
                <w:b/>
                <w:bCs/>
                <w:sz w:val="26"/>
                <w:szCs w:val="26"/>
                <w:rtl/>
              </w:rPr>
              <w:t>כבוד ה</w:t>
            </w:r>
            <w:r w:rsidRPr="00FF2516">
              <w:rPr>
                <w:rFonts w:ascii="Arial" w:hAnsi="Arial"/>
                <w:b/>
                <w:bCs/>
                <w:sz w:val="26"/>
                <w:szCs w:val="26"/>
                <w:rtl/>
              </w:rPr>
              <w:t>שופט</w:t>
            </w:r>
            <w:r w:rsidRPr="00FF2516">
              <w:rPr>
                <w:rFonts w:ascii="Arial" w:hAnsi="Arial" w:hint="cs"/>
                <w:b/>
                <w:bCs/>
                <w:sz w:val="26"/>
                <w:szCs w:val="26"/>
                <w:rtl/>
              </w:rPr>
              <w:t xml:space="preserve">  </w:t>
            </w:r>
            <w:r w:rsidRPr="00FF2516">
              <w:rPr>
                <w:rFonts w:ascii="Arial" w:hAnsi="Arial"/>
                <w:b/>
                <w:bCs/>
                <w:sz w:val="26"/>
                <w:szCs w:val="26"/>
                <w:rtl/>
              </w:rPr>
              <w:t>איתן קורנהאוזר</w:t>
            </w:r>
          </w:p>
        </w:tc>
      </w:tr>
      <w:tr w:rsidR="00107CDB" w:rsidRPr="00FF2516" w14:paraId="3790D296" w14:textId="77777777" w:rsidTr="00CD63D5">
        <w:trPr>
          <w:trHeight w:val="355"/>
          <w:jc w:val="center"/>
        </w:trPr>
        <w:tc>
          <w:tcPr>
            <w:tcW w:w="1195" w:type="dxa"/>
            <w:tcBorders>
              <w:top w:val="nil"/>
              <w:left w:val="nil"/>
              <w:bottom w:val="nil"/>
              <w:right w:val="nil"/>
            </w:tcBorders>
            <w:shd w:val="clear" w:color="auto" w:fill="auto"/>
          </w:tcPr>
          <w:p w14:paraId="6D9A0B17" w14:textId="77777777" w:rsidR="00107CDB" w:rsidRPr="00FF2516" w:rsidRDefault="00107CDB" w:rsidP="00107CDB">
            <w:pPr>
              <w:jc w:val="both"/>
              <w:rPr>
                <w:rFonts w:ascii="Arial" w:hAnsi="Arial"/>
                <w:b/>
                <w:bCs/>
                <w:sz w:val="26"/>
                <w:szCs w:val="26"/>
              </w:rPr>
            </w:pPr>
            <w:bookmarkStart w:id="1" w:name="FirstAppellant"/>
            <w:bookmarkStart w:id="2" w:name="FirstLawyer"/>
            <w:r w:rsidRPr="00FF2516">
              <w:rPr>
                <w:rFonts w:ascii="Arial" w:hAnsi="Arial" w:hint="cs"/>
                <w:sz w:val="26"/>
                <w:szCs w:val="26"/>
                <w:rtl/>
              </w:rPr>
              <w:t>ה</w:t>
            </w:r>
            <w:r w:rsidRPr="00FF2516">
              <w:rPr>
                <w:rFonts w:ascii="Arial" w:hAnsi="Arial"/>
                <w:sz w:val="26"/>
                <w:szCs w:val="26"/>
                <w:rtl/>
              </w:rPr>
              <w:t>מאשימה</w:t>
            </w:r>
          </w:p>
        </w:tc>
        <w:tc>
          <w:tcPr>
            <w:tcW w:w="4226" w:type="dxa"/>
            <w:tcBorders>
              <w:top w:val="nil"/>
              <w:left w:val="nil"/>
              <w:bottom w:val="nil"/>
              <w:right w:val="nil"/>
            </w:tcBorders>
            <w:shd w:val="clear" w:color="auto" w:fill="auto"/>
          </w:tcPr>
          <w:p w14:paraId="49A866FE" w14:textId="77777777" w:rsidR="00107CDB" w:rsidRPr="00FF2516" w:rsidRDefault="00107CDB" w:rsidP="00D50C04">
            <w:pPr>
              <w:rPr>
                <w:sz w:val="26"/>
                <w:szCs w:val="26"/>
                <w:rtl/>
              </w:rPr>
            </w:pPr>
            <w:r w:rsidRPr="00FF2516">
              <w:rPr>
                <w:rFonts w:ascii="Arial" w:hAnsi="Arial"/>
                <w:sz w:val="26"/>
                <w:szCs w:val="26"/>
                <w:rtl/>
              </w:rPr>
              <w:t>מדינת ישראל</w:t>
            </w:r>
          </w:p>
          <w:p w14:paraId="5C83FF01" w14:textId="77777777" w:rsidR="00107CDB" w:rsidRPr="00FF2516" w:rsidRDefault="00107CDB" w:rsidP="00D50C04">
            <w:pPr>
              <w:rPr>
                <w:sz w:val="22"/>
                <w:szCs w:val="22"/>
              </w:rPr>
            </w:pPr>
            <w:r w:rsidRPr="00FF2516">
              <w:rPr>
                <w:rFonts w:hint="cs"/>
                <w:sz w:val="22"/>
                <w:szCs w:val="22"/>
                <w:rtl/>
              </w:rPr>
              <w:t>ע"י ב"כ עו"ד שרון אדרי וסיוון עטיה</w:t>
            </w:r>
          </w:p>
        </w:tc>
        <w:tc>
          <w:tcPr>
            <w:tcW w:w="3399" w:type="dxa"/>
            <w:tcBorders>
              <w:top w:val="nil"/>
              <w:left w:val="nil"/>
              <w:bottom w:val="nil"/>
              <w:right w:val="nil"/>
            </w:tcBorders>
            <w:shd w:val="clear" w:color="auto" w:fill="auto"/>
          </w:tcPr>
          <w:p w14:paraId="4EDAB64F" w14:textId="77777777" w:rsidR="00107CDB" w:rsidRPr="00FF2516" w:rsidRDefault="00107CDB" w:rsidP="00107CDB">
            <w:pPr>
              <w:jc w:val="both"/>
              <w:rPr>
                <w:rFonts w:ascii="Arial" w:hAnsi="Arial"/>
                <w:sz w:val="26"/>
                <w:szCs w:val="26"/>
              </w:rPr>
            </w:pPr>
          </w:p>
        </w:tc>
      </w:tr>
      <w:bookmarkEnd w:id="1"/>
      <w:bookmarkEnd w:id="2"/>
      <w:tr w:rsidR="00107CDB" w:rsidRPr="00FF2516" w14:paraId="577C5F87" w14:textId="77777777" w:rsidTr="00CD63D5">
        <w:trPr>
          <w:trHeight w:val="373"/>
          <w:jc w:val="center"/>
        </w:trPr>
        <w:tc>
          <w:tcPr>
            <w:tcW w:w="1195" w:type="dxa"/>
            <w:tcBorders>
              <w:top w:val="nil"/>
              <w:left w:val="nil"/>
              <w:bottom w:val="nil"/>
              <w:right w:val="nil"/>
            </w:tcBorders>
            <w:shd w:val="clear" w:color="auto" w:fill="auto"/>
          </w:tcPr>
          <w:p w14:paraId="49EB8ED2" w14:textId="77777777" w:rsidR="00107CDB" w:rsidRPr="00FF2516" w:rsidRDefault="00107CDB" w:rsidP="00107CDB">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6CD2EF52" w14:textId="77777777" w:rsidR="00107CDB" w:rsidRPr="00FF2516" w:rsidRDefault="00107CDB" w:rsidP="00107CDB">
            <w:pPr>
              <w:jc w:val="center"/>
              <w:rPr>
                <w:rFonts w:ascii="Arial" w:hAnsi="Arial"/>
                <w:b/>
                <w:bCs/>
                <w:sz w:val="26"/>
                <w:szCs w:val="26"/>
                <w:rtl/>
              </w:rPr>
            </w:pPr>
          </w:p>
          <w:p w14:paraId="7333FF3E" w14:textId="77777777" w:rsidR="00107CDB" w:rsidRPr="00FF2516" w:rsidRDefault="00107CDB" w:rsidP="00107CDB">
            <w:pPr>
              <w:jc w:val="center"/>
              <w:rPr>
                <w:rFonts w:ascii="Arial" w:hAnsi="Arial"/>
                <w:b/>
                <w:bCs/>
                <w:sz w:val="26"/>
                <w:szCs w:val="26"/>
                <w:rtl/>
              </w:rPr>
            </w:pPr>
            <w:r w:rsidRPr="00FF2516">
              <w:rPr>
                <w:rFonts w:ascii="Arial" w:hAnsi="Arial"/>
                <w:b/>
                <w:bCs/>
                <w:sz w:val="26"/>
                <w:szCs w:val="26"/>
                <w:rtl/>
              </w:rPr>
              <w:t>נגד</w:t>
            </w:r>
          </w:p>
          <w:p w14:paraId="2CD3E170" w14:textId="77777777" w:rsidR="00107CDB" w:rsidRPr="00FF2516" w:rsidRDefault="00107CDB" w:rsidP="00107CDB">
            <w:pPr>
              <w:jc w:val="both"/>
              <w:rPr>
                <w:rFonts w:ascii="Arial" w:hAnsi="Arial"/>
                <w:sz w:val="26"/>
                <w:szCs w:val="26"/>
              </w:rPr>
            </w:pPr>
          </w:p>
        </w:tc>
      </w:tr>
      <w:tr w:rsidR="00107CDB" w:rsidRPr="00FF2516" w14:paraId="666988FC" w14:textId="77777777" w:rsidTr="00CD63D5">
        <w:trPr>
          <w:trHeight w:val="355"/>
          <w:jc w:val="center"/>
        </w:trPr>
        <w:tc>
          <w:tcPr>
            <w:tcW w:w="1195" w:type="dxa"/>
            <w:tcBorders>
              <w:top w:val="nil"/>
              <w:left w:val="nil"/>
              <w:bottom w:val="nil"/>
              <w:right w:val="nil"/>
            </w:tcBorders>
            <w:shd w:val="clear" w:color="auto" w:fill="auto"/>
          </w:tcPr>
          <w:p w14:paraId="59698FB7" w14:textId="77777777" w:rsidR="00107CDB" w:rsidRPr="00FF2516" w:rsidRDefault="00107CDB" w:rsidP="00D50C04">
            <w:pPr>
              <w:rPr>
                <w:rFonts w:ascii="Arial" w:hAnsi="Arial"/>
                <w:sz w:val="26"/>
                <w:szCs w:val="26"/>
                <w:rtl/>
              </w:rPr>
            </w:pPr>
            <w:r w:rsidRPr="00FF2516">
              <w:rPr>
                <w:rFonts w:ascii="Arial" w:hAnsi="Arial" w:hint="cs"/>
                <w:sz w:val="26"/>
                <w:szCs w:val="26"/>
                <w:rtl/>
              </w:rPr>
              <w:t>ה</w:t>
            </w:r>
            <w:r w:rsidRPr="00FF2516">
              <w:rPr>
                <w:rFonts w:ascii="Arial" w:hAnsi="Arial"/>
                <w:sz w:val="26"/>
                <w:szCs w:val="26"/>
                <w:rtl/>
              </w:rPr>
              <w:t>נאשמים</w:t>
            </w:r>
          </w:p>
        </w:tc>
        <w:tc>
          <w:tcPr>
            <w:tcW w:w="4226" w:type="dxa"/>
            <w:tcBorders>
              <w:top w:val="nil"/>
              <w:left w:val="nil"/>
              <w:bottom w:val="nil"/>
              <w:right w:val="nil"/>
            </w:tcBorders>
            <w:shd w:val="clear" w:color="auto" w:fill="auto"/>
          </w:tcPr>
          <w:p w14:paraId="41BB38DF" w14:textId="77777777" w:rsidR="00107CDB" w:rsidRPr="00FF2516" w:rsidRDefault="00107CDB" w:rsidP="00D50C04">
            <w:pPr>
              <w:rPr>
                <w:sz w:val="26"/>
                <w:szCs w:val="26"/>
                <w:rtl/>
              </w:rPr>
            </w:pPr>
            <w:r w:rsidRPr="00FF2516">
              <w:rPr>
                <w:rFonts w:ascii="Arial" w:hAnsi="Arial"/>
                <w:sz w:val="26"/>
                <w:szCs w:val="26"/>
                <w:rtl/>
              </w:rPr>
              <w:t>אקיף גרדשוב</w:t>
            </w:r>
          </w:p>
          <w:p w14:paraId="4681913D" w14:textId="77777777" w:rsidR="00107CDB" w:rsidRPr="00FF2516" w:rsidRDefault="00107CDB" w:rsidP="00D50C04">
            <w:pPr>
              <w:rPr>
                <w:sz w:val="22"/>
                <w:szCs w:val="22"/>
                <w:rtl/>
              </w:rPr>
            </w:pPr>
            <w:r w:rsidRPr="00FF2516">
              <w:rPr>
                <w:rFonts w:hint="cs"/>
                <w:sz w:val="22"/>
                <w:szCs w:val="22"/>
                <w:rtl/>
              </w:rPr>
              <w:t>ע"י ב"כ עו"ד מיטל טולדנו</w:t>
            </w:r>
          </w:p>
        </w:tc>
        <w:tc>
          <w:tcPr>
            <w:tcW w:w="3399" w:type="dxa"/>
            <w:tcBorders>
              <w:top w:val="nil"/>
              <w:left w:val="nil"/>
              <w:bottom w:val="nil"/>
              <w:right w:val="nil"/>
            </w:tcBorders>
            <w:shd w:val="clear" w:color="auto" w:fill="auto"/>
          </w:tcPr>
          <w:p w14:paraId="73AD9CE9" w14:textId="77777777" w:rsidR="00107CDB" w:rsidRPr="00FF2516" w:rsidRDefault="00107CDB" w:rsidP="00107CDB">
            <w:pPr>
              <w:jc w:val="right"/>
              <w:rPr>
                <w:rFonts w:ascii="Arial" w:hAnsi="Arial"/>
                <w:sz w:val="26"/>
                <w:szCs w:val="26"/>
              </w:rPr>
            </w:pPr>
          </w:p>
        </w:tc>
      </w:tr>
      <w:tr w:rsidR="00107CDB" w14:paraId="51B5C580" w14:textId="77777777" w:rsidTr="00107CDB">
        <w:trPr>
          <w:trHeight w:val="355"/>
          <w:jc w:val="center"/>
        </w:trPr>
        <w:tc>
          <w:tcPr>
            <w:tcW w:w="8820" w:type="dxa"/>
            <w:gridSpan w:val="3"/>
            <w:tcBorders>
              <w:top w:val="nil"/>
              <w:left w:val="nil"/>
              <w:bottom w:val="nil"/>
              <w:right w:val="nil"/>
            </w:tcBorders>
            <w:shd w:val="clear" w:color="auto" w:fill="auto"/>
          </w:tcPr>
          <w:p w14:paraId="79B90C93" w14:textId="77777777" w:rsidR="00CD63D5" w:rsidRDefault="00CD63D5" w:rsidP="00FF2516">
            <w:pPr>
              <w:jc w:val="center"/>
              <w:rPr>
                <w:rFonts w:ascii="Arial" w:hAnsi="Arial"/>
                <w:sz w:val="28"/>
                <w:szCs w:val="28"/>
                <w:rtl/>
              </w:rPr>
            </w:pPr>
            <w:bookmarkStart w:id="3" w:name="PsakDin" w:colFirst="0" w:colLast="0"/>
            <w:bookmarkStart w:id="4" w:name="LawTable"/>
            <w:bookmarkEnd w:id="0"/>
            <w:bookmarkEnd w:id="4"/>
          </w:p>
          <w:p w14:paraId="4B246C39" w14:textId="77777777" w:rsidR="00CD63D5" w:rsidRPr="00CD63D5" w:rsidRDefault="00CD63D5" w:rsidP="00CD63D5">
            <w:pPr>
              <w:spacing w:after="120" w:line="240" w:lineRule="exact"/>
              <w:ind w:left="283" w:hanging="283"/>
              <w:jc w:val="both"/>
              <w:rPr>
                <w:rFonts w:ascii="FrankRuehl" w:hAnsi="FrankRuehl" w:cs="FrankRuehl"/>
                <w:rtl/>
              </w:rPr>
            </w:pPr>
          </w:p>
          <w:p w14:paraId="4F589442" w14:textId="77777777" w:rsidR="00CD63D5" w:rsidRPr="00CD63D5" w:rsidRDefault="00CD63D5" w:rsidP="00CD63D5">
            <w:pPr>
              <w:spacing w:after="120" w:line="240" w:lineRule="exact"/>
              <w:ind w:left="283" w:hanging="283"/>
              <w:jc w:val="both"/>
              <w:rPr>
                <w:rFonts w:ascii="FrankRuehl" w:hAnsi="FrankRuehl" w:cs="FrankRuehl"/>
                <w:rtl/>
              </w:rPr>
            </w:pPr>
            <w:r w:rsidRPr="00CD63D5">
              <w:rPr>
                <w:rFonts w:ascii="FrankRuehl" w:hAnsi="FrankRuehl" w:cs="FrankRuehl"/>
                <w:rtl/>
              </w:rPr>
              <w:t xml:space="preserve">חקיקה שאוזכרה: </w:t>
            </w:r>
          </w:p>
          <w:p w14:paraId="143C81BE" w14:textId="77777777" w:rsidR="00CD63D5" w:rsidRPr="00CD63D5" w:rsidRDefault="00CD63D5" w:rsidP="00CD63D5">
            <w:pPr>
              <w:spacing w:after="120" w:line="240" w:lineRule="exact"/>
              <w:ind w:left="283" w:hanging="283"/>
              <w:jc w:val="both"/>
              <w:rPr>
                <w:rFonts w:ascii="FrankRuehl" w:hAnsi="FrankRuehl" w:cs="FrankRuehl"/>
                <w:rtl/>
              </w:rPr>
            </w:pPr>
            <w:hyperlink r:id="rId6" w:history="1">
              <w:r w:rsidRPr="00CD63D5">
                <w:rPr>
                  <w:rFonts w:ascii="FrankRuehl" w:hAnsi="FrankRuehl" w:cs="FrankRuehl"/>
                  <w:color w:val="0000FF"/>
                  <w:u w:val="single"/>
                  <w:rtl/>
                </w:rPr>
                <w:t>פקודת הסמים המסוכנים [נוסח חדש], תשל"ג-1973</w:t>
              </w:r>
            </w:hyperlink>
            <w:r w:rsidRPr="00CD63D5">
              <w:rPr>
                <w:rFonts w:ascii="FrankRuehl" w:hAnsi="FrankRuehl" w:cs="FrankRuehl"/>
                <w:rtl/>
              </w:rPr>
              <w:t xml:space="preserve">: סע'  </w:t>
            </w:r>
            <w:hyperlink r:id="rId7" w:history="1">
              <w:r w:rsidRPr="00CD63D5">
                <w:rPr>
                  <w:rFonts w:ascii="FrankRuehl" w:hAnsi="FrankRuehl" w:cs="FrankRuehl"/>
                  <w:color w:val="0000FF"/>
                  <w:u w:val="single"/>
                  <w:rtl/>
                </w:rPr>
                <w:t>13</w:t>
              </w:r>
            </w:hyperlink>
          </w:p>
          <w:p w14:paraId="704A20B9" w14:textId="77777777" w:rsidR="00CD63D5" w:rsidRPr="00CD63D5" w:rsidRDefault="00CD63D5" w:rsidP="00CD63D5">
            <w:pPr>
              <w:spacing w:after="120" w:line="240" w:lineRule="exact"/>
              <w:ind w:left="283" w:hanging="283"/>
              <w:jc w:val="both"/>
              <w:rPr>
                <w:rFonts w:ascii="FrankRuehl" w:hAnsi="FrankRuehl" w:cs="FrankRuehl"/>
                <w:rtl/>
              </w:rPr>
            </w:pPr>
          </w:p>
          <w:p w14:paraId="66D65D14" w14:textId="77777777" w:rsidR="00CD63D5" w:rsidRPr="00CD63D5" w:rsidRDefault="00CD63D5" w:rsidP="00FF2516">
            <w:pPr>
              <w:jc w:val="center"/>
              <w:rPr>
                <w:rFonts w:ascii="Arial" w:hAnsi="Arial"/>
                <w:sz w:val="28"/>
                <w:szCs w:val="28"/>
                <w:rtl/>
              </w:rPr>
            </w:pPr>
            <w:bookmarkStart w:id="5" w:name="LawTable_End"/>
            <w:bookmarkEnd w:id="5"/>
          </w:p>
          <w:p w14:paraId="48BDBC7B" w14:textId="77777777" w:rsidR="00CD63D5" w:rsidRPr="00CD63D5" w:rsidRDefault="00CD63D5" w:rsidP="00FF2516">
            <w:pPr>
              <w:jc w:val="center"/>
              <w:rPr>
                <w:rFonts w:ascii="Arial" w:hAnsi="Arial"/>
                <w:sz w:val="28"/>
                <w:szCs w:val="28"/>
                <w:rtl/>
              </w:rPr>
            </w:pPr>
          </w:p>
          <w:p w14:paraId="31F489F5" w14:textId="77777777" w:rsidR="00FF2516" w:rsidRPr="00FF2516" w:rsidRDefault="00FF2516" w:rsidP="00FF2516">
            <w:pPr>
              <w:jc w:val="center"/>
              <w:rPr>
                <w:rFonts w:ascii="Arial" w:hAnsi="Arial"/>
                <w:b/>
                <w:bCs/>
                <w:sz w:val="28"/>
                <w:szCs w:val="28"/>
                <w:u w:val="single"/>
                <w:rtl/>
              </w:rPr>
            </w:pPr>
            <w:r w:rsidRPr="00FF2516">
              <w:rPr>
                <w:rFonts w:ascii="Arial" w:hAnsi="Arial"/>
                <w:b/>
                <w:bCs/>
                <w:sz w:val="28"/>
                <w:szCs w:val="28"/>
                <w:u w:val="single"/>
                <w:rtl/>
              </w:rPr>
              <w:t>גזר דין</w:t>
            </w:r>
          </w:p>
          <w:p w14:paraId="0D5D5C97" w14:textId="77777777" w:rsidR="00107CDB" w:rsidRPr="00FF2516" w:rsidRDefault="00107CDB" w:rsidP="00FF2516">
            <w:pPr>
              <w:jc w:val="center"/>
              <w:rPr>
                <w:rFonts w:ascii="Arial" w:hAnsi="Arial"/>
                <w:bCs/>
                <w:sz w:val="28"/>
                <w:szCs w:val="28"/>
                <w:u w:val="single"/>
                <w:rtl/>
              </w:rPr>
            </w:pPr>
          </w:p>
        </w:tc>
      </w:tr>
    </w:tbl>
    <w:bookmarkEnd w:id="3"/>
    <w:p w14:paraId="4566A5A1" w14:textId="77777777" w:rsidR="00107CDB" w:rsidRPr="00D16E1F" w:rsidRDefault="00107CDB" w:rsidP="00107CDB">
      <w:pPr>
        <w:rPr>
          <w:rFonts w:ascii="Arial" w:hAnsi="Arial"/>
          <w:u w:val="single"/>
          <w:rtl/>
        </w:rPr>
      </w:pPr>
      <w:r w:rsidRPr="00D16E1F">
        <w:rPr>
          <w:rFonts w:ascii="Arial" w:hAnsi="Arial" w:hint="cs"/>
          <w:u w:val="single"/>
          <w:rtl/>
        </w:rPr>
        <w:t>רקע</w:t>
      </w:r>
    </w:p>
    <w:p w14:paraId="0DECDB12" w14:textId="77777777" w:rsidR="00107CDB" w:rsidRDefault="00107CDB" w:rsidP="00107CDB">
      <w:pPr>
        <w:spacing w:line="360" w:lineRule="auto"/>
        <w:ind w:left="720" w:hanging="720"/>
        <w:rPr>
          <w:rFonts w:ascii="Arial" w:hAnsi="Arial"/>
          <w:rtl/>
        </w:rPr>
      </w:pPr>
      <w:r>
        <w:rPr>
          <w:rFonts w:ascii="Arial" w:hAnsi="Arial" w:hint="cs"/>
          <w:rtl/>
        </w:rPr>
        <w:t>1.</w:t>
      </w:r>
      <w:r>
        <w:rPr>
          <w:rFonts w:ascii="Arial" w:hAnsi="Arial"/>
          <w:rtl/>
        </w:rPr>
        <w:tab/>
      </w:r>
      <w:bookmarkStart w:id="6" w:name="ABSTRACT_START"/>
      <w:bookmarkEnd w:id="6"/>
      <w:r>
        <w:rPr>
          <w:rFonts w:ascii="Arial" w:hAnsi="Arial" w:hint="cs"/>
          <w:rtl/>
        </w:rPr>
        <w:t xml:space="preserve">הנאשם הורשע, לאחר ניהול הוכחות, בעבירת סחר בסם מסוכן, לפי </w:t>
      </w:r>
      <w:hyperlink r:id="rId8" w:history="1">
        <w:r w:rsidR="00054AF8" w:rsidRPr="00054AF8">
          <w:rPr>
            <w:rFonts w:ascii="Arial" w:hAnsi="Arial"/>
            <w:color w:val="0000FF"/>
            <w:u w:val="single"/>
            <w:rtl/>
          </w:rPr>
          <w:t>סעיף 13</w:t>
        </w:r>
      </w:hyperlink>
      <w:r>
        <w:rPr>
          <w:rFonts w:ascii="Arial" w:hAnsi="Arial" w:hint="cs"/>
          <w:rtl/>
        </w:rPr>
        <w:t xml:space="preserve"> ל</w:t>
      </w:r>
      <w:hyperlink r:id="rId9" w:history="1">
        <w:r w:rsidR="00FF2516" w:rsidRPr="00FF2516">
          <w:rPr>
            <w:rFonts w:ascii="Arial" w:hAnsi="Arial"/>
            <w:color w:val="0000FF"/>
            <w:u w:val="single"/>
            <w:rtl/>
          </w:rPr>
          <w:t>פקודת הסמים המסוכנים</w:t>
        </w:r>
      </w:hyperlink>
      <w:r>
        <w:rPr>
          <w:rFonts w:ascii="Arial" w:hAnsi="Arial" w:hint="cs"/>
          <w:rtl/>
        </w:rPr>
        <w:t xml:space="preserve"> (נוסח חדש) , התשל"ג </w:t>
      </w:r>
      <w:r>
        <w:rPr>
          <w:rFonts w:ascii="Arial" w:hAnsi="Arial"/>
          <w:rtl/>
        </w:rPr>
        <w:t>–</w:t>
      </w:r>
      <w:r>
        <w:rPr>
          <w:rFonts w:ascii="Arial" w:hAnsi="Arial" w:hint="cs"/>
          <w:rtl/>
        </w:rPr>
        <w:t xml:space="preserve"> 1973.</w:t>
      </w:r>
    </w:p>
    <w:p w14:paraId="529D0340" w14:textId="77777777" w:rsidR="00107CDB" w:rsidRPr="00B05847" w:rsidRDefault="00107CDB" w:rsidP="00107CDB">
      <w:pPr>
        <w:spacing w:line="360" w:lineRule="auto"/>
        <w:ind w:left="720" w:hanging="720"/>
        <w:rPr>
          <w:rFonts w:ascii="Arial" w:hAnsi="Arial"/>
          <w:rtl/>
        </w:rPr>
      </w:pPr>
      <w:bookmarkStart w:id="7" w:name="ABSTRACT_END"/>
      <w:bookmarkEnd w:id="7"/>
      <w:r>
        <w:rPr>
          <w:rFonts w:ascii="Arial" w:hAnsi="Arial" w:hint="cs"/>
          <w:rtl/>
        </w:rPr>
        <w:t xml:space="preserve"> </w:t>
      </w:r>
    </w:p>
    <w:p w14:paraId="6C92938D" w14:textId="77777777" w:rsidR="00107CDB" w:rsidRDefault="00107CDB" w:rsidP="00107CDB">
      <w:pPr>
        <w:spacing w:line="360" w:lineRule="auto"/>
        <w:ind w:left="720"/>
        <w:jc w:val="both"/>
        <w:rPr>
          <w:rFonts w:ascii="Arial" w:hAnsi="Arial"/>
          <w:rtl/>
        </w:rPr>
      </w:pPr>
      <w:r>
        <w:rPr>
          <w:rFonts w:ascii="Arial" w:hAnsi="Arial" w:hint="cs"/>
          <w:rtl/>
        </w:rPr>
        <w:t>בהתאם לעובדות כתב האישום, ביום 9.9.2015 מכר הנאשם לשוטר איגור ופרצקי אשר שימש באותו מועד כסוכן משטרתי (להלן: "הסוכן"), סם מסוג קנבוס במשקל של 10.37 גרם נטו, בתמורה לסך של 2,000 ₪.</w:t>
      </w:r>
    </w:p>
    <w:p w14:paraId="4E33783D" w14:textId="77777777" w:rsidR="00107CDB" w:rsidRDefault="00107CDB" w:rsidP="00107CDB">
      <w:pPr>
        <w:spacing w:line="360" w:lineRule="auto"/>
        <w:ind w:left="720" w:hanging="720"/>
        <w:jc w:val="both"/>
        <w:rPr>
          <w:rFonts w:ascii="Arial" w:hAnsi="Arial"/>
          <w:rtl/>
        </w:rPr>
      </w:pPr>
    </w:p>
    <w:p w14:paraId="2798AB48" w14:textId="77777777" w:rsidR="00107CDB" w:rsidRPr="00413B7A" w:rsidRDefault="00107CDB" w:rsidP="00107CDB">
      <w:pPr>
        <w:spacing w:line="360" w:lineRule="auto"/>
        <w:ind w:left="720" w:hanging="720"/>
        <w:jc w:val="both"/>
        <w:rPr>
          <w:rFonts w:ascii="Arial" w:hAnsi="Arial"/>
          <w:u w:val="single"/>
          <w:rtl/>
        </w:rPr>
      </w:pPr>
      <w:r w:rsidRPr="00413B7A">
        <w:rPr>
          <w:rFonts w:ascii="Arial" w:hAnsi="Arial" w:hint="cs"/>
          <w:u w:val="single"/>
          <w:rtl/>
        </w:rPr>
        <w:t>טיעוני הצדדים</w:t>
      </w:r>
    </w:p>
    <w:p w14:paraId="26EFAAF2" w14:textId="77777777" w:rsidR="00107CDB" w:rsidRDefault="00107CDB" w:rsidP="00107CDB">
      <w:pPr>
        <w:spacing w:line="360" w:lineRule="auto"/>
        <w:ind w:left="720" w:hanging="720"/>
        <w:jc w:val="both"/>
        <w:rPr>
          <w:rFonts w:ascii="Arial" w:hAnsi="Arial"/>
          <w:rtl/>
        </w:rPr>
      </w:pPr>
      <w:r>
        <w:rPr>
          <w:rFonts w:ascii="Arial" w:hAnsi="Arial" w:hint="cs"/>
          <w:rtl/>
        </w:rPr>
        <w:t>2.</w:t>
      </w:r>
      <w:r>
        <w:rPr>
          <w:rFonts w:ascii="Arial" w:hAnsi="Arial" w:hint="cs"/>
          <w:rtl/>
        </w:rPr>
        <w:tab/>
        <w:t xml:space="preserve">המאשימה טענה, כי הוכח שהנאשם הוא חוליה משמעותית בשרשרת הפצת הסם, וביצע את העבירה עבור בצע כסף. לטענתה, מדובר בעבירה בעלת השלכות הרסניות על החברה ולפיכך עתרה לקביעת מתחם ענישה הנע בין תשעה חודשי מאסר לחמישה עשר חודשים. </w:t>
      </w:r>
    </w:p>
    <w:p w14:paraId="537DCBD2" w14:textId="77777777" w:rsidR="00107CDB" w:rsidRDefault="00107CDB" w:rsidP="00107CDB">
      <w:pPr>
        <w:spacing w:line="360" w:lineRule="auto"/>
        <w:ind w:left="720" w:hanging="720"/>
        <w:jc w:val="both"/>
        <w:rPr>
          <w:rtl/>
        </w:rPr>
      </w:pPr>
      <w:r>
        <w:rPr>
          <w:rFonts w:ascii="Arial" w:hAnsi="Arial"/>
          <w:rtl/>
        </w:rPr>
        <w:tab/>
      </w:r>
      <w:r>
        <w:rPr>
          <w:rFonts w:ascii="Arial" w:hAnsi="Arial" w:hint="cs"/>
          <w:rtl/>
        </w:rPr>
        <w:t xml:space="preserve">בהתחשב בעברו הפלילי של הנאשם וכן בעובדה שלא קיבל אחריות על מעשיו, עתרה המאשימה למקם את עניינו ברף אמצעי של מתחם הענישה </w:t>
      </w:r>
      <w:r>
        <w:rPr>
          <w:rFonts w:hint="cs"/>
          <w:rtl/>
        </w:rPr>
        <w:t xml:space="preserve">ולהטיל בנוסף מאסר מותנה, קנס, פסילת רשיון בפועל ועל תנאי. </w:t>
      </w:r>
    </w:p>
    <w:p w14:paraId="1C012330" w14:textId="77777777" w:rsidR="00107CDB" w:rsidRDefault="00107CDB" w:rsidP="00107CDB">
      <w:pPr>
        <w:spacing w:line="360" w:lineRule="auto"/>
        <w:ind w:left="720" w:hanging="720"/>
        <w:jc w:val="both"/>
        <w:rPr>
          <w:rtl/>
        </w:rPr>
      </w:pPr>
    </w:p>
    <w:p w14:paraId="72AFB17D" w14:textId="77777777" w:rsidR="00107CDB" w:rsidRDefault="00107CDB" w:rsidP="00107CDB">
      <w:pPr>
        <w:spacing w:line="360" w:lineRule="auto"/>
        <w:ind w:left="720" w:hanging="720"/>
        <w:jc w:val="both"/>
        <w:rPr>
          <w:rtl/>
        </w:rPr>
      </w:pPr>
      <w:r>
        <w:rPr>
          <w:rFonts w:hint="cs"/>
          <w:rtl/>
        </w:rPr>
        <w:t>3.</w:t>
      </w:r>
      <w:r>
        <w:rPr>
          <w:rFonts w:hint="cs"/>
          <w:rtl/>
        </w:rPr>
        <w:tab/>
        <w:t xml:space="preserve">ב"כ הנאשם טענה, כי מדובר בהסתבכות יחידה של הנאשם בנושא סמים, כשעברו הפלילי הוא בעבירות מסוג אחר. עוד הפנתה, לכך שמאז שנת 2015 לא נפתחו כנגד הנאשם כל </w:t>
      </w:r>
      <w:r>
        <w:rPr>
          <w:rFonts w:hint="cs"/>
          <w:rtl/>
        </w:rPr>
        <w:lastRenderedPageBreak/>
        <w:t xml:space="preserve">תיקים פליליים. ב"כ הנאשם הוסיפה, כי יש לתת משקל לכך שהסוכן המשטרתי הפעיל לחץ גדול על הנאשם להשיג לו סם מסוג חשיש, והעובדה שקיבל לבסוף סם מסוג קנבוס מעידה על כך שהנאשם אינו אדם העוסק בסמים. לפיכך, עתרה לקבלת חוות דעת ממונה על עבודות שרות. </w:t>
      </w:r>
    </w:p>
    <w:p w14:paraId="59390C6F" w14:textId="77777777" w:rsidR="00107CDB" w:rsidRDefault="00107CDB" w:rsidP="00107CDB">
      <w:pPr>
        <w:spacing w:line="360" w:lineRule="auto"/>
        <w:ind w:left="720" w:hanging="720"/>
        <w:jc w:val="both"/>
        <w:rPr>
          <w:rtl/>
        </w:rPr>
      </w:pPr>
    </w:p>
    <w:p w14:paraId="7C9EDA42" w14:textId="77777777" w:rsidR="00107CDB" w:rsidRDefault="00107CDB" w:rsidP="00107CDB">
      <w:pPr>
        <w:spacing w:line="360" w:lineRule="auto"/>
        <w:ind w:left="720" w:hanging="720"/>
        <w:jc w:val="both"/>
        <w:rPr>
          <w:rtl/>
        </w:rPr>
      </w:pPr>
      <w:r>
        <w:rPr>
          <w:rtl/>
        </w:rPr>
        <w:tab/>
      </w:r>
      <w:r>
        <w:rPr>
          <w:rFonts w:hint="cs"/>
          <w:rtl/>
        </w:rPr>
        <w:t xml:space="preserve">הנאשם טען, כי מצבו המשפחתי בעייתי בשל התייחסות משפחת בת זוגו אליו כאל סוחר סמים. לדבריו, הטלת מאסר בפועל תהרוס את חייו ותחזיר אותו שנים לאחור לתקופה בה נהג לבצע עבירות רכוש. הנאשם הוסיף כי כיום הוא עובד, אמור לעבור ניתוח בגבו, הביע סליחה וביקש לקבל הזדמנות. </w:t>
      </w:r>
    </w:p>
    <w:p w14:paraId="7528114E" w14:textId="77777777" w:rsidR="00107CDB" w:rsidRDefault="00107CDB" w:rsidP="00107CDB">
      <w:pPr>
        <w:spacing w:line="360" w:lineRule="auto"/>
        <w:ind w:left="720" w:hanging="720"/>
        <w:jc w:val="both"/>
        <w:rPr>
          <w:u w:val="single"/>
          <w:rtl/>
        </w:rPr>
      </w:pPr>
      <w:r w:rsidRPr="00BA5970">
        <w:rPr>
          <w:rFonts w:hint="cs"/>
          <w:u w:val="single"/>
          <w:rtl/>
        </w:rPr>
        <w:t>מתחם הענישה</w:t>
      </w:r>
    </w:p>
    <w:p w14:paraId="1D2CDCF1" w14:textId="77777777" w:rsidR="00107CDB" w:rsidRDefault="00107CDB" w:rsidP="00107CDB">
      <w:pPr>
        <w:spacing w:line="360" w:lineRule="auto"/>
        <w:ind w:left="720" w:hanging="720"/>
        <w:jc w:val="both"/>
        <w:rPr>
          <w:rFonts w:ascii="Calibri" w:hAnsi="Calibri"/>
          <w:rtl/>
        </w:rPr>
      </w:pPr>
      <w:r w:rsidRPr="00BA5970">
        <w:rPr>
          <w:rFonts w:hint="cs"/>
          <w:rtl/>
        </w:rPr>
        <w:t>4.</w:t>
      </w:r>
      <w:r w:rsidRPr="00BA5970">
        <w:rPr>
          <w:rFonts w:hint="cs"/>
          <w:rtl/>
        </w:rPr>
        <w:tab/>
      </w:r>
      <w:r w:rsidRPr="00B905D3">
        <w:rPr>
          <w:rFonts w:ascii="Calibri" w:hAnsi="Calibri" w:hint="eastAsia"/>
          <w:rtl/>
        </w:rPr>
        <w:t>עבירות</w:t>
      </w:r>
      <w:r w:rsidRPr="00B905D3">
        <w:rPr>
          <w:rFonts w:ascii="Calibri" w:hAnsi="Calibri"/>
          <w:rtl/>
        </w:rPr>
        <w:t xml:space="preserve"> </w:t>
      </w:r>
      <w:r w:rsidRPr="00B905D3">
        <w:rPr>
          <w:rFonts w:ascii="Calibri" w:hAnsi="Calibri" w:hint="eastAsia"/>
          <w:rtl/>
        </w:rPr>
        <w:t>סחר</w:t>
      </w:r>
      <w:r w:rsidRPr="00B905D3">
        <w:rPr>
          <w:rFonts w:ascii="Calibri" w:hAnsi="Calibri"/>
          <w:rtl/>
        </w:rPr>
        <w:t xml:space="preserve"> </w:t>
      </w:r>
      <w:r w:rsidRPr="00B905D3">
        <w:rPr>
          <w:rFonts w:ascii="Calibri" w:hAnsi="Calibri" w:hint="eastAsia"/>
          <w:rtl/>
        </w:rPr>
        <w:t>בסם</w:t>
      </w:r>
      <w:r w:rsidRPr="00B905D3">
        <w:rPr>
          <w:rFonts w:ascii="Calibri" w:hAnsi="Calibri"/>
          <w:rtl/>
        </w:rPr>
        <w:t xml:space="preserve"> </w:t>
      </w:r>
      <w:r w:rsidRPr="00B905D3">
        <w:rPr>
          <w:rFonts w:ascii="Calibri" w:hAnsi="Calibri" w:hint="eastAsia"/>
          <w:rtl/>
        </w:rPr>
        <w:t>הן</w:t>
      </w:r>
      <w:r w:rsidRPr="00B905D3">
        <w:rPr>
          <w:rFonts w:ascii="Calibri" w:hAnsi="Calibri"/>
          <w:rtl/>
        </w:rPr>
        <w:t xml:space="preserve"> </w:t>
      </w:r>
      <w:r w:rsidRPr="00B905D3">
        <w:rPr>
          <w:rFonts w:ascii="Calibri" w:hAnsi="Calibri" w:hint="eastAsia"/>
          <w:rtl/>
        </w:rPr>
        <w:t>רעה</w:t>
      </w:r>
      <w:r w:rsidRPr="00B905D3">
        <w:rPr>
          <w:rFonts w:ascii="Calibri" w:hAnsi="Calibri"/>
          <w:rtl/>
        </w:rPr>
        <w:t xml:space="preserve"> </w:t>
      </w:r>
      <w:r w:rsidRPr="00B905D3">
        <w:rPr>
          <w:rFonts w:ascii="Calibri" w:hAnsi="Calibri" w:hint="eastAsia"/>
          <w:rtl/>
        </w:rPr>
        <w:t>חולה</w:t>
      </w:r>
      <w:r>
        <w:rPr>
          <w:rFonts w:ascii="Calibri" w:hAnsi="Calibri" w:hint="cs"/>
          <w:rtl/>
        </w:rPr>
        <w:t>,</w:t>
      </w:r>
      <w:r w:rsidRPr="00B905D3">
        <w:rPr>
          <w:rFonts w:ascii="Calibri" w:hAnsi="Calibri"/>
          <w:rtl/>
        </w:rPr>
        <w:t xml:space="preserve"> </w:t>
      </w:r>
      <w:r w:rsidRPr="00B905D3">
        <w:rPr>
          <w:rFonts w:ascii="Calibri" w:hAnsi="Calibri" w:hint="eastAsia"/>
          <w:rtl/>
        </w:rPr>
        <w:t>שקורבנותיה</w:t>
      </w:r>
      <w:r w:rsidRPr="00B905D3">
        <w:rPr>
          <w:rFonts w:ascii="Calibri" w:hAnsi="Calibri"/>
          <w:rtl/>
        </w:rPr>
        <w:t xml:space="preserve"> </w:t>
      </w:r>
      <w:r w:rsidRPr="00B905D3">
        <w:rPr>
          <w:rFonts w:ascii="Calibri" w:hAnsi="Calibri" w:hint="eastAsia"/>
          <w:rtl/>
        </w:rPr>
        <w:t>הישירים</w:t>
      </w:r>
      <w:r w:rsidRPr="00B905D3">
        <w:rPr>
          <w:rFonts w:ascii="Calibri" w:hAnsi="Calibri"/>
          <w:rtl/>
        </w:rPr>
        <w:t xml:space="preserve"> </w:t>
      </w:r>
      <w:r w:rsidRPr="00B905D3">
        <w:rPr>
          <w:rFonts w:ascii="Calibri" w:hAnsi="Calibri" w:hint="eastAsia"/>
          <w:rtl/>
        </w:rPr>
        <w:t>הם</w:t>
      </w:r>
      <w:r w:rsidRPr="00B905D3">
        <w:rPr>
          <w:rFonts w:ascii="Calibri" w:hAnsi="Calibri"/>
          <w:rtl/>
        </w:rPr>
        <w:t xml:space="preserve"> </w:t>
      </w:r>
      <w:r w:rsidRPr="00B905D3">
        <w:rPr>
          <w:rFonts w:ascii="Calibri" w:hAnsi="Calibri" w:hint="eastAsia"/>
          <w:rtl/>
        </w:rPr>
        <w:t>צרכני</w:t>
      </w:r>
      <w:r w:rsidRPr="00B905D3">
        <w:rPr>
          <w:rFonts w:ascii="Calibri" w:hAnsi="Calibri"/>
          <w:rtl/>
        </w:rPr>
        <w:t xml:space="preserve"> </w:t>
      </w:r>
      <w:r w:rsidRPr="00B905D3">
        <w:rPr>
          <w:rFonts w:ascii="Calibri" w:hAnsi="Calibri" w:hint="eastAsia"/>
          <w:rtl/>
        </w:rPr>
        <w:t>הסמים</w:t>
      </w:r>
      <w:r>
        <w:rPr>
          <w:rFonts w:ascii="Calibri" w:hAnsi="Calibri" w:hint="cs"/>
          <w:rtl/>
        </w:rPr>
        <w:t>,</w:t>
      </w:r>
      <w:r w:rsidRPr="00B905D3">
        <w:rPr>
          <w:rFonts w:ascii="Calibri" w:hAnsi="Calibri"/>
          <w:rtl/>
        </w:rPr>
        <w:t xml:space="preserve"> </w:t>
      </w:r>
      <w:r>
        <w:rPr>
          <w:rFonts w:ascii="Calibri" w:hAnsi="Calibri" w:hint="cs"/>
          <w:rtl/>
        </w:rPr>
        <w:t xml:space="preserve">אולם מעגל נפגעים נוסף הוא </w:t>
      </w:r>
      <w:r w:rsidRPr="00B905D3">
        <w:rPr>
          <w:rFonts w:ascii="Calibri" w:hAnsi="Calibri" w:hint="eastAsia"/>
          <w:rtl/>
        </w:rPr>
        <w:t>אותם</w:t>
      </w:r>
      <w:r w:rsidRPr="00B905D3">
        <w:rPr>
          <w:rFonts w:ascii="Calibri" w:hAnsi="Calibri"/>
          <w:rtl/>
        </w:rPr>
        <w:t xml:space="preserve"> </w:t>
      </w:r>
      <w:r>
        <w:rPr>
          <w:rFonts w:ascii="Calibri" w:hAnsi="Calibri" w:hint="cs"/>
          <w:rtl/>
        </w:rPr>
        <w:t xml:space="preserve">אזרחים </w:t>
      </w:r>
      <w:r w:rsidRPr="00B905D3">
        <w:rPr>
          <w:rFonts w:ascii="Calibri" w:hAnsi="Calibri" w:hint="eastAsia"/>
          <w:rtl/>
        </w:rPr>
        <w:t>הנופלים</w:t>
      </w:r>
      <w:r w:rsidRPr="00B905D3">
        <w:rPr>
          <w:rFonts w:ascii="Calibri" w:hAnsi="Calibri"/>
          <w:rtl/>
        </w:rPr>
        <w:t xml:space="preserve"> </w:t>
      </w:r>
      <w:r w:rsidRPr="00B905D3">
        <w:rPr>
          <w:rFonts w:ascii="Calibri" w:hAnsi="Calibri" w:hint="eastAsia"/>
          <w:rtl/>
        </w:rPr>
        <w:t>קורבן</w:t>
      </w:r>
      <w:r w:rsidRPr="00B905D3">
        <w:rPr>
          <w:rFonts w:ascii="Calibri" w:hAnsi="Calibri"/>
          <w:rtl/>
        </w:rPr>
        <w:t xml:space="preserve"> </w:t>
      </w:r>
      <w:r w:rsidRPr="00B905D3">
        <w:rPr>
          <w:rFonts w:ascii="Calibri" w:hAnsi="Calibri" w:hint="eastAsia"/>
          <w:rtl/>
        </w:rPr>
        <w:t>לביצוע</w:t>
      </w:r>
      <w:r w:rsidRPr="00B905D3">
        <w:rPr>
          <w:rFonts w:ascii="Calibri" w:hAnsi="Calibri"/>
          <w:rtl/>
        </w:rPr>
        <w:t xml:space="preserve"> </w:t>
      </w:r>
      <w:r w:rsidRPr="00B905D3">
        <w:rPr>
          <w:rFonts w:ascii="Calibri" w:hAnsi="Calibri" w:hint="eastAsia"/>
          <w:rtl/>
        </w:rPr>
        <w:t>עבירות</w:t>
      </w:r>
      <w:r w:rsidRPr="00B905D3">
        <w:rPr>
          <w:rFonts w:ascii="Calibri" w:hAnsi="Calibri"/>
          <w:rtl/>
        </w:rPr>
        <w:t xml:space="preserve"> </w:t>
      </w:r>
      <w:r w:rsidRPr="00B905D3">
        <w:rPr>
          <w:rFonts w:ascii="Calibri" w:hAnsi="Calibri" w:hint="eastAsia"/>
          <w:rtl/>
        </w:rPr>
        <w:t>שונות</w:t>
      </w:r>
      <w:r>
        <w:rPr>
          <w:rFonts w:ascii="Calibri" w:hAnsi="Calibri" w:hint="cs"/>
          <w:rtl/>
        </w:rPr>
        <w:t xml:space="preserve"> </w:t>
      </w:r>
      <w:r w:rsidRPr="00B905D3">
        <w:rPr>
          <w:rFonts w:ascii="Calibri" w:hAnsi="Calibri" w:hint="eastAsia"/>
          <w:rtl/>
        </w:rPr>
        <w:t>על</w:t>
      </w:r>
      <w:r w:rsidRPr="00B905D3">
        <w:rPr>
          <w:rFonts w:ascii="Calibri" w:hAnsi="Calibri"/>
          <w:rtl/>
        </w:rPr>
        <w:t xml:space="preserve"> </w:t>
      </w:r>
      <w:r w:rsidRPr="00B905D3">
        <w:rPr>
          <w:rFonts w:ascii="Calibri" w:hAnsi="Calibri" w:hint="eastAsia"/>
          <w:rtl/>
        </w:rPr>
        <w:t>ידי</w:t>
      </w:r>
      <w:r w:rsidRPr="00B905D3">
        <w:rPr>
          <w:rFonts w:ascii="Calibri" w:hAnsi="Calibri"/>
          <w:rtl/>
        </w:rPr>
        <w:t xml:space="preserve"> </w:t>
      </w:r>
      <w:r w:rsidRPr="00B905D3">
        <w:rPr>
          <w:rFonts w:ascii="Calibri" w:hAnsi="Calibri" w:hint="eastAsia"/>
          <w:rtl/>
        </w:rPr>
        <w:t>צרכני</w:t>
      </w:r>
      <w:r w:rsidRPr="00B905D3">
        <w:rPr>
          <w:rFonts w:ascii="Calibri" w:hAnsi="Calibri"/>
          <w:rtl/>
        </w:rPr>
        <w:t xml:space="preserve"> </w:t>
      </w:r>
      <w:r w:rsidRPr="00B905D3">
        <w:rPr>
          <w:rFonts w:ascii="Calibri" w:hAnsi="Calibri" w:hint="eastAsia"/>
          <w:rtl/>
        </w:rPr>
        <w:t>הסם</w:t>
      </w:r>
      <w:r>
        <w:rPr>
          <w:rFonts w:ascii="Calibri" w:hAnsi="Calibri" w:hint="cs"/>
          <w:rtl/>
        </w:rPr>
        <w:t>, לשם מימונו.</w:t>
      </w:r>
      <w:r w:rsidRPr="00B905D3">
        <w:rPr>
          <w:rFonts w:ascii="Calibri" w:hAnsi="Calibri"/>
          <w:rtl/>
        </w:rPr>
        <w:t xml:space="preserve"> </w:t>
      </w:r>
      <w:r w:rsidRPr="00B905D3">
        <w:rPr>
          <w:rFonts w:ascii="Calibri" w:hAnsi="Calibri" w:hint="eastAsia"/>
          <w:rtl/>
        </w:rPr>
        <w:t>הפסיקה</w:t>
      </w:r>
      <w:r w:rsidRPr="00B905D3">
        <w:rPr>
          <w:rFonts w:ascii="Calibri" w:hAnsi="Calibri"/>
          <w:rtl/>
        </w:rPr>
        <w:t xml:space="preserve"> </w:t>
      </w:r>
      <w:r w:rsidRPr="00B905D3">
        <w:rPr>
          <w:rFonts w:ascii="Calibri" w:hAnsi="Calibri" w:hint="eastAsia"/>
          <w:rtl/>
        </w:rPr>
        <w:t>שבה</w:t>
      </w:r>
      <w:r w:rsidRPr="00B905D3">
        <w:rPr>
          <w:rFonts w:ascii="Calibri" w:hAnsi="Calibri"/>
          <w:rtl/>
        </w:rPr>
        <w:t xml:space="preserve"> </w:t>
      </w:r>
      <w:r w:rsidRPr="00B905D3">
        <w:rPr>
          <w:rFonts w:ascii="Calibri" w:hAnsi="Calibri" w:hint="eastAsia"/>
          <w:rtl/>
        </w:rPr>
        <w:t>וקראה</w:t>
      </w:r>
      <w:r w:rsidRPr="00B905D3">
        <w:rPr>
          <w:rFonts w:ascii="Calibri" w:hAnsi="Calibri"/>
          <w:rtl/>
        </w:rPr>
        <w:t xml:space="preserve"> </w:t>
      </w:r>
      <w:r w:rsidRPr="00B905D3">
        <w:rPr>
          <w:rFonts w:ascii="Calibri" w:hAnsi="Calibri" w:hint="eastAsia"/>
          <w:rtl/>
        </w:rPr>
        <w:t>להחמיר</w:t>
      </w:r>
      <w:r w:rsidRPr="00B905D3">
        <w:rPr>
          <w:rFonts w:ascii="Calibri" w:hAnsi="Calibri"/>
          <w:rtl/>
        </w:rPr>
        <w:t xml:space="preserve"> </w:t>
      </w:r>
      <w:r w:rsidRPr="00B905D3">
        <w:rPr>
          <w:rFonts w:ascii="Calibri" w:hAnsi="Calibri" w:hint="eastAsia"/>
          <w:rtl/>
        </w:rPr>
        <w:t>את</w:t>
      </w:r>
      <w:r w:rsidRPr="00B905D3">
        <w:rPr>
          <w:rFonts w:ascii="Calibri" w:hAnsi="Calibri"/>
          <w:rtl/>
        </w:rPr>
        <w:t xml:space="preserve"> </w:t>
      </w:r>
      <w:r w:rsidRPr="00B905D3">
        <w:rPr>
          <w:rFonts w:ascii="Calibri" w:hAnsi="Calibri" w:hint="eastAsia"/>
          <w:rtl/>
        </w:rPr>
        <w:t>הענישה</w:t>
      </w:r>
      <w:r w:rsidRPr="00B905D3">
        <w:rPr>
          <w:rFonts w:ascii="Calibri" w:hAnsi="Calibri"/>
          <w:rtl/>
        </w:rPr>
        <w:t xml:space="preserve"> </w:t>
      </w:r>
      <w:r w:rsidRPr="00B905D3">
        <w:rPr>
          <w:rFonts w:ascii="Calibri" w:hAnsi="Calibri" w:hint="eastAsia"/>
          <w:rtl/>
        </w:rPr>
        <w:t>כנגד</w:t>
      </w:r>
      <w:r w:rsidRPr="00B905D3">
        <w:rPr>
          <w:rFonts w:ascii="Calibri" w:hAnsi="Calibri"/>
          <w:rtl/>
        </w:rPr>
        <w:t xml:space="preserve"> </w:t>
      </w:r>
      <w:r w:rsidRPr="00B905D3">
        <w:rPr>
          <w:rFonts w:ascii="Calibri" w:hAnsi="Calibri" w:hint="eastAsia"/>
          <w:rtl/>
        </w:rPr>
        <w:t>סוחרי</w:t>
      </w:r>
      <w:r w:rsidRPr="00B905D3">
        <w:rPr>
          <w:rFonts w:ascii="Calibri" w:hAnsi="Calibri"/>
          <w:rtl/>
        </w:rPr>
        <w:t xml:space="preserve"> </w:t>
      </w:r>
      <w:r w:rsidRPr="00B905D3">
        <w:rPr>
          <w:rFonts w:ascii="Calibri" w:hAnsi="Calibri" w:hint="eastAsia"/>
          <w:rtl/>
        </w:rPr>
        <w:t>הסמים</w:t>
      </w:r>
      <w:r>
        <w:rPr>
          <w:rFonts w:ascii="Calibri" w:hAnsi="Calibri" w:hint="cs"/>
          <w:rtl/>
        </w:rPr>
        <w:t>,</w:t>
      </w:r>
      <w:r w:rsidRPr="00B905D3">
        <w:rPr>
          <w:rFonts w:ascii="Calibri" w:hAnsi="Calibri"/>
          <w:rtl/>
        </w:rPr>
        <w:t xml:space="preserve"> </w:t>
      </w:r>
      <w:r w:rsidRPr="00B905D3">
        <w:rPr>
          <w:rFonts w:ascii="Calibri" w:hAnsi="Calibri" w:hint="eastAsia"/>
          <w:rtl/>
        </w:rPr>
        <w:t>תוך</w:t>
      </w:r>
      <w:r w:rsidRPr="00B905D3">
        <w:rPr>
          <w:rFonts w:ascii="Calibri" w:hAnsi="Calibri"/>
          <w:rtl/>
        </w:rPr>
        <w:t xml:space="preserve"> </w:t>
      </w:r>
      <w:r w:rsidRPr="00B905D3">
        <w:rPr>
          <w:rFonts w:ascii="Calibri" w:hAnsi="Calibri" w:hint="eastAsia"/>
          <w:rtl/>
        </w:rPr>
        <w:t>הטלת</w:t>
      </w:r>
      <w:r w:rsidRPr="00B905D3">
        <w:rPr>
          <w:rFonts w:ascii="Calibri" w:hAnsi="Calibri"/>
          <w:rtl/>
        </w:rPr>
        <w:t xml:space="preserve"> </w:t>
      </w:r>
      <w:r w:rsidRPr="00B905D3">
        <w:rPr>
          <w:rFonts w:ascii="Calibri" w:hAnsi="Calibri" w:hint="eastAsia"/>
          <w:rtl/>
        </w:rPr>
        <w:t>עונשים</w:t>
      </w:r>
      <w:r w:rsidRPr="00B905D3">
        <w:rPr>
          <w:rFonts w:ascii="Calibri" w:hAnsi="Calibri"/>
          <w:rtl/>
        </w:rPr>
        <w:t xml:space="preserve"> </w:t>
      </w:r>
      <w:r w:rsidRPr="00B905D3">
        <w:rPr>
          <w:rFonts w:ascii="Calibri" w:hAnsi="Calibri" w:hint="eastAsia"/>
          <w:rtl/>
        </w:rPr>
        <w:t>משמעותיים</w:t>
      </w:r>
      <w:r>
        <w:rPr>
          <w:rFonts w:ascii="Calibri" w:hAnsi="Calibri" w:hint="cs"/>
          <w:rtl/>
        </w:rPr>
        <w:t>,</w:t>
      </w:r>
      <w:r w:rsidRPr="00B905D3">
        <w:rPr>
          <w:rFonts w:ascii="Calibri" w:hAnsi="Calibri"/>
          <w:rtl/>
        </w:rPr>
        <w:t xml:space="preserve"> </w:t>
      </w:r>
      <w:r w:rsidRPr="00B905D3">
        <w:rPr>
          <w:rFonts w:ascii="Calibri" w:hAnsi="Calibri" w:hint="eastAsia"/>
          <w:rtl/>
        </w:rPr>
        <w:t>וקבעה</w:t>
      </w:r>
      <w:r w:rsidRPr="00B905D3">
        <w:rPr>
          <w:rFonts w:ascii="Calibri" w:hAnsi="Calibri"/>
          <w:rtl/>
        </w:rPr>
        <w:t xml:space="preserve"> </w:t>
      </w:r>
      <w:r w:rsidRPr="00B905D3">
        <w:rPr>
          <w:rFonts w:ascii="Calibri" w:hAnsi="Calibri" w:hint="eastAsia"/>
          <w:rtl/>
        </w:rPr>
        <w:t>כי</w:t>
      </w:r>
      <w:r w:rsidRPr="00B905D3">
        <w:rPr>
          <w:rFonts w:ascii="Calibri" w:hAnsi="Calibri"/>
          <w:rtl/>
        </w:rPr>
        <w:t xml:space="preserve"> </w:t>
      </w:r>
      <w:r w:rsidRPr="00B905D3">
        <w:rPr>
          <w:rFonts w:ascii="Calibri" w:hAnsi="Calibri" w:hint="eastAsia"/>
          <w:rtl/>
        </w:rPr>
        <w:t>יש</w:t>
      </w:r>
      <w:r w:rsidRPr="00B905D3">
        <w:rPr>
          <w:rFonts w:ascii="Calibri" w:hAnsi="Calibri"/>
          <w:rtl/>
        </w:rPr>
        <w:t xml:space="preserve"> </w:t>
      </w:r>
      <w:r w:rsidRPr="00B905D3">
        <w:rPr>
          <w:rFonts w:ascii="Calibri" w:hAnsi="Calibri" w:hint="eastAsia"/>
          <w:rtl/>
        </w:rPr>
        <w:t>להעדיף</w:t>
      </w:r>
      <w:r w:rsidRPr="00B905D3">
        <w:rPr>
          <w:rFonts w:ascii="Calibri" w:hAnsi="Calibri"/>
          <w:rtl/>
        </w:rPr>
        <w:t xml:space="preserve"> </w:t>
      </w:r>
      <w:r w:rsidRPr="00B905D3">
        <w:rPr>
          <w:rFonts w:ascii="Calibri" w:hAnsi="Calibri" w:hint="eastAsia"/>
          <w:rtl/>
        </w:rPr>
        <w:t>את</w:t>
      </w:r>
      <w:r w:rsidRPr="00B905D3">
        <w:rPr>
          <w:rFonts w:ascii="Calibri" w:hAnsi="Calibri"/>
          <w:rtl/>
        </w:rPr>
        <w:t xml:space="preserve"> </w:t>
      </w:r>
      <w:r w:rsidRPr="00B905D3">
        <w:rPr>
          <w:rFonts w:ascii="Calibri" w:hAnsi="Calibri" w:hint="eastAsia"/>
          <w:rtl/>
        </w:rPr>
        <w:t>ההגנה</w:t>
      </w:r>
      <w:r w:rsidRPr="00B905D3">
        <w:rPr>
          <w:rFonts w:ascii="Calibri" w:hAnsi="Calibri"/>
          <w:rtl/>
        </w:rPr>
        <w:t xml:space="preserve"> </w:t>
      </w:r>
      <w:r w:rsidRPr="00B905D3">
        <w:rPr>
          <w:rFonts w:ascii="Calibri" w:hAnsi="Calibri" w:hint="eastAsia"/>
          <w:rtl/>
        </w:rPr>
        <w:t>על</w:t>
      </w:r>
      <w:r w:rsidRPr="00B905D3">
        <w:rPr>
          <w:rFonts w:ascii="Calibri" w:hAnsi="Calibri"/>
          <w:rtl/>
        </w:rPr>
        <w:t xml:space="preserve"> </w:t>
      </w:r>
      <w:r w:rsidRPr="00B905D3">
        <w:rPr>
          <w:rFonts w:ascii="Calibri" w:hAnsi="Calibri" w:hint="eastAsia"/>
          <w:rtl/>
        </w:rPr>
        <w:t>הציבור</w:t>
      </w:r>
      <w:r w:rsidRPr="00B905D3">
        <w:rPr>
          <w:rFonts w:ascii="Calibri" w:hAnsi="Calibri"/>
          <w:rtl/>
        </w:rPr>
        <w:t xml:space="preserve"> </w:t>
      </w:r>
      <w:r w:rsidRPr="00B905D3">
        <w:rPr>
          <w:rFonts w:ascii="Calibri" w:hAnsi="Calibri" w:hint="eastAsia"/>
          <w:rtl/>
        </w:rPr>
        <w:t>על</w:t>
      </w:r>
      <w:r w:rsidRPr="00B905D3">
        <w:rPr>
          <w:rFonts w:ascii="Calibri" w:hAnsi="Calibri"/>
          <w:rtl/>
        </w:rPr>
        <w:t xml:space="preserve"> </w:t>
      </w:r>
      <w:r w:rsidRPr="00B905D3">
        <w:rPr>
          <w:rFonts w:ascii="Calibri" w:hAnsi="Calibri" w:hint="eastAsia"/>
          <w:rtl/>
        </w:rPr>
        <w:t>פני</w:t>
      </w:r>
      <w:r w:rsidRPr="00B905D3">
        <w:rPr>
          <w:rFonts w:ascii="Calibri" w:hAnsi="Calibri"/>
          <w:rtl/>
        </w:rPr>
        <w:t xml:space="preserve"> </w:t>
      </w:r>
      <w:r w:rsidRPr="00B905D3">
        <w:rPr>
          <w:rFonts w:ascii="Calibri" w:hAnsi="Calibri" w:hint="eastAsia"/>
          <w:rtl/>
        </w:rPr>
        <w:t>התחשבות</w:t>
      </w:r>
      <w:r w:rsidRPr="00B905D3">
        <w:rPr>
          <w:rFonts w:ascii="Calibri" w:hAnsi="Calibri"/>
          <w:rtl/>
        </w:rPr>
        <w:t xml:space="preserve"> </w:t>
      </w:r>
      <w:r w:rsidRPr="00B905D3">
        <w:rPr>
          <w:rFonts w:ascii="Calibri" w:hAnsi="Calibri" w:hint="eastAsia"/>
          <w:rtl/>
        </w:rPr>
        <w:t>בנסיבות</w:t>
      </w:r>
      <w:r w:rsidRPr="00B905D3">
        <w:rPr>
          <w:rFonts w:ascii="Calibri" w:hAnsi="Calibri"/>
          <w:rtl/>
        </w:rPr>
        <w:t xml:space="preserve"> </w:t>
      </w:r>
      <w:r w:rsidRPr="00B905D3">
        <w:rPr>
          <w:rFonts w:ascii="Calibri" w:hAnsi="Calibri" w:hint="eastAsia"/>
          <w:rtl/>
        </w:rPr>
        <w:t>הספציפיות</w:t>
      </w:r>
      <w:r w:rsidRPr="00B905D3">
        <w:rPr>
          <w:rFonts w:ascii="Calibri" w:hAnsi="Calibri"/>
          <w:rtl/>
        </w:rPr>
        <w:t xml:space="preserve"> </w:t>
      </w:r>
      <w:r w:rsidRPr="00B905D3">
        <w:rPr>
          <w:rFonts w:ascii="Calibri" w:hAnsi="Calibri" w:hint="eastAsia"/>
          <w:rtl/>
        </w:rPr>
        <w:t>של</w:t>
      </w:r>
      <w:r w:rsidRPr="00B905D3">
        <w:rPr>
          <w:rFonts w:ascii="Calibri" w:hAnsi="Calibri"/>
          <w:rtl/>
        </w:rPr>
        <w:t xml:space="preserve"> </w:t>
      </w:r>
      <w:r w:rsidRPr="00B905D3">
        <w:rPr>
          <w:rFonts w:ascii="Calibri" w:hAnsi="Calibri" w:hint="eastAsia"/>
          <w:rtl/>
        </w:rPr>
        <w:t>הנאשם</w:t>
      </w:r>
      <w:r w:rsidRPr="00B905D3">
        <w:rPr>
          <w:rFonts w:ascii="Calibri" w:hAnsi="Calibri"/>
          <w:rtl/>
        </w:rPr>
        <w:t xml:space="preserve">. </w:t>
      </w:r>
      <w:r w:rsidRPr="00B905D3">
        <w:rPr>
          <w:rFonts w:ascii="Calibri" w:hAnsi="Calibri" w:hint="eastAsia"/>
          <w:rtl/>
        </w:rPr>
        <w:t>יחד</w:t>
      </w:r>
      <w:r w:rsidRPr="00B905D3">
        <w:rPr>
          <w:rFonts w:ascii="Calibri" w:hAnsi="Calibri"/>
          <w:rtl/>
        </w:rPr>
        <w:t xml:space="preserve"> </w:t>
      </w:r>
      <w:r w:rsidRPr="00B905D3">
        <w:rPr>
          <w:rFonts w:ascii="Calibri" w:hAnsi="Calibri" w:hint="eastAsia"/>
          <w:rtl/>
        </w:rPr>
        <w:t>עם</w:t>
      </w:r>
      <w:r w:rsidRPr="00B905D3">
        <w:rPr>
          <w:rFonts w:ascii="Calibri" w:hAnsi="Calibri"/>
          <w:rtl/>
        </w:rPr>
        <w:t xml:space="preserve"> </w:t>
      </w:r>
      <w:r w:rsidRPr="00B905D3">
        <w:rPr>
          <w:rFonts w:ascii="Calibri" w:hAnsi="Calibri" w:hint="eastAsia"/>
          <w:rtl/>
        </w:rPr>
        <w:t>זאת</w:t>
      </w:r>
      <w:r>
        <w:rPr>
          <w:rFonts w:ascii="Calibri" w:hAnsi="Calibri" w:hint="cs"/>
          <w:rtl/>
        </w:rPr>
        <w:t>,</w:t>
      </w:r>
      <w:r w:rsidRPr="00B905D3">
        <w:rPr>
          <w:rFonts w:ascii="Calibri" w:hAnsi="Calibri"/>
          <w:rtl/>
        </w:rPr>
        <w:t xml:space="preserve"> </w:t>
      </w:r>
      <w:r>
        <w:rPr>
          <w:rFonts w:ascii="Calibri" w:hAnsi="Calibri" w:hint="cs"/>
          <w:rtl/>
        </w:rPr>
        <w:t>לא ניתן לקבוע מתחם ענישה אחיד בהתאם לסוג העבירה, אלא יש לשקול את נסיבותיה ולתת להן משקל רב, במיוחד כשמדובר בעבירה בעלת מנעד נסיבות רחב ביותר, כגון עבירת הסחר בסם מסוכן. כפי שנקבע,</w:t>
      </w:r>
      <w:r>
        <w:rPr>
          <w:rFonts w:hint="cs"/>
          <w:rtl/>
        </w:rPr>
        <w:t xml:space="preserve"> "</w:t>
      </w:r>
      <w:r>
        <w:rPr>
          <w:rFonts w:hint="cs"/>
          <w:b/>
          <w:bCs/>
          <w:rtl/>
        </w:rPr>
        <w:t>לא ניתן, לטעמי, לקבוע אפריורית מתחם ענישה הולם אחיד לכל עבירה ועבירה, וגם לא יהיה נכון לנסות וללכת בדרך זו</w:t>
      </w:r>
      <w:r>
        <w:rPr>
          <w:rFonts w:hint="cs"/>
          <w:rtl/>
        </w:rPr>
        <w:t>" [</w:t>
      </w:r>
      <w:hyperlink r:id="rId10" w:history="1">
        <w:r w:rsidR="00FF2516" w:rsidRPr="00FF2516">
          <w:rPr>
            <w:color w:val="0000FF"/>
            <w:u w:val="single"/>
            <w:rtl/>
          </w:rPr>
          <w:t>רע"פ 4088/13</w:t>
        </w:r>
      </w:hyperlink>
      <w:r>
        <w:rPr>
          <w:rFonts w:hint="cs"/>
          <w:rtl/>
        </w:rPr>
        <w:t xml:space="preserve"> </w:t>
      </w:r>
      <w:r>
        <w:rPr>
          <w:rFonts w:hint="cs"/>
          <w:b/>
          <w:bCs/>
          <w:rtl/>
        </w:rPr>
        <w:t xml:space="preserve">אחמד זן שחדה הדרי </w:t>
      </w:r>
      <w:r>
        <w:rPr>
          <w:rFonts w:hint="cs"/>
          <w:rtl/>
        </w:rPr>
        <w:t xml:space="preserve">נ' </w:t>
      </w:r>
      <w:r>
        <w:rPr>
          <w:rFonts w:hint="cs"/>
          <w:b/>
          <w:bCs/>
          <w:rtl/>
        </w:rPr>
        <w:t xml:space="preserve">מדינת ישראל, </w:t>
      </w:r>
      <w:r>
        <w:rPr>
          <w:rFonts w:hint="cs"/>
          <w:rtl/>
        </w:rPr>
        <w:t>(11.06.2013). ראו עוד את משקלן המשמעותי של נסיבות ביצוע העבירה, בעת קביעת מתחם הענישה ההולם, ב</w:t>
      </w:r>
      <w:hyperlink r:id="rId11" w:history="1">
        <w:r w:rsidR="00FF2516" w:rsidRPr="00FF2516">
          <w:rPr>
            <w:color w:val="0000FF"/>
            <w:u w:val="single"/>
            <w:rtl/>
          </w:rPr>
          <w:t>ע"פ 1323/13</w:t>
        </w:r>
      </w:hyperlink>
      <w:r>
        <w:rPr>
          <w:rFonts w:hint="cs"/>
          <w:rtl/>
        </w:rPr>
        <w:t xml:space="preserve"> </w:t>
      </w:r>
      <w:r w:rsidRPr="00DB7961">
        <w:rPr>
          <w:rFonts w:hint="cs"/>
          <w:b/>
          <w:bCs/>
          <w:rtl/>
        </w:rPr>
        <w:t>רך</w:t>
      </w:r>
      <w:r>
        <w:rPr>
          <w:rFonts w:hint="cs"/>
          <w:rtl/>
        </w:rPr>
        <w:t xml:space="preserve"> </w:t>
      </w:r>
      <w:r>
        <w:rPr>
          <w:rFonts w:hint="cs"/>
          <w:b/>
          <w:bCs/>
          <w:rtl/>
        </w:rPr>
        <w:t xml:space="preserve">חסן </w:t>
      </w:r>
      <w:r>
        <w:rPr>
          <w:rFonts w:hint="cs"/>
          <w:rtl/>
        </w:rPr>
        <w:t xml:space="preserve">נ' </w:t>
      </w:r>
      <w:r>
        <w:rPr>
          <w:rFonts w:hint="cs"/>
          <w:b/>
          <w:bCs/>
          <w:rtl/>
        </w:rPr>
        <w:t>מדינת ישראל</w:t>
      </w:r>
      <w:r>
        <w:rPr>
          <w:rFonts w:hint="cs"/>
          <w:rtl/>
        </w:rPr>
        <w:t xml:space="preserve">, (05.06.2013), פסקאות 8-9; </w:t>
      </w:r>
      <w:hyperlink r:id="rId12" w:history="1">
        <w:r w:rsidR="00FF2516" w:rsidRPr="00FF2516">
          <w:rPr>
            <w:color w:val="0000FF"/>
            <w:u w:val="single"/>
            <w:rtl/>
          </w:rPr>
          <w:t>ע"פ 1127/13</w:t>
        </w:r>
      </w:hyperlink>
      <w:r>
        <w:rPr>
          <w:rFonts w:hint="cs"/>
          <w:rtl/>
        </w:rPr>
        <w:t xml:space="preserve"> </w:t>
      </w:r>
      <w:r>
        <w:rPr>
          <w:rFonts w:hint="cs"/>
          <w:b/>
          <w:bCs/>
          <w:rtl/>
        </w:rPr>
        <w:t xml:space="preserve">עמאואל גברזגיי </w:t>
      </w:r>
      <w:r>
        <w:rPr>
          <w:rFonts w:hint="cs"/>
          <w:rtl/>
        </w:rPr>
        <w:t xml:space="preserve">נ' </w:t>
      </w:r>
      <w:r>
        <w:rPr>
          <w:rFonts w:hint="cs"/>
          <w:b/>
          <w:bCs/>
          <w:rtl/>
        </w:rPr>
        <w:t>מדינת ישראל</w:t>
      </w:r>
      <w:r>
        <w:rPr>
          <w:rFonts w:hint="cs"/>
          <w:rtl/>
        </w:rPr>
        <w:t>, (15.01.2014), פסקה 25].</w:t>
      </w:r>
    </w:p>
    <w:p w14:paraId="5D24C9EA" w14:textId="77777777" w:rsidR="00107CDB" w:rsidRDefault="00107CDB" w:rsidP="00107CDB">
      <w:pPr>
        <w:spacing w:line="360" w:lineRule="auto"/>
        <w:ind w:left="720"/>
        <w:jc w:val="both"/>
        <w:rPr>
          <w:rtl/>
        </w:rPr>
      </w:pPr>
      <w:r>
        <w:rPr>
          <w:rFonts w:ascii="Calibri" w:hAnsi="Calibri" w:hint="cs"/>
          <w:rtl/>
        </w:rPr>
        <w:t xml:space="preserve">במקרה הנדון, מדובר במעשה אחד של סחר בסם מסוג קנבוס, במשקל נמוך ובתמורה שאינה גבוה במיוחד. לא נגרם נזק ממשי בשל זהות רוכש הסם, אולם קיים נזק פוטנציאלי בסחר בסם מסוכן. </w:t>
      </w:r>
      <w:r>
        <w:rPr>
          <w:rFonts w:hint="cs"/>
          <w:rtl/>
        </w:rPr>
        <w:t xml:space="preserve">כפי שעלה בהרחבה במהלך שמיעת הראיות ובהכרעת הדין, הסוכן פנה מספר פעמים אל הנאשם על מנת לרכוש ממנו את הסם, לאחר היכרות איתו במסעדת הנאשם. בחינת התנהלות הנאשם בעצמו, עונה אמנם על יסודות עבירת הסחר בסם מסוכן אך נושקת לעבירת התיווך בו. הנסיבות המפורטות בהכרעת הדין (ראו במיוחד סעיף 7 בהכרעת הדין), אינן מצביעות על מקרה המעיד על "חוליה </w:t>
      </w:r>
      <w:r w:rsidRPr="00DC5397">
        <w:rPr>
          <w:rFonts w:hint="cs"/>
          <w:b/>
          <w:bCs/>
          <w:rtl/>
        </w:rPr>
        <w:t>משמעותית</w:t>
      </w:r>
      <w:r>
        <w:rPr>
          <w:rFonts w:hint="cs"/>
          <w:rtl/>
        </w:rPr>
        <w:t xml:space="preserve"> בשרשרת הפצת הסם", כפי שטענה המאשימה, אלא על נאשם אשר בתגובה לבקשות חוזרות ונשנות מצד מכר, עשה שימוש בהיכרות שלו עם אדם אחר לו נגישות לסמים, העביר לידיו כסף שקיבל מהסוכן, שאף הסיעו למקום ההתרחשות, קיבל לידיו את הסם והעבירו לידי הסוכן. נסיבות אלה מציבות את המקרה הנדון ברף נמוך של ביצוע עבירת הסחר בסם מסוכן.</w:t>
      </w:r>
    </w:p>
    <w:p w14:paraId="6762F0F8" w14:textId="77777777" w:rsidR="00107CDB" w:rsidRDefault="00107CDB" w:rsidP="00107CDB">
      <w:pPr>
        <w:spacing w:line="360" w:lineRule="auto"/>
        <w:ind w:left="720"/>
        <w:jc w:val="both"/>
        <w:rPr>
          <w:rFonts w:ascii="Calibri" w:hAnsi="Calibri"/>
          <w:rtl/>
        </w:rPr>
      </w:pPr>
    </w:p>
    <w:p w14:paraId="59C34790" w14:textId="77777777" w:rsidR="00107CDB" w:rsidRDefault="00107CDB" w:rsidP="00107CDB">
      <w:pPr>
        <w:spacing w:line="360" w:lineRule="auto"/>
        <w:ind w:left="720"/>
        <w:jc w:val="both"/>
        <w:rPr>
          <w:rFonts w:ascii="Calibri" w:hAnsi="Calibri"/>
          <w:rtl/>
        </w:rPr>
      </w:pPr>
      <w:r>
        <w:rPr>
          <w:rFonts w:ascii="Calibri" w:hAnsi="Calibri" w:hint="cs"/>
          <w:rtl/>
        </w:rPr>
        <w:lastRenderedPageBreak/>
        <w:t>מגמת הפסיקה הנוהגת, היא הטלת מאסר בפועל בגין עבירות סחר בסם, אך בנסיבות מסוימות ניתן להצביע גם על הטלת מאסר בדרך של עבודות שרות (</w:t>
      </w:r>
      <w:hyperlink r:id="rId13" w:history="1">
        <w:r w:rsidR="00FF2516" w:rsidRPr="00FF2516">
          <w:rPr>
            <w:rFonts w:ascii="Calibri" w:hAnsi="Calibri" w:hint="eastAsia"/>
            <w:color w:val="0000FF"/>
            <w:u w:val="single"/>
            <w:rtl/>
          </w:rPr>
          <w:t>רע</w:t>
        </w:r>
        <w:r w:rsidR="00FF2516" w:rsidRPr="00FF2516">
          <w:rPr>
            <w:rFonts w:ascii="Calibri" w:hAnsi="Calibri"/>
            <w:color w:val="0000FF"/>
            <w:u w:val="single"/>
            <w:rtl/>
          </w:rPr>
          <w:t>"</w:t>
        </w:r>
        <w:r w:rsidR="00FF2516" w:rsidRPr="00FF2516">
          <w:rPr>
            <w:rFonts w:ascii="Calibri" w:hAnsi="Calibri" w:hint="eastAsia"/>
            <w:color w:val="0000FF"/>
            <w:u w:val="single"/>
            <w:rtl/>
          </w:rPr>
          <w:t>פ</w:t>
        </w:r>
        <w:r w:rsidR="00FF2516" w:rsidRPr="00FF2516">
          <w:rPr>
            <w:rFonts w:ascii="Calibri" w:hAnsi="Calibri"/>
            <w:color w:val="0000FF"/>
            <w:u w:val="single"/>
            <w:rtl/>
          </w:rPr>
          <w:t xml:space="preserve"> 65/15</w:t>
        </w:r>
      </w:hyperlink>
      <w:r>
        <w:rPr>
          <w:rFonts w:ascii="Calibri" w:hAnsi="Calibri" w:hint="cs"/>
          <w:rtl/>
        </w:rPr>
        <w:t xml:space="preserve"> </w:t>
      </w:r>
      <w:r>
        <w:rPr>
          <w:rFonts w:ascii="Calibri" w:hAnsi="Calibri" w:hint="cs"/>
          <w:b/>
          <w:bCs/>
          <w:rtl/>
        </w:rPr>
        <w:t>גמאל מסארווה נ' מדינת ישראל</w:t>
      </w:r>
      <w:r>
        <w:rPr>
          <w:rFonts w:ascii="Calibri" w:hAnsi="Calibri" w:hint="cs"/>
          <w:rtl/>
        </w:rPr>
        <w:t xml:space="preserve"> (13.1.2015)). </w:t>
      </w:r>
    </w:p>
    <w:p w14:paraId="339D479D" w14:textId="77777777" w:rsidR="00107CDB" w:rsidRDefault="00107CDB" w:rsidP="00107CDB">
      <w:pPr>
        <w:spacing w:line="360" w:lineRule="auto"/>
        <w:ind w:left="720"/>
        <w:jc w:val="both"/>
        <w:rPr>
          <w:rtl/>
        </w:rPr>
      </w:pPr>
      <w:r>
        <w:rPr>
          <w:rFonts w:hint="cs"/>
          <w:rtl/>
        </w:rPr>
        <w:t xml:space="preserve"> </w:t>
      </w:r>
    </w:p>
    <w:p w14:paraId="33D125E2" w14:textId="77777777" w:rsidR="00107CDB" w:rsidRDefault="00107CDB" w:rsidP="00107CDB">
      <w:pPr>
        <w:spacing w:after="200" w:line="360" w:lineRule="auto"/>
        <w:ind w:left="720" w:hanging="720"/>
        <w:jc w:val="both"/>
        <w:rPr>
          <w:rtl/>
        </w:rPr>
      </w:pPr>
      <w:r>
        <w:rPr>
          <w:rtl/>
        </w:rPr>
        <w:tab/>
      </w:r>
      <w:r>
        <w:rPr>
          <w:rFonts w:hint="cs"/>
          <w:rtl/>
        </w:rPr>
        <w:t>לאחר ששקלתי את כל האמור לעיל, אני קובע כי מתחם הענישה במקרה זה נע בין מספר חודשי מאסר, שיכול וירוצו בעבודות שרות, ועד לעשרה חודשי מאסר בפועל. לצד ענישה זו, יש להטיל מאסר מותנה וקנס כספי, אשר יתחשב במצבו הכלכלי של הנאשם. בנסיבות מקרה זה, גובה הקנס ינוע בין 1,000 ל- 5,000 ₪.</w:t>
      </w:r>
    </w:p>
    <w:p w14:paraId="79A70C64" w14:textId="77777777" w:rsidR="00107CDB" w:rsidRDefault="00107CDB" w:rsidP="00107CDB">
      <w:pPr>
        <w:spacing w:after="200" w:line="360" w:lineRule="auto"/>
        <w:jc w:val="both"/>
        <w:rPr>
          <w:rtl/>
        </w:rPr>
      </w:pPr>
      <w:r>
        <w:rPr>
          <w:rFonts w:hint="cs"/>
          <w:rtl/>
        </w:rPr>
        <w:t xml:space="preserve">   </w:t>
      </w:r>
    </w:p>
    <w:p w14:paraId="18934880" w14:textId="77777777" w:rsidR="00107CDB" w:rsidRDefault="00107CDB" w:rsidP="00107CDB">
      <w:pPr>
        <w:spacing w:after="200" w:line="360" w:lineRule="auto"/>
        <w:ind w:left="720" w:hanging="720"/>
        <w:jc w:val="both"/>
        <w:rPr>
          <w:rtl/>
        </w:rPr>
      </w:pPr>
      <w:r w:rsidRPr="00AF1175">
        <w:rPr>
          <w:rFonts w:hint="cs"/>
          <w:u w:val="single"/>
          <w:rtl/>
        </w:rPr>
        <w:t>העונש המתאים</w:t>
      </w:r>
      <w:r w:rsidRPr="0008742F">
        <w:rPr>
          <w:rtl/>
        </w:rPr>
        <w:tab/>
      </w:r>
      <w:r w:rsidRPr="0008742F">
        <w:rPr>
          <w:rtl/>
        </w:rPr>
        <w:tab/>
      </w:r>
      <w:r w:rsidRPr="0008742F">
        <w:rPr>
          <w:rtl/>
        </w:rPr>
        <w:tab/>
      </w:r>
      <w:r w:rsidRPr="0008742F">
        <w:rPr>
          <w:rtl/>
        </w:rPr>
        <w:tab/>
      </w:r>
      <w:r w:rsidRPr="0008742F">
        <w:rPr>
          <w:rtl/>
        </w:rPr>
        <w:tab/>
      </w:r>
      <w:r w:rsidRPr="0008742F">
        <w:rPr>
          <w:rtl/>
        </w:rPr>
        <w:tab/>
      </w:r>
      <w:r w:rsidRPr="0008742F">
        <w:rPr>
          <w:rtl/>
        </w:rPr>
        <w:tab/>
      </w:r>
      <w:r w:rsidRPr="0008742F">
        <w:rPr>
          <w:rtl/>
        </w:rPr>
        <w:tab/>
      </w:r>
      <w:r w:rsidRPr="0008742F">
        <w:rPr>
          <w:rtl/>
        </w:rPr>
        <w:tab/>
      </w:r>
      <w:r w:rsidRPr="0008742F">
        <w:rPr>
          <w:rtl/>
        </w:rPr>
        <w:tab/>
      </w:r>
      <w:r>
        <w:rPr>
          <w:rFonts w:hint="cs"/>
          <w:rtl/>
        </w:rPr>
        <w:t xml:space="preserve">       </w:t>
      </w:r>
    </w:p>
    <w:p w14:paraId="655106D4" w14:textId="77777777" w:rsidR="00107CDB" w:rsidRDefault="00107CDB" w:rsidP="00107CDB">
      <w:pPr>
        <w:spacing w:after="200" w:line="360" w:lineRule="auto"/>
        <w:ind w:left="720" w:hanging="720"/>
        <w:jc w:val="both"/>
        <w:rPr>
          <w:rtl/>
        </w:rPr>
      </w:pPr>
      <w:r w:rsidRPr="00DC5397">
        <w:rPr>
          <w:rFonts w:hint="cs"/>
          <w:rtl/>
        </w:rPr>
        <w:t>5.</w:t>
      </w:r>
      <w:r w:rsidRPr="00DC5397">
        <w:rPr>
          <w:rFonts w:hint="cs"/>
          <w:rtl/>
        </w:rPr>
        <w:tab/>
      </w:r>
      <w:r>
        <w:rPr>
          <w:rFonts w:hint="cs"/>
          <w:rtl/>
        </w:rPr>
        <w:t xml:space="preserve">כנגד הנאשם הרשעות קודמות, בעיקר בגין עבירות אלימות ורכוש, וכן הוא ריצה מאסרים בפועל. יחד עם זאת, הרשעתו האחרונה היא בגין עבירה משנת 2009. לא ניתן להתעלם מפרק הזמן המשמעותי שחלף מאז עבירה זו ועד לביצוע העבירה בה הורשע בתיק זה וכן מפרק הזמן שחלף מאז ביצוע עבירת הסחר בסם ועד היום, בלא שנפתחו כנגד הנאשם כל תיקים חדשים. מדובר למעשה בהרשעתו הראשונה של הנאשם בעבירת סמים, בלא שניתן להצביע על דפוס התמכרותי או מעורבות עמוקה בעולם הסמים. </w:t>
      </w:r>
    </w:p>
    <w:p w14:paraId="707FD2EC" w14:textId="77777777" w:rsidR="00107CDB" w:rsidRDefault="00107CDB" w:rsidP="00107CDB">
      <w:pPr>
        <w:spacing w:after="200" w:line="360" w:lineRule="auto"/>
        <w:ind w:left="720"/>
        <w:jc w:val="both"/>
        <w:rPr>
          <w:rtl/>
        </w:rPr>
      </w:pPr>
      <w:r>
        <w:rPr>
          <w:rFonts w:hint="cs"/>
          <w:rtl/>
        </w:rPr>
        <w:t xml:space="preserve">התרשמתי מהנאשם באופן בלתי אמצעי, כי בחר בשנים האחרונות להתנתק מהעולם העברייני וכן כי הטלת מאסר בפועל תשיב אותו אל חיק אותו עולם ממנו הוא מבקש להתנתק. אני סבור כי בנסיבות כוללות אלה, ניתן להסתפק בהטלת מאסר שירוצה בעבודות שרות, אשר יהווה ענישה ממשית ומרתיעה כלפי הנאשם, זאת מבלי להתעלם מכך שלא ניתן להוסיף ולהקל עימו לאור העובדה שלא קיבל אחריות על מעשיו. לגבי סוגית שלילת רשיון הנהיגה, אתחשב בנסיבות המקרה בו הנאשם הוסע על ידי הסוכן אל מקום ביצוע העבירה, בנסיבותיו של הנאשם וכן בעובדה שאין כל טענה או ראיה לכך שהנאשם עושה שימוש בסמים. לפיכך, לא אורה על שלילת רשיונו. </w:t>
      </w:r>
    </w:p>
    <w:p w14:paraId="72CB94C1" w14:textId="77777777" w:rsidR="00107CDB" w:rsidRDefault="00107CDB" w:rsidP="00107CDB">
      <w:pPr>
        <w:spacing w:after="200" w:line="360" w:lineRule="auto"/>
        <w:ind w:left="720"/>
        <w:jc w:val="both"/>
        <w:rPr>
          <w:rtl/>
        </w:rPr>
      </w:pPr>
      <w:r>
        <w:rPr>
          <w:rFonts w:hint="cs"/>
          <w:rtl/>
        </w:rPr>
        <w:t>לאור כל האמור לעיל, החלטתי להטיל על הנאשם את העונשים הבאים:</w:t>
      </w:r>
      <w:r>
        <w:rPr>
          <w:rFonts w:hint="cs"/>
        </w:rPr>
        <w:t xml:space="preserve"> </w:t>
      </w:r>
    </w:p>
    <w:p w14:paraId="0716950C" w14:textId="77777777" w:rsidR="00107CDB" w:rsidRDefault="00107CDB" w:rsidP="00107CDB">
      <w:pPr>
        <w:spacing w:after="200"/>
        <w:ind w:left="1440" w:hanging="720"/>
        <w:jc w:val="both"/>
        <w:rPr>
          <w:rtl/>
        </w:rPr>
      </w:pPr>
      <w:r>
        <w:rPr>
          <w:rFonts w:hint="cs"/>
          <w:rtl/>
        </w:rPr>
        <w:t xml:space="preserve">א. </w:t>
      </w:r>
      <w:r>
        <w:rPr>
          <w:rtl/>
        </w:rPr>
        <w:tab/>
      </w:r>
      <w:r>
        <w:rPr>
          <w:rFonts w:hint="cs"/>
          <w:rtl/>
        </w:rPr>
        <w:t>מאסר למשך ארבעה חודשים, שירוצה בעבודות שרות, זאת בהתאם לחוות דעת הממונה.</w:t>
      </w:r>
    </w:p>
    <w:p w14:paraId="08609440" w14:textId="77777777" w:rsidR="00107CDB" w:rsidRDefault="00107CDB" w:rsidP="00107CDB">
      <w:pPr>
        <w:spacing w:after="200"/>
        <w:ind w:left="1440" w:hanging="720"/>
        <w:jc w:val="both"/>
        <w:rPr>
          <w:rtl/>
        </w:rPr>
      </w:pPr>
      <w:r>
        <w:rPr>
          <w:rFonts w:hint="cs"/>
          <w:rtl/>
        </w:rPr>
        <w:t>ב.</w:t>
      </w:r>
      <w:r>
        <w:rPr>
          <w:rtl/>
        </w:rPr>
        <w:tab/>
      </w:r>
      <w:r>
        <w:rPr>
          <w:rFonts w:hint="cs"/>
          <w:rtl/>
        </w:rPr>
        <w:t xml:space="preserve">מאסר למשך שישה חודשים, אותו לא ירצה אלא אם יעבור תוך שלוש שנים מהיום עבירת סמים מסוג פשע. </w:t>
      </w:r>
    </w:p>
    <w:p w14:paraId="7C241923" w14:textId="77777777" w:rsidR="00107CDB" w:rsidRDefault="00107CDB" w:rsidP="00107CDB">
      <w:pPr>
        <w:spacing w:after="200"/>
        <w:ind w:left="1440" w:hanging="720"/>
        <w:jc w:val="both"/>
        <w:rPr>
          <w:rtl/>
        </w:rPr>
      </w:pPr>
      <w:r>
        <w:rPr>
          <w:rFonts w:hint="cs"/>
          <w:rtl/>
        </w:rPr>
        <w:t xml:space="preserve">ג. </w:t>
      </w:r>
      <w:r>
        <w:rPr>
          <w:rFonts w:hint="cs"/>
          <w:rtl/>
        </w:rPr>
        <w:tab/>
        <w:t xml:space="preserve">קנס בסך 2,000 ₪ או חודש מאסר תמורתו. הקנס ישולם בחמישה תשלומים שווים, החל מיום 1.11.18 ומידי חודש בחודשו. </w:t>
      </w:r>
    </w:p>
    <w:p w14:paraId="0FE55545" w14:textId="77777777" w:rsidR="00107CDB" w:rsidRPr="00DC5397" w:rsidRDefault="00107CDB" w:rsidP="00107CDB">
      <w:pPr>
        <w:spacing w:after="200"/>
        <w:ind w:left="1440" w:hanging="720"/>
        <w:jc w:val="both"/>
        <w:rPr>
          <w:rtl/>
        </w:rPr>
      </w:pPr>
      <w:r>
        <w:rPr>
          <w:rFonts w:hint="cs"/>
          <w:rtl/>
        </w:rPr>
        <w:t>ד.</w:t>
      </w:r>
      <w:r>
        <w:rPr>
          <w:rFonts w:hint="cs"/>
          <w:rtl/>
        </w:rPr>
        <w:tab/>
        <w:t xml:space="preserve">ניתן בזאת צו להשמדת הסמים.   </w:t>
      </w:r>
    </w:p>
    <w:p w14:paraId="6C04EDCA" w14:textId="77777777" w:rsidR="00107CDB" w:rsidRDefault="00107CDB" w:rsidP="00107CDB">
      <w:pPr>
        <w:rPr>
          <w:rtl/>
        </w:rPr>
      </w:pPr>
    </w:p>
    <w:p w14:paraId="1423414B" w14:textId="77777777" w:rsidR="00107CDB" w:rsidRDefault="00107CDB" w:rsidP="00107CDB">
      <w:pPr>
        <w:rPr>
          <w:rtl/>
        </w:rPr>
      </w:pPr>
      <w:r>
        <w:rPr>
          <w:rFonts w:hint="cs"/>
          <w:rtl/>
        </w:rPr>
        <w:t>זכות ערעור לבית המשפט המחוזי, תוך 45 יום מהיום.</w:t>
      </w:r>
    </w:p>
    <w:p w14:paraId="278C84BB" w14:textId="77777777" w:rsidR="00107CDB" w:rsidRPr="00FF2516" w:rsidRDefault="00FF2516" w:rsidP="00107CDB">
      <w:pPr>
        <w:rPr>
          <w:color w:val="FFFFFF"/>
          <w:sz w:val="2"/>
          <w:szCs w:val="2"/>
          <w:rtl/>
        </w:rPr>
      </w:pPr>
      <w:r w:rsidRPr="00FF2516">
        <w:rPr>
          <w:color w:val="FFFFFF"/>
          <w:sz w:val="2"/>
          <w:szCs w:val="2"/>
          <w:rtl/>
        </w:rPr>
        <w:t>5129371</w:t>
      </w:r>
      <w:r w:rsidR="00107CDB" w:rsidRPr="00FF2516">
        <w:rPr>
          <w:rFonts w:hint="cs"/>
          <w:color w:val="FFFFFF"/>
          <w:sz w:val="2"/>
          <w:szCs w:val="2"/>
          <w:rtl/>
        </w:rPr>
        <w:t xml:space="preserve"> </w:t>
      </w:r>
    </w:p>
    <w:p w14:paraId="54CCD366" w14:textId="77777777" w:rsidR="00107CDB" w:rsidRPr="00250B83" w:rsidRDefault="00FF2516" w:rsidP="00107CDB">
      <w:pPr>
        <w:rPr>
          <w:rtl/>
        </w:rPr>
      </w:pPr>
      <w:r w:rsidRPr="00FF2516">
        <w:rPr>
          <w:rFonts w:ascii="Arial" w:hAnsi="Arial"/>
          <w:color w:val="FFFFFF"/>
          <w:sz w:val="2"/>
          <w:szCs w:val="2"/>
          <w:rtl/>
        </w:rPr>
        <w:t>54678313</w:t>
      </w:r>
      <w:r>
        <w:rPr>
          <w:rFonts w:ascii="Arial" w:hAnsi="Arial"/>
          <w:rtl/>
        </w:rPr>
        <w:t xml:space="preserve">ניתן היום,  כ"ג תשרי תשע"ט, 02 אוקטובר 2018, במעמד הצדדים. </w:t>
      </w:r>
    </w:p>
    <w:p w14:paraId="50D6C53F" w14:textId="77777777" w:rsidR="00107CDB" w:rsidRPr="00250B83" w:rsidRDefault="00107CDB" w:rsidP="00107CDB">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5A59EFE1" w14:textId="77777777" w:rsidR="00107CDB" w:rsidRPr="00250B83" w:rsidRDefault="00107CDB" w:rsidP="00107CDB">
      <w:pPr>
        <w:jc w:val="center"/>
        <w:rPr>
          <w:rFonts w:ascii="Arial" w:hAnsi="Arial"/>
          <w:rtl/>
        </w:rPr>
      </w:pPr>
    </w:p>
    <w:p w14:paraId="47547D74" w14:textId="77777777" w:rsidR="00107CDB" w:rsidRPr="00250B83" w:rsidRDefault="00107CDB" w:rsidP="00107CDB">
      <w:pPr>
        <w:rPr>
          <w:rtl/>
        </w:rPr>
      </w:pPr>
    </w:p>
    <w:p w14:paraId="0F5DA881" w14:textId="77777777" w:rsidR="00107CDB" w:rsidRDefault="00107CDB" w:rsidP="00107CDB">
      <w:pPr>
        <w:pStyle w:val="a3"/>
        <w:jc w:val="center"/>
        <w:rPr>
          <w:rtl/>
        </w:rPr>
      </w:pPr>
    </w:p>
    <w:p w14:paraId="17161CC8" w14:textId="77777777" w:rsidR="00F27760" w:rsidRPr="00FF2516" w:rsidRDefault="00F27760" w:rsidP="00FF2516">
      <w:pPr>
        <w:keepNext/>
        <w:rPr>
          <w:rFonts w:ascii="David" w:hAnsi="David"/>
          <w:color w:val="000000"/>
          <w:sz w:val="22"/>
          <w:szCs w:val="22"/>
          <w:rtl/>
        </w:rPr>
      </w:pPr>
    </w:p>
    <w:p w14:paraId="465AD5CF" w14:textId="77777777" w:rsidR="00FF2516" w:rsidRPr="00FF2516" w:rsidRDefault="00FF2516" w:rsidP="00FF2516">
      <w:pPr>
        <w:keepNext/>
        <w:rPr>
          <w:rFonts w:ascii="David" w:hAnsi="David"/>
          <w:color w:val="000000"/>
          <w:sz w:val="22"/>
          <w:szCs w:val="22"/>
          <w:rtl/>
        </w:rPr>
      </w:pPr>
      <w:r w:rsidRPr="00FF2516">
        <w:rPr>
          <w:rFonts w:ascii="David" w:hAnsi="David"/>
          <w:color w:val="000000"/>
          <w:sz w:val="22"/>
          <w:szCs w:val="22"/>
          <w:rtl/>
        </w:rPr>
        <w:t>איתן קורנהאוזר 54678313</w:t>
      </w:r>
    </w:p>
    <w:p w14:paraId="25C94609" w14:textId="77777777" w:rsidR="00FF2516" w:rsidRDefault="00FF2516" w:rsidP="00FF2516">
      <w:r w:rsidRPr="00FF2516">
        <w:rPr>
          <w:color w:val="000000"/>
          <w:rtl/>
        </w:rPr>
        <w:t>נוסח מסמך זה כפוף לשינויי ניסוח ועריכה</w:t>
      </w:r>
    </w:p>
    <w:p w14:paraId="359086F6" w14:textId="77777777" w:rsidR="00FF2516" w:rsidRDefault="00FF2516" w:rsidP="00FF2516">
      <w:pPr>
        <w:rPr>
          <w:rtl/>
        </w:rPr>
      </w:pPr>
    </w:p>
    <w:p w14:paraId="04964DFB" w14:textId="77777777" w:rsidR="00FF2516" w:rsidRDefault="00FF2516" w:rsidP="00FF2516">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153A5C05" w14:textId="77777777" w:rsidR="00FF2516" w:rsidRPr="00FF2516" w:rsidRDefault="00FF2516" w:rsidP="00FF2516">
      <w:pPr>
        <w:jc w:val="center"/>
        <w:rPr>
          <w:color w:val="0000FF"/>
          <w:u w:val="single"/>
        </w:rPr>
      </w:pPr>
    </w:p>
    <w:sectPr w:rsidR="00FF2516" w:rsidRPr="00FF2516" w:rsidSect="00FF2516">
      <w:headerReference w:type="even" r:id="rId15"/>
      <w:headerReference w:type="default" r:id="rId16"/>
      <w:footerReference w:type="even" r:id="rId17"/>
      <w:footerReference w:type="default" r:id="rId1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F0FFF" w14:textId="77777777" w:rsidR="00A82AA1" w:rsidRDefault="00A82AA1" w:rsidP="002E5419">
      <w:r>
        <w:separator/>
      </w:r>
    </w:p>
  </w:endnote>
  <w:endnote w:type="continuationSeparator" w:id="0">
    <w:p w14:paraId="6A4F21FD" w14:textId="77777777" w:rsidR="00A82AA1" w:rsidRDefault="00A82AA1" w:rsidP="002E5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0F77E" w14:textId="77777777" w:rsidR="00FF2516" w:rsidRDefault="00FF2516" w:rsidP="00FF251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2384B3" w14:textId="77777777" w:rsidR="00D50C04" w:rsidRPr="00FF2516" w:rsidRDefault="00FF2516" w:rsidP="00FF251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75A96" w14:textId="77777777" w:rsidR="00FF2516" w:rsidRDefault="00FF2516" w:rsidP="00FF251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11B13">
      <w:rPr>
        <w:rFonts w:ascii="FrankRuehl" w:hAnsi="FrankRuehl" w:cs="FrankRuehl"/>
        <w:noProof/>
        <w:rtl/>
      </w:rPr>
      <w:t>1</w:t>
    </w:r>
    <w:r>
      <w:rPr>
        <w:rFonts w:ascii="FrankRuehl" w:hAnsi="FrankRuehl" w:cs="FrankRuehl"/>
        <w:rtl/>
      </w:rPr>
      <w:fldChar w:fldCharType="end"/>
    </w:r>
  </w:p>
  <w:p w14:paraId="33FB1ACA" w14:textId="77777777" w:rsidR="00D50C04" w:rsidRPr="00FF2516" w:rsidRDefault="00FF2516" w:rsidP="00FF251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F774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47EC7" w14:textId="77777777" w:rsidR="00A82AA1" w:rsidRDefault="00A82AA1" w:rsidP="002E5419">
      <w:r>
        <w:separator/>
      </w:r>
    </w:p>
  </w:footnote>
  <w:footnote w:type="continuationSeparator" w:id="0">
    <w:p w14:paraId="22214DD1" w14:textId="77777777" w:rsidR="00A82AA1" w:rsidRDefault="00A82AA1" w:rsidP="002E5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27482" w14:textId="77777777" w:rsidR="00FF2516" w:rsidRPr="00FF2516" w:rsidRDefault="00FF2516" w:rsidP="00FF25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39397-02-16</w:t>
    </w:r>
    <w:r>
      <w:rPr>
        <w:rFonts w:ascii="David" w:hAnsi="David"/>
        <w:color w:val="000000"/>
        <w:sz w:val="22"/>
        <w:szCs w:val="22"/>
        <w:rtl/>
      </w:rPr>
      <w:tab/>
      <w:t xml:space="preserve"> מדינת ישראל נ' אקיף גרדשוב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6961A" w14:textId="77777777" w:rsidR="00FF2516" w:rsidRPr="00FF2516" w:rsidRDefault="00FF2516" w:rsidP="00FF251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39397-02-16</w:t>
    </w:r>
    <w:r>
      <w:rPr>
        <w:rFonts w:ascii="David" w:hAnsi="David"/>
        <w:color w:val="000000"/>
        <w:sz w:val="22"/>
        <w:szCs w:val="22"/>
        <w:rtl/>
      </w:rPr>
      <w:tab/>
      <w:t xml:space="preserve"> מדינת ישראל נ' אקיף גרדשוב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7CDB"/>
    <w:rsid w:val="00054AF8"/>
    <w:rsid w:val="000F7EDF"/>
    <w:rsid w:val="00107CDB"/>
    <w:rsid w:val="002529E2"/>
    <w:rsid w:val="002E5419"/>
    <w:rsid w:val="00A82AA1"/>
    <w:rsid w:val="00C038B7"/>
    <w:rsid w:val="00CD63D5"/>
    <w:rsid w:val="00D11B13"/>
    <w:rsid w:val="00D50C04"/>
    <w:rsid w:val="00F27760"/>
    <w:rsid w:val="00F77E8A"/>
    <w:rsid w:val="00FF25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D3D7706"/>
  <w15:chartTrackingRefBased/>
  <w15:docId w15:val="{A5E0496B-C581-4ED1-9314-AB6A37D5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7CD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7CDB"/>
    <w:pPr>
      <w:tabs>
        <w:tab w:val="center" w:pos="4153"/>
        <w:tab w:val="right" w:pos="8306"/>
      </w:tabs>
    </w:pPr>
  </w:style>
  <w:style w:type="character" w:customStyle="1" w:styleId="a4">
    <w:name w:val="כותרת עליונה תו"/>
    <w:link w:val="a3"/>
    <w:rsid w:val="00107CDB"/>
    <w:rPr>
      <w:rFonts w:ascii="Times New Roman" w:eastAsia="Times New Roman" w:hAnsi="Times New Roman" w:cs="David"/>
      <w:sz w:val="24"/>
      <w:szCs w:val="24"/>
    </w:rPr>
  </w:style>
  <w:style w:type="paragraph" w:styleId="a5">
    <w:name w:val="footer"/>
    <w:basedOn w:val="a"/>
    <w:link w:val="a6"/>
    <w:rsid w:val="00107CDB"/>
    <w:pPr>
      <w:tabs>
        <w:tab w:val="center" w:pos="4153"/>
        <w:tab w:val="right" w:pos="8306"/>
      </w:tabs>
    </w:pPr>
  </w:style>
  <w:style w:type="character" w:customStyle="1" w:styleId="a6">
    <w:name w:val="כותרת תחתונה תו"/>
    <w:link w:val="a5"/>
    <w:rsid w:val="00107CDB"/>
    <w:rPr>
      <w:rFonts w:ascii="Times New Roman" w:eastAsia="Times New Roman" w:hAnsi="Times New Roman" w:cs="David"/>
      <w:sz w:val="24"/>
      <w:szCs w:val="24"/>
    </w:rPr>
  </w:style>
  <w:style w:type="table" w:styleId="a7">
    <w:name w:val="Table Grid"/>
    <w:basedOn w:val="a1"/>
    <w:rsid w:val="00107CD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7CDB"/>
  </w:style>
  <w:style w:type="character" w:styleId="Hyperlink">
    <w:name w:val="Hyperlink"/>
    <w:rsid w:val="00FF251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18784698"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13" TargetMode="External"/><Relationship Id="rId12" Type="http://schemas.openxmlformats.org/officeDocument/2006/relationships/hyperlink" Target="http://www.nevo.co.il/case/6018516"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6473037"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case/7667123"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1003</Words>
  <Characters>5018</Characters>
  <Application>Microsoft Office Word</Application>
  <DocSecurity>0</DocSecurity>
  <Lines>41</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6009</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3866738</vt:i4>
      </vt:variant>
      <vt:variant>
        <vt:i4>21</vt:i4>
      </vt:variant>
      <vt:variant>
        <vt:i4>0</vt:i4>
      </vt:variant>
      <vt:variant>
        <vt:i4>5</vt:i4>
      </vt:variant>
      <vt:variant>
        <vt:lpwstr>http://www.nevo.co.il/case/18784698</vt:lpwstr>
      </vt:variant>
      <vt:variant>
        <vt:lpwstr/>
      </vt:variant>
      <vt:variant>
        <vt:i4>3407997</vt:i4>
      </vt:variant>
      <vt:variant>
        <vt:i4>18</vt:i4>
      </vt:variant>
      <vt:variant>
        <vt:i4>0</vt:i4>
      </vt:variant>
      <vt:variant>
        <vt:i4>5</vt:i4>
      </vt:variant>
      <vt:variant>
        <vt:lpwstr>http://www.nevo.co.il/case/6018516</vt:lpwstr>
      </vt:variant>
      <vt:variant>
        <vt:lpwstr/>
      </vt:variant>
      <vt:variant>
        <vt:i4>3539056</vt:i4>
      </vt:variant>
      <vt:variant>
        <vt:i4>15</vt:i4>
      </vt:variant>
      <vt:variant>
        <vt:i4>0</vt:i4>
      </vt:variant>
      <vt:variant>
        <vt:i4>5</vt:i4>
      </vt:variant>
      <vt:variant>
        <vt:lpwstr>http://www.nevo.co.il/case/6473037</vt:lpwstr>
      </vt:variant>
      <vt:variant>
        <vt:lpwstr/>
      </vt:variant>
      <vt:variant>
        <vt:i4>3342455</vt:i4>
      </vt:variant>
      <vt:variant>
        <vt:i4>12</vt:i4>
      </vt:variant>
      <vt:variant>
        <vt:i4>0</vt:i4>
      </vt:variant>
      <vt:variant>
        <vt:i4>5</vt:i4>
      </vt:variant>
      <vt:variant>
        <vt:lpwstr>http://www.nevo.co.il/case/7667123</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2025-04-22T22:59:00Z</dcterms:created>
  <dcterms:modified xsi:type="dcterms:W3CDTF">2025-04-22T22:59:00Z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39397</vt:lpwstr>
  </property>
  <property fmtid="{D5CDD505-2E9C-101B-9397-08002B2CF9AE}" pid="6" name="NEWPARTB">
    <vt:lpwstr>02</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אקיף גרדשוב</vt:lpwstr>
  </property>
  <property fmtid="{D5CDD505-2E9C-101B-9397-08002B2CF9AE}" pid="10" name="LAWYER">
    <vt:lpwstr>שרון אדרי וסיוון עטיה;מיטל טולדנו</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20181002</vt:lpwstr>
  </property>
  <property fmtid="{D5CDD505-2E9C-101B-9397-08002B2CF9AE}" pid="14" name="TYPE_N_DATE">
    <vt:lpwstr>38020181002</vt:lpwstr>
  </property>
  <property fmtid="{D5CDD505-2E9C-101B-9397-08002B2CF9AE}" pid="15" name="WORDNUMPAGES">
    <vt:lpwstr>4</vt:lpwstr>
  </property>
  <property fmtid="{D5CDD505-2E9C-101B-9397-08002B2CF9AE}" pid="16" name="TYPE_ABS_DATE">
    <vt:lpwstr>380020181002</vt:lpwstr>
  </property>
  <property fmtid="{D5CDD505-2E9C-101B-9397-08002B2CF9AE}" pid="17" name="ISABSTRACT">
    <vt:lpwstr>Y</vt:lpwstr>
  </property>
  <property fmtid="{D5CDD505-2E9C-101B-9397-08002B2CF9AE}" pid="18" name="CASESLISTTMP1">
    <vt:lpwstr>7667123;6473037;6018516;18784698</vt:lpwstr>
  </property>
  <property fmtid="{D5CDD505-2E9C-101B-9397-08002B2CF9AE}" pid="19" name="LAWLISTTMP1">
    <vt:lpwstr>4216/013</vt:lpwstr>
  </property>
</Properties>
</file>