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5318B" w:rsidRPr="00CB5139" w14:paraId="015F5716" w14:textId="77777777">
        <w:trPr>
          <w:trHeight w:hRule="exact" w:val="418"/>
          <w:jc w:val="center"/>
        </w:trPr>
        <w:tc>
          <w:tcPr>
            <w:tcW w:w="8721" w:type="dxa"/>
            <w:gridSpan w:val="2"/>
          </w:tcPr>
          <w:p w14:paraId="46CB53EC" w14:textId="77777777" w:rsidR="00D5318B" w:rsidRPr="00CB5139" w:rsidRDefault="00D5318B" w:rsidP="00CB5139">
            <w:pPr>
              <w:pStyle w:val="a3"/>
              <w:jc w:val="center"/>
              <w:rPr>
                <w:rFonts w:ascii="Tahoma" w:hAnsi="Tahoma" w:cs="Tahoma"/>
                <w:color w:val="000080"/>
                <w:rtl/>
              </w:rPr>
            </w:pPr>
            <w:bookmarkStart w:id="0" w:name="LastJudge"/>
            <w:r w:rsidRPr="00CB5139">
              <w:rPr>
                <w:rFonts w:ascii="Tahoma" w:hAnsi="Tahoma" w:cs="Tahoma"/>
                <w:b/>
                <w:bCs/>
                <w:color w:val="000080"/>
                <w:rtl/>
              </w:rPr>
              <w:t>בית משפט השלום בקריות</w:t>
            </w:r>
          </w:p>
        </w:tc>
      </w:tr>
      <w:tr w:rsidR="00D5318B" w:rsidRPr="004314C7" w14:paraId="6D015505" w14:textId="77777777">
        <w:trPr>
          <w:trHeight w:val="337"/>
          <w:jc w:val="center"/>
        </w:trPr>
        <w:tc>
          <w:tcPr>
            <w:tcW w:w="5054" w:type="dxa"/>
          </w:tcPr>
          <w:p w14:paraId="419C8C02" w14:textId="77777777" w:rsidR="00D5318B" w:rsidRPr="004314C7" w:rsidRDefault="00D5318B" w:rsidP="00CB5139">
            <w:pPr>
              <w:rPr>
                <w:b/>
                <w:bCs/>
                <w:sz w:val="26"/>
                <w:szCs w:val="26"/>
                <w:rtl/>
              </w:rPr>
            </w:pPr>
            <w:r w:rsidRPr="004314C7">
              <w:rPr>
                <w:b/>
                <w:bCs/>
                <w:sz w:val="26"/>
                <w:szCs w:val="26"/>
                <w:rtl/>
              </w:rPr>
              <w:t>ת"פ</w:t>
            </w:r>
            <w:r w:rsidRPr="004314C7">
              <w:rPr>
                <w:rFonts w:hint="cs"/>
                <w:b/>
                <w:bCs/>
                <w:sz w:val="26"/>
                <w:szCs w:val="26"/>
                <w:rtl/>
              </w:rPr>
              <w:t xml:space="preserve"> </w:t>
            </w:r>
            <w:r w:rsidRPr="004314C7">
              <w:rPr>
                <w:b/>
                <w:bCs/>
                <w:sz w:val="26"/>
                <w:szCs w:val="26"/>
                <w:rtl/>
              </w:rPr>
              <w:t>54487-02-16</w:t>
            </w:r>
            <w:r w:rsidRPr="004314C7">
              <w:rPr>
                <w:rFonts w:hint="cs"/>
                <w:b/>
                <w:bCs/>
                <w:sz w:val="26"/>
                <w:szCs w:val="26"/>
                <w:rtl/>
              </w:rPr>
              <w:t xml:space="preserve"> </w:t>
            </w:r>
            <w:r w:rsidRPr="004314C7">
              <w:rPr>
                <w:b/>
                <w:bCs/>
                <w:sz w:val="26"/>
                <w:szCs w:val="26"/>
                <w:rtl/>
              </w:rPr>
              <w:t>מדינת ישראל נ' דודוב</w:t>
            </w:r>
          </w:p>
          <w:p w14:paraId="2DB3F83A" w14:textId="77777777" w:rsidR="00D5318B" w:rsidRPr="004314C7" w:rsidRDefault="00D5318B" w:rsidP="00CB5139">
            <w:pPr>
              <w:pStyle w:val="a3"/>
              <w:rPr>
                <w:b/>
                <w:bCs/>
                <w:sz w:val="26"/>
                <w:szCs w:val="26"/>
                <w:rtl/>
              </w:rPr>
            </w:pPr>
          </w:p>
        </w:tc>
        <w:tc>
          <w:tcPr>
            <w:tcW w:w="3667" w:type="dxa"/>
          </w:tcPr>
          <w:p w14:paraId="6C46A3A8" w14:textId="77777777" w:rsidR="00D5318B" w:rsidRPr="004314C7" w:rsidRDefault="00D5318B" w:rsidP="00CB5139">
            <w:pPr>
              <w:pStyle w:val="a3"/>
              <w:jc w:val="right"/>
              <w:rPr>
                <w:b/>
                <w:bCs/>
                <w:sz w:val="26"/>
                <w:szCs w:val="26"/>
                <w:rtl/>
              </w:rPr>
            </w:pPr>
          </w:p>
        </w:tc>
      </w:tr>
    </w:tbl>
    <w:p w14:paraId="67279DB8" w14:textId="77777777" w:rsidR="00D5318B" w:rsidRPr="004314C7" w:rsidRDefault="00D5318B" w:rsidP="00D5318B">
      <w:pPr>
        <w:pStyle w:val="a3"/>
        <w:rPr>
          <w:b/>
          <w:bCs/>
          <w:sz w:val="26"/>
          <w:szCs w:val="26"/>
          <w:rtl/>
        </w:rPr>
      </w:pPr>
      <w:r w:rsidRPr="004314C7">
        <w:rPr>
          <w:rFonts w:hint="cs"/>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5318B" w:rsidRPr="004314C7" w14:paraId="4444D27D" w14:textId="77777777">
        <w:trPr>
          <w:trHeight w:val="295"/>
          <w:jc w:val="center"/>
        </w:trPr>
        <w:tc>
          <w:tcPr>
            <w:tcW w:w="923" w:type="dxa"/>
            <w:tcBorders>
              <w:top w:val="nil"/>
              <w:left w:val="nil"/>
              <w:bottom w:val="nil"/>
              <w:right w:val="nil"/>
            </w:tcBorders>
            <w:shd w:val="clear" w:color="auto" w:fill="auto"/>
          </w:tcPr>
          <w:p w14:paraId="75DA9440" w14:textId="77777777" w:rsidR="00D5318B" w:rsidRPr="004314C7" w:rsidRDefault="00D5318B" w:rsidP="00CB5139">
            <w:pPr>
              <w:jc w:val="both"/>
              <w:rPr>
                <w:rFonts w:ascii="Arial" w:hAnsi="Arial"/>
                <w:b/>
                <w:bCs/>
                <w:sz w:val="26"/>
                <w:szCs w:val="26"/>
              </w:rPr>
            </w:pPr>
            <w:r w:rsidRPr="004314C7">
              <w:rPr>
                <w:rFonts w:ascii="Arial" w:hAnsi="Arial" w:hint="cs"/>
                <w:b/>
                <w:bCs/>
                <w:sz w:val="26"/>
                <w:szCs w:val="26"/>
                <w:rtl/>
              </w:rPr>
              <w:t>ב</w:t>
            </w:r>
            <w:r w:rsidRPr="004314C7">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5D76577B" w14:textId="77777777" w:rsidR="00D5318B" w:rsidRPr="004314C7" w:rsidRDefault="00D5318B" w:rsidP="004314C7">
            <w:pPr>
              <w:rPr>
                <w:rFonts w:ascii="Arial" w:hAnsi="Arial" w:hint="cs"/>
                <w:b/>
                <w:bCs/>
                <w:sz w:val="26"/>
                <w:szCs w:val="26"/>
                <w:rtl/>
              </w:rPr>
            </w:pPr>
            <w:r w:rsidRPr="004314C7">
              <w:rPr>
                <w:rFonts w:ascii="Arial" w:hAnsi="Arial" w:hint="cs"/>
                <w:b/>
                <w:bCs/>
                <w:sz w:val="26"/>
                <w:szCs w:val="26"/>
                <w:rtl/>
              </w:rPr>
              <w:t>כבוד ה</w:t>
            </w:r>
            <w:r w:rsidRPr="004314C7">
              <w:rPr>
                <w:rFonts w:hint="cs"/>
                <w:b/>
                <w:bCs/>
                <w:sz w:val="26"/>
                <w:szCs w:val="26"/>
                <w:rtl/>
              </w:rPr>
              <w:t>שופט</w:t>
            </w:r>
            <w:r w:rsidRPr="004314C7">
              <w:rPr>
                <w:rFonts w:ascii="Arial" w:hAnsi="Arial" w:hint="cs"/>
                <w:b/>
                <w:bCs/>
                <w:sz w:val="26"/>
                <w:szCs w:val="26"/>
                <w:rtl/>
              </w:rPr>
              <w:t xml:space="preserve">  </w:t>
            </w:r>
            <w:r w:rsidRPr="004314C7">
              <w:rPr>
                <w:rFonts w:hint="cs"/>
                <w:b/>
                <w:bCs/>
                <w:sz w:val="26"/>
                <w:szCs w:val="26"/>
                <w:rtl/>
              </w:rPr>
              <w:t>יוסי טורס</w:t>
            </w:r>
          </w:p>
          <w:p w14:paraId="2006E9D2" w14:textId="77777777" w:rsidR="00D5318B" w:rsidRPr="004314C7" w:rsidRDefault="00D5318B" w:rsidP="00CB5139">
            <w:pPr>
              <w:jc w:val="both"/>
              <w:rPr>
                <w:rFonts w:ascii="Arial" w:hAnsi="Arial"/>
                <w:b/>
                <w:bCs/>
                <w:sz w:val="26"/>
                <w:szCs w:val="26"/>
              </w:rPr>
            </w:pPr>
          </w:p>
        </w:tc>
      </w:tr>
      <w:tr w:rsidR="00D5318B" w:rsidRPr="004314C7" w14:paraId="7F74F432" w14:textId="77777777">
        <w:trPr>
          <w:trHeight w:val="355"/>
          <w:jc w:val="center"/>
        </w:trPr>
        <w:tc>
          <w:tcPr>
            <w:tcW w:w="923" w:type="dxa"/>
            <w:tcBorders>
              <w:top w:val="nil"/>
              <w:left w:val="nil"/>
              <w:bottom w:val="nil"/>
              <w:right w:val="nil"/>
            </w:tcBorders>
            <w:shd w:val="clear" w:color="auto" w:fill="auto"/>
          </w:tcPr>
          <w:p w14:paraId="1F4BDDE7" w14:textId="77777777" w:rsidR="00D5318B" w:rsidRPr="004314C7" w:rsidRDefault="00D5318B" w:rsidP="00CB5139">
            <w:pPr>
              <w:jc w:val="both"/>
              <w:rPr>
                <w:rFonts w:ascii="Arial" w:hAnsi="Arial"/>
                <w:b/>
                <w:bCs/>
                <w:sz w:val="26"/>
                <w:szCs w:val="26"/>
              </w:rPr>
            </w:pPr>
            <w:bookmarkStart w:id="1" w:name="FirstAppellant"/>
            <w:r w:rsidRPr="004314C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C8CAE40" w14:textId="77777777" w:rsidR="00D5318B" w:rsidRPr="004314C7" w:rsidRDefault="00D5318B" w:rsidP="00CB5139">
            <w:pPr>
              <w:rPr>
                <w:b/>
                <w:bCs/>
                <w:sz w:val="26"/>
                <w:szCs w:val="26"/>
              </w:rPr>
            </w:pPr>
            <w:r w:rsidRPr="004314C7">
              <w:rPr>
                <w:rFonts w:hint="cs"/>
                <w:b/>
                <w:bCs/>
                <w:sz w:val="26"/>
                <w:szCs w:val="26"/>
                <w:rtl/>
              </w:rPr>
              <w:t>מדינת ישראל</w:t>
            </w:r>
          </w:p>
        </w:tc>
        <w:tc>
          <w:tcPr>
            <w:tcW w:w="3771" w:type="dxa"/>
            <w:tcBorders>
              <w:top w:val="nil"/>
              <w:left w:val="nil"/>
              <w:bottom w:val="nil"/>
              <w:right w:val="nil"/>
            </w:tcBorders>
            <w:shd w:val="clear" w:color="auto" w:fill="auto"/>
          </w:tcPr>
          <w:p w14:paraId="7C05A417" w14:textId="77777777" w:rsidR="00D5318B" w:rsidRPr="004314C7" w:rsidRDefault="00D5318B" w:rsidP="00CB5139">
            <w:pPr>
              <w:jc w:val="both"/>
              <w:rPr>
                <w:rFonts w:ascii="Arial" w:hAnsi="Arial"/>
                <w:b/>
                <w:bCs/>
                <w:sz w:val="26"/>
                <w:szCs w:val="26"/>
              </w:rPr>
            </w:pPr>
          </w:p>
        </w:tc>
      </w:tr>
      <w:bookmarkEnd w:id="1"/>
      <w:tr w:rsidR="00D5318B" w:rsidRPr="004314C7" w14:paraId="62D31F7C" w14:textId="77777777">
        <w:trPr>
          <w:trHeight w:val="355"/>
          <w:jc w:val="center"/>
        </w:trPr>
        <w:tc>
          <w:tcPr>
            <w:tcW w:w="923" w:type="dxa"/>
            <w:tcBorders>
              <w:top w:val="nil"/>
              <w:left w:val="nil"/>
              <w:bottom w:val="nil"/>
              <w:right w:val="nil"/>
            </w:tcBorders>
            <w:shd w:val="clear" w:color="auto" w:fill="auto"/>
          </w:tcPr>
          <w:p w14:paraId="44C92D75" w14:textId="77777777" w:rsidR="00D5318B" w:rsidRPr="004314C7" w:rsidRDefault="00D5318B" w:rsidP="00CB5139">
            <w:pPr>
              <w:jc w:val="both"/>
              <w:rPr>
                <w:rFonts w:ascii="Arial" w:hAnsi="Arial"/>
                <w:b/>
                <w:bCs/>
                <w:sz w:val="26"/>
                <w:szCs w:val="26"/>
                <w:rtl/>
              </w:rPr>
            </w:pPr>
          </w:p>
        </w:tc>
        <w:tc>
          <w:tcPr>
            <w:tcW w:w="4126" w:type="dxa"/>
            <w:tcBorders>
              <w:top w:val="nil"/>
              <w:left w:val="nil"/>
              <w:bottom w:val="nil"/>
              <w:right w:val="nil"/>
            </w:tcBorders>
            <w:shd w:val="clear" w:color="auto" w:fill="auto"/>
          </w:tcPr>
          <w:p w14:paraId="74E1AEC1" w14:textId="77777777" w:rsidR="00D5318B" w:rsidRPr="004314C7" w:rsidRDefault="00D5318B" w:rsidP="00CB5139">
            <w:pPr>
              <w:jc w:val="both"/>
              <w:rPr>
                <w:b/>
                <w:bCs/>
                <w:sz w:val="26"/>
                <w:szCs w:val="26"/>
                <w:rtl/>
              </w:rPr>
            </w:pPr>
          </w:p>
        </w:tc>
        <w:tc>
          <w:tcPr>
            <w:tcW w:w="3771" w:type="dxa"/>
            <w:tcBorders>
              <w:top w:val="nil"/>
              <w:left w:val="nil"/>
              <w:bottom w:val="nil"/>
              <w:right w:val="nil"/>
            </w:tcBorders>
            <w:shd w:val="clear" w:color="auto" w:fill="auto"/>
          </w:tcPr>
          <w:p w14:paraId="10FA065F" w14:textId="77777777" w:rsidR="00D5318B" w:rsidRPr="004314C7" w:rsidRDefault="00D5318B" w:rsidP="00CB5139">
            <w:pPr>
              <w:jc w:val="right"/>
              <w:rPr>
                <w:rFonts w:ascii="Arial" w:hAnsi="Arial"/>
                <w:b/>
                <w:bCs/>
                <w:sz w:val="26"/>
                <w:szCs w:val="26"/>
                <w:rtl/>
              </w:rPr>
            </w:pPr>
            <w:r w:rsidRPr="004314C7">
              <w:rPr>
                <w:rFonts w:ascii="Arial" w:hAnsi="Arial" w:hint="cs"/>
                <w:b/>
                <w:bCs/>
                <w:sz w:val="26"/>
                <w:szCs w:val="26"/>
                <w:rtl/>
              </w:rPr>
              <w:t>ה</w:t>
            </w:r>
            <w:r w:rsidRPr="004314C7">
              <w:rPr>
                <w:rFonts w:hint="cs"/>
                <w:b/>
                <w:bCs/>
                <w:sz w:val="26"/>
                <w:szCs w:val="26"/>
                <w:rtl/>
              </w:rPr>
              <w:t>מאשימה</w:t>
            </w:r>
          </w:p>
        </w:tc>
      </w:tr>
      <w:tr w:rsidR="004314C7" w:rsidRPr="004314C7" w14:paraId="3A7168A1" w14:textId="77777777" w:rsidTr="00233690">
        <w:trPr>
          <w:trHeight w:val="355"/>
          <w:jc w:val="center"/>
        </w:trPr>
        <w:tc>
          <w:tcPr>
            <w:tcW w:w="8820" w:type="dxa"/>
            <w:gridSpan w:val="3"/>
            <w:tcBorders>
              <w:top w:val="nil"/>
              <w:left w:val="nil"/>
              <w:bottom w:val="nil"/>
              <w:right w:val="nil"/>
            </w:tcBorders>
            <w:shd w:val="clear" w:color="auto" w:fill="auto"/>
          </w:tcPr>
          <w:p w14:paraId="586BC1FF" w14:textId="77777777" w:rsidR="004314C7" w:rsidRPr="004314C7" w:rsidRDefault="004314C7" w:rsidP="00CB5139">
            <w:pPr>
              <w:jc w:val="center"/>
              <w:rPr>
                <w:rFonts w:ascii="Arial" w:hAnsi="Arial"/>
                <w:b/>
                <w:bCs/>
                <w:sz w:val="26"/>
                <w:szCs w:val="26"/>
                <w:rtl/>
              </w:rPr>
            </w:pPr>
          </w:p>
          <w:p w14:paraId="38FE2755" w14:textId="77777777" w:rsidR="004314C7" w:rsidRPr="004314C7" w:rsidRDefault="004314C7" w:rsidP="00CB5139">
            <w:pPr>
              <w:jc w:val="center"/>
              <w:rPr>
                <w:rFonts w:ascii="Arial" w:hAnsi="Arial"/>
                <w:b/>
                <w:bCs/>
                <w:sz w:val="26"/>
                <w:szCs w:val="26"/>
                <w:rtl/>
              </w:rPr>
            </w:pPr>
            <w:r w:rsidRPr="004314C7">
              <w:rPr>
                <w:rFonts w:ascii="Arial" w:hAnsi="Arial"/>
                <w:b/>
                <w:bCs/>
                <w:sz w:val="26"/>
                <w:szCs w:val="26"/>
                <w:rtl/>
              </w:rPr>
              <w:t>נגד</w:t>
            </w:r>
          </w:p>
          <w:p w14:paraId="0937BD9A" w14:textId="77777777" w:rsidR="004314C7" w:rsidRPr="004314C7" w:rsidRDefault="004314C7" w:rsidP="00CB5139">
            <w:pPr>
              <w:jc w:val="both"/>
              <w:rPr>
                <w:rFonts w:ascii="Arial" w:hAnsi="Arial"/>
                <w:b/>
                <w:bCs/>
                <w:sz w:val="26"/>
                <w:szCs w:val="26"/>
              </w:rPr>
            </w:pPr>
          </w:p>
        </w:tc>
      </w:tr>
      <w:tr w:rsidR="00D5318B" w:rsidRPr="004314C7" w14:paraId="2D550C7F" w14:textId="77777777">
        <w:trPr>
          <w:trHeight w:val="355"/>
          <w:jc w:val="center"/>
        </w:trPr>
        <w:tc>
          <w:tcPr>
            <w:tcW w:w="923" w:type="dxa"/>
            <w:tcBorders>
              <w:top w:val="nil"/>
              <w:left w:val="nil"/>
              <w:bottom w:val="nil"/>
              <w:right w:val="nil"/>
            </w:tcBorders>
            <w:shd w:val="clear" w:color="auto" w:fill="auto"/>
          </w:tcPr>
          <w:p w14:paraId="2BC7BE5C" w14:textId="77777777" w:rsidR="00D5318B" w:rsidRPr="004314C7" w:rsidRDefault="00D5318B" w:rsidP="00CB5139">
            <w:pPr>
              <w:rPr>
                <w:rFonts w:ascii="Arial" w:hAnsi="Arial"/>
                <w:b/>
                <w:bCs/>
                <w:sz w:val="26"/>
                <w:szCs w:val="26"/>
                <w:rtl/>
              </w:rPr>
            </w:pPr>
          </w:p>
        </w:tc>
        <w:tc>
          <w:tcPr>
            <w:tcW w:w="4126" w:type="dxa"/>
            <w:tcBorders>
              <w:top w:val="nil"/>
              <w:left w:val="nil"/>
              <w:bottom w:val="nil"/>
              <w:right w:val="nil"/>
            </w:tcBorders>
            <w:shd w:val="clear" w:color="auto" w:fill="auto"/>
          </w:tcPr>
          <w:p w14:paraId="28DE890B" w14:textId="77777777" w:rsidR="00D5318B" w:rsidRPr="004314C7" w:rsidRDefault="00D5318B" w:rsidP="00CB5139">
            <w:pPr>
              <w:rPr>
                <w:b/>
                <w:bCs/>
                <w:sz w:val="26"/>
                <w:szCs w:val="26"/>
                <w:rtl/>
              </w:rPr>
            </w:pPr>
            <w:r w:rsidRPr="004314C7">
              <w:rPr>
                <w:rFonts w:hint="cs"/>
                <w:b/>
                <w:bCs/>
                <w:sz w:val="26"/>
                <w:szCs w:val="26"/>
                <w:rtl/>
              </w:rPr>
              <w:t>זיו דודוב</w:t>
            </w:r>
          </w:p>
        </w:tc>
        <w:tc>
          <w:tcPr>
            <w:tcW w:w="3771" w:type="dxa"/>
            <w:tcBorders>
              <w:top w:val="nil"/>
              <w:left w:val="nil"/>
              <w:bottom w:val="nil"/>
              <w:right w:val="nil"/>
            </w:tcBorders>
            <w:shd w:val="clear" w:color="auto" w:fill="auto"/>
          </w:tcPr>
          <w:p w14:paraId="7C3C389E" w14:textId="77777777" w:rsidR="00D5318B" w:rsidRPr="004314C7" w:rsidRDefault="00D5318B" w:rsidP="00CB5139">
            <w:pPr>
              <w:jc w:val="right"/>
              <w:rPr>
                <w:rFonts w:ascii="Arial" w:hAnsi="Arial"/>
                <w:b/>
                <w:bCs/>
                <w:sz w:val="26"/>
                <w:szCs w:val="26"/>
              </w:rPr>
            </w:pPr>
          </w:p>
        </w:tc>
      </w:tr>
      <w:tr w:rsidR="00D5318B" w:rsidRPr="004314C7" w14:paraId="2D588D94" w14:textId="77777777">
        <w:trPr>
          <w:trHeight w:val="355"/>
          <w:jc w:val="center"/>
        </w:trPr>
        <w:tc>
          <w:tcPr>
            <w:tcW w:w="923" w:type="dxa"/>
            <w:tcBorders>
              <w:top w:val="nil"/>
              <w:left w:val="nil"/>
              <w:bottom w:val="nil"/>
              <w:right w:val="nil"/>
            </w:tcBorders>
            <w:shd w:val="clear" w:color="auto" w:fill="auto"/>
          </w:tcPr>
          <w:p w14:paraId="32CD2ACC" w14:textId="77777777" w:rsidR="00D5318B" w:rsidRPr="004314C7" w:rsidRDefault="00D5318B" w:rsidP="00CB5139">
            <w:pPr>
              <w:jc w:val="both"/>
              <w:rPr>
                <w:rFonts w:ascii="Arial" w:hAnsi="Arial"/>
                <w:b/>
                <w:bCs/>
                <w:sz w:val="26"/>
                <w:szCs w:val="26"/>
                <w:rtl/>
              </w:rPr>
            </w:pPr>
          </w:p>
        </w:tc>
        <w:tc>
          <w:tcPr>
            <w:tcW w:w="4126" w:type="dxa"/>
            <w:tcBorders>
              <w:top w:val="nil"/>
              <w:left w:val="nil"/>
              <w:bottom w:val="nil"/>
              <w:right w:val="nil"/>
            </w:tcBorders>
            <w:shd w:val="clear" w:color="auto" w:fill="auto"/>
          </w:tcPr>
          <w:p w14:paraId="03EF929B" w14:textId="77777777" w:rsidR="00D5318B" w:rsidRPr="004314C7" w:rsidRDefault="00D5318B" w:rsidP="00CB5139">
            <w:pPr>
              <w:jc w:val="both"/>
              <w:rPr>
                <w:b/>
                <w:bCs/>
                <w:sz w:val="26"/>
                <w:szCs w:val="26"/>
                <w:rtl/>
              </w:rPr>
            </w:pPr>
          </w:p>
        </w:tc>
        <w:tc>
          <w:tcPr>
            <w:tcW w:w="3771" w:type="dxa"/>
            <w:tcBorders>
              <w:top w:val="nil"/>
              <w:left w:val="nil"/>
              <w:bottom w:val="nil"/>
              <w:right w:val="nil"/>
            </w:tcBorders>
            <w:shd w:val="clear" w:color="auto" w:fill="auto"/>
          </w:tcPr>
          <w:p w14:paraId="18D7E428" w14:textId="77777777" w:rsidR="00D5318B" w:rsidRPr="004314C7" w:rsidRDefault="00D5318B" w:rsidP="00CB5139">
            <w:pPr>
              <w:jc w:val="right"/>
              <w:rPr>
                <w:rFonts w:ascii="Arial" w:hAnsi="Arial"/>
                <w:b/>
                <w:bCs/>
                <w:sz w:val="26"/>
                <w:szCs w:val="26"/>
              </w:rPr>
            </w:pPr>
            <w:r w:rsidRPr="004314C7">
              <w:rPr>
                <w:rFonts w:ascii="Arial" w:hAnsi="Arial" w:hint="cs"/>
                <w:b/>
                <w:bCs/>
                <w:sz w:val="26"/>
                <w:szCs w:val="26"/>
                <w:rtl/>
              </w:rPr>
              <w:t>ה</w:t>
            </w:r>
            <w:r w:rsidRPr="004314C7">
              <w:rPr>
                <w:rFonts w:hint="cs"/>
                <w:b/>
                <w:bCs/>
                <w:sz w:val="26"/>
                <w:szCs w:val="26"/>
                <w:rtl/>
              </w:rPr>
              <w:t>נאשם</w:t>
            </w:r>
          </w:p>
        </w:tc>
      </w:tr>
    </w:tbl>
    <w:p w14:paraId="393C1F56" w14:textId="77777777" w:rsidR="004314C7" w:rsidRDefault="004314C7" w:rsidP="00D5318B">
      <w:pPr>
        <w:rPr>
          <w:rtl/>
        </w:rPr>
      </w:pPr>
      <w:bookmarkStart w:id="2" w:name="LawTable"/>
      <w:bookmarkEnd w:id="2"/>
    </w:p>
    <w:p w14:paraId="528B0566" w14:textId="77777777" w:rsidR="004314C7" w:rsidRPr="004314C7" w:rsidRDefault="004314C7" w:rsidP="004314C7">
      <w:pPr>
        <w:spacing w:after="120" w:line="240" w:lineRule="exact"/>
        <w:ind w:left="283" w:hanging="283"/>
        <w:jc w:val="both"/>
        <w:rPr>
          <w:rFonts w:ascii="FrankRuehl" w:hAnsi="FrankRuehl" w:cs="FrankRuehl"/>
          <w:rtl/>
        </w:rPr>
      </w:pPr>
    </w:p>
    <w:p w14:paraId="3A5B0E1F" w14:textId="77777777" w:rsidR="004314C7" w:rsidRPr="004314C7" w:rsidRDefault="004314C7" w:rsidP="004314C7">
      <w:pPr>
        <w:spacing w:after="120" w:line="240" w:lineRule="exact"/>
        <w:ind w:left="283" w:hanging="283"/>
        <w:jc w:val="both"/>
        <w:rPr>
          <w:rFonts w:ascii="FrankRuehl" w:hAnsi="FrankRuehl" w:cs="FrankRuehl"/>
          <w:rtl/>
        </w:rPr>
      </w:pPr>
      <w:r w:rsidRPr="004314C7">
        <w:rPr>
          <w:rFonts w:ascii="FrankRuehl" w:hAnsi="FrankRuehl" w:cs="FrankRuehl"/>
          <w:rtl/>
        </w:rPr>
        <w:t xml:space="preserve">חקיקה שאוזכרה: </w:t>
      </w:r>
    </w:p>
    <w:p w14:paraId="52397C99" w14:textId="77777777" w:rsidR="004314C7" w:rsidRPr="004314C7" w:rsidRDefault="004314C7" w:rsidP="004314C7">
      <w:pPr>
        <w:spacing w:after="120" w:line="240" w:lineRule="exact"/>
        <w:ind w:left="283" w:hanging="283"/>
        <w:jc w:val="both"/>
        <w:rPr>
          <w:rFonts w:ascii="FrankRuehl" w:hAnsi="FrankRuehl" w:cs="FrankRuehl"/>
          <w:rtl/>
        </w:rPr>
      </w:pPr>
      <w:hyperlink r:id="rId7" w:history="1">
        <w:r w:rsidRPr="004314C7">
          <w:rPr>
            <w:rFonts w:ascii="FrankRuehl" w:hAnsi="FrankRuehl" w:cs="FrankRuehl"/>
            <w:color w:val="0000FF"/>
            <w:u w:val="single"/>
            <w:rtl/>
          </w:rPr>
          <w:t>פקודת הסמים המסוכנים [נוסח חדש], תשל"ג-1973</w:t>
        </w:r>
      </w:hyperlink>
      <w:r w:rsidRPr="004314C7">
        <w:rPr>
          <w:rFonts w:ascii="FrankRuehl" w:hAnsi="FrankRuehl" w:cs="FrankRuehl"/>
          <w:rtl/>
        </w:rPr>
        <w:t xml:space="preserve">: סע'  </w:t>
      </w:r>
      <w:hyperlink r:id="rId8" w:history="1">
        <w:r w:rsidRPr="004314C7">
          <w:rPr>
            <w:rFonts w:ascii="FrankRuehl" w:hAnsi="FrankRuehl" w:cs="FrankRuehl"/>
            <w:color w:val="0000FF"/>
            <w:u w:val="single"/>
            <w:rtl/>
          </w:rPr>
          <w:t>6</w:t>
        </w:r>
      </w:hyperlink>
      <w:r w:rsidRPr="004314C7">
        <w:rPr>
          <w:rFonts w:ascii="FrankRuehl" w:hAnsi="FrankRuehl" w:cs="FrankRuehl"/>
          <w:rtl/>
        </w:rPr>
        <w:t xml:space="preserve">, </w:t>
      </w:r>
      <w:hyperlink r:id="rId9" w:history="1">
        <w:r w:rsidRPr="004314C7">
          <w:rPr>
            <w:rFonts w:ascii="FrankRuehl" w:hAnsi="FrankRuehl" w:cs="FrankRuehl"/>
            <w:color w:val="0000FF"/>
            <w:u w:val="single"/>
            <w:rtl/>
          </w:rPr>
          <w:t>7.א.</w:t>
        </w:r>
      </w:hyperlink>
      <w:r w:rsidRPr="004314C7">
        <w:rPr>
          <w:rFonts w:ascii="FrankRuehl" w:hAnsi="FrankRuehl" w:cs="FrankRuehl"/>
          <w:rtl/>
        </w:rPr>
        <w:t xml:space="preserve">, </w:t>
      </w:r>
      <w:hyperlink r:id="rId10" w:history="1">
        <w:r w:rsidRPr="004314C7">
          <w:rPr>
            <w:rFonts w:ascii="FrankRuehl" w:hAnsi="FrankRuehl" w:cs="FrankRuehl"/>
            <w:color w:val="0000FF"/>
            <w:u w:val="single"/>
            <w:rtl/>
          </w:rPr>
          <w:t>7.ג</w:t>
        </w:r>
      </w:hyperlink>
      <w:r w:rsidRPr="004314C7">
        <w:rPr>
          <w:rFonts w:ascii="FrankRuehl" w:hAnsi="FrankRuehl" w:cs="FrankRuehl"/>
          <w:rtl/>
        </w:rPr>
        <w:t xml:space="preserve">, </w:t>
      </w:r>
      <w:hyperlink r:id="rId11" w:history="1">
        <w:r w:rsidRPr="004314C7">
          <w:rPr>
            <w:rFonts w:ascii="FrankRuehl" w:hAnsi="FrankRuehl" w:cs="FrankRuehl"/>
            <w:color w:val="0000FF"/>
            <w:u w:val="single"/>
            <w:rtl/>
          </w:rPr>
          <w:t>10</w:t>
        </w:r>
      </w:hyperlink>
    </w:p>
    <w:p w14:paraId="026DE269" w14:textId="77777777" w:rsidR="004314C7" w:rsidRPr="004314C7" w:rsidRDefault="004314C7" w:rsidP="004314C7">
      <w:pPr>
        <w:spacing w:after="120" w:line="240" w:lineRule="exact"/>
        <w:ind w:left="283" w:hanging="283"/>
        <w:jc w:val="both"/>
        <w:rPr>
          <w:rFonts w:ascii="FrankRuehl" w:hAnsi="FrankRuehl" w:cs="FrankRuehl"/>
          <w:rtl/>
        </w:rPr>
      </w:pPr>
      <w:hyperlink r:id="rId12" w:history="1">
        <w:r w:rsidRPr="004314C7">
          <w:rPr>
            <w:rFonts w:ascii="FrankRuehl" w:hAnsi="FrankRuehl" w:cs="FrankRuehl"/>
            <w:color w:val="0000FF"/>
            <w:u w:val="single"/>
            <w:rtl/>
          </w:rPr>
          <w:t>חוק העונשין, תשל"ז-1977</w:t>
        </w:r>
      </w:hyperlink>
      <w:r w:rsidRPr="004314C7">
        <w:rPr>
          <w:rFonts w:ascii="FrankRuehl" w:hAnsi="FrankRuehl" w:cs="FrankRuehl"/>
          <w:rtl/>
        </w:rPr>
        <w:t xml:space="preserve">: סע'  </w:t>
      </w:r>
      <w:hyperlink r:id="rId13" w:history="1">
        <w:r w:rsidRPr="004314C7">
          <w:rPr>
            <w:rFonts w:ascii="FrankRuehl" w:hAnsi="FrankRuehl" w:cs="FrankRuehl"/>
            <w:color w:val="0000FF"/>
            <w:u w:val="single"/>
            <w:rtl/>
          </w:rPr>
          <w:t>40ד'</w:t>
        </w:r>
      </w:hyperlink>
    </w:p>
    <w:p w14:paraId="4C938E0A" w14:textId="77777777" w:rsidR="004314C7" w:rsidRDefault="004314C7" w:rsidP="004314C7">
      <w:pPr>
        <w:spacing w:after="120" w:line="240" w:lineRule="exact"/>
        <w:ind w:left="283" w:hanging="283"/>
        <w:jc w:val="both"/>
        <w:rPr>
          <w:rFonts w:ascii="FrankRuehl" w:hAnsi="FrankRuehl" w:cs="FrankRuehl" w:hint="cs"/>
          <w:rtl/>
        </w:rPr>
      </w:pPr>
    </w:p>
    <w:p w14:paraId="53BD02CE"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sidRPr="00673C3F">
        <w:rPr>
          <w:rFonts w:cs="FrankRuehl" w:hint="cs"/>
          <w:szCs w:val="26"/>
          <w:rtl/>
        </w:rPr>
        <w:t>מיני-רציו:</w:t>
      </w:r>
    </w:p>
    <w:p w14:paraId="15217C45"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sidRPr="00673C3F">
        <w:rPr>
          <w:rFonts w:cs="FrankRuehl" w:hint="cs"/>
          <w:szCs w:val="26"/>
          <w:rtl/>
        </w:rPr>
        <w:t xml:space="preserve">* ביהמ"ש גזר את דינו של נאשם שהורשע בעבירות של גידול סמים, החזקת כלים להכנת סם שלא לצריכה עצמית וכן החזקת סם לשימוש עצמי. הוטלו על הנאשם 5 חודשי מאסר לריצוי בדרך של </w:t>
      </w:r>
      <w:r w:rsidRPr="00673C3F">
        <w:rPr>
          <w:rFonts w:cs="FrankRuehl"/>
          <w:szCs w:val="26"/>
          <w:rtl/>
        </w:rPr>
        <w:t>עבודות שירות</w:t>
      </w:r>
      <w:r w:rsidRPr="00673C3F">
        <w:rPr>
          <w:rFonts w:cs="FrankRuehl" w:hint="cs"/>
          <w:szCs w:val="26"/>
          <w:rtl/>
        </w:rPr>
        <w:t>, לצד עונשים נלווים.</w:t>
      </w:r>
    </w:p>
    <w:p w14:paraId="40A917F7"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sidRPr="00673C3F">
        <w:rPr>
          <w:rFonts w:cs="FrankRuehl" w:hint="cs"/>
          <w:szCs w:val="26"/>
          <w:rtl/>
        </w:rPr>
        <w:t xml:space="preserve">* </w:t>
      </w:r>
      <w:r w:rsidRPr="00673C3F">
        <w:rPr>
          <w:rFonts w:cs="FrankRuehl"/>
          <w:szCs w:val="26"/>
          <w:rtl/>
        </w:rPr>
        <w:t>עונשין – ענישה – מדיניות ענישה: עבירות סמים</w:t>
      </w:r>
    </w:p>
    <w:p w14:paraId="320941B6"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sidRPr="00673C3F">
        <w:rPr>
          <w:rFonts w:cs="FrankRuehl" w:hint="cs"/>
          <w:szCs w:val="26"/>
          <w:rtl/>
        </w:rPr>
        <w:t xml:space="preserve">* </w:t>
      </w:r>
      <w:r w:rsidRPr="00673C3F">
        <w:rPr>
          <w:rFonts w:cs="FrankRuehl"/>
          <w:szCs w:val="26"/>
          <w:rtl/>
        </w:rPr>
        <w:t>עונשין – ענישה – מדיניות ענישה: שיקום</w:t>
      </w:r>
    </w:p>
    <w:p w14:paraId="282ABAEF"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52382C" w14:textId="77777777" w:rsidR="00673C3F" w:rsidRPr="00673C3F" w:rsidRDefault="00673C3F" w:rsidP="00673C3F">
      <w:pPr>
        <w:pBdr>
          <w:top w:val="single" w:sz="4" w:space="1" w:color="auto"/>
          <w:bottom w:val="single" w:sz="4" w:space="1" w:color="auto"/>
        </w:pBdr>
        <w:spacing w:after="120" w:line="320" w:lineRule="exact"/>
        <w:jc w:val="both"/>
        <w:rPr>
          <w:rFonts w:cs="FrankRuehl"/>
          <w:szCs w:val="26"/>
        </w:rPr>
      </w:pPr>
      <w:r w:rsidRPr="00673C3F">
        <w:rPr>
          <w:rFonts w:cs="FrankRuehl" w:hint="cs"/>
          <w:szCs w:val="26"/>
          <w:rtl/>
        </w:rPr>
        <w:t xml:space="preserve">הנאשם הורשע על פי הודאתו בעבירות של גידול סמים, החזקת כלים להכנת סם שלא לצריכה עצמית וכן החזקת סם לשימוש עצמי. </w:t>
      </w:r>
    </w:p>
    <w:p w14:paraId="0F419F31"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384DEE9"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sidRPr="00673C3F">
        <w:rPr>
          <w:rFonts w:cs="FrankRuehl" w:hint="cs"/>
          <w:szCs w:val="26"/>
          <w:rtl/>
        </w:rPr>
        <w:t>בית המשפט גזר את דינו של הנאשם, ופסק כלהלן:</w:t>
      </w:r>
    </w:p>
    <w:p w14:paraId="7B686EC0" w14:textId="77777777" w:rsidR="00673C3F" w:rsidRPr="00673C3F" w:rsidRDefault="00673C3F" w:rsidP="00673C3F">
      <w:pPr>
        <w:pBdr>
          <w:top w:val="single" w:sz="4" w:space="1" w:color="auto"/>
          <w:bottom w:val="single" w:sz="4" w:space="1" w:color="auto"/>
        </w:pBdr>
        <w:spacing w:after="120" w:line="320" w:lineRule="exact"/>
        <w:jc w:val="both"/>
        <w:rPr>
          <w:rFonts w:eastAsia="Calibri" w:cs="FrankRuehl" w:hint="cs"/>
          <w:szCs w:val="26"/>
          <w:rtl/>
        </w:rPr>
      </w:pPr>
      <w:r w:rsidRPr="00673C3F">
        <w:rPr>
          <w:rFonts w:eastAsia="Calibri" w:cs="FrankRuehl"/>
          <w:szCs w:val="26"/>
          <w:rtl/>
        </w:rPr>
        <w:t>מתחם הענישה ההולם</w:t>
      </w:r>
      <w:r w:rsidRPr="00673C3F">
        <w:rPr>
          <w:rFonts w:eastAsia="Calibri" w:cs="FrankRuehl" w:hint="cs"/>
          <w:szCs w:val="26"/>
          <w:rtl/>
        </w:rPr>
        <w:t xml:space="preserve"> </w:t>
      </w:r>
      <w:r w:rsidRPr="00673C3F">
        <w:rPr>
          <w:rFonts w:eastAsia="Calibri" w:cs="FrankRuehl"/>
          <w:szCs w:val="26"/>
          <w:rtl/>
        </w:rPr>
        <w:t xml:space="preserve">נע בין 8 חודשי מאסר בפועל ועד </w:t>
      </w:r>
      <w:r w:rsidRPr="00673C3F">
        <w:rPr>
          <w:rFonts w:eastAsia="Calibri" w:cs="FrankRuehl" w:hint="cs"/>
          <w:szCs w:val="26"/>
          <w:rtl/>
        </w:rPr>
        <w:t xml:space="preserve">20 </w:t>
      </w:r>
      <w:r w:rsidRPr="00673C3F">
        <w:rPr>
          <w:rFonts w:eastAsia="Calibri" w:cs="FrankRuehl"/>
          <w:szCs w:val="26"/>
          <w:rtl/>
        </w:rPr>
        <w:t xml:space="preserve">חודשי מאסר בפועל. </w:t>
      </w:r>
      <w:r w:rsidRPr="00673C3F">
        <w:rPr>
          <w:rFonts w:cs="FrankRuehl"/>
          <w:szCs w:val="26"/>
          <w:rtl/>
        </w:rPr>
        <w:t xml:space="preserve">בהתאם </w:t>
      </w:r>
      <w:hyperlink r:id="rId14" w:history="1">
        <w:r w:rsidRPr="00673C3F">
          <w:rPr>
            <w:rFonts w:cs="FrankRuehl"/>
            <w:szCs w:val="26"/>
            <w:rtl/>
          </w:rPr>
          <w:t>לסעיף 40ד</w:t>
        </w:r>
      </w:hyperlink>
      <w:r w:rsidRPr="00673C3F">
        <w:rPr>
          <w:rFonts w:cs="FrankRuehl"/>
          <w:szCs w:val="26"/>
          <w:rtl/>
        </w:rPr>
        <w:t xml:space="preserve"> ל</w:t>
      </w:r>
      <w:hyperlink r:id="rId15" w:history="1">
        <w:r w:rsidRPr="00673C3F">
          <w:rPr>
            <w:rFonts w:cs="FrankRuehl"/>
            <w:szCs w:val="26"/>
            <w:rtl/>
          </w:rPr>
          <w:t>חוק העונשין</w:t>
        </w:r>
      </w:hyperlink>
      <w:r w:rsidRPr="00673C3F">
        <w:rPr>
          <w:rFonts w:cs="FrankRuehl"/>
          <w:szCs w:val="26"/>
          <w:rtl/>
        </w:rPr>
        <w:t>, רשאי בית המשפט לחרוג לקולה ממתחם הענישה שקבע, אם מצא כי "הנאשם השתקם או כי יש סיכוי של ממש שישתקם".</w:t>
      </w:r>
    </w:p>
    <w:p w14:paraId="706DC158" w14:textId="77777777" w:rsidR="00673C3F" w:rsidRPr="00673C3F" w:rsidRDefault="00673C3F" w:rsidP="00673C3F">
      <w:pPr>
        <w:pBdr>
          <w:top w:val="single" w:sz="4" w:space="1" w:color="auto"/>
          <w:bottom w:val="single" w:sz="4" w:space="1" w:color="auto"/>
        </w:pBdr>
        <w:spacing w:after="120" w:line="320" w:lineRule="exact"/>
        <w:jc w:val="both"/>
        <w:rPr>
          <w:rFonts w:cs="FrankRuehl"/>
          <w:szCs w:val="26"/>
        </w:rPr>
      </w:pPr>
      <w:r w:rsidRPr="00673C3F">
        <w:rPr>
          <w:rFonts w:cs="FrankRuehl" w:hint="cs"/>
          <w:szCs w:val="26"/>
          <w:rtl/>
        </w:rPr>
        <w:t xml:space="preserve">לאחר עיון בתסקירי שירות המבחן ובחינת נסיבות המקרה בכללותו, יש לקבוע כי בעניינו של הנאשם יש להעדיף את הפן השיקומי ולסטות בשל כך ממתחם הענישה. הסטייה לא תהיה בצורה ניכרת, ובעיקרה תתבטא בכך שלא יוטל על הנאשם עונש מאסר בכליאה, אלא בעבודות שירות. </w:t>
      </w:r>
    </w:p>
    <w:p w14:paraId="3D9F4814" w14:textId="77777777" w:rsidR="00673C3F" w:rsidRPr="00673C3F" w:rsidRDefault="00673C3F" w:rsidP="00673C3F">
      <w:pPr>
        <w:pBdr>
          <w:top w:val="single" w:sz="4" w:space="1" w:color="auto"/>
          <w:bottom w:val="single" w:sz="4" w:space="1" w:color="auto"/>
        </w:pBdr>
        <w:spacing w:after="120" w:line="320" w:lineRule="exact"/>
        <w:jc w:val="both"/>
        <w:rPr>
          <w:rFonts w:cs="FrankRuehl" w:hint="cs"/>
          <w:szCs w:val="26"/>
          <w:rtl/>
        </w:rPr>
      </w:pPr>
      <w:r w:rsidRPr="00673C3F">
        <w:rPr>
          <w:rFonts w:cs="FrankRuehl" w:hint="cs"/>
          <w:szCs w:val="26"/>
          <w:rtl/>
        </w:rPr>
        <w:lastRenderedPageBreak/>
        <w:t xml:space="preserve">ביהמ"ש הטיל על הנאשם 5 חודשי מאסר לריצוי בדרך של </w:t>
      </w:r>
      <w:r w:rsidRPr="00673C3F">
        <w:rPr>
          <w:rFonts w:cs="FrankRuehl"/>
          <w:szCs w:val="26"/>
          <w:rtl/>
        </w:rPr>
        <w:t>עבודות שירות</w:t>
      </w:r>
      <w:r w:rsidRPr="00673C3F">
        <w:rPr>
          <w:rFonts w:cs="FrankRuehl" w:hint="cs"/>
          <w:szCs w:val="26"/>
          <w:rtl/>
        </w:rPr>
        <w:t xml:space="preserve">, </w:t>
      </w:r>
      <w:r w:rsidRPr="00673C3F">
        <w:rPr>
          <w:rFonts w:cs="FrankRuehl"/>
          <w:szCs w:val="26"/>
          <w:rtl/>
        </w:rPr>
        <w:t>מאסר על תנאי</w:t>
      </w:r>
      <w:r w:rsidRPr="00673C3F">
        <w:rPr>
          <w:rFonts w:cs="FrankRuehl" w:hint="cs"/>
          <w:szCs w:val="26"/>
          <w:rtl/>
        </w:rPr>
        <w:t>, צו מבחן ו</w:t>
      </w:r>
      <w:r w:rsidRPr="00673C3F">
        <w:rPr>
          <w:rFonts w:cs="FrankRuehl"/>
          <w:szCs w:val="26"/>
          <w:rtl/>
        </w:rPr>
        <w:t xml:space="preserve">קנס בסך </w:t>
      </w:r>
      <w:r w:rsidRPr="00673C3F">
        <w:rPr>
          <w:rFonts w:cs="FrankRuehl" w:hint="cs"/>
          <w:szCs w:val="26"/>
          <w:rtl/>
        </w:rPr>
        <w:t>4000</w:t>
      </w:r>
      <w:r w:rsidRPr="00673C3F">
        <w:rPr>
          <w:rFonts w:cs="FrankRuehl"/>
          <w:szCs w:val="26"/>
          <w:rtl/>
        </w:rPr>
        <w:t xml:space="preserve"> ₪</w:t>
      </w:r>
      <w:r w:rsidRPr="00673C3F">
        <w:rPr>
          <w:rFonts w:cs="FrankRuehl" w:hint="cs"/>
          <w:szCs w:val="26"/>
          <w:rtl/>
        </w:rPr>
        <w:t>.</w:t>
      </w:r>
    </w:p>
    <w:p w14:paraId="229CEB87" w14:textId="77777777" w:rsidR="00D5318B" w:rsidRPr="00CB5139" w:rsidRDefault="00D5318B" w:rsidP="00D5318B">
      <w:bookmarkStart w:id="4" w:name="LawTable_End"/>
      <w:bookmarkStart w:id="5" w:name="ABSTRACT_END"/>
      <w:bookmarkEnd w:id="4"/>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5318B" w14:paraId="23821ECF" w14:textId="77777777">
        <w:trPr>
          <w:trHeight w:val="355"/>
          <w:jc w:val="center"/>
        </w:trPr>
        <w:tc>
          <w:tcPr>
            <w:tcW w:w="8820" w:type="dxa"/>
            <w:tcBorders>
              <w:top w:val="nil"/>
              <w:left w:val="nil"/>
              <w:bottom w:val="nil"/>
              <w:right w:val="nil"/>
            </w:tcBorders>
            <w:shd w:val="clear" w:color="auto" w:fill="auto"/>
          </w:tcPr>
          <w:p w14:paraId="79045FB9" w14:textId="77777777" w:rsidR="00CB5139" w:rsidRPr="00CB5139" w:rsidRDefault="00CB5139" w:rsidP="00CB5139">
            <w:pPr>
              <w:jc w:val="center"/>
              <w:rPr>
                <w:rFonts w:ascii="Arial" w:hAnsi="Arial"/>
                <w:b/>
                <w:bCs/>
                <w:sz w:val="32"/>
                <w:szCs w:val="32"/>
                <w:u w:val="single"/>
                <w:rtl/>
              </w:rPr>
            </w:pPr>
            <w:bookmarkStart w:id="6" w:name="PsakDin" w:colFirst="0" w:colLast="0"/>
            <w:bookmarkEnd w:id="0"/>
            <w:r w:rsidRPr="00CB5139">
              <w:rPr>
                <w:rFonts w:ascii="Arial" w:hAnsi="Arial"/>
                <w:b/>
                <w:bCs/>
                <w:sz w:val="32"/>
                <w:szCs w:val="32"/>
                <w:u w:val="single"/>
                <w:rtl/>
              </w:rPr>
              <w:t>גזר דין</w:t>
            </w:r>
          </w:p>
          <w:p w14:paraId="37D93990" w14:textId="77777777" w:rsidR="00D5318B" w:rsidRPr="00CB5139" w:rsidRDefault="00D5318B" w:rsidP="00CB5139">
            <w:pPr>
              <w:jc w:val="center"/>
              <w:rPr>
                <w:rFonts w:ascii="Arial" w:hAnsi="Arial"/>
                <w:bCs/>
                <w:sz w:val="32"/>
                <w:szCs w:val="32"/>
                <w:u w:val="single"/>
                <w:rtl/>
              </w:rPr>
            </w:pPr>
          </w:p>
        </w:tc>
      </w:tr>
      <w:bookmarkEnd w:id="6"/>
    </w:tbl>
    <w:p w14:paraId="51E4A857" w14:textId="77777777" w:rsidR="00D5318B" w:rsidRPr="00B05847" w:rsidRDefault="00D5318B" w:rsidP="00D5318B">
      <w:pPr>
        <w:rPr>
          <w:rFonts w:ascii="Arial" w:hAnsi="Arial"/>
          <w:rtl/>
        </w:rPr>
      </w:pPr>
    </w:p>
    <w:p w14:paraId="4C1AF3D6" w14:textId="77777777" w:rsidR="00D5318B" w:rsidRPr="00B05847" w:rsidRDefault="00D5318B" w:rsidP="00D5318B">
      <w:pPr>
        <w:rPr>
          <w:rFonts w:ascii="Arial" w:hAnsi="Arial"/>
          <w:rtl/>
        </w:rPr>
      </w:pPr>
    </w:p>
    <w:p w14:paraId="4109379A" w14:textId="77777777" w:rsidR="00D5318B" w:rsidRDefault="00D5318B" w:rsidP="00D5318B">
      <w:pPr>
        <w:ind w:firstLine="360"/>
        <w:rPr>
          <w:b/>
          <w:bCs/>
          <w:u w:val="single"/>
          <w:rtl/>
        </w:rPr>
      </w:pPr>
      <w:r>
        <w:rPr>
          <w:rFonts w:hint="cs"/>
          <w:b/>
          <w:bCs/>
          <w:u w:val="single"/>
          <w:rtl/>
        </w:rPr>
        <w:t xml:space="preserve">כתב האישום </w:t>
      </w:r>
    </w:p>
    <w:p w14:paraId="19A6E723" w14:textId="77777777" w:rsidR="00D5318B" w:rsidRDefault="00D5318B" w:rsidP="00D5318B">
      <w:pPr>
        <w:rPr>
          <w:rtl/>
        </w:rPr>
      </w:pPr>
    </w:p>
    <w:p w14:paraId="32FDFB8A" w14:textId="77777777" w:rsidR="00D5318B" w:rsidRDefault="00D5318B" w:rsidP="00D5318B">
      <w:pPr>
        <w:rPr>
          <w:rtl/>
        </w:rPr>
      </w:pPr>
    </w:p>
    <w:p w14:paraId="54A79E18" w14:textId="77777777" w:rsidR="00D5318B" w:rsidRDefault="00D5318B" w:rsidP="00D5318B">
      <w:pPr>
        <w:numPr>
          <w:ilvl w:val="0"/>
          <w:numId w:val="1"/>
        </w:numPr>
        <w:spacing w:line="360" w:lineRule="auto"/>
        <w:contextualSpacing/>
        <w:jc w:val="both"/>
      </w:pPr>
      <w:r>
        <w:rPr>
          <w:rFonts w:hint="cs"/>
          <w:rtl/>
        </w:rPr>
        <w:t xml:space="preserve">הנאשם הורשע על פי הודאתו בעבירות של גידול סמים, לפי </w:t>
      </w:r>
      <w:hyperlink r:id="rId16" w:history="1">
        <w:r w:rsidR="007C2B33" w:rsidRPr="007C2B33">
          <w:rPr>
            <w:color w:val="0000FF"/>
            <w:u w:val="single"/>
            <w:rtl/>
          </w:rPr>
          <w:t>סעיף 6</w:t>
        </w:r>
      </w:hyperlink>
      <w:r>
        <w:rPr>
          <w:rFonts w:hint="cs"/>
          <w:rtl/>
        </w:rPr>
        <w:t xml:space="preserve"> ל</w:t>
      </w:r>
      <w:hyperlink r:id="rId17" w:history="1">
        <w:r w:rsidR="00CB5139" w:rsidRPr="00CB5139">
          <w:rPr>
            <w:color w:val="0000FF"/>
            <w:u w:val="single"/>
            <w:rtl/>
          </w:rPr>
          <w:t>פקודת הסמים המסוכנים</w:t>
        </w:r>
      </w:hyperlink>
      <w:r>
        <w:rPr>
          <w:rFonts w:hint="cs"/>
          <w:rtl/>
        </w:rPr>
        <w:t xml:space="preserve"> (נוסח חדש) תשל"ג-1973 (להלן: "פקודת הסמים"); החזקת כלים להכנת סם שלא לצריכה עצמית, לפי </w:t>
      </w:r>
      <w:hyperlink r:id="rId18" w:history="1">
        <w:r w:rsidR="007C2B33" w:rsidRPr="007C2B33">
          <w:rPr>
            <w:color w:val="0000FF"/>
            <w:u w:val="single"/>
            <w:rtl/>
          </w:rPr>
          <w:t>סעיף 10</w:t>
        </w:r>
      </w:hyperlink>
      <w:r>
        <w:rPr>
          <w:rFonts w:hint="cs"/>
          <w:rtl/>
        </w:rPr>
        <w:t xml:space="preserve"> לפקודת הסמים; וכן החזקת סם לשימוש עצמי לפי </w:t>
      </w:r>
      <w:hyperlink r:id="rId19" w:history="1">
        <w:r w:rsidR="007C2B33" w:rsidRPr="007C2B33">
          <w:rPr>
            <w:color w:val="0000FF"/>
            <w:u w:val="single"/>
            <w:rtl/>
          </w:rPr>
          <w:t>סעיף 7(א)+(ג)</w:t>
        </w:r>
      </w:hyperlink>
      <w:r>
        <w:rPr>
          <w:rFonts w:hint="cs"/>
          <w:rtl/>
        </w:rPr>
        <w:t xml:space="preserve"> סיפא לפקודת הסמים. </w:t>
      </w:r>
    </w:p>
    <w:p w14:paraId="3D68EB11" w14:textId="77777777" w:rsidR="00D5318B" w:rsidRDefault="00D5318B" w:rsidP="00D5318B">
      <w:pPr>
        <w:spacing w:line="360" w:lineRule="auto"/>
        <w:ind w:left="720"/>
        <w:contextualSpacing/>
        <w:jc w:val="both"/>
      </w:pPr>
    </w:p>
    <w:p w14:paraId="7D0EB7AD" w14:textId="77777777" w:rsidR="00D5318B" w:rsidRPr="00A73252" w:rsidRDefault="00D5318B" w:rsidP="00D5318B">
      <w:pPr>
        <w:numPr>
          <w:ilvl w:val="0"/>
          <w:numId w:val="1"/>
        </w:numPr>
        <w:spacing w:line="360" w:lineRule="auto"/>
        <w:contextualSpacing/>
        <w:jc w:val="both"/>
        <w:rPr>
          <w:rtl/>
        </w:rPr>
      </w:pPr>
      <w:r w:rsidRPr="00A73252">
        <w:rPr>
          <w:rFonts w:hint="cs"/>
          <w:rtl/>
        </w:rPr>
        <w:t xml:space="preserve">בהתאם לעובדות </w:t>
      </w:r>
      <w:r>
        <w:rPr>
          <w:rFonts w:hint="cs"/>
          <w:rtl/>
        </w:rPr>
        <w:t xml:space="preserve">האישום, ביום 20.2.16 גידל הנאשם 20 שתילים של סם מסוג קנבוס במשקל כולל של 6.968 ק"ג וכן החזיק בכלים הבאים לצורך גידולם: מנורות חימום, שנאים, טיימרים דיגיטאליים, חומרי דישון ומכשיר ייבוש. כמו כן במעמד זה נמצא הנאשם מחזיק בסם מסוג קנבוס במשקל 0.72 גרם לשימוש עצמי.  </w:t>
      </w:r>
      <w:r w:rsidRPr="00A73252">
        <w:rPr>
          <w:rFonts w:hint="cs"/>
          <w:rtl/>
        </w:rPr>
        <w:t xml:space="preserve"> </w:t>
      </w:r>
    </w:p>
    <w:p w14:paraId="38A95325" w14:textId="77777777" w:rsidR="00D5318B" w:rsidRDefault="00D5318B" w:rsidP="00D5318B">
      <w:pPr>
        <w:spacing w:line="360" w:lineRule="auto"/>
        <w:ind w:left="720"/>
        <w:contextualSpacing/>
        <w:jc w:val="both"/>
        <w:rPr>
          <w:b/>
          <w:bCs/>
          <w:u w:val="single"/>
          <w:rtl/>
        </w:rPr>
      </w:pPr>
    </w:p>
    <w:p w14:paraId="52E7907A" w14:textId="77777777" w:rsidR="00D5318B" w:rsidRDefault="00D5318B" w:rsidP="00D5318B">
      <w:pPr>
        <w:spacing w:line="360" w:lineRule="auto"/>
        <w:ind w:firstLine="360"/>
        <w:contextualSpacing/>
        <w:jc w:val="both"/>
        <w:rPr>
          <w:b/>
          <w:bCs/>
          <w:u w:val="single"/>
          <w:rtl/>
        </w:rPr>
      </w:pPr>
      <w:r>
        <w:rPr>
          <w:rFonts w:hint="cs"/>
          <w:b/>
          <w:bCs/>
          <w:u w:val="single"/>
          <w:rtl/>
        </w:rPr>
        <w:t>תסקיר שירות המבחן</w:t>
      </w:r>
    </w:p>
    <w:p w14:paraId="189E7097" w14:textId="77777777" w:rsidR="00D5318B" w:rsidRDefault="00D5318B" w:rsidP="00D5318B">
      <w:pPr>
        <w:spacing w:line="360" w:lineRule="auto"/>
        <w:contextualSpacing/>
        <w:jc w:val="both"/>
        <w:rPr>
          <w:b/>
          <w:bCs/>
          <w:u w:val="single"/>
          <w:rtl/>
        </w:rPr>
      </w:pPr>
    </w:p>
    <w:p w14:paraId="11520349" w14:textId="77777777" w:rsidR="00D5318B" w:rsidRDefault="00D5318B" w:rsidP="00D5318B">
      <w:pPr>
        <w:pStyle w:val="ListParagraph"/>
        <w:numPr>
          <w:ilvl w:val="0"/>
          <w:numId w:val="1"/>
        </w:numPr>
        <w:spacing w:line="360" w:lineRule="auto"/>
        <w:jc w:val="both"/>
        <w:rPr>
          <w:rFonts w:cs="David"/>
        </w:rPr>
      </w:pPr>
      <w:r>
        <w:rPr>
          <w:rFonts w:cs="David" w:hint="cs"/>
          <w:rtl/>
        </w:rPr>
        <w:t xml:space="preserve">שירות המבחן הגיש בעניינו של הנאשם תסקיר בו פורטו נסיבות חייו, הכוללות משבר עלייה; גירושי הוריו; נשירה מלימודים; התמכרות לאלכוהול וסמים; מחלה כרונית קשה; וחבירה לחברה שולית. חרף כל זאת, התרשם שירות המבחן שהנאשם הצליח לנהל אורח חיים תקין יחסית ואף שמר על רצף תעסוקתי. ביחס לביצוע העבירות, התרשם שירות המבחן מנטילת אחריות </w:t>
      </w:r>
      <w:r w:rsidRPr="008E0DDB">
        <w:rPr>
          <w:rFonts w:cs="Miriam" w:hint="cs"/>
          <w:rtl/>
        </w:rPr>
        <w:t>"</w:t>
      </w:r>
      <w:r w:rsidRPr="00292803">
        <w:rPr>
          <w:rFonts w:cs="Miriam" w:hint="cs"/>
          <w:rtl/>
        </w:rPr>
        <w:t>כנה ועמוקה"</w:t>
      </w:r>
      <w:r>
        <w:rPr>
          <w:rFonts w:cs="David" w:hint="cs"/>
          <w:rtl/>
        </w:rPr>
        <w:t xml:space="preserve"> המשולבת בחרטה, צער ותחושת בושה. שירות המבחן התרשם מנזקקות טיפולית וממוטיבציה של הנאשם להליך גמילה ובשתי בדיקות שתן שבוצעו לנאשם לא נמצאו שרידי סם. הנאשם שולב ביחידה לטיפול בהתמכרויות, וצוין כי הוא משתף פעולה, מגויס לתהליך ושומר על ניקיון מסמים. צוין עוד כי נערכה עבורו תכנית שיקומית מקיפה, הכוללת שמירה על ניקיון מסמים ואלכוהול, מציאת מקור הכנסה נוסף לצמצום חובות והשלמת השכלה. לאור כך, סבר שירות המבחן כי המשך ההליך יביא להפחתה בסיכון הטמון בו והמליץ על העמדת הנאשם בצו מבחן למשך 18 חודשים בשילוב עונש מאסר בעבודות שירות. </w:t>
      </w:r>
    </w:p>
    <w:p w14:paraId="1254C45D" w14:textId="77777777" w:rsidR="00D5318B" w:rsidRPr="00E50800" w:rsidRDefault="00D5318B" w:rsidP="00D5318B">
      <w:pPr>
        <w:spacing w:line="360" w:lineRule="auto"/>
        <w:jc w:val="both"/>
        <w:rPr>
          <w:rtl/>
        </w:rPr>
      </w:pPr>
    </w:p>
    <w:p w14:paraId="58FDEA24" w14:textId="77777777" w:rsidR="00D5318B" w:rsidRDefault="00D5318B" w:rsidP="00D5318B">
      <w:pPr>
        <w:spacing w:line="360" w:lineRule="auto"/>
        <w:ind w:firstLine="360"/>
        <w:contextualSpacing/>
        <w:jc w:val="both"/>
        <w:rPr>
          <w:b/>
          <w:bCs/>
          <w:u w:val="single"/>
          <w:rtl/>
        </w:rPr>
      </w:pPr>
      <w:r>
        <w:rPr>
          <w:rFonts w:hint="cs"/>
          <w:b/>
          <w:bCs/>
          <w:u w:val="single"/>
          <w:rtl/>
        </w:rPr>
        <w:t>טיעוני הצדדים לעונש</w:t>
      </w:r>
    </w:p>
    <w:p w14:paraId="200C566D" w14:textId="77777777" w:rsidR="00D5318B" w:rsidRDefault="00D5318B" w:rsidP="00D5318B">
      <w:pPr>
        <w:spacing w:line="360" w:lineRule="auto"/>
        <w:ind w:left="720"/>
        <w:contextualSpacing/>
        <w:jc w:val="both"/>
        <w:rPr>
          <w:b/>
          <w:bCs/>
          <w:u w:val="single"/>
          <w:rtl/>
        </w:rPr>
      </w:pPr>
    </w:p>
    <w:p w14:paraId="145C43EE" w14:textId="77777777" w:rsidR="00D5318B" w:rsidRDefault="00D5318B" w:rsidP="00D5318B">
      <w:pPr>
        <w:numPr>
          <w:ilvl w:val="0"/>
          <w:numId w:val="1"/>
        </w:numPr>
        <w:spacing w:line="360" w:lineRule="auto"/>
        <w:contextualSpacing/>
        <w:jc w:val="both"/>
      </w:pPr>
      <w:r w:rsidRPr="00C95B30">
        <w:rPr>
          <w:rFonts w:hint="cs"/>
          <w:rtl/>
        </w:rPr>
        <w:lastRenderedPageBreak/>
        <w:t xml:space="preserve">ב"כ המאשימה </w:t>
      </w:r>
      <w:r>
        <w:rPr>
          <w:rFonts w:hint="cs"/>
          <w:rtl/>
        </w:rPr>
        <w:t xml:space="preserve">טען כי במעשיו פגע הנאשם בערכים המוגנים של שלום הציבור ובריאותו, שעה שהיה חלק משרשרת הפצת הסם. כן הפנתה המאשימה לתכנון המתחייב בעבירה זו ולשימוש בכלים שונים ומגוונים לצורך כך. מכאן נטען כי מתחם העונש ההולם נע בין 8-20 חודשי מאסר בפועל. ביחס לעונש הראוי שיש להטיל על הנאשם סברה המאשימה כי לא ניתן ללמוד מהתסקירים על שיקום ממשי של הנאשם ועל כן אין לסטות מהמתחם ההולם ויש להטיל עליו עונש מאסר בפועל לצד מאסר על תנאי, קנס ופסילת רישיון. </w:t>
      </w:r>
    </w:p>
    <w:p w14:paraId="32A6BB02" w14:textId="77777777" w:rsidR="00D5318B" w:rsidRDefault="00D5318B" w:rsidP="00D5318B">
      <w:pPr>
        <w:spacing w:line="360" w:lineRule="auto"/>
        <w:ind w:left="720"/>
        <w:contextualSpacing/>
        <w:jc w:val="both"/>
      </w:pPr>
    </w:p>
    <w:p w14:paraId="41610262" w14:textId="77777777" w:rsidR="00D5318B" w:rsidRDefault="00D5318B" w:rsidP="00D5318B">
      <w:pPr>
        <w:numPr>
          <w:ilvl w:val="0"/>
          <w:numId w:val="1"/>
        </w:numPr>
        <w:spacing w:line="360" w:lineRule="auto"/>
        <w:contextualSpacing/>
        <w:jc w:val="both"/>
      </w:pPr>
      <w:r w:rsidRPr="00C95B30">
        <w:rPr>
          <w:rFonts w:hint="cs"/>
          <w:rtl/>
        </w:rPr>
        <w:t xml:space="preserve">ב"כ הנאשם </w:t>
      </w:r>
      <w:r>
        <w:rPr>
          <w:rFonts w:hint="cs"/>
          <w:rtl/>
        </w:rPr>
        <w:t xml:space="preserve">ציין כי כתב האישום לא ייחס לנאשם מטרת סחר בסמים שגידל וכי יש לראות בעובדה זו כנסיבה לקולה. לאור כך נטען שיש להעמיד את הרף התחתון של המתחם על עונש מאסר שניתן לשאת בו בעבודות שירות. בכל מקרה, סבר הסנגור, כי ראוי לחרוג ממתחם הענישה במקרה זה לאור עברו הנקי וסיכויי שיקומו של הנאשם כפי שציין שירות המבחן. לאור כך ביקש הסנגור להטיל על הנאשם צו מבחן בשילוב עבודות שירות לתקופה קצרה. </w:t>
      </w:r>
    </w:p>
    <w:p w14:paraId="41A54E75" w14:textId="77777777" w:rsidR="00D5318B" w:rsidRPr="00E50800" w:rsidRDefault="00D5318B" w:rsidP="00D5318B">
      <w:pPr>
        <w:spacing w:line="360" w:lineRule="auto"/>
        <w:ind w:left="720"/>
        <w:contextualSpacing/>
        <w:jc w:val="both"/>
      </w:pPr>
    </w:p>
    <w:p w14:paraId="7DBFA4B5" w14:textId="77777777" w:rsidR="00D5318B" w:rsidRPr="00E56A15" w:rsidRDefault="00D5318B" w:rsidP="00D5318B">
      <w:pPr>
        <w:numPr>
          <w:ilvl w:val="0"/>
          <w:numId w:val="1"/>
        </w:numPr>
        <w:spacing w:line="360" w:lineRule="auto"/>
        <w:contextualSpacing/>
        <w:jc w:val="both"/>
        <w:rPr>
          <w:rtl/>
        </w:rPr>
      </w:pPr>
      <w:r w:rsidRPr="00C95B30">
        <w:rPr>
          <w:rFonts w:hint="cs"/>
          <w:rtl/>
        </w:rPr>
        <w:t xml:space="preserve">הנאשם </w:t>
      </w:r>
      <w:r>
        <w:rPr>
          <w:rFonts w:hint="cs"/>
          <w:rtl/>
        </w:rPr>
        <w:t xml:space="preserve">בדברו האחרון  הביע צער וחרטה על מעשיו.  </w:t>
      </w:r>
    </w:p>
    <w:p w14:paraId="3C1EBB86" w14:textId="77777777" w:rsidR="00D5318B" w:rsidRDefault="00D5318B" w:rsidP="00D5318B">
      <w:pPr>
        <w:spacing w:line="360" w:lineRule="auto"/>
        <w:ind w:left="720"/>
        <w:contextualSpacing/>
        <w:jc w:val="both"/>
        <w:rPr>
          <w:b/>
          <w:bCs/>
          <w:u w:val="single"/>
          <w:rtl/>
        </w:rPr>
      </w:pPr>
    </w:p>
    <w:p w14:paraId="020CE29E" w14:textId="77777777" w:rsidR="00D5318B" w:rsidRDefault="00D5318B" w:rsidP="00D5318B">
      <w:pPr>
        <w:spacing w:line="360" w:lineRule="auto"/>
        <w:ind w:firstLine="360"/>
        <w:contextualSpacing/>
        <w:jc w:val="both"/>
        <w:rPr>
          <w:b/>
          <w:bCs/>
          <w:u w:val="single"/>
          <w:rtl/>
        </w:rPr>
      </w:pPr>
      <w:r>
        <w:rPr>
          <w:rFonts w:hint="cs"/>
          <w:b/>
          <w:bCs/>
          <w:u w:val="single"/>
          <w:rtl/>
        </w:rPr>
        <w:t>דיון והכרעה</w:t>
      </w:r>
    </w:p>
    <w:p w14:paraId="435E8032" w14:textId="77777777" w:rsidR="00D5318B" w:rsidRPr="003C12C5" w:rsidRDefault="00D5318B" w:rsidP="00D5318B">
      <w:pPr>
        <w:spacing w:line="360" w:lineRule="auto"/>
        <w:ind w:left="720"/>
        <w:contextualSpacing/>
        <w:jc w:val="both"/>
      </w:pPr>
    </w:p>
    <w:p w14:paraId="1B68CBDF" w14:textId="77777777" w:rsidR="00D5318B" w:rsidRPr="003C12C5" w:rsidRDefault="00D5318B" w:rsidP="00D5318B">
      <w:pPr>
        <w:pStyle w:val="ListParagraph"/>
        <w:numPr>
          <w:ilvl w:val="0"/>
          <w:numId w:val="1"/>
        </w:numPr>
        <w:spacing w:line="360" w:lineRule="auto"/>
        <w:jc w:val="both"/>
        <w:rPr>
          <w:rFonts w:ascii="David" w:eastAsia="Calibri" w:hAnsi="David" w:cs="David"/>
          <w:rtl/>
        </w:rPr>
      </w:pPr>
      <w:r w:rsidRPr="003C12C5">
        <w:rPr>
          <w:rFonts w:ascii="David" w:eastAsia="Calibri" w:hAnsi="David" w:cs="David"/>
          <w:rtl/>
        </w:rPr>
        <w:t>כידוע, מאז תיקון 113 ל</w:t>
      </w:r>
      <w:hyperlink r:id="rId20" w:history="1">
        <w:r w:rsidR="00CB5139" w:rsidRPr="00CB5139">
          <w:rPr>
            <w:rFonts w:ascii="David" w:eastAsia="Calibri" w:hAnsi="David" w:cs="David"/>
            <w:color w:val="0000FF"/>
            <w:u w:val="single"/>
            <w:rtl/>
          </w:rPr>
          <w:t>חוק העונשין</w:t>
        </w:r>
      </w:hyperlink>
      <w:r w:rsidRPr="003C12C5">
        <w:rPr>
          <w:rFonts w:ascii="David" w:eastAsia="Calibri" w:hAnsi="David" w:cs="David"/>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w:t>
      </w:r>
      <w:r w:rsidRPr="003C12C5">
        <w:rPr>
          <w:rFonts w:ascii="David" w:eastAsia="Calibri" w:hAnsi="David" w:cs="David" w:hint="cs"/>
          <w:rtl/>
        </w:rPr>
        <w:t>ם</w:t>
      </w:r>
      <w:r w:rsidRPr="003C12C5">
        <w:rPr>
          <w:rFonts w:ascii="David" w:eastAsia="Calibri" w:hAnsi="David" w:cs="David"/>
          <w:rtl/>
        </w:rPr>
        <w:t xml:space="preserve"> את האירוע ובסופו של תהליך, יש להחליט אם נכון לחרוג מהמתחם שנקבע, שאחרת ייגזר העונש בגדרי המתחם.</w:t>
      </w:r>
      <w:r w:rsidRPr="003C12C5">
        <w:rPr>
          <w:rFonts w:ascii="David" w:eastAsia="Calibri" w:hAnsi="David" w:cs="David" w:hint="cs"/>
          <w:rtl/>
        </w:rPr>
        <w:t xml:space="preserve"> ברי כי בענ</w:t>
      </w:r>
      <w:r>
        <w:rPr>
          <w:rFonts w:ascii="David" w:eastAsia="Calibri" w:hAnsi="David" w:cs="David" w:hint="cs"/>
          <w:rtl/>
        </w:rPr>
        <w:t>ייננו מדובר באירוע אחד ומשכך ייקבע מתחם אחד (</w:t>
      </w:r>
      <w:hyperlink r:id="rId21" w:history="1">
        <w:r w:rsidR="00CB5139" w:rsidRPr="00CB5139">
          <w:rPr>
            <w:rFonts w:ascii="David" w:eastAsia="Calibri" w:hAnsi="David" w:cs="David"/>
            <w:color w:val="0000FF"/>
            <w:u w:val="single"/>
            <w:rtl/>
          </w:rPr>
          <w:t>ע"פ 4910/13</w:t>
        </w:r>
      </w:hyperlink>
      <w:r w:rsidRPr="003C12C5">
        <w:rPr>
          <w:rFonts w:ascii="David" w:eastAsia="Calibri" w:hAnsi="David" w:cs="David"/>
          <w:rtl/>
        </w:rPr>
        <w:t xml:space="preserve"> </w:t>
      </w:r>
      <w:r w:rsidRPr="003C12C5">
        <w:rPr>
          <w:rFonts w:ascii="David" w:eastAsia="Calibri" w:hAnsi="David" w:cs="David"/>
          <w:b/>
          <w:bCs/>
          <w:rtl/>
        </w:rPr>
        <w:t>ג'אבר נ' מדינת ישראל</w:t>
      </w:r>
      <w:r w:rsidRPr="003C12C5">
        <w:rPr>
          <w:rFonts w:ascii="David" w:eastAsia="Calibri" w:hAnsi="David" w:cs="David"/>
          <w:rtl/>
        </w:rPr>
        <w:t xml:space="preserve"> </w:t>
      </w:r>
      <w:r w:rsidR="004314C7" w:rsidRPr="004314C7">
        <w:rPr>
          <w:rFonts w:eastAsia="Calibri" w:cs="David"/>
          <w:sz w:val="22"/>
          <w:rtl/>
        </w:rPr>
        <w:t xml:space="preserve">[פורסם בנבו] </w:t>
      </w:r>
      <w:r w:rsidRPr="003C12C5">
        <w:rPr>
          <w:rFonts w:ascii="David" w:eastAsia="Calibri" w:hAnsi="David" w:cs="David"/>
          <w:rtl/>
        </w:rPr>
        <w:t>(29.10.14)).</w:t>
      </w:r>
    </w:p>
    <w:p w14:paraId="1E61DBFE" w14:textId="77777777" w:rsidR="00D5318B" w:rsidRPr="003C12C5" w:rsidRDefault="00D5318B" w:rsidP="00D5318B">
      <w:pPr>
        <w:spacing w:line="360" w:lineRule="auto"/>
        <w:jc w:val="both"/>
        <w:rPr>
          <w:rFonts w:ascii="David" w:eastAsia="Calibri" w:hAnsi="David"/>
        </w:rPr>
      </w:pPr>
    </w:p>
    <w:p w14:paraId="2B4158AC" w14:textId="77777777" w:rsidR="00D5318B" w:rsidRPr="00D756ED" w:rsidRDefault="00D5318B" w:rsidP="00D5318B">
      <w:pPr>
        <w:pStyle w:val="ListParagraph"/>
        <w:numPr>
          <w:ilvl w:val="0"/>
          <w:numId w:val="1"/>
        </w:numPr>
        <w:spacing w:line="360" w:lineRule="auto"/>
        <w:jc w:val="both"/>
        <w:rPr>
          <w:rFonts w:ascii="David" w:eastAsia="Calibri" w:hAnsi="David" w:cs="David"/>
        </w:rPr>
      </w:pPr>
      <w:r w:rsidRPr="006D2896">
        <w:rPr>
          <w:rFonts w:cs="David" w:hint="cs"/>
          <w:b/>
          <w:bCs/>
          <w:rtl/>
        </w:rPr>
        <w:t xml:space="preserve">הערכים המוגנים בבסיס העבירה: </w:t>
      </w:r>
      <w:r w:rsidRPr="006D2896">
        <w:rPr>
          <w:rFonts w:ascii="David" w:hAnsi="David" w:cs="David" w:hint="eastAsia"/>
          <w:rtl/>
        </w:rPr>
        <w:t>במעשיו</w:t>
      </w:r>
      <w:r w:rsidRPr="006D2896">
        <w:rPr>
          <w:rFonts w:ascii="David" w:hAnsi="David" w:cs="David"/>
          <w:rtl/>
        </w:rPr>
        <w:t xml:space="preserve"> </w:t>
      </w:r>
      <w:r w:rsidRPr="006D2896">
        <w:rPr>
          <w:rFonts w:ascii="David" w:hAnsi="David" w:cs="David" w:hint="eastAsia"/>
          <w:rtl/>
        </w:rPr>
        <w:t>פגע</w:t>
      </w:r>
      <w:r w:rsidRPr="006D2896">
        <w:rPr>
          <w:rFonts w:ascii="David" w:hAnsi="David" w:cs="David"/>
          <w:rtl/>
        </w:rPr>
        <w:t xml:space="preserve"> </w:t>
      </w:r>
      <w:r w:rsidRPr="006D2896">
        <w:rPr>
          <w:rFonts w:ascii="David" w:hAnsi="David" w:cs="David" w:hint="eastAsia"/>
          <w:rtl/>
        </w:rPr>
        <w:t>הנאשם</w:t>
      </w:r>
      <w:r w:rsidRPr="006D2896">
        <w:rPr>
          <w:rFonts w:ascii="David" w:hAnsi="David" w:cs="David"/>
          <w:rtl/>
        </w:rPr>
        <w:t xml:space="preserve"> </w:t>
      </w:r>
      <w:r w:rsidRPr="006D2896">
        <w:rPr>
          <w:rFonts w:ascii="David" w:hAnsi="David" w:cs="David" w:hint="eastAsia"/>
          <w:rtl/>
        </w:rPr>
        <w:t>בערכים</w:t>
      </w:r>
      <w:r w:rsidRPr="006D2896">
        <w:rPr>
          <w:rFonts w:ascii="David" w:hAnsi="David" w:cs="David"/>
          <w:rtl/>
        </w:rPr>
        <w:t xml:space="preserve"> </w:t>
      </w:r>
      <w:r w:rsidRPr="006D2896">
        <w:rPr>
          <w:rFonts w:ascii="David" w:hAnsi="David" w:cs="David" w:hint="eastAsia"/>
          <w:rtl/>
        </w:rPr>
        <w:t>של</w:t>
      </w:r>
      <w:r w:rsidRPr="006D2896">
        <w:rPr>
          <w:rFonts w:ascii="David" w:hAnsi="David" w:cs="David"/>
          <w:rtl/>
        </w:rPr>
        <w:t xml:space="preserve"> </w:t>
      </w:r>
      <w:r w:rsidRPr="006D2896">
        <w:rPr>
          <w:rFonts w:ascii="David" w:hAnsi="David" w:cs="David" w:hint="eastAsia"/>
          <w:rtl/>
        </w:rPr>
        <w:t>בטחון</w:t>
      </w:r>
      <w:r w:rsidRPr="006D2896">
        <w:rPr>
          <w:rFonts w:ascii="David" w:hAnsi="David" w:cs="David"/>
          <w:rtl/>
        </w:rPr>
        <w:t xml:space="preserve"> </w:t>
      </w:r>
      <w:r w:rsidRPr="006D2896">
        <w:rPr>
          <w:rFonts w:ascii="David" w:hAnsi="David" w:cs="David" w:hint="eastAsia"/>
          <w:rtl/>
        </w:rPr>
        <w:t>הציבור</w:t>
      </w:r>
      <w:r w:rsidRPr="006D2896">
        <w:rPr>
          <w:rFonts w:ascii="David" w:hAnsi="David" w:cs="David"/>
          <w:rtl/>
        </w:rPr>
        <w:t xml:space="preserve"> </w:t>
      </w:r>
      <w:r w:rsidRPr="006D2896">
        <w:rPr>
          <w:rFonts w:ascii="David" w:hAnsi="David" w:cs="David" w:hint="eastAsia"/>
          <w:rtl/>
        </w:rPr>
        <w:t>ושלומו</w:t>
      </w:r>
      <w:r>
        <w:rPr>
          <w:rFonts w:ascii="David" w:hAnsi="David" w:cs="David" w:hint="cs"/>
          <w:rtl/>
        </w:rPr>
        <w:t xml:space="preserve"> במידה ממשית הבאה לידי ביטוי בגודלה של המעבדה.</w:t>
      </w:r>
      <w:r w:rsidRPr="006D2896">
        <w:rPr>
          <w:rFonts w:ascii="David" w:hAnsi="David" w:cs="David"/>
          <w:rtl/>
        </w:rPr>
        <w:t xml:space="preserve"> </w:t>
      </w:r>
      <w:r>
        <w:rPr>
          <w:rFonts w:ascii="David" w:hAnsi="David" w:cs="David" w:hint="cs"/>
          <w:rtl/>
        </w:rPr>
        <w:t>גידול סמים בכמות ממשית, הוא חלק ממערך הפצת הסם ומכאן הפגיעה הרבה שבמעשה.</w:t>
      </w:r>
      <w:r w:rsidRPr="006D2896">
        <w:rPr>
          <w:rFonts w:ascii="David" w:hAnsi="David" w:cs="David"/>
          <w:rtl/>
        </w:rPr>
        <w:t xml:space="preserve"> </w:t>
      </w:r>
    </w:p>
    <w:p w14:paraId="04F37736" w14:textId="77777777" w:rsidR="00D5318B" w:rsidRPr="00D756ED" w:rsidRDefault="00D5318B" w:rsidP="00D5318B">
      <w:pPr>
        <w:pStyle w:val="ListParagraph"/>
        <w:spacing w:line="360" w:lineRule="auto"/>
        <w:jc w:val="both"/>
        <w:rPr>
          <w:rFonts w:ascii="David" w:eastAsia="Calibri" w:hAnsi="David" w:cs="David"/>
        </w:rPr>
      </w:pPr>
    </w:p>
    <w:p w14:paraId="0B30F2FD" w14:textId="77777777" w:rsidR="00D5318B" w:rsidRDefault="00D5318B" w:rsidP="00D5318B">
      <w:pPr>
        <w:pStyle w:val="ListParagraph"/>
        <w:numPr>
          <w:ilvl w:val="0"/>
          <w:numId w:val="1"/>
        </w:numPr>
        <w:spacing w:line="360" w:lineRule="auto"/>
        <w:jc w:val="both"/>
        <w:rPr>
          <w:rFonts w:ascii="David" w:eastAsia="Calibri" w:hAnsi="David" w:cs="David"/>
        </w:rPr>
      </w:pPr>
      <w:r w:rsidRPr="00D756ED">
        <w:rPr>
          <w:rFonts w:cs="David" w:hint="cs"/>
          <w:b/>
          <w:bCs/>
          <w:rtl/>
        </w:rPr>
        <w:t xml:space="preserve">נסיבות ביצוע העבירה: </w:t>
      </w:r>
      <w:r w:rsidRPr="00D756ED">
        <w:rPr>
          <w:rFonts w:cs="David"/>
          <w:rtl/>
        </w:rPr>
        <w:t>נסיבות ביצוע העבירה מלמדות בבירור על תכנון מוקדם, שהתבטא</w:t>
      </w:r>
      <w:r w:rsidRPr="00D756ED">
        <w:rPr>
          <w:rFonts w:cs="David"/>
          <w:b/>
          <w:bCs/>
          <w:rtl/>
        </w:rPr>
        <w:t xml:space="preserve"> </w:t>
      </w:r>
      <w:r w:rsidRPr="00D756ED">
        <w:rPr>
          <w:rFonts w:cs="David"/>
          <w:rtl/>
        </w:rPr>
        <w:t xml:space="preserve">בהצטיידות בכלים מתאימים לצורך גידול השתילים. כמות השתילים </w:t>
      </w:r>
      <w:r w:rsidRPr="00D756ED">
        <w:rPr>
          <w:rFonts w:cs="David" w:hint="cs"/>
          <w:rtl/>
        </w:rPr>
        <w:t xml:space="preserve">ומשקלם </w:t>
      </w:r>
      <w:r w:rsidRPr="00D756ED">
        <w:rPr>
          <w:rFonts w:cs="David"/>
          <w:rtl/>
        </w:rPr>
        <w:t>משמעותי</w:t>
      </w:r>
      <w:r w:rsidRPr="00D756ED">
        <w:rPr>
          <w:rFonts w:cs="David" w:hint="cs"/>
          <w:rtl/>
        </w:rPr>
        <w:t>ים</w:t>
      </w:r>
      <w:r w:rsidRPr="00D756ED">
        <w:rPr>
          <w:rFonts w:cs="David"/>
          <w:rtl/>
        </w:rPr>
        <w:t xml:space="preserve"> ומעיון בתמונות ניתן לראות בבירור מעבדה מקצועית יחסית, בה הוסב אחד החדרים לכדי "חממת גידול קנבוס". </w:t>
      </w:r>
      <w:r w:rsidRPr="00D756ED">
        <w:rPr>
          <w:rFonts w:cs="David"/>
          <w:b/>
          <w:bCs/>
          <w:rtl/>
        </w:rPr>
        <w:t xml:space="preserve"> </w:t>
      </w:r>
      <w:r w:rsidRPr="00D756ED">
        <w:rPr>
          <w:rFonts w:cs="David"/>
          <w:rtl/>
        </w:rPr>
        <w:t xml:space="preserve">לאור כך פוטנציאל הנזק </w:t>
      </w:r>
      <w:r w:rsidRPr="00D756ED">
        <w:rPr>
          <w:rFonts w:cs="David" w:hint="cs"/>
          <w:rtl/>
        </w:rPr>
        <w:t xml:space="preserve">גדול. יפים בעניין זה </w:t>
      </w:r>
      <w:r w:rsidRPr="00D756ED">
        <w:rPr>
          <w:rFonts w:cs="David" w:hint="cs"/>
          <w:b/>
          <w:bCs/>
          <w:rtl/>
        </w:rPr>
        <w:t xml:space="preserve"> </w:t>
      </w:r>
      <w:r w:rsidRPr="00D756ED">
        <w:rPr>
          <w:rFonts w:ascii="David" w:eastAsia="Calibri" w:hAnsi="David" w:cs="David" w:hint="cs"/>
          <w:rtl/>
        </w:rPr>
        <w:t>דבריו של בית המשפט המחוזי ב</w:t>
      </w:r>
      <w:hyperlink r:id="rId22" w:history="1">
        <w:r w:rsidR="00CB5139" w:rsidRPr="00CB5139">
          <w:rPr>
            <w:rFonts w:ascii="David" w:eastAsia="Calibri" w:hAnsi="David" w:cs="David"/>
            <w:color w:val="0000FF"/>
            <w:u w:val="single"/>
            <w:rtl/>
          </w:rPr>
          <w:t>עפ"ג 31126-05-14</w:t>
        </w:r>
      </w:hyperlink>
      <w:r w:rsidRPr="00D756ED">
        <w:rPr>
          <w:rFonts w:ascii="David" w:eastAsia="Calibri" w:hAnsi="David" w:cs="David" w:hint="cs"/>
          <w:rtl/>
        </w:rPr>
        <w:t xml:space="preserve"> </w:t>
      </w:r>
      <w:r w:rsidRPr="00D756ED">
        <w:rPr>
          <w:rFonts w:ascii="David" w:eastAsia="Calibri" w:hAnsi="David" w:cs="David" w:hint="cs"/>
          <w:b/>
          <w:bCs/>
          <w:rtl/>
        </w:rPr>
        <w:t>מדינת ישראל נ' חריט</w:t>
      </w:r>
      <w:r w:rsidRPr="00D756ED">
        <w:rPr>
          <w:rFonts w:ascii="David" w:eastAsia="Calibri" w:hAnsi="David" w:cs="David" w:hint="cs"/>
          <w:rtl/>
        </w:rPr>
        <w:t xml:space="preserve"> </w:t>
      </w:r>
      <w:r w:rsidR="004314C7" w:rsidRPr="004314C7">
        <w:rPr>
          <w:rFonts w:eastAsia="Calibri" w:cs="David"/>
          <w:sz w:val="22"/>
          <w:rtl/>
        </w:rPr>
        <w:t xml:space="preserve">[פורסם בנבו] </w:t>
      </w:r>
      <w:r w:rsidRPr="00D756ED">
        <w:rPr>
          <w:rFonts w:ascii="David" w:eastAsia="Calibri" w:hAnsi="David" w:cs="David" w:hint="cs"/>
          <w:rtl/>
        </w:rPr>
        <w:t>(12.1.15):</w:t>
      </w:r>
    </w:p>
    <w:p w14:paraId="6FE6995E" w14:textId="77777777" w:rsidR="00D5318B" w:rsidRDefault="00D5318B" w:rsidP="00D5318B">
      <w:pPr>
        <w:pStyle w:val="ListParagraph"/>
        <w:spacing w:line="360" w:lineRule="auto"/>
        <w:jc w:val="both"/>
        <w:rPr>
          <w:rFonts w:ascii="David" w:eastAsia="Calibri" w:hAnsi="David" w:cs="David"/>
        </w:rPr>
      </w:pPr>
    </w:p>
    <w:p w14:paraId="7C969398" w14:textId="77777777" w:rsidR="00D5318B" w:rsidRDefault="00D5318B" w:rsidP="00D5318B">
      <w:pPr>
        <w:spacing w:line="360" w:lineRule="auto"/>
        <w:ind w:left="1440" w:right="1134"/>
        <w:jc w:val="both"/>
        <w:rPr>
          <w:rFonts w:cs="Miriam"/>
          <w:rtl/>
        </w:rPr>
      </w:pPr>
      <w:r w:rsidRPr="00E811D9">
        <w:rPr>
          <w:rFonts w:cs="Miriam" w:hint="cs"/>
          <w:rtl/>
        </w:rPr>
        <w:t>"</w:t>
      </w:r>
      <w:r w:rsidRPr="00E811D9">
        <w:rPr>
          <w:rFonts w:cs="Miriam"/>
          <w:rtl/>
        </w:rPr>
        <w:t>לצערנו, בשבתנו כערכאת ערעור העוסקת בשמיעת ערעורים פליליים אנו נתקלים יותר ויותר בתופעה של מעבדות סם מהן גדולות יותר, מהן גדולות פחות ונראה שהתופעה הפכה להיות נפוצה ונפיצה. נפיצה - משום שפוטנציאל הסם שעלול להתגלגל לשוק הסמים באמצעות גידול סם במעבדות מסוג זה שהחזיק המשיב, הוא גדו</w:t>
      </w:r>
      <w:r>
        <w:rPr>
          <w:rFonts w:cs="Miriam"/>
          <w:rtl/>
        </w:rPr>
        <w:t>ל במיוחד ויש לתת את הדעת על כך</w:t>
      </w:r>
      <w:r>
        <w:rPr>
          <w:rFonts w:cs="Miriam" w:hint="cs"/>
          <w:rtl/>
        </w:rPr>
        <w:t>."</w:t>
      </w:r>
    </w:p>
    <w:p w14:paraId="37A93684" w14:textId="77777777" w:rsidR="00D5318B" w:rsidRDefault="00D5318B" w:rsidP="00D5318B">
      <w:pPr>
        <w:spacing w:line="360" w:lineRule="auto"/>
        <w:rPr>
          <w:b/>
          <w:bCs/>
          <w:rtl/>
        </w:rPr>
      </w:pPr>
    </w:p>
    <w:p w14:paraId="719D2903" w14:textId="77777777" w:rsidR="00D5318B" w:rsidRDefault="00D5318B" w:rsidP="00D5318B">
      <w:pPr>
        <w:pStyle w:val="ListParagraph"/>
        <w:spacing w:line="360" w:lineRule="auto"/>
        <w:jc w:val="both"/>
        <w:rPr>
          <w:rFonts w:ascii="David" w:eastAsia="Calibri" w:hAnsi="David" w:cs="David"/>
          <w:rtl/>
        </w:rPr>
      </w:pPr>
      <w:r w:rsidRPr="00197AA1">
        <w:rPr>
          <w:rFonts w:ascii="David" w:eastAsia="Calibri" w:hAnsi="David" w:cs="David" w:hint="cs"/>
          <w:rtl/>
        </w:rPr>
        <w:t>ביחס למטרת הגידול,</w:t>
      </w:r>
      <w:r>
        <w:rPr>
          <w:rFonts w:ascii="David" w:eastAsia="Calibri" w:hAnsi="David" w:cs="David" w:hint="cs"/>
          <w:rtl/>
        </w:rPr>
        <w:t xml:space="preserve"> אין ממש בטיעון ההגנה לפיו העובדה שלא צוין שמדובר במטרת "</w:t>
      </w:r>
      <w:r w:rsidRPr="00473ED0">
        <w:rPr>
          <w:rFonts w:ascii="David" w:eastAsia="Calibri" w:hAnsi="David" w:cs="Miriam" w:hint="cs"/>
          <w:rtl/>
        </w:rPr>
        <w:t>סחר</w:t>
      </w:r>
      <w:r>
        <w:rPr>
          <w:rFonts w:ascii="David" w:eastAsia="Calibri" w:hAnsi="David" w:cs="David" w:hint="cs"/>
          <w:rtl/>
        </w:rPr>
        <w:t>" מצדיקה קביעת מתחם קל יותר ממתחמים שנקבעו בנסיבות דומות. כתב האישום ציין כי הנאשם גידל את הסמים "</w:t>
      </w:r>
      <w:r w:rsidRPr="00473ED0">
        <w:rPr>
          <w:rFonts w:ascii="David" w:eastAsia="Calibri" w:hAnsi="David" w:cs="Miriam" w:hint="cs"/>
          <w:rtl/>
        </w:rPr>
        <w:t>שלא לצריכתו העצמית</w:t>
      </w:r>
      <w:r>
        <w:rPr>
          <w:rFonts w:ascii="David" w:eastAsia="Calibri" w:hAnsi="David" w:cs="David" w:hint="cs"/>
          <w:rtl/>
        </w:rPr>
        <w:t xml:space="preserve">" והוא אף הורשע על פי הודאתו בעבירה של החזקת כלים </w:t>
      </w:r>
      <w:r w:rsidRPr="00473ED0">
        <w:rPr>
          <w:rFonts w:ascii="David" w:eastAsia="Calibri" w:hAnsi="David" w:cs="David" w:hint="cs"/>
          <w:u w:val="single"/>
          <w:rtl/>
        </w:rPr>
        <w:t>שלא</w:t>
      </w:r>
      <w:r>
        <w:rPr>
          <w:rFonts w:ascii="David" w:eastAsia="Calibri" w:hAnsi="David" w:cs="David" w:hint="cs"/>
          <w:rtl/>
        </w:rPr>
        <w:t xml:space="preserve"> לשימוש עצמי בלבד לפי </w:t>
      </w:r>
      <w:hyperlink r:id="rId23" w:history="1">
        <w:r w:rsidR="007C2B33" w:rsidRPr="007C2B33">
          <w:rPr>
            <w:rFonts w:ascii="David" w:eastAsia="Calibri" w:hAnsi="David" w:cs="David"/>
            <w:color w:val="0000FF"/>
            <w:u w:val="single"/>
            <w:rtl/>
          </w:rPr>
          <w:t>סעיף 10</w:t>
        </w:r>
      </w:hyperlink>
      <w:r>
        <w:rPr>
          <w:rFonts w:ascii="David" w:eastAsia="Calibri" w:hAnsi="David" w:cs="David" w:hint="cs"/>
          <w:rtl/>
        </w:rPr>
        <w:t xml:space="preserve"> רישא לפקודה. משכך אין מקום לטיעון זה.</w:t>
      </w:r>
    </w:p>
    <w:p w14:paraId="353B47BC" w14:textId="77777777" w:rsidR="00D5318B" w:rsidRPr="00872B93" w:rsidRDefault="00D5318B" w:rsidP="00D5318B">
      <w:pPr>
        <w:spacing w:line="360" w:lineRule="auto"/>
        <w:rPr>
          <w:b/>
          <w:bCs/>
        </w:rPr>
      </w:pPr>
    </w:p>
    <w:p w14:paraId="3E3BC3A6" w14:textId="77777777" w:rsidR="00D5318B" w:rsidRDefault="00D5318B" w:rsidP="00D5318B">
      <w:pPr>
        <w:pStyle w:val="ListParagraph"/>
        <w:numPr>
          <w:ilvl w:val="0"/>
          <w:numId w:val="1"/>
        </w:numPr>
        <w:spacing w:line="360" w:lineRule="auto"/>
        <w:jc w:val="both"/>
        <w:rPr>
          <w:rFonts w:ascii="David" w:eastAsia="Calibri" w:hAnsi="David" w:cs="David"/>
        </w:rPr>
      </w:pPr>
      <w:r w:rsidRPr="00266023">
        <w:rPr>
          <w:rFonts w:cs="David" w:hint="cs"/>
          <w:b/>
          <w:bCs/>
          <w:rtl/>
        </w:rPr>
        <w:t>מדיניות הענישה:</w:t>
      </w:r>
      <w:r w:rsidRPr="00266023">
        <w:rPr>
          <w:rFonts w:ascii="David" w:hAnsi="David" w:cs="David" w:hint="cs"/>
          <w:rtl/>
        </w:rPr>
        <w:t xml:space="preserve"> </w:t>
      </w:r>
      <w:r w:rsidRPr="00266023">
        <w:rPr>
          <w:rFonts w:ascii="David" w:eastAsia="Calibri" w:hAnsi="David" w:cs="David"/>
          <w:rtl/>
        </w:rPr>
        <w:t xml:space="preserve">ביחס למדיניות הענישה בעבירות של גידול סמים מסוכנים והחזקת סם לצריכה עצמית, ניתן לראות כי היא משתנה ממקרה למקרה ותלויה בין היתר בסוג הסם, כמותו ובנסיבותיו של הנאשם (עבר פלילי, שיקום, תסקיר חיובי וכיוצב'). </w:t>
      </w:r>
    </w:p>
    <w:p w14:paraId="15CD94AB" w14:textId="77777777" w:rsidR="00D5318B" w:rsidRPr="00D756ED" w:rsidRDefault="00D5318B" w:rsidP="00D5318B">
      <w:pPr>
        <w:pStyle w:val="ListParagraph"/>
        <w:rPr>
          <w:rFonts w:ascii="David" w:eastAsia="Calibri" w:hAnsi="David" w:cs="David"/>
          <w:rtl/>
        </w:rPr>
      </w:pPr>
    </w:p>
    <w:p w14:paraId="0ACD240A" w14:textId="77777777" w:rsidR="00D5318B" w:rsidRPr="0075141B" w:rsidRDefault="00D5318B" w:rsidP="00D5318B">
      <w:pPr>
        <w:pStyle w:val="ListParagraph"/>
        <w:spacing w:line="360" w:lineRule="auto"/>
        <w:jc w:val="both"/>
        <w:rPr>
          <w:rFonts w:ascii="David" w:eastAsia="Calibri" w:hAnsi="David" w:cs="David"/>
          <w:rtl/>
        </w:rPr>
      </w:pPr>
      <w:r w:rsidRPr="0075141B">
        <w:rPr>
          <w:rFonts w:ascii="David" w:eastAsia="Calibri" w:hAnsi="David" w:cs="David"/>
          <w:rtl/>
        </w:rPr>
        <w:t xml:space="preserve">עם זאת נקבע לא אחת כי יש להחמיר עם אלו שמגדלים סמים (ראה: </w:t>
      </w:r>
      <w:hyperlink r:id="rId24" w:history="1">
        <w:r w:rsidR="00CB5139" w:rsidRPr="00CB5139">
          <w:rPr>
            <w:rFonts w:ascii="David" w:eastAsia="Calibri" w:hAnsi="David" w:cs="David"/>
            <w:color w:val="0000FF"/>
            <w:u w:val="single"/>
            <w:rtl/>
          </w:rPr>
          <w:t>ע"פ 11220/03</w:t>
        </w:r>
      </w:hyperlink>
      <w:r w:rsidRPr="0075141B">
        <w:rPr>
          <w:rFonts w:ascii="David" w:eastAsia="Calibri" w:hAnsi="David" w:cs="David"/>
          <w:rtl/>
        </w:rPr>
        <w:t xml:space="preserve"> </w:t>
      </w:r>
      <w:r w:rsidRPr="0075141B">
        <w:rPr>
          <w:rFonts w:ascii="David" w:eastAsia="Calibri" w:hAnsi="David" w:cs="David"/>
          <w:b/>
          <w:bCs/>
          <w:rtl/>
        </w:rPr>
        <w:t>פלוני נ' מדינת ישראל</w:t>
      </w:r>
      <w:r w:rsidRPr="0075141B">
        <w:rPr>
          <w:rFonts w:ascii="David" w:eastAsia="Calibri" w:hAnsi="David" w:cs="David"/>
          <w:rtl/>
        </w:rPr>
        <w:t xml:space="preserve"> </w:t>
      </w:r>
      <w:r w:rsidR="004314C7" w:rsidRPr="004314C7">
        <w:rPr>
          <w:rFonts w:eastAsia="Calibri" w:cs="David"/>
          <w:sz w:val="22"/>
          <w:rtl/>
        </w:rPr>
        <w:t xml:space="preserve">[פורסם בנבו] </w:t>
      </w:r>
      <w:r w:rsidRPr="0075141B">
        <w:rPr>
          <w:rFonts w:ascii="David" w:eastAsia="Calibri" w:hAnsi="David" w:cs="David"/>
          <w:rtl/>
        </w:rPr>
        <w:t xml:space="preserve">(6.7.05); </w:t>
      </w:r>
      <w:hyperlink r:id="rId25" w:history="1">
        <w:r w:rsidR="00CB5139" w:rsidRPr="00CB5139">
          <w:rPr>
            <w:rFonts w:ascii="David" w:eastAsia="Calibri" w:hAnsi="David" w:cs="David"/>
            <w:color w:val="0000FF"/>
            <w:u w:val="single"/>
            <w:rtl/>
          </w:rPr>
          <w:t>ע"פ (י-ם) 1987-04-10</w:t>
        </w:r>
      </w:hyperlink>
      <w:r w:rsidRPr="0075141B">
        <w:rPr>
          <w:rFonts w:ascii="David" w:eastAsia="Calibri" w:hAnsi="David" w:cs="David"/>
          <w:rtl/>
        </w:rPr>
        <w:t xml:space="preserve"> </w:t>
      </w:r>
      <w:r w:rsidRPr="0075141B">
        <w:rPr>
          <w:rFonts w:ascii="David" w:eastAsia="Calibri" w:hAnsi="David" w:cs="David"/>
          <w:b/>
          <w:bCs/>
          <w:rtl/>
        </w:rPr>
        <w:t>מדינת ישראל נ' אלוני</w:t>
      </w:r>
      <w:r w:rsidRPr="0075141B">
        <w:rPr>
          <w:rFonts w:ascii="David" w:eastAsia="Calibri" w:hAnsi="David" w:cs="David"/>
          <w:rtl/>
        </w:rPr>
        <w:t xml:space="preserve"> </w:t>
      </w:r>
      <w:r w:rsidR="004314C7" w:rsidRPr="004314C7">
        <w:rPr>
          <w:rFonts w:eastAsia="Calibri" w:cs="David"/>
          <w:sz w:val="22"/>
          <w:rtl/>
        </w:rPr>
        <w:t xml:space="preserve">[פורסם בנבו] </w:t>
      </w:r>
      <w:r w:rsidRPr="0075141B">
        <w:rPr>
          <w:rFonts w:ascii="David" w:eastAsia="Calibri" w:hAnsi="David" w:cs="David"/>
          <w:rtl/>
        </w:rPr>
        <w:t xml:space="preserve">(28.6.2010) וכן </w:t>
      </w:r>
      <w:hyperlink r:id="rId26" w:history="1">
        <w:r w:rsidR="00CB5139" w:rsidRPr="00CB5139">
          <w:rPr>
            <w:rFonts w:ascii="David" w:eastAsia="Calibri" w:hAnsi="David" w:cs="David"/>
            <w:color w:val="0000FF"/>
            <w:u w:val="single"/>
            <w:rtl/>
          </w:rPr>
          <w:t>עפ"ג (ת"א) 12819-11-15</w:t>
        </w:r>
      </w:hyperlink>
      <w:r w:rsidRPr="0075141B">
        <w:rPr>
          <w:rFonts w:ascii="David" w:eastAsia="Calibri" w:hAnsi="David" w:cs="David"/>
          <w:rtl/>
        </w:rPr>
        <w:t xml:space="preserve"> </w:t>
      </w:r>
      <w:r w:rsidRPr="0075141B">
        <w:rPr>
          <w:rFonts w:ascii="David" w:eastAsia="Calibri" w:hAnsi="David" w:cs="David"/>
          <w:b/>
          <w:bCs/>
          <w:rtl/>
        </w:rPr>
        <w:t>מדינת ישראל נ' בן צבי</w:t>
      </w:r>
      <w:r w:rsidRPr="0075141B">
        <w:rPr>
          <w:rFonts w:ascii="David" w:eastAsia="Calibri" w:hAnsi="David" w:cs="David"/>
          <w:rtl/>
        </w:rPr>
        <w:t xml:space="preserve"> </w:t>
      </w:r>
      <w:r w:rsidR="004314C7" w:rsidRPr="004314C7">
        <w:rPr>
          <w:rFonts w:eastAsia="Calibri" w:cs="David"/>
          <w:sz w:val="22"/>
          <w:rtl/>
        </w:rPr>
        <w:t xml:space="preserve">[פורסם בנבו] </w:t>
      </w:r>
      <w:r w:rsidRPr="0075141B">
        <w:rPr>
          <w:rFonts w:ascii="David" w:eastAsia="Calibri" w:hAnsi="David" w:cs="David"/>
          <w:rtl/>
        </w:rPr>
        <w:t>(16.12.15) שם נקבע כי:</w:t>
      </w:r>
    </w:p>
    <w:p w14:paraId="7AEC44C8" w14:textId="77777777" w:rsidR="00D5318B" w:rsidRPr="0075141B" w:rsidRDefault="00D5318B" w:rsidP="00D5318B">
      <w:pPr>
        <w:pStyle w:val="ListParagraph"/>
        <w:spacing w:line="360" w:lineRule="auto"/>
        <w:jc w:val="both"/>
        <w:rPr>
          <w:rFonts w:ascii="David" w:eastAsia="Calibri" w:hAnsi="David" w:cs="David"/>
          <w:rtl/>
        </w:rPr>
      </w:pPr>
    </w:p>
    <w:p w14:paraId="5517B2DA" w14:textId="77777777" w:rsidR="00D5318B" w:rsidRPr="0075141B" w:rsidRDefault="00D5318B" w:rsidP="00D5318B">
      <w:pPr>
        <w:pStyle w:val="ListParagraph"/>
        <w:spacing w:line="360" w:lineRule="auto"/>
        <w:ind w:left="1440" w:right="1276"/>
        <w:jc w:val="both"/>
        <w:rPr>
          <w:rFonts w:ascii="David" w:eastAsia="Calibri" w:hAnsi="David" w:cs="Miriam"/>
          <w:rtl/>
        </w:rPr>
      </w:pPr>
      <w:r w:rsidRPr="0075141B">
        <w:rPr>
          <w:rFonts w:ascii="David" w:eastAsia="Calibri" w:hAnsi="David" w:cs="Miriam"/>
          <w:rtl/>
        </w:rPr>
        <w:t>"לא בכדִי הציב המחוקק בצדה של עברת גידול הסם עונש מקסימלי השווה לעונש שמוטל על הפצת סם וסחר בסמים. יש בכך אמירה נורמטיבית לצד אמירה אופרטיבית. מידת החומרה שבגידול סם איננה נופלת מזו של הפצת הסם. [העונש] צריך לעמוד על תקופה שתחילתה במאסר שיינשא מאחורי סורג ובריח ולא במאסר שיינשא בעבודות שירות".</w:t>
      </w:r>
    </w:p>
    <w:p w14:paraId="09353B54" w14:textId="77777777" w:rsidR="00D5318B" w:rsidRDefault="00D5318B" w:rsidP="00D5318B">
      <w:pPr>
        <w:pStyle w:val="ListParagraph"/>
        <w:spacing w:line="360" w:lineRule="auto"/>
        <w:jc w:val="both"/>
        <w:rPr>
          <w:rFonts w:ascii="David" w:eastAsia="Calibri" w:hAnsi="David" w:cs="David"/>
          <w:rtl/>
        </w:rPr>
      </w:pPr>
    </w:p>
    <w:p w14:paraId="5A31A8BB" w14:textId="77777777" w:rsidR="00D5318B" w:rsidRDefault="00D5318B" w:rsidP="00D5318B">
      <w:pPr>
        <w:spacing w:line="360" w:lineRule="auto"/>
        <w:ind w:left="720"/>
        <w:jc w:val="both"/>
        <w:rPr>
          <w:rtl/>
        </w:rPr>
      </w:pPr>
      <w:r w:rsidRPr="00872B93">
        <w:rPr>
          <w:rFonts w:hint="cs"/>
          <w:rtl/>
        </w:rPr>
        <w:t xml:space="preserve">וכן, </w:t>
      </w:r>
    </w:p>
    <w:p w14:paraId="3E22F602" w14:textId="77777777" w:rsidR="00D5318B" w:rsidRPr="00E811D9" w:rsidRDefault="00D5318B" w:rsidP="00D5318B">
      <w:pPr>
        <w:spacing w:line="360" w:lineRule="auto"/>
        <w:ind w:left="720"/>
        <w:jc w:val="both"/>
        <w:rPr>
          <w:rtl/>
        </w:rPr>
      </w:pPr>
    </w:p>
    <w:p w14:paraId="5E449007" w14:textId="77777777" w:rsidR="00D5318B" w:rsidRPr="00E811D9" w:rsidRDefault="00D5318B" w:rsidP="00D5318B">
      <w:pPr>
        <w:spacing w:line="360" w:lineRule="auto"/>
        <w:ind w:left="1440" w:right="1134"/>
        <w:jc w:val="both"/>
        <w:rPr>
          <w:rFonts w:cs="Miriam"/>
          <w:rtl/>
        </w:rPr>
      </w:pPr>
      <w:r>
        <w:rPr>
          <w:rFonts w:cs="Miriam" w:hint="cs"/>
          <w:rtl/>
        </w:rPr>
        <w:t>"</w:t>
      </w:r>
      <w:r w:rsidRPr="00E811D9">
        <w:rPr>
          <w:rFonts w:cs="Miriam"/>
          <w:rtl/>
        </w:rPr>
        <w:t xml:space="preserve">הזדמן לנו לומר רק לאחרונה </w:t>
      </w:r>
      <w:r>
        <w:rPr>
          <w:rFonts w:cs="Miriam" w:hint="cs"/>
          <w:rtl/>
        </w:rPr>
        <w:t>...</w:t>
      </w:r>
      <w:r w:rsidRPr="00E811D9">
        <w:rPr>
          <w:rFonts w:cs="Miriam"/>
          <w:rtl/>
        </w:rPr>
        <w:t xml:space="preserve"> בנסיבות דומות, כי: "בהינתן המציאות הנוכחית שבה בגידול הסמים הפך להיות למכת מדינה, יש להילחם בו בחומרה כאשר הביטוי לכך יהיה בהעלאת רף הענישה. המגדלים והמפיצים מצויים באותו מקום עצמו מבחינה ערכית ומעשית גם יחד". אין לנו אלא לאמץ את הדברים ולחזור עליהם.</w:t>
      </w:r>
      <w:r>
        <w:rPr>
          <w:rFonts w:cs="Miriam" w:hint="cs"/>
          <w:rtl/>
        </w:rPr>
        <w:t>"</w:t>
      </w:r>
      <w:r w:rsidRPr="00E811D9">
        <w:rPr>
          <w:rFonts w:cs="Miriam"/>
          <w:rtl/>
        </w:rPr>
        <w:t xml:space="preserve"> </w:t>
      </w:r>
      <w:r>
        <w:rPr>
          <w:rFonts w:cs="Miriam" w:hint="cs"/>
          <w:rtl/>
        </w:rPr>
        <w:t>(</w:t>
      </w:r>
      <w:hyperlink r:id="rId27" w:history="1">
        <w:r w:rsidR="00CB5139" w:rsidRPr="00CB5139">
          <w:rPr>
            <w:rFonts w:ascii="David" w:eastAsia="Calibri" w:hAnsi="David"/>
            <w:color w:val="0000FF"/>
            <w:u w:val="single"/>
            <w:rtl/>
          </w:rPr>
          <w:t>עפ"ג 31126-05-14</w:t>
        </w:r>
      </w:hyperlink>
      <w:r>
        <w:rPr>
          <w:rFonts w:ascii="David" w:eastAsia="Calibri" w:hAnsi="David" w:hint="cs"/>
          <w:rtl/>
        </w:rPr>
        <w:t xml:space="preserve"> </w:t>
      </w:r>
      <w:r w:rsidRPr="00400BF8">
        <w:rPr>
          <w:rFonts w:ascii="David" w:eastAsia="Calibri" w:hAnsi="David" w:hint="cs"/>
          <w:b/>
          <w:bCs/>
          <w:rtl/>
        </w:rPr>
        <w:t>מדינת ישראל נ' חריט</w:t>
      </w:r>
      <w:r>
        <w:rPr>
          <w:rFonts w:ascii="David" w:eastAsia="Calibri" w:hAnsi="David" w:hint="cs"/>
          <w:rtl/>
        </w:rPr>
        <w:t xml:space="preserve"> </w:t>
      </w:r>
      <w:r w:rsidR="004314C7" w:rsidRPr="004314C7">
        <w:rPr>
          <w:rFonts w:eastAsia="Calibri"/>
          <w:sz w:val="22"/>
          <w:rtl/>
        </w:rPr>
        <w:t xml:space="preserve">[פורסם בנבו] </w:t>
      </w:r>
      <w:r>
        <w:rPr>
          <w:rFonts w:ascii="David" w:eastAsia="Calibri" w:hAnsi="David" w:hint="cs"/>
          <w:rtl/>
        </w:rPr>
        <w:t xml:space="preserve">(12.1.15)). </w:t>
      </w:r>
    </w:p>
    <w:p w14:paraId="07564C91" w14:textId="77777777" w:rsidR="00D5318B" w:rsidRPr="00400BF8" w:rsidRDefault="00D5318B" w:rsidP="00D5318B">
      <w:pPr>
        <w:spacing w:line="360" w:lineRule="auto"/>
        <w:jc w:val="both"/>
        <w:rPr>
          <w:rFonts w:ascii="David" w:eastAsia="Calibri" w:hAnsi="David"/>
          <w:rtl/>
        </w:rPr>
      </w:pPr>
    </w:p>
    <w:p w14:paraId="14C3F8FF" w14:textId="77777777" w:rsidR="00D5318B" w:rsidRPr="0075141B" w:rsidRDefault="00D5318B" w:rsidP="00D5318B">
      <w:pPr>
        <w:pStyle w:val="ListParagraph"/>
        <w:spacing w:line="360" w:lineRule="auto"/>
        <w:jc w:val="both"/>
        <w:rPr>
          <w:rFonts w:ascii="David" w:eastAsia="Calibri" w:hAnsi="David" w:cs="David"/>
          <w:rtl/>
        </w:rPr>
      </w:pPr>
      <w:r w:rsidRPr="0075141B">
        <w:rPr>
          <w:rFonts w:ascii="David" w:eastAsia="Calibri" w:hAnsi="David" w:cs="David"/>
          <w:rtl/>
        </w:rPr>
        <w:t xml:space="preserve">לצורך בחינת מדיניות הענישה הנוהגת במקרים דומים, ניתן להפנות לפסקי הדין הבאים: </w:t>
      </w:r>
    </w:p>
    <w:p w14:paraId="3D340975" w14:textId="77777777" w:rsidR="00D5318B" w:rsidRPr="0075141B" w:rsidRDefault="00D5318B" w:rsidP="00D5318B">
      <w:pPr>
        <w:pStyle w:val="ListParagraph"/>
        <w:spacing w:line="360" w:lineRule="auto"/>
        <w:jc w:val="both"/>
        <w:rPr>
          <w:rFonts w:ascii="David" w:eastAsia="Calibri" w:hAnsi="David" w:cs="David"/>
          <w:rtl/>
        </w:rPr>
      </w:pPr>
    </w:p>
    <w:p w14:paraId="105B9789" w14:textId="77777777" w:rsidR="00D5318B" w:rsidRPr="0075141B" w:rsidRDefault="00CB5139" w:rsidP="004314C7">
      <w:pPr>
        <w:pStyle w:val="ListParagraph"/>
        <w:spacing w:line="360" w:lineRule="auto"/>
        <w:jc w:val="both"/>
        <w:rPr>
          <w:rFonts w:ascii="David" w:eastAsia="Calibri" w:hAnsi="David" w:cs="David"/>
          <w:rtl/>
        </w:rPr>
      </w:pPr>
      <w:hyperlink r:id="rId28" w:history="1">
        <w:r w:rsidRPr="00CB5139">
          <w:rPr>
            <w:rFonts w:ascii="David" w:eastAsia="Calibri" w:hAnsi="David" w:cs="David"/>
            <w:color w:val="0000FF"/>
            <w:u w:val="single"/>
            <w:rtl/>
          </w:rPr>
          <w:t>רע"פ 314/16</w:t>
        </w:r>
      </w:hyperlink>
      <w:r w:rsidR="00D5318B" w:rsidRPr="0075141B">
        <w:rPr>
          <w:rFonts w:ascii="David" w:eastAsia="Calibri" w:hAnsi="David" w:cs="David"/>
          <w:rtl/>
        </w:rPr>
        <w:t xml:space="preserve"> </w:t>
      </w:r>
      <w:r w:rsidR="00D5318B" w:rsidRPr="0075141B">
        <w:rPr>
          <w:rFonts w:ascii="David" w:eastAsia="Calibri" w:hAnsi="David" w:cs="David"/>
          <w:b/>
          <w:bCs/>
          <w:rtl/>
        </w:rPr>
        <w:t>בן צבי נ' מדינת ישרא</w:t>
      </w:r>
      <w:r w:rsidR="004314C7" w:rsidRPr="004314C7">
        <w:rPr>
          <w:rFonts w:eastAsia="Calibri" w:cs="David"/>
          <w:sz w:val="22"/>
          <w:rtl/>
        </w:rPr>
        <w:t xml:space="preserve">[פורסם בנבו] </w:t>
      </w:r>
      <w:r w:rsidR="00D5318B" w:rsidRPr="0075141B">
        <w:rPr>
          <w:rFonts w:ascii="David" w:eastAsia="Calibri" w:hAnsi="David" w:cs="David"/>
          <w:rtl/>
        </w:rPr>
        <w:t xml:space="preserve">(22.2.16), בו </w:t>
      </w:r>
      <w:r w:rsidR="00D5318B">
        <w:rPr>
          <w:rFonts w:ascii="David" w:eastAsia="Calibri" w:hAnsi="David" w:cs="David" w:hint="cs"/>
          <w:rtl/>
        </w:rPr>
        <w:t>הוטלו על ה</w:t>
      </w:r>
      <w:r w:rsidR="00D5318B" w:rsidRPr="0075141B">
        <w:rPr>
          <w:rFonts w:ascii="David" w:eastAsia="Calibri" w:hAnsi="David" w:cs="David"/>
          <w:rtl/>
        </w:rPr>
        <w:t>נאשם 10 חודשי מאסר, בשל גידול תשעה שתילי קנבוס במשקל של 2.5 קילו במעבדה שכללה ציוד רב.</w:t>
      </w:r>
    </w:p>
    <w:p w14:paraId="24D127EE" w14:textId="77777777" w:rsidR="00D5318B" w:rsidRPr="0075141B" w:rsidRDefault="00D5318B" w:rsidP="00D5318B">
      <w:pPr>
        <w:pStyle w:val="ListParagraph"/>
        <w:spacing w:line="360" w:lineRule="auto"/>
        <w:jc w:val="both"/>
        <w:rPr>
          <w:rFonts w:ascii="David" w:eastAsia="Calibri" w:hAnsi="David" w:cs="David"/>
          <w:rtl/>
        </w:rPr>
      </w:pPr>
    </w:p>
    <w:p w14:paraId="06F5A20B" w14:textId="77777777" w:rsidR="00D5318B" w:rsidRPr="0075141B" w:rsidRDefault="00CB5139" w:rsidP="00D5318B">
      <w:pPr>
        <w:pStyle w:val="ListParagraph"/>
        <w:spacing w:line="360" w:lineRule="auto"/>
        <w:jc w:val="both"/>
        <w:rPr>
          <w:rFonts w:ascii="David" w:eastAsia="Calibri" w:hAnsi="David" w:cs="David"/>
          <w:rtl/>
        </w:rPr>
      </w:pPr>
      <w:hyperlink r:id="rId29" w:history="1">
        <w:r w:rsidRPr="00CB5139">
          <w:rPr>
            <w:rFonts w:ascii="David" w:eastAsia="Calibri" w:hAnsi="David" w:cs="David"/>
            <w:color w:val="0000FF"/>
            <w:u w:val="single"/>
            <w:rtl/>
          </w:rPr>
          <w:t>רע"פ 1787/15</w:t>
        </w:r>
      </w:hyperlink>
      <w:r w:rsidR="00D5318B" w:rsidRPr="0075141B">
        <w:rPr>
          <w:rFonts w:ascii="David" w:eastAsia="Calibri" w:hAnsi="David" w:cs="David"/>
          <w:rtl/>
        </w:rPr>
        <w:t xml:space="preserve"> </w:t>
      </w:r>
      <w:r w:rsidR="00D5318B" w:rsidRPr="008269FA">
        <w:rPr>
          <w:rFonts w:ascii="David" w:eastAsia="Calibri" w:hAnsi="David" w:cs="David"/>
          <w:b/>
          <w:bCs/>
          <w:rtl/>
        </w:rPr>
        <w:t>עמר נ' מדינת ישראל</w:t>
      </w:r>
      <w:r w:rsidR="00D5318B" w:rsidRPr="0075141B">
        <w:rPr>
          <w:rFonts w:ascii="David" w:eastAsia="Calibri" w:hAnsi="David" w:cs="David"/>
          <w:rtl/>
        </w:rPr>
        <w:t xml:space="preserve"> </w:t>
      </w:r>
      <w:r w:rsidR="004314C7" w:rsidRPr="004314C7">
        <w:rPr>
          <w:rFonts w:eastAsia="Calibri" w:cs="David"/>
          <w:sz w:val="22"/>
          <w:rtl/>
        </w:rPr>
        <w:t xml:space="preserve">[פורסם בנבו] </w:t>
      </w:r>
      <w:r w:rsidR="00D5318B" w:rsidRPr="0075141B">
        <w:rPr>
          <w:rFonts w:ascii="David" w:eastAsia="Calibri" w:hAnsi="David" w:cs="David"/>
          <w:rtl/>
        </w:rPr>
        <w:t xml:space="preserve">(24.3.15),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 </w:t>
      </w:r>
    </w:p>
    <w:p w14:paraId="1856258A" w14:textId="77777777" w:rsidR="00D5318B" w:rsidRPr="0075141B" w:rsidRDefault="00D5318B" w:rsidP="00D5318B">
      <w:pPr>
        <w:pStyle w:val="ListParagraph"/>
        <w:spacing w:line="360" w:lineRule="auto"/>
        <w:jc w:val="both"/>
        <w:rPr>
          <w:rFonts w:ascii="David" w:eastAsia="Calibri" w:hAnsi="David" w:cs="David"/>
          <w:rtl/>
        </w:rPr>
      </w:pPr>
    </w:p>
    <w:p w14:paraId="3BEAD2AF" w14:textId="77777777" w:rsidR="00D5318B" w:rsidRPr="0075141B" w:rsidRDefault="00CB5139" w:rsidP="00D5318B">
      <w:pPr>
        <w:pStyle w:val="ListParagraph"/>
        <w:spacing w:line="360" w:lineRule="auto"/>
        <w:jc w:val="both"/>
        <w:rPr>
          <w:rFonts w:ascii="David" w:eastAsia="Calibri" w:hAnsi="David" w:cs="David"/>
          <w:rtl/>
        </w:rPr>
      </w:pPr>
      <w:hyperlink r:id="rId30" w:history="1">
        <w:r w:rsidRPr="00CB5139">
          <w:rPr>
            <w:rFonts w:ascii="David" w:eastAsia="Calibri" w:hAnsi="David" w:cs="David"/>
            <w:color w:val="0000FF"/>
            <w:u w:val="single"/>
            <w:rtl/>
          </w:rPr>
          <w:t>רע"פ 7005/14</w:t>
        </w:r>
      </w:hyperlink>
      <w:r w:rsidR="00D5318B" w:rsidRPr="0075141B">
        <w:rPr>
          <w:rFonts w:ascii="David" w:eastAsia="Calibri" w:hAnsi="David" w:cs="David"/>
          <w:rtl/>
        </w:rPr>
        <w:t xml:space="preserve"> </w:t>
      </w:r>
      <w:r w:rsidR="00D5318B" w:rsidRPr="008269FA">
        <w:rPr>
          <w:rFonts w:ascii="David" w:eastAsia="Calibri" w:hAnsi="David" w:cs="David"/>
          <w:b/>
          <w:bCs/>
          <w:rtl/>
        </w:rPr>
        <w:t>דגן נ' מדינת ישראל</w:t>
      </w:r>
      <w:r w:rsidR="00D5318B" w:rsidRPr="0075141B">
        <w:rPr>
          <w:rFonts w:ascii="David" w:eastAsia="Calibri" w:hAnsi="David" w:cs="David"/>
          <w:rtl/>
        </w:rPr>
        <w:t xml:space="preserve"> </w:t>
      </w:r>
      <w:r w:rsidR="004314C7" w:rsidRPr="004314C7">
        <w:rPr>
          <w:rFonts w:eastAsia="Calibri" w:cs="David"/>
          <w:sz w:val="22"/>
          <w:rtl/>
        </w:rPr>
        <w:t xml:space="preserve">[פורסם בנבו] </w:t>
      </w:r>
      <w:r w:rsidR="00D5318B" w:rsidRPr="0075141B">
        <w:rPr>
          <w:rFonts w:ascii="David" w:eastAsia="Calibri" w:hAnsi="David" w:cs="David"/>
          <w:rtl/>
        </w:rPr>
        <w:t xml:space="preserve">(30.11.14), בו הוטלו על הנאשם 10 חודשי מאסר בפועל בשל גידול סם מסוג קנביס במשקל כולל של 2,721 גרם. </w:t>
      </w:r>
    </w:p>
    <w:p w14:paraId="3AA15C37" w14:textId="77777777" w:rsidR="00D5318B" w:rsidRPr="0075141B" w:rsidRDefault="00D5318B" w:rsidP="00D5318B">
      <w:pPr>
        <w:spacing w:line="360" w:lineRule="auto"/>
        <w:ind w:left="360"/>
        <w:jc w:val="both"/>
        <w:rPr>
          <w:rFonts w:ascii="David" w:eastAsia="Calibri" w:hAnsi="David"/>
          <w:rtl/>
        </w:rPr>
      </w:pPr>
    </w:p>
    <w:p w14:paraId="5B5B7F3F" w14:textId="77777777" w:rsidR="00D5318B" w:rsidRPr="0075141B" w:rsidRDefault="00CB5139" w:rsidP="00D5318B">
      <w:pPr>
        <w:pStyle w:val="ListParagraph"/>
        <w:spacing w:line="360" w:lineRule="auto"/>
        <w:jc w:val="both"/>
        <w:rPr>
          <w:rFonts w:ascii="David" w:eastAsia="Calibri" w:hAnsi="David" w:cs="David"/>
          <w:rtl/>
        </w:rPr>
      </w:pPr>
      <w:hyperlink r:id="rId31" w:history="1">
        <w:r w:rsidRPr="00CB5139">
          <w:rPr>
            <w:rFonts w:ascii="David" w:eastAsia="Calibri" w:hAnsi="David" w:cs="David"/>
            <w:color w:val="0000FF"/>
            <w:u w:val="single"/>
            <w:rtl/>
          </w:rPr>
          <w:t>רע"פ 6987/13</w:t>
        </w:r>
      </w:hyperlink>
      <w:r w:rsidR="00D5318B" w:rsidRPr="0075141B">
        <w:rPr>
          <w:rFonts w:ascii="David" w:eastAsia="Calibri" w:hAnsi="David" w:cs="David"/>
          <w:rtl/>
        </w:rPr>
        <w:t xml:space="preserve"> </w:t>
      </w:r>
      <w:r w:rsidR="00D5318B" w:rsidRPr="008269FA">
        <w:rPr>
          <w:rFonts w:ascii="David" w:eastAsia="Calibri" w:hAnsi="David" w:cs="David"/>
          <w:b/>
          <w:bCs/>
          <w:rtl/>
        </w:rPr>
        <w:t>אברמוב נ' מדינת ישראל</w:t>
      </w:r>
      <w:r w:rsidR="00D5318B" w:rsidRPr="0075141B">
        <w:rPr>
          <w:rFonts w:ascii="David" w:eastAsia="Calibri" w:hAnsi="David" w:cs="David"/>
          <w:rtl/>
        </w:rPr>
        <w:t xml:space="preserve"> </w:t>
      </w:r>
      <w:r w:rsidR="004314C7" w:rsidRPr="004314C7">
        <w:rPr>
          <w:rFonts w:eastAsia="Calibri" w:cs="David"/>
          <w:sz w:val="22"/>
          <w:rtl/>
        </w:rPr>
        <w:t xml:space="preserve">[פורסם בנבו] </w:t>
      </w:r>
      <w:r w:rsidR="00D5318B" w:rsidRPr="0075141B">
        <w:rPr>
          <w:rFonts w:ascii="David" w:eastAsia="Calibri" w:hAnsi="David" w:cs="David"/>
          <w:rtl/>
        </w:rPr>
        <w:t xml:space="preserve">(21.10.13), בו הוטלו על הנאשם 12 חודשי מאסר בפועל בשל גידול  סם מסוג קנביס במשקל כולל של 10 ק"ג.  </w:t>
      </w:r>
    </w:p>
    <w:p w14:paraId="602D88D9" w14:textId="77777777" w:rsidR="00D5318B" w:rsidRPr="0075141B" w:rsidRDefault="00D5318B" w:rsidP="00D5318B">
      <w:pPr>
        <w:spacing w:line="360" w:lineRule="auto"/>
        <w:ind w:left="360"/>
        <w:jc w:val="both"/>
        <w:rPr>
          <w:rFonts w:ascii="David" w:eastAsia="Calibri" w:hAnsi="David"/>
          <w:rtl/>
        </w:rPr>
      </w:pPr>
    </w:p>
    <w:p w14:paraId="4DE7DB6D" w14:textId="77777777" w:rsidR="00D5318B" w:rsidRDefault="00CB5139" w:rsidP="00D5318B">
      <w:pPr>
        <w:pStyle w:val="ListParagraph"/>
        <w:spacing w:line="360" w:lineRule="auto"/>
        <w:jc w:val="both"/>
        <w:rPr>
          <w:rFonts w:ascii="David" w:eastAsia="Calibri" w:hAnsi="David" w:cs="David"/>
          <w:rtl/>
        </w:rPr>
      </w:pPr>
      <w:hyperlink r:id="rId32" w:history="1">
        <w:r w:rsidRPr="00CB5139">
          <w:rPr>
            <w:rFonts w:ascii="David" w:eastAsia="Calibri" w:hAnsi="David" w:cs="David"/>
            <w:color w:val="0000FF"/>
            <w:u w:val="single"/>
            <w:rtl/>
          </w:rPr>
          <w:t>עפ"ג 42358-10-14</w:t>
        </w:r>
      </w:hyperlink>
      <w:r w:rsidR="00D5318B">
        <w:rPr>
          <w:rFonts w:ascii="David" w:eastAsia="Calibri" w:hAnsi="David" w:cs="David" w:hint="cs"/>
          <w:rtl/>
        </w:rPr>
        <w:t xml:space="preserve"> </w:t>
      </w:r>
      <w:r w:rsidR="00D5318B" w:rsidRPr="000958E8">
        <w:rPr>
          <w:rFonts w:ascii="David" w:eastAsia="Calibri" w:hAnsi="David" w:cs="David" w:hint="cs"/>
          <w:b/>
          <w:bCs/>
          <w:rtl/>
        </w:rPr>
        <w:t>גיא נ' מדינת ישראל</w:t>
      </w:r>
      <w:r w:rsidR="00D5318B">
        <w:rPr>
          <w:rFonts w:ascii="David" w:eastAsia="Calibri" w:hAnsi="David" w:cs="David" w:hint="cs"/>
          <w:rtl/>
        </w:rPr>
        <w:t xml:space="preserve"> </w:t>
      </w:r>
      <w:r w:rsidR="004314C7" w:rsidRPr="004314C7">
        <w:rPr>
          <w:rFonts w:eastAsia="Calibri" w:cs="David"/>
          <w:sz w:val="22"/>
          <w:rtl/>
        </w:rPr>
        <w:t xml:space="preserve">[פורסם בנבו] </w:t>
      </w:r>
      <w:r w:rsidR="00D5318B">
        <w:rPr>
          <w:rFonts w:ascii="David" w:eastAsia="Calibri" w:hAnsi="David" w:cs="David" w:hint="cs"/>
          <w:rtl/>
        </w:rPr>
        <w:t xml:space="preserve">(18.2.15), בו נדחה ערעור נאשם על חומרת עונשו </w:t>
      </w:r>
      <w:r w:rsidR="00D5318B">
        <w:rPr>
          <w:rFonts w:ascii="David" w:eastAsia="Calibri" w:hAnsi="David" w:cs="David" w:hint="eastAsia"/>
          <w:rtl/>
        </w:rPr>
        <w:t>–</w:t>
      </w:r>
      <w:r w:rsidR="00D5318B">
        <w:rPr>
          <w:rFonts w:ascii="David" w:eastAsia="Calibri" w:hAnsi="David" w:cs="David" w:hint="cs"/>
          <w:rtl/>
        </w:rPr>
        <w:t xml:space="preserve"> 8 חודשי מאסר והפעלת מאסר מותנה </w:t>
      </w:r>
      <w:r w:rsidR="00D5318B">
        <w:rPr>
          <w:rFonts w:ascii="David" w:eastAsia="Calibri" w:hAnsi="David" w:cs="David" w:hint="eastAsia"/>
          <w:rtl/>
        </w:rPr>
        <w:t xml:space="preserve">– </w:t>
      </w:r>
      <w:r w:rsidR="00D5318B">
        <w:rPr>
          <w:rFonts w:ascii="David" w:eastAsia="Calibri" w:hAnsi="David" w:cs="David" w:hint="cs"/>
          <w:rtl/>
        </w:rPr>
        <w:t xml:space="preserve">בגין עבירה של גידול סם מסוג קנבוס במשקל 5.5 ק"ג והחזקת כלים לגידול הסם. יצוין כי בית המשפט המחוזי קבע שמתחם העונש שנקבע       (7-20 חודשי מאסר) הוא ראוי. </w:t>
      </w:r>
    </w:p>
    <w:p w14:paraId="52D9C255" w14:textId="77777777" w:rsidR="00D5318B" w:rsidRDefault="00D5318B" w:rsidP="00D5318B">
      <w:pPr>
        <w:pStyle w:val="ListParagraph"/>
        <w:spacing w:line="360" w:lineRule="auto"/>
        <w:jc w:val="both"/>
        <w:rPr>
          <w:rFonts w:ascii="David" w:eastAsia="Calibri" w:hAnsi="David" w:cs="David"/>
          <w:rtl/>
        </w:rPr>
      </w:pPr>
    </w:p>
    <w:p w14:paraId="070119A3" w14:textId="77777777" w:rsidR="00D5318B" w:rsidRPr="00210695" w:rsidRDefault="00CB5139" w:rsidP="00D5318B">
      <w:pPr>
        <w:pStyle w:val="ListParagraph"/>
        <w:spacing w:line="360" w:lineRule="auto"/>
        <w:jc w:val="both"/>
        <w:rPr>
          <w:rFonts w:ascii="Calibri" w:eastAsia="Calibri" w:hAnsi="Calibri" w:cs="David"/>
          <w:rtl/>
        </w:rPr>
      </w:pPr>
      <w:hyperlink r:id="rId33" w:history="1">
        <w:r w:rsidRPr="00CB5139">
          <w:rPr>
            <w:rFonts w:ascii="David" w:eastAsia="Calibri" w:hAnsi="David" w:cs="David"/>
            <w:color w:val="0000FF"/>
            <w:u w:val="single"/>
            <w:rtl/>
          </w:rPr>
          <w:t>עפ"ג 31126-05-14</w:t>
        </w:r>
      </w:hyperlink>
      <w:r w:rsidR="00D5318B">
        <w:rPr>
          <w:rFonts w:ascii="David" w:eastAsia="Calibri" w:hAnsi="David" w:cs="David" w:hint="cs"/>
          <w:rtl/>
        </w:rPr>
        <w:t xml:space="preserve"> </w:t>
      </w:r>
      <w:r w:rsidR="00D5318B" w:rsidRPr="00400BF8">
        <w:rPr>
          <w:rFonts w:ascii="David" w:eastAsia="Calibri" w:hAnsi="David" w:cs="David" w:hint="cs"/>
          <w:b/>
          <w:bCs/>
          <w:rtl/>
        </w:rPr>
        <w:t>מדינת ישראל נ' חריט</w:t>
      </w:r>
      <w:r w:rsidR="00D5318B">
        <w:rPr>
          <w:rFonts w:ascii="David" w:eastAsia="Calibri" w:hAnsi="David" w:cs="David" w:hint="cs"/>
          <w:rtl/>
        </w:rPr>
        <w:t xml:space="preserve"> </w:t>
      </w:r>
      <w:r w:rsidR="004314C7" w:rsidRPr="004314C7">
        <w:rPr>
          <w:rFonts w:eastAsia="Calibri" w:cs="David"/>
          <w:sz w:val="22"/>
          <w:rtl/>
        </w:rPr>
        <w:t xml:space="preserve">[פורסם בנבו] </w:t>
      </w:r>
      <w:r w:rsidR="00D5318B">
        <w:rPr>
          <w:rFonts w:ascii="David" w:eastAsia="Calibri" w:hAnsi="David" w:cs="David" w:hint="cs"/>
          <w:rtl/>
        </w:rPr>
        <w:t>(12.1.15), בו התקבל ערעור המדינה על קולת עונשו של הנאשם והושת עליו 6 חודשי מאסר לנשיאה בדרך של עבודות שירות</w:t>
      </w:r>
      <w:r w:rsidR="00D5318B" w:rsidRPr="00210695">
        <w:rPr>
          <w:rFonts w:ascii="Calibri" w:eastAsia="Calibri" w:hAnsi="Calibri" w:cs="David" w:hint="cs"/>
          <w:rtl/>
        </w:rPr>
        <w:t xml:space="preserve">. </w:t>
      </w:r>
    </w:p>
    <w:p w14:paraId="50414520" w14:textId="77777777" w:rsidR="00D5318B" w:rsidRPr="00FF06D1" w:rsidRDefault="00D5318B" w:rsidP="00D5318B">
      <w:pPr>
        <w:spacing w:line="360" w:lineRule="auto"/>
        <w:jc w:val="both"/>
        <w:rPr>
          <w:rFonts w:ascii="David" w:eastAsia="Calibri" w:hAnsi="David"/>
          <w:rtl/>
        </w:rPr>
      </w:pPr>
    </w:p>
    <w:p w14:paraId="7305BE54" w14:textId="77777777" w:rsidR="00D5318B" w:rsidRPr="0075141B" w:rsidRDefault="00CB5139" w:rsidP="00D5318B">
      <w:pPr>
        <w:pStyle w:val="ListParagraph"/>
        <w:spacing w:line="360" w:lineRule="auto"/>
        <w:jc w:val="both"/>
        <w:rPr>
          <w:rFonts w:ascii="David" w:eastAsia="Calibri" w:hAnsi="David" w:cs="David"/>
          <w:rtl/>
        </w:rPr>
      </w:pPr>
      <w:hyperlink r:id="rId34" w:history="1">
        <w:r w:rsidRPr="00CB5139">
          <w:rPr>
            <w:rFonts w:ascii="David" w:eastAsia="Calibri" w:hAnsi="David" w:cs="David"/>
            <w:color w:val="0000FF"/>
            <w:u w:val="single"/>
            <w:rtl/>
          </w:rPr>
          <w:t>ת"פ (מחוזי מרכז) 2456-07-10</w:t>
        </w:r>
      </w:hyperlink>
      <w:r w:rsidR="00D5318B" w:rsidRPr="0075141B">
        <w:rPr>
          <w:rFonts w:ascii="David" w:eastAsia="Calibri" w:hAnsi="David" w:cs="David"/>
          <w:rtl/>
        </w:rPr>
        <w:t xml:space="preserve"> </w:t>
      </w:r>
      <w:r w:rsidR="00D5318B" w:rsidRPr="0047115A">
        <w:rPr>
          <w:rFonts w:ascii="David" w:eastAsia="Calibri" w:hAnsi="David" w:cs="David"/>
          <w:b/>
          <w:bCs/>
          <w:rtl/>
        </w:rPr>
        <w:t>מדינת ישראל נ' תבל</w:t>
      </w:r>
      <w:r w:rsidR="00D5318B" w:rsidRPr="0075141B">
        <w:rPr>
          <w:rFonts w:ascii="David" w:eastAsia="Calibri" w:hAnsi="David" w:cs="David"/>
          <w:rtl/>
        </w:rPr>
        <w:t xml:space="preserve"> </w:t>
      </w:r>
      <w:r w:rsidR="004314C7" w:rsidRPr="004314C7">
        <w:rPr>
          <w:rFonts w:eastAsia="Calibri" w:cs="David"/>
          <w:sz w:val="22"/>
          <w:rtl/>
        </w:rPr>
        <w:t xml:space="preserve">[פורסם בנבו] </w:t>
      </w:r>
      <w:r w:rsidR="00D5318B" w:rsidRPr="0075141B">
        <w:rPr>
          <w:rFonts w:ascii="David" w:eastAsia="Calibri" w:hAnsi="David" w:cs="David"/>
          <w:rtl/>
        </w:rPr>
        <w:t xml:space="preserve">(8.5.11), בו הוטל על נאשם עונש מאסר בן 8 חודשים בשל גידול סם מסוג קנבוס בכמות של כ- 8.9 ק"ג. </w:t>
      </w:r>
    </w:p>
    <w:p w14:paraId="3E639753" w14:textId="77777777" w:rsidR="00D5318B" w:rsidRPr="00AF12F6" w:rsidRDefault="00D5318B" w:rsidP="00D5318B">
      <w:pPr>
        <w:rPr>
          <w:b/>
          <w:bCs/>
        </w:rPr>
      </w:pPr>
    </w:p>
    <w:p w14:paraId="0DB119E8" w14:textId="77777777" w:rsidR="00D5318B" w:rsidRPr="0047115A" w:rsidRDefault="00D5318B" w:rsidP="00D5318B">
      <w:pPr>
        <w:pStyle w:val="ListParagraph"/>
        <w:numPr>
          <w:ilvl w:val="0"/>
          <w:numId w:val="1"/>
        </w:numPr>
        <w:spacing w:line="360" w:lineRule="auto"/>
        <w:jc w:val="both"/>
        <w:rPr>
          <w:rFonts w:ascii="David" w:eastAsia="Calibri" w:hAnsi="David" w:cs="David"/>
          <w:rtl/>
        </w:rPr>
      </w:pPr>
      <w:r w:rsidRPr="0047115A">
        <w:rPr>
          <w:rFonts w:cs="David"/>
          <w:rtl/>
        </w:rPr>
        <w:t xml:space="preserve">לאור כל זאת, </w:t>
      </w:r>
      <w:r w:rsidRPr="0047115A">
        <w:rPr>
          <w:rFonts w:ascii="David" w:eastAsia="Calibri" w:hAnsi="David" w:cs="David"/>
          <w:rtl/>
        </w:rPr>
        <w:t xml:space="preserve">אני בדעה כי מתחם הענישה ההולם את העבירה מושא ענייננו נע בין 8 חודשי מאסר בפועל ועד </w:t>
      </w:r>
      <w:r>
        <w:rPr>
          <w:rFonts w:ascii="David" w:eastAsia="Calibri" w:hAnsi="David" w:cs="David" w:hint="cs"/>
          <w:rtl/>
        </w:rPr>
        <w:t xml:space="preserve">20 </w:t>
      </w:r>
      <w:r w:rsidRPr="0047115A">
        <w:rPr>
          <w:rFonts w:ascii="David" w:eastAsia="Calibri" w:hAnsi="David" w:cs="David"/>
          <w:rtl/>
        </w:rPr>
        <w:t xml:space="preserve">חודשי מאסר בפועל. </w:t>
      </w:r>
    </w:p>
    <w:p w14:paraId="5E3B8916" w14:textId="77777777" w:rsidR="00D5318B" w:rsidRDefault="00D5318B" w:rsidP="00D5318B">
      <w:pPr>
        <w:pStyle w:val="ListParagraph"/>
        <w:spacing w:line="360" w:lineRule="auto"/>
        <w:jc w:val="both"/>
        <w:rPr>
          <w:rFonts w:cs="David"/>
          <w:b/>
          <w:bCs/>
          <w:rtl/>
        </w:rPr>
      </w:pPr>
    </w:p>
    <w:p w14:paraId="2D06E67D" w14:textId="77777777" w:rsidR="00D5318B" w:rsidRDefault="00D5318B" w:rsidP="00D5318B">
      <w:pPr>
        <w:spacing w:line="360" w:lineRule="auto"/>
        <w:ind w:firstLine="360"/>
        <w:jc w:val="both"/>
        <w:rPr>
          <w:b/>
          <w:bCs/>
          <w:u w:val="single"/>
          <w:rtl/>
        </w:rPr>
      </w:pPr>
      <w:r>
        <w:rPr>
          <w:rFonts w:hint="cs"/>
          <w:b/>
          <w:bCs/>
          <w:u w:val="single"/>
          <w:rtl/>
        </w:rPr>
        <w:t>קביעת עונשו של הנאשם</w:t>
      </w:r>
    </w:p>
    <w:p w14:paraId="7CC5068C" w14:textId="77777777" w:rsidR="00D5318B" w:rsidRDefault="00D5318B" w:rsidP="00D5318B">
      <w:pPr>
        <w:spacing w:line="360" w:lineRule="auto"/>
        <w:ind w:left="360"/>
        <w:jc w:val="both"/>
        <w:rPr>
          <w:b/>
          <w:bCs/>
          <w:u w:val="single"/>
          <w:rtl/>
        </w:rPr>
      </w:pPr>
    </w:p>
    <w:p w14:paraId="2D993175" w14:textId="77777777" w:rsidR="00D5318B" w:rsidRDefault="00D5318B" w:rsidP="00D5318B">
      <w:pPr>
        <w:numPr>
          <w:ilvl w:val="0"/>
          <w:numId w:val="1"/>
        </w:numPr>
        <w:spacing w:line="360" w:lineRule="auto"/>
        <w:contextualSpacing/>
        <w:jc w:val="both"/>
      </w:pPr>
      <w:r>
        <w:rPr>
          <w:rFonts w:hint="cs"/>
          <w:rtl/>
        </w:rPr>
        <w:t xml:space="preserve">אקדים ואומר כי לאחר עיון בתסקירי שירות המבחן ובחינת נסיבות המקרה בכללותו, באתי לכלל מסקנה כי נכון בעניינו של הנאשם להעדיף את הפן השיקומי ולסטות בשל כך ממתחם הענישה. הסטייה, כפי שיוסבר להלן, לא תהייה בצורה ניכרת, ובעיקרה היא תתבטא בכך שלא יוטל על הנאשם עונש מאסר בכליאה, אלא בעבודות שירות. </w:t>
      </w:r>
    </w:p>
    <w:p w14:paraId="690B0E13" w14:textId="77777777" w:rsidR="00D5318B" w:rsidRDefault="00D5318B" w:rsidP="00D5318B">
      <w:pPr>
        <w:spacing w:line="360" w:lineRule="auto"/>
        <w:ind w:left="720"/>
        <w:contextualSpacing/>
        <w:jc w:val="both"/>
      </w:pPr>
    </w:p>
    <w:p w14:paraId="6827CE0F" w14:textId="77777777" w:rsidR="00D5318B" w:rsidRDefault="00D5318B" w:rsidP="00D5318B">
      <w:pPr>
        <w:numPr>
          <w:ilvl w:val="0"/>
          <w:numId w:val="1"/>
        </w:numPr>
        <w:spacing w:line="360" w:lineRule="auto"/>
        <w:contextualSpacing/>
        <w:jc w:val="both"/>
      </w:pPr>
      <w:r>
        <w:rPr>
          <w:rtl/>
        </w:rPr>
        <w:t xml:space="preserve">בהתאם </w:t>
      </w:r>
      <w:hyperlink r:id="rId35" w:history="1">
        <w:r w:rsidR="007C2B33" w:rsidRPr="007C2B33">
          <w:rPr>
            <w:color w:val="0000FF"/>
            <w:u w:val="single"/>
            <w:rtl/>
          </w:rPr>
          <w:t>לסעיף 40ד'</w:t>
        </w:r>
      </w:hyperlink>
      <w:r>
        <w:rPr>
          <w:rtl/>
        </w:rPr>
        <w:t xml:space="preserve"> ל</w:t>
      </w:r>
      <w:hyperlink r:id="rId36" w:history="1">
        <w:r w:rsidR="00CB5139" w:rsidRPr="00CB5139">
          <w:rPr>
            <w:color w:val="0000FF"/>
            <w:u w:val="single"/>
            <w:rtl/>
          </w:rPr>
          <w:t>חוק העונשין</w:t>
        </w:r>
      </w:hyperlink>
      <w:r>
        <w:rPr>
          <w:rtl/>
        </w:rPr>
        <w:t xml:space="preserve">, רשאי בית המשפט לחרוג לקולה ממתחם הענישה שקבע, אם מצא כי </w:t>
      </w:r>
      <w:r w:rsidRPr="004A3E3E">
        <w:rPr>
          <w:rFonts w:cs="Miriam"/>
          <w:rtl/>
        </w:rPr>
        <w:t>"הנאשם השתקם או כי יש סיכוי של ממש שישתקם"</w:t>
      </w:r>
      <w:r>
        <w:rPr>
          <w:rtl/>
        </w:rPr>
        <w:t xml:space="preserve">. בעניין זה נקבע כי </w:t>
      </w:r>
      <w:r w:rsidRPr="004A3E3E">
        <w:rPr>
          <w:rFonts w:cs="Miriam"/>
          <w:rtl/>
        </w:rPr>
        <w:t xml:space="preserve">"על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 </w:t>
      </w:r>
      <w:r>
        <w:rPr>
          <w:rtl/>
        </w:rPr>
        <w:t>(</w:t>
      </w:r>
      <w:hyperlink r:id="rId37" w:history="1">
        <w:r w:rsidR="00CB5139" w:rsidRPr="00CB5139">
          <w:rPr>
            <w:color w:val="0000FF"/>
            <w:u w:val="single"/>
            <w:rtl/>
          </w:rPr>
          <w:t>רע"פ 7683/13</w:t>
        </w:r>
      </w:hyperlink>
      <w:r>
        <w:rPr>
          <w:rtl/>
        </w:rPr>
        <w:t xml:space="preserve"> </w:t>
      </w:r>
      <w:r w:rsidRPr="004A3E3E">
        <w:rPr>
          <w:b/>
          <w:bCs/>
          <w:rtl/>
        </w:rPr>
        <w:t>דוד פרלמן נ' מדינת ישראל</w:t>
      </w:r>
      <w:r>
        <w:rPr>
          <w:rtl/>
        </w:rPr>
        <w:t xml:space="preserve"> </w:t>
      </w:r>
      <w:r w:rsidR="004314C7" w:rsidRPr="004314C7">
        <w:rPr>
          <w:sz w:val="22"/>
          <w:rtl/>
        </w:rPr>
        <w:t xml:space="preserve">[פורסם בנבו] </w:t>
      </w:r>
      <w:r>
        <w:rPr>
          <w:rtl/>
        </w:rPr>
        <w:t xml:space="preserve">(23.2.14)).  </w:t>
      </w:r>
    </w:p>
    <w:p w14:paraId="5A190983" w14:textId="77777777" w:rsidR="00D5318B" w:rsidRDefault="00D5318B" w:rsidP="00D5318B">
      <w:pPr>
        <w:spacing w:line="360" w:lineRule="auto"/>
        <w:ind w:left="720"/>
        <w:contextualSpacing/>
        <w:jc w:val="both"/>
      </w:pPr>
    </w:p>
    <w:p w14:paraId="0D8ECE4B" w14:textId="77777777" w:rsidR="00D5318B" w:rsidRDefault="00D5318B" w:rsidP="00D5318B">
      <w:pPr>
        <w:numPr>
          <w:ilvl w:val="0"/>
          <w:numId w:val="1"/>
        </w:numPr>
        <w:spacing w:line="360" w:lineRule="auto"/>
        <w:contextualSpacing/>
        <w:jc w:val="both"/>
        <w:rPr>
          <w:rtl/>
        </w:rPr>
      </w:pPr>
      <w:r>
        <w:rPr>
          <w:rtl/>
        </w:rPr>
        <w:t xml:space="preserve">הנאשם </w:t>
      </w:r>
      <w:r>
        <w:rPr>
          <w:rFonts w:hint="cs"/>
          <w:rtl/>
        </w:rPr>
        <w:t>כבן 33</w:t>
      </w:r>
      <w:r>
        <w:rPr>
          <w:rtl/>
        </w:rPr>
        <w:t xml:space="preserve"> </w:t>
      </w:r>
      <w:r>
        <w:rPr>
          <w:rFonts w:hint="cs"/>
          <w:rtl/>
        </w:rPr>
        <w:t>עבר בחייו לא מעט קשיים ומכשולים וחרף זאת</w:t>
      </w:r>
      <w:r>
        <w:rPr>
          <w:rtl/>
        </w:rPr>
        <w:t xml:space="preserve"> </w:t>
      </w:r>
      <w:r>
        <w:rPr>
          <w:rFonts w:hint="cs"/>
          <w:rtl/>
        </w:rPr>
        <w:t>הצליח לנהל</w:t>
      </w:r>
      <w:r>
        <w:rPr>
          <w:rtl/>
        </w:rPr>
        <w:t xml:space="preserve"> אורח חיים </w:t>
      </w:r>
      <w:r>
        <w:rPr>
          <w:rFonts w:hint="cs"/>
          <w:rtl/>
        </w:rPr>
        <w:t xml:space="preserve">תקין יחסית, בצל התמכרות לסמים ואלכוהול. זו הסתבכותו הראשונה עם החוק, ועד כה לא חטא קלה כחמורה. הנאשם שולב ביחידה לטיפול בהתמכרויות וניתן לומר לאור חוות הדעת בעניינו כי  הוא "עלה על דרך חדשה" ונמצא בעיצומו של תהליך שיקום. שירות המבחן ציין כי הנאשם משתף פעולה, מביע נזקקות טיפולית, מקפיד להגיע למפגשים וכי בדיקות השתן מעידות על ניקיון מסמים. כמו כן תוכננה עבורו תכנית שיקום מקיפה, הכוללת שיפור השכלה ומציאת מקורות הכנסה נוספים. ניתן אפוא לומר שאם ישכיל הנאשם להתמיד בתכנית שהוכנה עבורו, הוא יזכה בכלים משמעותיים לשינוי חייו. </w:t>
      </w:r>
      <w:r>
        <w:rPr>
          <w:rFonts w:ascii="David" w:hAnsi="David" w:hint="cs"/>
          <w:rtl/>
        </w:rPr>
        <w:t>לפיכך סברתי שהוכחו בעניינו סיכויי שיקום ממשיים.</w:t>
      </w:r>
      <w:r w:rsidRPr="00B237D7">
        <w:rPr>
          <w:rFonts w:ascii="David" w:hAnsi="David"/>
          <w:rtl/>
        </w:rPr>
        <w:t xml:space="preserve"> </w:t>
      </w:r>
      <w:r>
        <w:rPr>
          <w:rFonts w:hint="cs"/>
          <w:rtl/>
        </w:rPr>
        <w:t>הפסקת התהליך כיום וכליאתו של הנאשם, לא תשיג לדעתי מטרה ראויה, אלא תוריד לטמיון את הישגיו עד כה ותפגע באופן ממשי בסיכויי שיקומו. לא התעלמתי מכך ש</w:t>
      </w:r>
      <w:r w:rsidRPr="00C85AC4">
        <w:rPr>
          <w:rFonts w:ascii="Garamond" w:hAnsi="Garamond" w:cs="Miriam" w:hint="cs"/>
          <w:spacing w:val="10"/>
          <w:rtl/>
        </w:rPr>
        <w:t xml:space="preserve">"כבר נפסק כי ככל שהעבירות בהן הורשע נאשם הן חמורות יותר, כך גובר הנטל להראות סיכויי שיקום מובהקים יותר" </w:t>
      </w:r>
      <w:r w:rsidRPr="00C85AC4">
        <w:rPr>
          <w:rFonts w:ascii="Garamond" w:hAnsi="Garamond" w:hint="cs"/>
          <w:spacing w:val="10"/>
          <w:rtl/>
        </w:rPr>
        <w:t>(</w:t>
      </w:r>
      <w:hyperlink r:id="rId38" w:history="1">
        <w:r w:rsidR="004314C7" w:rsidRPr="004314C7">
          <w:rPr>
            <w:rStyle w:val="Hyperlink"/>
            <w:rFonts w:ascii="Garamond" w:hAnsi="Garamond" w:hint="eastAsia"/>
            <w:spacing w:val="10"/>
            <w:rtl/>
          </w:rPr>
          <w:t>רע</w:t>
        </w:r>
        <w:r w:rsidR="004314C7" w:rsidRPr="004314C7">
          <w:rPr>
            <w:rStyle w:val="Hyperlink"/>
            <w:rFonts w:ascii="Garamond" w:hAnsi="Garamond"/>
            <w:spacing w:val="10"/>
            <w:rtl/>
          </w:rPr>
          <w:t>"</w:t>
        </w:r>
        <w:r w:rsidR="004314C7" w:rsidRPr="004314C7">
          <w:rPr>
            <w:rStyle w:val="Hyperlink"/>
            <w:rFonts w:ascii="Garamond" w:hAnsi="Garamond" w:hint="eastAsia"/>
            <w:spacing w:val="10"/>
            <w:rtl/>
          </w:rPr>
          <w:t>פ</w:t>
        </w:r>
        <w:r w:rsidR="004314C7" w:rsidRPr="004314C7">
          <w:rPr>
            <w:rStyle w:val="Hyperlink"/>
            <w:rFonts w:ascii="Garamond" w:hAnsi="Garamond"/>
            <w:spacing w:val="10"/>
            <w:rtl/>
          </w:rPr>
          <w:t xml:space="preserve"> 9201/15 </w:t>
        </w:r>
      </w:hyperlink>
      <w:r w:rsidRPr="00C85AC4">
        <w:rPr>
          <w:rFonts w:ascii="Garamond" w:hAnsi="Garamond" w:hint="cs"/>
          <w:spacing w:val="10"/>
          <w:rtl/>
        </w:rPr>
        <w:t xml:space="preserve"> </w:t>
      </w:r>
      <w:r w:rsidRPr="00C85AC4">
        <w:rPr>
          <w:rFonts w:ascii="Garamond" w:hAnsi="Garamond" w:hint="cs"/>
          <w:b/>
          <w:bCs/>
          <w:spacing w:val="10"/>
          <w:rtl/>
        </w:rPr>
        <w:t>רועי פאר נ' מדינת ישראל</w:t>
      </w:r>
      <w:r>
        <w:rPr>
          <w:rFonts w:ascii="Garamond" w:hAnsi="Garamond" w:hint="cs"/>
          <w:spacing w:val="10"/>
          <w:rtl/>
        </w:rPr>
        <w:t xml:space="preserve"> </w:t>
      </w:r>
      <w:r w:rsidR="004314C7" w:rsidRPr="004314C7">
        <w:rPr>
          <w:sz w:val="22"/>
          <w:rtl/>
        </w:rPr>
        <w:t>[</w:t>
      </w:r>
      <w:r w:rsidR="004314C7" w:rsidRPr="004314C7">
        <w:rPr>
          <w:rFonts w:hint="eastAsia"/>
          <w:sz w:val="22"/>
          <w:rtl/>
        </w:rPr>
        <w:t>פורסם</w:t>
      </w:r>
      <w:r w:rsidR="004314C7" w:rsidRPr="004314C7">
        <w:rPr>
          <w:sz w:val="22"/>
          <w:rtl/>
        </w:rPr>
        <w:t xml:space="preserve"> </w:t>
      </w:r>
      <w:r w:rsidR="004314C7" w:rsidRPr="004314C7">
        <w:rPr>
          <w:rFonts w:hint="eastAsia"/>
          <w:sz w:val="22"/>
          <w:rtl/>
        </w:rPr>
        <w:t>בנבו</w:t>
      </w:r>
      <w:r w:rsidR="004314C7" w:rsidRPr="004314C7">
        <w:rPr>
          <w:sz w:val="22"/>
          <w:rtl/>
        </w:rPr>
        <w:t xml:space="preserve">] </w:t>
      </w:r>
      <w:r>
        <w:rPr>
          <w:rFonts w:ascii="Garamond" w:hAnsi="Garamond" w:hint="cs"/>
          <w:spacing w:val="10"/>
          <w:rtl/>
        </w:rPr>
        <w:t xml:space="preserve">(26.1.16), </w:t>
      </w:r>
      <w:r w:rsidRPr="00BC7A07">
        <w:rPr>
          <w:rFonts w:hint="cs"/>
          <w:rtl/>
        </w:rPr>
        <w:t xml:space="preserve">אך סברתי כי במקרה זה, ניתן לומר שקיימים סיכויי שיקום </w:t>
      </w:r>
      <w:r>
        <w:rPr>
          <w:rFonts w:hint="cs"/>
          <w:rtl/>
        </w:rPr>
        <w:t xml:space="preserve">ממשיים, המצדיקים סטייה ממתחם הענישה (להעדפת שיקומו של נאשם בעבירה דומה, עד כדי אי הרשעה, ראו למשל: </w:t>
      </w:r>
      <w:hyperlink r:id="rId39" w:history="1">
        <w:r w:rsidR="00CB5139" w:rsidRPr="00CB5139">
          <w:rPr>
            <w:color w:val="0000FF"/>
            <w:u w:val="single"/>
            <w:rtl/>
          </w:rPr>
          <w:t>עפ"ג 28110-10-15</w:t>
        </w:r>
      </w:hyperlink>
      <w:r>
        <w:rPr>
          <w:rFonts w:hint="cs"/>
          <w:rtl/>
        </w:rPr>
        <w:t xml:space="preserve"> </w:t>
      </w:r>
      <w:r>
        <w:rPr>
          <w:rFonts w:hint="cs"/>
          <w:b/>
          <w:bCs/>
          <w:rtl/>
        </w:rPr>
        <w:t>מדינת ישראל נ' דוד</w:t>
      </w:r>
      <w:r>
        <w:rPr>
          <w:rFonts w:hint="cs"/>
          <w:rtl/>
        </w:rPr>
        <w:t xml:space="preserve"> </w:t>
      </w:r>
      <w:r w:rsidR="004314C7" w:rsidRPr="004314C7">
        <w:rPr>
          <w:sz w:val="22"/>
          <w:rtl/>
        </w:rPr>
        <w:t xml:space="preserve">[פורסם בנבו] </w:t>
      </w:r>
      <w:r>
        <w:rPr>
          <w:rFonts w:hint="cs"/>
          <w:rtl/>
        </w:rPr>
        <w:t xml:space="preserve">(17.12.15)). יש גם לזכור שאין מדובר במסקנה ראשונית בלבד בדבר סיכויי השיקום, אלא בהליך שיקומי </w:t>
      </w:r>
      <w:r w:rsidRPr="00BC7A07">
        <w:rPr>
          <w:rFonts w:hint="cs"/>
          <w:rtl/>
        </w:rPr>
        <w:t>שכבר החל</w:t>
      </w:r>
      <w:r>
        <w:rPr>
          <w:rFonts w:hint="cs"/>
          <w:rtl/>
        </w:rPr>
        <w:t xml:space="preserve"> ומכאן שיכולת הערכת הסיכויים על ידי שירות המבחן טובה יותר. </w:t>
      </w:r>
      <w:r w:rsidRPr="00BC7A07">
        <w:rPr>
          <w:rFonts w:hint="cs"/>
          <w:rtl/>
        </w:rPr>
        <w:t>(למשקלו של הליך שיקומי מתקדם ומוצלח, אל מול מסקנה ראשונית בלבד, ראה למשל</w:t>
      </w:r>
      <w:r w:rsidRPr="00210695">
        <w:rPr>
          <w:rFonts w:ascii="Calibri" w:eastAsia="Calibri" w:hAnsi="Calibri" w:hint="cs"/>
          <w:rtl/>
        </w:rPr>
        <w:t xml:space="preserve"> </w:t>
      </w:r>
      <w:hyperlink r:id="rId40" w:history="1">
        <w:r w:rsidR="00CB5139" w:rsidRPr="00CB5139">
          <w:rPr>
            <w:rFonts w:ascii="Calibri" w:eastAsia="Calibri" w:hAnsi="Calibri" w:hint="cs"/>
            <w:color w:val="0000FF"/>
            <w:u w:val="single"/>
            <w:rtl/>
          </w:rPr>
          <w:t>עפ</w:t>
        </w:r>
        <w:r w:rsidR="00CB5139" w:rsidRPr="00CB5139">
          <w:rPr>
            <w:rFonts w:ascii="Calibri" w:eastAsia="Calibri" w:hAnsi="Calibri"/>
            <w:color w:val="0000FF"/>
            <w:u w:val="single"/>
            <w:rtl/>
          </w:rPr>
          <w:t>"</w:t>
        </w:r>
        <w:r w:rsidR="00CB5139" w:rsidRPr="00CB5139">
          <w:rPr>
            <w:rFonts w:ascii="Calibri" w:eastAsia="Calibri" w:hAnsi="Calibri" w:hint="cs"/>
            <w:color w:val="0000FF"/>
            <w:u w:val="single"/>
            <w:rtl/>
          </w:rPr>
          <w:t>ג</w:t>
        </w:r>
        <w:r w:rsidR="00CB5139" w:rsidRPr="00CB5139">
          <w:rPr>
            <w:rFonts w:ascii="Calibri" w:eastAsia="Calibri" w:hAnsi="Calibri"/>
            <w:color w:val="0000FF"/>
            <w:u w:val="single"/>
            <w:rtl/>
          </w:rPr>
          <w:t xml:space="preserve"> 48707-08-15</w:t>
        </w:r>
      </w:hyperlink>
      <w:r w:rsidRPr="00210695">
        <w:rPr>
          <w:rFonts w:ascii="Calibri" w:eastAsia="Calibri" w:hAnsi="Calibri" w:hint="cs"/>
          <w:rtl/>
        </w:rPr>
        <w:t xml:space="preserve"> </w:t>
      </w:r>
      <w:r w:rsidRPr="00210695">
        <w:rPr>
          <w:rFonts w:ascii="Calibri" w:eastAsia="Calibri" w:hAnsi="Calibri" w:hint="cs"/>
          <w:b/>
          <w:bCs/>
          <w:rtl/>
        </w:rPr>
        <w:t>מדינת ישראל נ' חגי מרדכי כליפה</w:t>
      </w:r>
      <w:r w:rsidRPr="00210695">
        <w:rPr>
          <w:rFonts w:ascii="Calibri" w:eastAsia="Calibri" w:hAnsi="Calibri" w:hint="cs"/>
          <w:rtl/>
        </w:rPr>
        <w:t xml:space="preserve"> </w:t>
      </w:r>
      <w:r w:rsidR="004314C7" w:rsidRPr="004314C7">
        <w:rPr>
          <w:rFonts w:eastAsia="Calibri"/>
          <w:sz w:val="22"/>
          <w:rtl/>
        </w:rPr>
        <w:t>[</w:t>
      </w:r>
      <w:r w:rsidR="004314C7" w:rsidRPr="004314C7">
        <w:rPr>
          <w:rFonts w:eastAsia="Calibri" w:hint="cs"/>
          <w:sz w:val="22"/>
          <w:rtl/>
        </w:rPr>
        <w:t>פורסם</w:t>
      </w:r>
      <w:r w:rsidR="004314C7" w:rsidRPr="004314C7">
        <w:rPr>
          <w:rFonts w:eastAsia="Calibri"/>
          <w:sz w:val="22"/>
          <w:rtl/>
        </w:rPr>
        <w:t xml:space="preserve"> </w:t>
      </w:r>
      <w:r w:rsidR="004314C7" w:rsidRPr="004314C7">
        <w:rPr>
          <w:rFonts w:eastAsia="Calibri" w:hint="cs"/>
          <w:sz w:val="22"/>
          <w:rtl/>
        </w:rPr>
        <w:t>בנבו</w:t>
      </w:r>
      <w:r w:rsidR="004314C7" w:rsidRPr="004314C7">
        <w:rPr>
          <w:rFonts w:eastAsia="Calibri"/>
          <w:sz w:val="22"/>
          <w:rtl/>
        </w:rPr>
        <w:t xml:space="preserve">] </w:t>
      </w:r>
      <w:r w:rsidRPr="00210695">
        <w:rPr>
          <w:rFonts w:ascii="Calibri" w:eastAsia="Calibri" w:hAnsi="Calibri" w:hint="cs"/>
          <w:rtl/>
        </w:rPr>
        <w:t xml:space="preserve">(19.11.15)). לכך יש להוסיף את מצבו הרפואי של הנאשם. הנאשם מתמודד עם מחלה לא פשוטה, </w:t>
      </w:r>
      <w:r>
        <w:rPr>
          <w:rFonts w:hint="cs"/>
          <w:rtl/>
        </w:rPr>
        <w:t xml:space="preserve">וסברתי כי כליאתו עלולה להסב לו קושי לא מבוטל, בהשוואה לכלואים בריאים. הדבר גם בא לידי ביטוי בשורת המגבלות שציין הממונה על עבודות השירות. </w:t>
      </w:r>
    </w:p>
    <w:p w14:paraId="3A8CD5B5" w14:textId="77777777" w:rsidR="00D5318B" w:rsidRDefault="00D5318B" w:rsidP="00D5318B">
      <w:pPr>
        <w:spacing w:line="360" w:lineRule="auto"/>
        <w:ind w:left="720"/>
        <w:contextualSpacing/>
        <w:jc w:val="both"/>
      </w:pPr>
    </w:p>
    <w:p w14:paraId="47EF5F03" w14:textId="77777777" w:rsidR="00D5318B" w:rsidRDefault="00D5318B" w:rsidP="00D5318B">
      <w:pPr>
        <w:numPr>
          <w:ilvl w:val="0"/>
          <w:numId w:val="1"/>
        </w:numPr>
        <w:spacing w:line="360" w:lineRule="auto"/>
        <w:contextualSpacing/>
        <w:jc w:val="both"/>
      </w:pPr>
      <w:r w:rsidRPr="00BC7A07">
        <w:rPr>
          <w:rFonts w:hint="eastAsia"/>
          <w:rtl/>
        </w:rPr>
        <w:t>בצד</w:t>
      </w:r>
      <w:r w:rsidRPr="00BC7A07">
        <w:rPr>
          <w:rtl/>
        </w:rPr>
        <w:t xml:space="preserve"> </w:t>
      </w:r>
      <w:r w:rsidRPr="00BC7A07">
        <w:rPr>
          <w:rFonts w:hint="eastAsia"/>
          <w:rtl/>
        </w:rPr>
        <w:t>העדפת</w:t>
      </w:r>
      <w:r w:rsidRPr="00BC7A07">
        <w:rPr>
          <w:rtl/>
        </w:rPr>
        <w:t xml:space="preserve"> </w:t>
      </w:r>
      <w:r w:rsidRPr="00BC7A07">
        <w:rPr>
          <w:rFonts w:hint="eastAsia"/>
          <w:rtl/>
        </w:rPr>
        <w:t>שיקולי</w:t>
      </w:r>
      <w:r w:rsidRPr="00BC7A07">
        <w:rPr>
          <w:rtl/>
        </w:rPr>
        <w:t xml:space="preserve"> </w:t>
      </w:r>
      <w:r w:rsidRPr="00BC7A07">
        <w:rPr>
          <w:rFonts w:hint="eastAsia"/>
          <w:rtl/>
        </w:rPr>
        <w:t>השיקום</w:t>
      </w:r>
      <w:r w:rsidRPr="00BC7A07">
        <w:rPr>
          <w:rtl/>
        </w:rPr>
        <w:t xml:space="preserve"> </w:t>
      </w:r>
      <w:r w:rsidRPr="00BC7A07">
        <w:rPr>
          <w:rFonts w:hint="eastAsia"/>
          <w:rtl/>
        </w:rPr>
        <w:t>אין</w:t>
      </w:r>
      <w:r w:rsidRPr="00BC7A07">
        <w:rPr>
          <w:rtl/>
        </w:rPr>
        <w:t xml:space="preserve"> </w:t>
      </w:r>
      <w:r w:rsidRPr="00BC7A07">
        <w:rPr>
          <w:rFonts w:hint="eastAsia"/>
          <w:rtl/>
        </w:rPr>
        <w:t>לזנוח</w:t>
      </w:r>
      <w:r w:rsidRPr="00BC7A07">
        <w:rPr>
          <w:rtl/>
        </w:rPr>
        <w:t xml:space="preserve"> </w:t>
      </w:r>
      <w:r w:rsidRPr="00BC7A07">
        <w:rPr>
          <w:rFonts w:hint="eastAsia"/>
          <w:rtl/>
        </w:rPr>
        <w:t>את</w:t>
      </w:r>
      <w:r w:rsidRPr="00BC7A07">
        <w:rPr>
          <w:rtl/>
        </w:rPr>
        <w:t xml:space="preserve"> </w:t>
      </w:r>
      <w:r w:rsidRPr="00BC7A07">
        <w:rPr>
          <w:rFonts w:hint="eastAsia"/>
          <w:rtl/>
        </w:rPr>
        <w:t>שיקול</w:t>
      </w:r>
      <w:r w:rsidRPr="00BC7A07">
        <w:rPr>
          <w:rtl/>
        </w:rPr>
        <w:t xml:space="preserve"> </w:t>
      </w:r>
      <w:r w:rsidRPr="00BC7A07">
        <w:rPr>
          <w:rFonts w:hint="eastAsia"/>
          <w:rtl/>
        </w:rPr>
        <w:t>ההלימה</w:t>
      </w:r>
      <w:r w:rsidRPr="00BC7A07">
        <w:rPr>
          <w:rFonts w:hint="cs"/>
          <w:rtl/>
        </w:rPr>
        <w:t xml:space="preserve">. </w:t>
      </w:r>
      <w:r w:rsidRPr="00BC7A07">
        <w:rPr>
          <w:rFonts w:hint="eastAsia"/>
          <w:rtl/>
        </w:rPr>
        <w:t>ניתן</w:t>
      </w:r>
      <w:r w:rsidRPr="00BC7A07">
        <w:rPr>
          <w:rtl/>
        </w:rPr>
        <w:t xml:space="preserve"> </w:t>
      </w:r>
      <w:r w:rsidRPr="00BC7A07">
        <w:rPr>
          <w:rFonts w:hint="eastAsia"/>
          <w:rtl/>
        </w:rPr>
        <w:t>לשקול</w:t>
      </w:r>
      <w:r w:rsidRPr="00BC7A07">
        <w:rPr>
          <w:rtl/>
        </w:rPr>
        <w:t xml:space="preserve"> </w:t>
      </w:r>
      <w:r w:rsidRPr="00BC7A07">
        <w:rPr>
          <w:rFonts w:hint="eastAsia"/>
          <w:rtl/>
        </w:rPr>
        <w:t>שיקול</w:t>
      </w:r>
      <w:r w:rsidRPr="00BC7A07">
        <w:rPr>
          <w:rtl/>
        </w:rPr>
        <w:t xml:space="preserve"> </w:t>
      </w:r>
      <w:r w:rsidRPr="00BC7A07">
        <w:rPr>
          <w:rFonts w:hint="eastAsia"/>
          <w:rtl/>
        </w:rPr>
        <w:t>זה</w:t>
      </w:r>
      <w:r w:rsidRPr="00BC7A07">
        <w:rPr>
          <w:rtl/>
        </w:rPr>
        <w:t xml:space="preserve"> </w:t>
      </w:r>
      <w:r w:rsidRPr="00BC7A07">
        <w:rPr>
          <w:rFonts w:hint="eastAsia"/>
          <w:rtl/>
        </w:rPr>
        <w:t>אף</w:t>
      </w:r>
      <w:r w:rsidRPr="00BC7A07">
        <w:rPr>
          <w:rtl/>
        </w:rPr>
        <w:t xml:space="preserve"> </w:t>
      </w:r>
      <w:r w:rsidRPr="00BC7A07">
        <w:rPr>
          <w:rFonts w:hint="eastAsia"/>
          <w:rtl/>
        </w:rPr>
        <w:t>בגדרי</w:t>
      </w:r>
      <w:r w:rsidRPr="00BC7A07">
        <w:rPr>
          <w:rtl/>
        </w:rPr>
        <w:t xml:space="preserve"> </w:t>
      </w:r>
      <w:r w:rsidRPr="00BC7A07">
        <w:rPr>
          <w:rFonts w:hint="eastAsia"/>
          <w:rtl/>
        </w:rPr>
        <w:t>ענישה</w:t>
      </w:r>
      <w:r w:rsidRPr="00BC7A07">
        <w:rPr>
          <w:rtl/>
        </w:rPr>
        <w:t xml:space="preserve"> </w:t>
      </w:r>
      <w:r w:rsidRPr="00BC7A07">
        <w:rPr>
          <w:rFonts w:hint="eastAsia"/>
          <w:rtl/>
        </w:rPr>
        <w:t>שיקומית</w:t>
      </w:r>
      <w:r w:rsidRPr="00BC7A07">
        <w:rPr>
          <w:rtl/>
        </w:rPr>
        <w:t xml:space="preserve"> </w:t>
      </w:r>
      <w:r w:rsidRPr="00BC7A07">
        <w:rPr>
          <w:rFonts w:hint="eastAsia"/>
          <w:rtl/>
        </w:rPr>
        <w:t>ובלבד</w:t>
      </w:r>
      <w:r w:rsidRPr="00BC7A07">
        <w:rPr>
          <w:rtl/>
        </w:rPr>
        <w:t xml:space="preserve"> </w:t>
      </w:r>
      <w:r w:rsidRPr="00BC7A07">
        <w:rPr>
          <w:rFonts w:hint="eastAsia"/>
          <w:rtl/>
        </w:rPr>
        <w:t>שהתמהיל</w:t>
      </w:r>
      <w:r w:rsidRPr="00BC7A07">
        <w:rPr>
          <w:rtl/>
        </w:rPr>
        <w:t xml:space="preserve"> </w:t>
      </w:r>
      <w:r w:rsidRPr="00BC7A07">
        <w:rPr>
          <w:rFonts w:hint="eastAsia"/>
          <w:rtl/>
        </w:rPr>
        <w:t>העונשי</w:t>
      </w:r>
      <w:r w:rsidRPr="00BC7A07">
        <w:rPr>
          <w:rtl/>
        </w:rPr>
        <w:t xml:space="preserve"> </w:t>
      </w:r>
      <w:r w:rsidRPr="00BC7A07">
        <w:rPr>
          <w:rFonts w:hint="eastAsia"/>
          <w:rtl/>
        </w:rPr>
        <w:t>לא</w:t>
      </w:r>
      <w:r w:rsidRPr="00BC7A07">
        <w:rPr>
          <w:rtl/>
        </w:rPr>
        <w:t xml:space="preserve"> </w:t>
      </w:r>
      <w:r w:rsidRPr="00BC7A07">
        <w:rPr>
          <w:rFonts w:hint="eastAsia"/>
          <w:rtl/>
        </w:rPr>
        <w:t>יפגע</w:t>
      </w:r>
      <w:r w:rsidRPr="00BC7A07">
        <w:rPr>
          <w:rtl/>
        </w:rPr>
        <w:t xml:space="preserve"> </w:t>
      </w:r>
      <w:r w:rsidRPr="00BC7A07">
        <w:rPr>
          <w:rFonts w:hint="eastAsia"/>
          <w:rtl/>
        </w:rPr>
        <w:t>בסיכויי</w:t>
      </w:r>
      <w:r w:rsidRPr="00BC7A07">
        <w:rPr>
          <w:rtl/>
        </w:rPr>
        <w:t xml:space="preserve"> </w:t>
      </w:r>
      <w:r w:rsidRPr="00BC7A07">
        <w:rPr>
          <w:rFonts w:hint="eastAsia"/>
          <w:rtl/>
        </w:rPr>
        <w:t>שיקומו</w:t>
      </w:r>
      <w:r w:rsidRPr="00BC7A07">
        <w:rPr>
          <w:rtl/>
        </w:rPr>
        <w:t xml:space="preserve"> </w:t>
      </w:r>
      <w:r w:rsidRPr="00BC7A07">
        <w:rPr>
          <w:rFonts w:hint="eastAsia"/>
          <w:rtl/>
        </w:rPr>
        <w:t>של</w:t>
      </w:r>
      <w:r w:rsidRPr="00BC7A07">
        <w:rPr>
          <w:rtl/>
        </w:rPr>
        <w:t xml:space="preserve"> </w:t>
      </w:r>
      <w:r w:rsidRPr="00BC7A07">
        <w:rPr>
          <w:rFonts w:hint="eastAsia"/>
          <w:rtl/>
        </w:rPr>
        <w:t>הנאשם</w:t>
      </w:r>
      <w:r w:rsidRPr="00BC7A07">
        <w:rPr>
          <w:rtl/>
        </w:rPr>
        <w:t>.</w:t>
      </w:r>
      <w:r w:rsidRPr="00BC7A07">
        <w:rPr>
          <w:rFonts w:hint="cs"/>
          <w:rtl/>
        </w:rPr>
        <w:t xml:space="preserve"> בענייננו מעשיו של הנאשם חמורים. ככ</w:t>
      </w:r>
      <w:r>
        <w:rPr>
          <w:rFonts w:hint="cs"/>
          <w:rtl/>
        </w:rPr>
        <w:t>לל מעשים אלו</w:t>
      </w:r>
      <w:r w:rsidRPr="00BC7A07">
        <w:rPr>
          <w:rFonts w:hint="cs"/>
          <w:rtl/>
        </w:rPr>
        <w:t xml:space="preserve"> מצדיקים עונש מאסר מאחורי סורג ובריח</w:t>
      </w:r>
      <w:r>
        <w:rPr>
          <w:rFonts w:hint="cs"/>
          <w:rtl/>
        </w:rPr>
        <w:t xml:space="preserve">. במקרה זה, כאמור, בכוונתי להימנע מכליאת הנאשם, אך עדיין מתחייב עונש מאסר, אלא שהוא ירוצה בעבודות שירות. בכך יוכל הנאשם להמשיך בהליך השיקומי, בצד עונש מוחשי ממשי המבטא (גם אם באופן חלקי) את חומרת המעשה. הנאשם ביקש שתקופת עבודות השירות תהייה קצרה, על מנת שלא לפגוע בעבודתו. אכן, התמדה בעבודה משרתת את השיקום. עם זאת, חומרת המעשה אינה מאפשרת הקלה משמעותית מעבר לזו לה זכה הנאשם. </w:t>
      </w:r>
    </w:p>
    <w:p w14:paraId="451CE343" w14:textId="77777777" w:rsidR="00D5318B" w:rsidRPr="00F64912" w:rsidRDefault="00D5318B" w:rsidP="00D5318B">
      <w:pPr>
        <w:spacing w:line="360" w:lineRule="auto"/>
        <w:ind w:left="720"/>
        <w:contextualSpacing/>
        <w:jc w:val="both"/>
      </w:pPr>
    </w:p>
    <w:p w14:paraId="00474DC5" w14:textId="77777777" w:rsidR="00D5318B" w:rsidRDefault="00D5318B" w:rsidP="00D5318B">
      <w:pPr>
        <w:numPr>
          <w:ilvl w:val="0"/>
          <w:numId w:val="1"/>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4A7F3C88" w14:textId="77777777" w:rsidR="00D5318B" w:rsidRDefault="00D5318B" w:rsidP="00D5318B">
      <w:pPr>
        <w:pStyle w:val="ListParagraph"/>
        <w:numPr>
          <w:ilvl w:val="0"/>
          <w:numId w:val="2"/>
        </w:numPr>
        <w:spacing w:before="120" w:after="120" w:line="360" w:lineRule="auto"/>
        <w:jc w:val="both"/>
        <w:rPr>
          <w:rFonts w:cs="David"/>
        </w:rPr>
      </w:pPr>
      <w:r w:rsidRPr="00591744">
        <w:rPr>
          <w:rFonts w:cs="David" w:hint="cs"/>
          <w:b/>
          <w:bCs/>
          <w:rtl/>
        </w:rPr>
        <w:t>5 חודשי מאסר</w:t>
      </w:r>
      <w:r>
        <w:rPr>
          <w:rFonts w:cs="David" w:hint="cs"/>
          <w:rtl/>
        </w:rPr>
        <w:t xml:space="preserve">. </w:t>
      </w:r>
      <w:r w:rsidRPr="006654E8">
        <w:rPr>
          <w:rFonts w:cs="David"/>
          <w:rtl/>
        </w:rPr>
        <w:t xml:space="preserve">הנאשם יישא בעונש זה בעבודות שירות בהתאם לחוות דעת הממונה </w:t>
      </w:r>
      <w:r>
        <w:rPr>
          <w:rFonts w:cs="David" w:hint="cs"/>
          <w:rtl/>
        </w:rPr>
        <w:t>מיום 24.7.17</w:t>
      </w:r>
      <w:r>
        <w:rPr>
          <w:rFonts w:cs="David"/>
          <w:rtl/>
        </w:rPr>
        <w:t xml:space="preserve"> </w:t>
      </w:r>
      <w:r>
        <w:rPr>
          <w:rFonts w:cs="David" w:hint="cs"/>
          <w:rtl/>
        </w:rPr>
        <w:t>.</w:t>
      </w:r>
      <w:r>
        <w:rPr>
          <w:rFonts w:cs="David"/>
          <w:rtl/>
        </w:rPr>
        <w:t xml:space="preserve"> </w:t>
      </w:r>
      <w:r w:rsidRPr="006654E8">
        <w:rPr>
          <w:rFonts w:cs="David"/>
          <w:rtl/>
        </w:rPr>
        <w:t xml:space="preserve">ביום זה יתייצב הנאשם במשרדי הממונה בטבריה. </w:t>
      </w:r>
      <w:r>
        <w:rPr>
          <w:rFonts w:cs="David" w:hint="cs"/>
          <w:rtl/>
        </w:rPr>
        <w:t xml:space="preserve"> </w:t>
      </w:r>
    </w:p>
    <w:p w14:paraId="0E420F91" w14:textId="77777777" w:rsidR="00D5318B" w:rsidRPr="006654E8" w:rsidRDefault="00D5318B" w:rsidP="00D5318B">
      <w:pPr>
        <w:pStyle w:val="ListParagraph"/>
        <w:spacing w:before="120" w:after="120" w:line="360" w:lineRule="auto"/>
        <w:ind w:left="1440"/>
        <w:jc w:val="both"/>
        <w:rPr>
          <w:rFonts w:cs="David"/>
          <w:rtl/>
        </w:rPr>
      </w:pPr>
    </w:p>
    <w:p w14:paraId="175BED98" w14:textId="77777777" w:rsidR="00D5318B" w:rsidRDefault="00D5318B" w:rsidP="00D5318B">
      <w:pPr>
        <w:pStyle w:val="ListParagraph"/>
        <w:spacing w:before="120" w:after="120" w:line="360" w:lineRule="auto"/>
        <w:ind w:left="1440"/>
        <w:jc w:val="both"/>
        <w:rPr>
          <w:rFonts w:cs="David"/>
          <w:rtl/>
        </w:rPr>
      </w:pPr>
      <w:r w:rsidRPr="006654E8">
        <w:rPr>
          <w:rFonts w:cs="David"/>
          <w:rtl/>
        </w:rPr>
        <w:t>מובהר לנאשם כי עליו לבצע את העבודות לשביעות רצון הממונה וכי אם לא יעשה כן ניתן יהיה להפקיע את העבודות מנהלית והוא יאלץ לשאת ביתרת התקופה בבית מאסר.</w:t>
      </w:r>
    </w:p>
    <w:p w14:paraId="3CB6915F" w14:textId="77777777" w:rsidR="00D5318B" w:rsidRPr="006A5E97" w:rsidRDefault="00D5318B" w:rsidP="00D5318B">
      <w:pPr>
        <w:spacing w:before="120" w:after="120" w:line="360" w:lineRule="auto"/>
        <w:jc w:val="both"/>
        <w:rPr>
          <w:rtl/>
        </w:rPr>
      </w:pPr>
    </w:p>
    <w:p w14:paraId="42F3C958" w14:textId="77777777" w:rsidR="00D5318B" w:rsidRDefault="00D5318B" w:rsidP="00D5318B">
      <w:pPr>
        <w:pStyle w:val="ListParagraph"/>
        <w:numPr>
          <w:ilvl w:val="0"/>
          <w:numId w:val="2"/>
        </w:numPr>
        <w:spacing w:line="360" w:lineRule="auto"/>
        <w:jc w:val="both"/>
        <w:rPr>
          <w:rFonts w:cs="David"/>
        </w:rPr>
      </w:pPr>
      <w:r w:rsidRPr="00344101">
        <w:rPr>
          <w:rFonts w:cs="David"/>
          <w:rtl/>
        </w:rPr>
        <w:t xml:space="preserve">מאסר על תנאי לתקופה של </w:t>
      </w:r>
      <w:r>
        <w:rPr>
          <w:rFonts w:cs="David" w:hint="cs"/>
          <w:rtl/>
        </w:rPr>
        <w:t>6</w:t>
      </w:r>
      <w:r w:rsidRPr="00344101">
        <w:rPr>
          <w:rFonts w:cs="David"/>
          <w:rtl/>
        </w:rPr>
        <w:t xml:space="preserve"> חודשים והתנאי הוא שהנאשם לא יעבור במשך 3 שנים  כל עבירה על פקודת הסמים. </w:t>
      </w:r>
      <w:r>
        <w:rPr>
          <w:rFonts w:cs="David" w:hint="cs"/>
          <w:rtl/>
        </w:rPr>
        <w:t>ואולם אם יעבור עבירה כאמור שהיא עוון יישא בחודש מתוכם.</w:t>
      </w:r>
    </w:p>
    <w:p w14:paraId="1D801B06" w14:textId="77777777" w:rsidR="00D5318B" w:rsidRPr="00766B5C" w:rsidRDefault="00D5318B" w:rsidP="00D5318B">
      <w:pPr>
        <w:spacing w:line="360" w:lineRule="auto"/>
        <w:ind w:left="1440"/>
        <w:contextualSpacing/>
        <w:jc w:val="both"/>
        <w:rPr>
          <w:rFonts w:ascii="Calibri" w:hAnsi="Calibri"/>
        </w:rPr>
      </w:pPr>
    </w:p>
    <w:p w14:paraId="569977CA" w14:textId="77777777" w:rsidR="00D5318B" w:rsidRDefault="00D5318B" w:rsidP="00D5318B">
      <w:pPr>
        <w:numPr>
          <w:ilvl w:val="0"/>
          <w:numId w:val="2"/>
        </w:numPr>
        <w:spacing w:line="360" w:lineRule="auto"/>
        <w:contextualSpacing/>
        <w:jc w:val="both"/>
        <w:rPr>
          <w:rFonts w:ascii="Calibri" w:hAnsi="Calibri"/>
        </w:rPr>
      </w:pPr>
      <w:r w:rsidRPr="00766B5C">
        <w:rPr>
          <w:rFonts w:ascii="Calibri" w:hAnsi="Calibri" w:hint="eastAsia"/>
          <w:b/>
          <w:bCs/>
          <w:rtl/>
        </w:rPr>
        <w:t>אני</w:t>
      </w:r>
      <w:r w:rsidRPr="00766B5C">
        <w:rPr>
          <w:rFonts w:ascii="Calibri" w:hAnsi="Calibri"/>
          <w:b/>
          <w:bCs/>
          <w:rtl/>
        </w:rPr>
        <w:t xml:space="preserve"> </w:t>
      </w:r>
      <w:r w:rsidRPr="00766B5C">
        <w:rPr>
          <w:rFonts w:ascii="Calibri" w:hAnsi="Calibri" w:hint="eastAsia"/>
          <w:b/>
          <w:bCs/>
          <w:rtl/>
        </w:rPr>
        <w:t>מעמיד</w:t>
      </w:r>
      <w:r w:rsidRPr="00766B5C">
        <w:rPr>
          <w:rFonts w:ascii="Calibri" w:hAnsi="Calibri"/>
          <w:b/>
          <w:bCs/>
          <w:rtl/>
        </w:rPr>
        <w:t xml:space="preserve"> </w:t>
      </w:r>
      <w:r w:rsidRPr="00766B5C">
        <w:rPr>
          <w:rFonts w:ascii="Calibri" w:hAnsi="Calibri" w:hint="eastAsia"/>
          <w:b/>
          <w:bCs/>
          <w:rtl/>
        </w:rPr>
        <w:t>את</w:t>
      </w:r>
      <w:r w:rsidRPr="00766B5C">
        <w:rPr>
          <w:rFonts w:ascii="Calibri" w:hAnsi="Calibri"/>
          <w:b/>
          <w:bCs/>
          <w:rtl/>
        </w:rPr>
        <w:t xml:space="preserve"> </w:t>
      </w:r>
      <w:r w:rsidRPr="00766B5C">
        <w:rPr>
          <w:rFonts w:ascii="Calibri" w:hAnsi="Calibri" w:hint="eastAsia"/>
          <w:b/>
          <w:bCs/>
          <w:rtl/>
        </w:rPr>
        <w:t>הנאשם</w:t>
      </w:r>
      <w:r w:rsidRPr="00766B5C">
        <w:rPr>
          <w:rFonts w:ascii="Calibri" w:hAnsi="Calibri"/>
          <w:b/>
          <w:bCs/>
          <w:rtl/>
        </w:rPr>
        <w:t xml:space="preserve"> </w:t>
      </w:r>
      <w:r w:rsidRPr="00766B5C">
        <w:rPr>
          <w:rFonts w:ascii="Calibri" w:hAnsi="Calibri" w:hint="eastAsia"/>
          <w:b/>
          <w:bCs/>
          <w:rtl/>
        </w:rPr>
        <w:t>בפיקוח</w:t>
      </w:r>
      <w:r w:rsidRPr="00766B5C">
        <w:rPr>
          <w:rFonts w:ascii="Calibri" w:hAnsi="Calibri"/>
          <w:b/>
          <w:bCs/>
          <w:rtl/>
        </w:rPr>
        <w:t xml:space="preserve"> </w:t>
      </w:r>
      <w:r w:rsidRPr="00766B5C">
        <w:rPr>
          <w:rFonts w:ascii="Calibri" w:hAnsi="Calibri" w:hint="eastAsia"/>
          <w:b/>
          <w:bCs/>
          <w:rtl/>
        </w:rPr>
        <w:t>שירות</w:t>
      </w:r>
      <w:r w:rsidRPr="00766B5C">
        <w:rPr>
          <w:rFonts w:ascii="Calibri" w:hAnsi="Calibri"/>
          <w:b/>
          <w:bCs/>
          <w:rtl/>
        </w:rPr>
        <w:t xml:space="preserve"> </w:t>
      </w:r>
      <w:r w:rsidRPr="00766B5C">
        <w:rPr>
          <w:rFonts w:ascii="Calibri" w:hAnsi="Calibri" w:hint="eastAsia"/>
          <w:b/>
          <w:bCs/>
          <w:rtl/>
        </w:rPr>
        <w:t>המבחן</w:t>
      </w:r>
      <w:r w:rsidRPr="00766B5C">
        <w:rPr>
          <w:rFonts w:ascii="Calibri" w:hAnsi="Calibri"/>
          <w:b/>
          <w:bCs/>
          <w:rtl/>
        </w:rPr>
        <w:t xml:space="preserve"> </w:t>
      </w:r>
      <w:r w:rsidRPr="00766B5C">
        <w:rPr>
          <w:rFonts w:ascii="Calibri" w:hAnsi="Calibri" w:hint="eastAsia"/>
          <w:b/>
          <w:bCs/>
          <w:rtl/>
        </w:rPr>
        <w:t>למשך</w:t>
      </w:r>
      <w:r w:rsidRPr="00766B5C">
        <w:rPr>
          <w:rFonts w:ascii="Calibri" w:hAnsi="Calibri"/>
          <w:b/>
          <w:bCs/>
          <w:rtl/>
        </w:rPr>
        <w:t xml:space="preserve"> 1</w:t>
      </w:r>
      <w:r w:rsidRPr="00766B5C">
        <w:rPr>
          <w:rFonts w:ascii="Calibri" w:hAnsi="Calibri" w:hint="cs"/>
          <w:b/>
          <w:bCs/>
          <w:rtl/>
        </w:rPr>
        <w:t xml:space="preserve">8 </w:t>
      </w:r>
      <w:r w:rsidRPr="00766B5C">
        <w:rPr>
          <w:rFonts w:ascii="Calibri" w:hAnsi="Calibri" w:hint="eastAsia"/>
          <w:b/>
          <w:bCs/>
          <w:rtl/>
        </w:rPr>
        <w:t>חודשים</w:t>
      </w:r>
      <w:r w:rsidRPr="00766B5C">
        <w:rPr>
          <w:rFonts w:ascii="Calibri" w:hAnsi="Calibri"/>
          <w:b/>
          <w:bCs/>
          <w:rtl/>
        </w:rPr>
        <w:t>.</w:t>
      </w:r>
      <w:r w:rsidRPr="00766B5C">
        <w:rPr>
          <w:rFonts w:ascii="Calibri" w:hAnsi="Calibri"/>
          <w:rtl/>
        </w:rPr>
        <w:t xml:space="preserve"> </w:t>
      </w:r>
    </w:p>
    <w:p w14:paraId="58956C94" w14:textId="77777777" w:rsidR="00D5318B" w:rsidRDefault="00D5318B" w:rsidP="00D5318B">
      <w:pPr>
        <w:spacing w:line="360" w:lineRule="auto"/>
        <w:ind w:left="1440"/>
        <w:contextualSpacing/>
        <w:jc w:val="both"/>
        <w:rPr>
          <w:rFonts w:ascii="Calibri" w:hAnsi="Calibri"/>
          <w:rtl/>
        </w:rPr>
      </w:pPr>
      <w:r w:rsidRPr="00766B5C">
        <w:rPr>
          <w:rFonts w:ascii="Calibri" w:hAnsi="Calibri" w:hint="eastAsia"/>
          <w:rtl/>
        </w:rPr>
        <w:t>הוסבר</w:t>
      </w:r>
      <w:r w:rsidRPr="00766B5C">
        <w:rPr>
          <w:rFonts w:ascii="Calibri" w:hAnsi="Calibri"/>
          <w:rtl/>
        </w:rPr>
        <w:t xml:space="preserve"> </w:t>
      </w:r>
      <w:r w:rsidRPr="00766B5C">
        <w:rPr>
          <w:rFonts w:ascii="Calibri" w:hAnsi="Calibri" w:hint="eastAsia"/>
          <w:rtl/>
        </w:rPr>
        <w:t>לנאשם</w:t>
      </w:r>
      <w:r w:rsidRPr="00766B5C">
        <w:rPr>
          <w:rFonts w:ascii="Calibri" w:hAnsi="Calibri"/>
          <w:rtl/>
        </w:rPr>
        <w:t xml:space="preserve"> </w:t>
      </w:r>
      <w:r w:rsidRPr="00766B5C">
        <w:rPr>
          <w:rFonts w:ascii="Calibri" w:hAnsi="Calibri" w:hint="eastAsia"/>
          <w:rtl/>
        </w:rPr>
        <w:t>שעליו</w:t>
      </w:r>
      <w:r w:rsidRPr="00766B5C">
        <w:rPr>
          <w:rFonts w:ascii="Calibri" w:hAnsi="Calibri"/>
          <w:rtl/>
        </w:rPr>
        <w:t xml:space="preserve"> </w:t>
      </w:r>
      <w:r w:rsidRPr="00766B5C">
        <w:rPr>
          <w:rFonts w:ascii="Calibri" w:hAnsi="Calibri" w:hint="eastAsia"/>
          <w:rtl/>
        </w:rPr>
        <w:t>לקיים</w:t>
      </w:r>
      <w:r w:rsidRPr="00766B5C">
        <w:rPr>
          <w:rFonts w:ascii="Calibri" w:hAnsi="Calibri"/>
          <w:rtl/>
        </w:rPr>
        <w:t xml:space="preserve"> </w:t>
      </w:r>
      <w:r w:rsidRPr="00766B5C">
        <w:rPr>
          <w:rFonts w:ascii="Calibri" w:hAnsi="Calibri" w:hint="eastAsia"/>
          <w:rtl/>
        </w:rPr>
        <w:t>את</w:t>
      </w:r>
      <w:r w:rsidRPr="00766B5C">
        <w:rPr>
          <w:rFonts w:ascii="Calibri" w:hAnsi="Calibri"/>
          <w:rtl/>
        </w:rPr>
        <w:t xml:space="preserve"> </w:t>
      </w:r>
      <w:r w:rsidRPr="00766B5C">
        <w:rPr>
          <w:rFonts w:ascii="Calibri" w:hAnsi="Calibri" w:hint="eastAsia"/>
          <w:rtl/>
        </w:rPr>
        <w:t>הוראות</w:t>
      </w:r>
      <w:r w:rsidRPr="00766B5C">
        <w:rPr>
          <w:rFonts w:ascii="Calibri" w:hAnsi="Calibri"/>
          <w:rtl/>
        </w:rPr>
        <w:t xml:space="preserve"> </w:t>
      </w:r>
      <w:r w:rsidRPr="00766B5C">
        <w:rPr>
          <w:rFonts w:ascii="Calibri" w:hAnsi="Calibri" w:hint="eastAsia"/>
          <w:rtl/>
        </w:rPr>
        <w:t>שירות</w:t>
      </w:r>
      <w:r w:rsidRPr="00766B5C">
        <w:rPr>
          <w:rFonts w:ascii="Calibri" w:hAnsi="Calibri"/>
          <w:rtl/>
        </w:rPr>
        <w:t xml:space="preserve"> </w:t>
      </w:r>
      <w:r w:rsidRPr="00766B5C">
        <w:rPr>
          <w:rFonts w:ascii="Calibri" w:hAnsi="Calibri" w:hint="eastAsia"/>
          <w:rtl/>
        </w:rPr>
        <w:t>המבחן</w:t>
      </w:r>
      <w:r w:rsidRPr="00766B5C">
        <w:rPr>
          <w:rFonts w:ascii="Calibri" w:hAnsi="Calibri"/>
          <w:rtl/>
        </w:rPr>
        <w:t xml:space="preserve"> </w:t>
      </w:r>
      <w:r w:rsidRPr="00766B5C">
        <w:rPr>
          <w:rFonts w:ascii="Calibri" w:hAnsi="Calibri" w:hint="eastAsia"/>
          <w:rtl/>
        </w:rPr>
        <w:t>וכי</w:t>
      </w:r>
      <w:r w:rsidRPr="00766B5C">
        <w:rPr>
          <w:rFonts w:ascii="Calibri" w:hAnsi="Calibri"/>
          <w:rtl/>
        </w:rPr>
        <w:t xml:space="preserve"> </w:t>
      </w:r>
      <w:r w:rsidRPr="00766B5C">
        <w:rPr>
          <w:rFonts w:ascii="Calibri" w:hAnsi="Calibri" w:hint="eastAsia"/>
          <w:rtl/>
        </w:rPr>
        <w:t>הפרה</w:t>
      </w:r>
      <w:r w:rsidRPr="00766B5C">
        <w:rPr>
          <w:rFonts w:ascii="Calibri" w:hAnsi="Calibri"/>
          <w:rtl/>
        </w:rPr>
        <w:t xml:space="preserve"> </w:t>
      </w:r>
      <w:r w:rsidRPr="00766B5C">
        <w:rPr>
          <w:rFonts w:ascii="Calibri" w:hAnsi="Calibri" w:hint="eastAsia"/>
          <w:rtl/>
        </w:rPr>
        <w:t>של</w:t>
      </w:r>
      <w:r w:rsidRPr="00766B5C">
        <w:rPr>
          <w:rFonts w:ascii="Calibri" w:hAnsi="Calibri"/>
          <w:rtl/>
        </w:rPr>
        <w:t xml:space="preserve"> </w:t>
      </w:r>
      <w:r w:rsidRPr="00766B5C">
        <w:rPr>
          <w:rFonts w:ascii="Calibri" w:hAnsi="Calibri" w:hint="eastAsia"/>
          <w:rtl/>
        </w:rPr>
        <w:t>צו</w:t>
      </w:r>
      <w:r w:rsidRPr="00766B5C">
        <w:rPr>
          <w:rFonts w:ascii="Calibri" w:hAnsi="Calibri"/>
          <w:rtl/>
        </w:rPr>
        <w:t xml:space="preserve"> </w:t>
      </w:r>
      <w:r w:rsidRPr="00766B5C">
        <w:rPr>
          <w:rFonts w:ascii="Calibri" w:hAnsi="Calibri" w:hint="eastAsia"/>
          <w:rtl/>
        </w:rPr>
        <w:t>הפיקוח</w:t>
      </w:r>
      <w:r w:rsidRPr="00766B5C">
        <w:rPr>
          <w:rFonts w:ascii="Calibri" w:hAnsi="Calibri"/>
          <w:rtl/>
        </w:rPr>
        <w:t xml:space="preserve"> </w:t>
      </w:r>
      <w:r w:rsidRPr="00766B5C">
        <w:rPr>
          <w:rFonts w:ascii="Calibri" w:hAnsi="Calibri" w:hint="eastAsia"/>
          <w:rtl/>
        </w:rPr>
        <w:t>עלולה</w:t>
      </w:r>
      <w:r w:rsidRPr="00766B5C">
        <w:rPr>
          <w:rFonts w:ascii="Calibri" w:hAnsi="Calibri"/>
          <w:rtl/>
        </w:rPr>
        <w:t xml:space="preserve"> </w:t>
      </w:r>
      <w:r w:rsidRPr="00766B5C">
        <w:rPr>
          <w:rFonts w:ascii="Calibri" w:hAnsi="Calibri" w:hint="eastAsia"/>
          <w:rtl/>
        </w:rPr>
        <w:t>להוביל</w:t>
      </w:r>
      <w:r w:rsidRPr="00766B5C">
        <w:rPr>
          <w:rFonts w:ascii="Calibri" w:hAnsi="Calibri"/>
          <w:rtl/>
        </w:rPr>
        <w:t xml:space="preserve"> </w:t>
      </w:r>
      <w:r w:rsidRPr="00766B5C">
        <w:rPr>
          <w:rFonts w:ascii="Calibri" w:hAnsi="Calibri" w:hint="eastAsia"/>
          <w:rtl/>
        </w:rPr>
        <w:t>להפקעתו</w:t>
      </w:r>
      <w:r w:rsidRPr="00766B5C">
        <w:rPr>
          <w:rFonts w:ascii="Calibri" w:hAnsi="Calibri"/>
          <w:rtl/>
        </w:rPr>
        <w:t xml:space="preserve"> </w:t>
      </w:r>
      <w:r w:rsidRPr="00766B5C">
        <w:rPr>
          <w:rFonts w:ascii="Calibri" w:hAnsi="Calibri" w:hint="eastAsia"/>
          <w:rtl/>
        </w:rPr>
        <w:t>ולהטלת</w:t>
      </w:r>
      <w:r w:rsidRPr="00766B5C">
        <w:rPr>
          <w:rFonts w:ascii="Calibri" w:hAnsi="Calibri"/>
          <w:rtl/>
        </w:rPr>
        <w:t xml:space="preserve"> </w:t>
      </w:r>
      <w:r w:rsidRPr="00766B5C">
        <w:rPr>
          <w:rFonts w:ascii="Calibri" w:hAnsi="Calibri" w:hint="eastAsia"/>
          <w:rtl/>
        </w:rPr>
        <w:t>עונשים</w:t>
      </w:r>
      <w:r w:rsidRPr="00766B5C">
        <w:rPr>
          <w:rFonts w:ascii="Calibri" w:hAnsi="Calibri"/>
          <w:rtl/>
        </w:rPr>
        <w:t xml:space="preserve"> </w:t>
      </w:r>
      <w:r w:rsidRPr="00766B5C">
        <w:rPr>
          <w:rFonts w:ascii="Calibri" w:hAnsi="Calibri" w:hint="eastAsia"/>
          <w:rtl/>
        </w:rPr>
        <w:t>נוספים</w:t>
      </w:r>
      <w:r w:rsidRPr="00766B5C">
        <w:rPr>
          <w:rFonts w:ascii="Calibri" w:hAnsi="Calibri"/>
          <w:rtl/>
        </w:rPr>
        <w:t>.</w:t>
      </w:r>
    </w:p>
    <w:p w14:paraId="77734EB1" w14:textId="77777777" w:rsidR="00D5318B" w:rsidRDefault="00D5318B" w:rsidP="00D5318B">
      <w:pPr>
        <w:spacing w:line="360" w:lineRule="auto"/>
        <w:contextualSpacing/>
        <w:jc w:val="both"/>
        <w:rPr>
          <w:rFonts w:ascii="Calibri" w:hAnsi="Calibri"/>
          <w:rtl/>
        </w:rPr>
      </w:pPr>
    </w:p>
    <w:p w14:paraId="1D9ECFD8" w14:textId="77777777" w:rsidR="00D5318B" w:rsidRPr="006654E8" w:rsidRDefault="00D5318B" w:rsidP="00D5318B">
      <w:pPr>
        <w:pStyle w:val="ListParagraph"/>
        <w:numPr>
          <w:ilvl w:val="0"/>
          <w:numId w:val="2"/>
        </w:numPr>
        <w:spacing w:before="120" w:after="120" w:line="360" w:lineRule="auto"/>
        <w:jc w:val="both"/>
        <w:rPr>
          <w:rFonts w:cs="David"/>
          <w:rtl/>
        </w:rPr>
      </w:pPr>
      <w:r w:rsidRPr="006654E8">
        <w:rPr>
          <w:rFonts w:cs="David"/>
          <w:rtl/>
        </w:rPr>
        <w:t xml:space="preserve">קנס בסך </w:t>
      </w:r>
      <w:r>
        <w:rPr>
          <w:rFonts w:cs="David" w:hint="cs"/>
          <w:rtl/>
        </w:rPr>
        <w:t>4000</w:t>
      </w:r>
      <w:r w:rsidRPr="006654E8">
        <w:rPr>
          <w:rFonts w:cs="David"/>
          <w:rtl/>
        </w:rPr>
        <w:t xml:space="preserve"> ש"ח ₪ או 15 ימי מאסר תחתיו. הקנס ישולם ב- 10 תשלומים חודשיים רצופים ושווים החל מיום </w:t>
      </w:r>
      <w:r>
        <w:rPr>
          <w:rFonts w:cs="David" w:hint="cs"/>
          <w:rtl/>
        </w:rPr>
        <w:t xml:space="preserve">1.4.17. </w:t>
      </w:r>
    </w:p>
    <w:p w14:paraId="7098488A" w14:textId="77777777" w:rsidR="00D5318B" w:rsidRPr="006654E8" w:rsidRDefault="00D5318B" w:rsidP="00D5318B">
      <w:pPr>
        <w:pStyle w:val="ListParagraph"/>
        <w:spacing w:before="120" w:after="120" w:line="360" w:lineRule="auto"/>
        <w:ind w:left="1440"/>
        <w:jc w:val="both"/>
        <w:rPr>
          <w:rFonts w:cs="David"/>
          <w:rtl/>
        </w:rPr>
      </w:pPr>
      <w:r w:rsidRPr="006654E8">
        <w:rPr>
          <w:rFonts w:cs="David"/>
          <w:rtl/>
        </w:rPr>
        <w:t xml:space="preserve">היה והקנס או </w:t>
      </w:r>
      <w:r>
        <w:rPr>
          <w:rFonts w:cs="David" w:hint="cs"/>
          <w:rtl/>
        </w:rPr>
        <w:t xml:space="preserve">חלקו </w:t>
      </w:r>
      <w:r w:rsidRPr="006654E8">
        <w:rPr>
          <w:rFonts w:cs="David"/>
          <w:rtl/>
        </w:rPr>
        <w:t>לא ישולם במועד – תעמוד יתרת הקנס לתשלום מידי.</w:t>
      </w:r>
    </w:p>
    <w:p w14:paraId="1D23C361" w14:textId="77777777" w:rsidR="00D5318B" w:rsidRDefault="00D5318B" w:rsidP="00D5318B">
      <w:pPr>
        <w:spacing w:before="120" w:after="120" w:line="360" w:lineRule="auto"/>
        <w:ind w:left="1440"/>
        <w:contextualSpacing/>
        <w:jc w:val="both"/>
        <w:rPr>
          <w:b/>
          <w:bCs/>
          <w:u w:val="single"/>
          <w:rtl/>
        </w:rPr>
      </w:pPr>
    </w:p>
    <w:p w14:paraId="000B33CA" w14:textId="77777777" w:rsidR="00D5318B" w:rsidRDefault="00D5318B" w:rsidP="00D5318B">
      <w:pPr>
        <w:spacing w:before="120" w:after="120" w:line="360" w:lineRule="auto"/>
        <w:ind w:left="1440"/>
        <w:contextualSpacing/>
        <w:jc w:val="both"/>
        <w:rPr>
          <w:b/>
          <w:bCs/>
          <w:u w:val="single"/>
          <w:rtl/>
        </w:rPr>
      </w:pPr>
      <w:r w:rsidRPr="008D6DFB">
        <w:rPr>
          <w:b/>
          <w:bCs/>
          <w:u w:val="single"/>
          <w:rtl/>
        </w:rPr>
        <w:t>בחלוף תקופת הערעור, ניתן להשמיד את המוצגים - הסמים והציוד</w:t>
      </w:r>
      <w:r>
        <w:rPr>
          <w:rFonts w:hint="cs"/>
          <w:b/>
          <w:bCs/>
          <w:u w:val="single"/>
          <w:rtl/>
        </w:rPr>
        <w:t xml:space="preserve"> הנלווה</w:t>
      </w:r>
      <w:r w:rsidRPr="008D6DFB">
        <w:rPr>
          <w:b/>
          <w:bCs/>
          <w:u w:val="single"/>
          <w:rtl/>
        </w:rPr>
        <w:t xml:space="preserve">. </w:t>
      </w:r>
    </w:p>
    <w:p w14:paraId="48CE6DCD" w14:textId="77777777" w:rsidR="00D5318B" w:rsidRDefault="00D5318B" w:rsidP="00D5318B">
      <w:pPr>
        <w:spacing w:before="120" w:after="120" w:line="360" w:lineRule="auto"/>
        <w:ind w:left="1440"/>
        <w:contextualSpacing/>
        <w:jc w:val="both"/>
        <w:rPr>
          <w:b/>
          <w:bCs/>
          <w:u w:val="single"/>
          <w:rtl/>
        </w:rPr>
      </w:pPr>
      <w:r>
        <w:rPr>
          <w:rFonts w:hint="cs"/>
          <w:b/>
          <w:bCs/>
          <w:u w:val="single"/>
          <w:rtl/>
        </w:rPr>
        <w:t xml:space="preserve">טלפון סלולרי ומחשב </w:t>
      </w:r>
      <w:r>
        <w:rPr>
          <w:b/>
          <w:bCs/>
          <w:u w:val="single"/>
          <w:rtl/>
        </w:rPr>
        <w:t>–</w:t>
      </w:r>
      <w:r>
        <w:rPr>
          <w:rFonts w:hint="cs"/>
          <w:b/>
          <w:bCs/>
          <w:u w:val="single"/>
          <w:rtl/>
        </w:rPr>
        <w:t xml:space="preserve"> להחזיר לנאשם.</w:t>
      </w:r>
    </w:p>
    <w:p w14:paraId="32572BC4" w14:textId="77777777" w:rsidR="00D5318B" w:rsidRDefault="00D5318B" w:rsidP="00D5318B">
      <w:pPr>
        <w:spacing w:before="120" w:after="120" w:line="360" w:lineRule="auto"/>
        <w:ind w:left="1440"/>
        <w:contextualSpacing/>
        <w:jc w:val="both"/>
        <w:rPr>
          <w:b/>
          <w:bCs/>
          <w:u w:val="single"/>
          <w:rtl/>
        </w:rPr>
      </w:pPr>
    </w:p>
    <w:p w14:paraId="5536BA98" w14:textId="77777777" w:rsidR="00D5318B" w:rsidRPr="008D6DFB" w:rsidRDefault="00D5318B" w:rsidP="00D5318B">
      <w:pPr>
        <w:spacing w:before="120" w:after="120" w:line="360" w:lineRule="auto"/>
        <w:ind w:left="1440"/>
        <w:contextualSpacing/>
        <w:jc w:val="both"/>
        <w:rPr>
          <w:b/>
          <w:bCs/>
          <w:u w:val="single"/>
          <w:rtl/>
        </w:rPr>
      </w:pPr>
      <w:r>
        <w:rPr>
          <w:rFonts w:hint="cs"/>
          <w:b/>
          <w:bCs/>
          <w:u w:val="single"/>
          <w:rtl/>
        </w:rPr>
        <w:t>המזכירות: להמציא את גזר הדין לממונה על עבודות השירות וכן לשירות המבחן.</w:t>
      </w:r>
    </w:p>
    <w:p w14:paraId="2FA1427F" w14:textId="77777777" w:rsidR="00D5318B" w:rsidRDefault="00D5318B" w:rsidP="00D5318B"/>
    <w:p w14:paraId="5880BD7B" w14:textId="77777777" w:rsidR="00D5318B" w:rsidRDefault="00D5318B" w:rsidP="00D5318B">
      <w:pPr>
        <w:spacing w:before="120" w:after="120" w:line="360" w:lineRule="auto"/>
        <w:ind w:left="1440"/>
        <w:contextualSpacing/>
        <w:jc w:val="both"/>
        <w:rPr>
          <w:b/>
          <w:bCs/>
          <w:u w:val="single"/>
          <w:rtl/>
        </w:rPr>
      </w:pPr>
      <w:r>
        <w:rPr>
          <w:rFonts w:hint="cs"/>
          <w:b/>
          <w:bCs/>
          <w:u w:val="single"/>
          <w:rtl/>
        </w:rPr>
        <w:t xml:space="preserve">זכות ערעור תוך 45 יום </w:t>
      </w:r>
    </w:p>
    <w:p w14:paraId="5DF1EC20" w14:textId="77777777" w:rsidR="00D5318B" w:rsidRPr="00B05847" w:rsidRDefault="00D5318B" w:rsidP="00D5318B">
      <w:pPr>
        <w:rPr>
          <w:rtl/>
        </w:rPr>
      </w:pPr>
    </w:p>
    <w:p w14:paraId="24FC7CAA" w14:textId="77777777" w:rsidR="00D5318B" w:rsidRPr="00B05847" w:rsidRDefault="00D5318B" w:rsidP="00D5318B">
      <w:pPr>
        <w:rPr>
          <w:rtl/>
        </w:rPr>
      </w:pPr>
    </w:p>
    <w:p w14:paraId="054754F6" w14:textId="77777777" w:rsidR="00D5318B" w:rsidRPr="00CB5139" w:rsidRDefault="00CB5139" w:rsidP="00D5318B">
      <w:pPr>
        <w:rPr>
          <w:color w:val="FFFFFF"/>
          <w:sz w:val="2"/>
          <w:szCs w:val="2"/>
          <w:rtl/>
        </w:rPr>
      </w:pPr>
      <w:r w:rsidRPr="00CB5139">
        <w:rPr>
          <w:color w:val="FFFFFF"/>
          <w:sz w:val="2"/>
          <w:szCs w:val="2"/>
          <w:rtl/>
        </w:rPr>
        <w:t>5129371</w:t>
      </w:r>
    </w:p>
    <w:p w14:paraId="1C93149F" w14:textId="77777777" w:rsidR="00D5318B" w:rsidRPr="004314C7" w:rsidRDefault="00CB5139" w:rsidP="00D5318B">
      <w:pPr>
        <w:rPr>
          <w:rFonts w:cs="FrankRuehl"/>
          <w:b/>
          <w:bCs/>
          <w:sz w:val="28"/>
          <w:szCs w:val="28"/>
          <w:rtl/>
        </w:rPr>
      </w:pPr>
      <w:r w:rsidRPr="004314C7">
        <w:rPr>
          <w:rFonts w:ascii="Arial" w:hAnsi="Arial"/>
          <w:b/>
          <w:bCs/>
          <w:color w:val="FFFFFF"/>
          <w:sz w:val="2"/>
          <w:szCs w:val="2"/>
          <w:rtl/>
        </w:rPr>
        <w:t>54678313</w:t>
      </w:r>
      <w:r w:rsidRPr="004314C7">
        <w:rPr>
          <w:rFonts w:ascii="Arial" w:hAnsi="Arial"/>
          <w:b/>
          <w:bCs/>
          <w:rtl/>
        </w:rPr>
        <w:t xml:space="preserve">ניתן היום,  ל' שבט תשע"ז, 26 פברואר 2017, במעמד הצדדים. </w:t>
      </w:r>
    </w:p>
    <w:p w14:paraId="518AD487" w14:textId="77777777" w:rsidR="00D5318B" w:rsidRDefault="00D5318B" w:rsidP="00D5318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0824CB" w14:textId="77777777" w:rsidR="00D5318B" w:rsidRDefault="00D5318B" w:rsidP="00D5318B">
      <w:pPr>
        <w:jc w:val="center"/>
        <w:rPr>
          <w:rFonts w:ascii="Arial" w:hAnsi="Arial" w:cs="FrankRuehl"/>
          <w:sz w:val="28"/>
          <w:szCs w:val="28"/>
          <w:rtl/>
        </w:rPr>
      </w:pPr>
    </w:p>
    <w:p w14:paraId="11787337" w14:textId="77777777" w:rsidR="00D5318B" w:rsidRDefault="00D5318B" w:rsidP="00D5318B">
      <w:pPr>
        <w:rPr>
          <w:rFonts w:cs="FrankRuehl"/>
          <w:sz w:val="28"/>
          <w:szCs w:val="28"/>
          <w:rtl/>
        </w:rPr>
      </w:pPr>
    </w:p>
    <w:p w14:paraId="54E8B4EF" w14:textId="77777777" w:rsidR="00CB5139" w:rsidRPr="00CB5139" w:rsidRDefault="00CB5139" w:rsidP="00CB5139">
      <w:pPr>
        <w:keepNext/>
        <w:rPr>
          <w:rFonts w:ascii="David" w:hAnsi="David"/>
          <w:color w:val="000000"/>
          <w:sz w:val="22"/>
          <w:szCs w:val="22"/>
          <w:rtl/>
        </w:rPr>
      </w:pPr>
    </w:p>
    <w:p w14:paraId="7E721840" w14:textId="77777777" w:rsidR="00CB5139" w:rsidRPr="00CB5139" w:rsidRDefault="00CB5139" w:rsidP="00CB5139">
      <w:pPr>
        <w:keepNext/>
        <w:rPr>
          <w:rFonts w:ascii="David" w:hAnsi="David"/>
          <w:color w:val="000000"/>
          <w:sz w:val="22"/>
          <w:szCs w:val="22"/>
          <w:rtl/>
        </w:rPr>
      </w:pPr>
      <w:r w:rsidRPr="00CB5139">
        <w:rPr>
          <w:rFonts w:ascii="David" w:hAnsi="David"/>
          <w:color w:val="000000"/>
          <w:sz w:val="22"/>
          <w:szCs w:val="22"/>
          <w:rtl/>
        </w:rPr>
        <w:t>יוסי טורס 54678313</w:t>
      </w:r>
    </w:p>
    <w:p w14:paraId="7A1950DF" w14:textId="77777777" w:rsidR="00CB5139" w:rsidRDefault="00CB5139" w:rsidP="00CB5139">
      <w:r w:rsidRPr="00CB5139">
        <w:rPr>
          <w:color w:val="000000"/>
          <w:rtl/>
        </w:rPr>
        <w:t>נוסח מסמך זה כפוף לשינויי ניסוח ועריכה</w:t>
      </w:r>
    </w:p>
    <w:p w14:paraId="38408482" w14:textId="77777777" w:rsidR="00CB5139" w:rsidRDefault="00CB5139" w:rsidP="00CB5139">
      <w:pPr>
        <w:rPr>
          <w:rtl/>
        </w:rPr>
      </w:pPr>
    </w:p>
    <w:p w14:paraId="1E282EB1" w14:textId="77777777" w:rsidR="00DF27D7" w:rsidRPr="00CB5139" w:rsidRDefault="00CB5139" w:rsidP="004314C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sectPr w:rsidR="00DF27D7" w:rsidRPr="00CB5139" w:rsidSect="00CB5139">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CC48A" w14:textId="77777777" w:rsidR="000B4FF8" w:rsidRDefault="000B4FF8">
      <w:r>
        <w:separator/>
      </w:r>
    </w:p>
  </w:endnote>
  <w:endnote w:type="continuationSeparator" w:id="0">
    <w:p w14:paraId="59341747" w14:textId="77777777" w:rsidR="000B4FF8" w:rsidRDefault="000B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D2BAA" w14:textId="77777777" w:rsidR="009645EA" w:rsidRDefault="009645EA" w:rsidP="00CB51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DE10566" w14:textId="77777777" w:rsidR="009645EA" w:rsidRPr="00CB5139" w:rsidRDefault="009645EA" w:rsidP="00CB5139">
    <w:pPr>
      <w:pStyle w:val="a4"/>
      <w:pBdr>
        <w:top w:val="single" w:sz="4" w:space="1" w:color="auto"/>
        <w:between w:val="single" w:sz="4" w:space="0" w:color="auto"/>
      </w:pBdr>
      <w:spacing w:after="60"/>
      <w:jc w:val="center"/>
      <w:rPr>
        <w:rFonts w:ascii="FrankRuehl" w:hAnsi="FrankRuehl" w:cs="FrankRuehl"/>
        <w:color w:val="000000"/>
      </w:rPr>
    </w:pPr>
    <w:r w:rsidRPr="00CB51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ECEA2" w14:textId="77777777" w:rsidR="009645EA" w:rsidRDefault="009645EA" w:rsidP="00CB513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43C7">
      <w:rPr>
        <w:rFonts w:ascii="FrankRuehl" w:hAnsi="FrankRuehl" w:cs="FrankRuehl"/>
        <w:noProof/>
        <w:rtl/>
      </w:rPr>
      <w:t>1</w:t>
    </w:r>
    <w:r>
      <w:rPr>
        <w:rFonts w:ascii="FrankRuehl" w:hAnsi="FrankRuehl" w:cs="FrankRuehl"/>
        <w:rtl/>
      </w:rPr>
      <w:fldChar w:fldCharType="end"/>
    </w:r>
  </w:p>
  <w:p w14:paraId="650A035A" w14:textId="77777777" w:rsidR="009645EA" w:rsidRPr="00CB5139" w:rsidRDefault="009645EA" w:rsidP="00CB5139">
    <w:pPr>
      <w:pStyle w:val="a4"/>
      <w:pBdr>
        <w:top w:val="single" w:sz="4" w:space="1" w:color="auto"/>
        <w:between w:val="single" w:sz="4" w:space="0" w:color="auto"/>
      </w:pBdr>
      <w:spacing w:after="60"/>
      <w:jc w:val="center"/>
      <w:rPr>
        <w:rFonts w:ascii="FrankRuehl" w:hAnsi="FrankRuehl" w:cs="FrankRuehl"/>
        <w:color w:val="000000"/>
      </w:rPr>
    </w:pPr>
    <w:r w:rsidRPr="00CB5139">
      <w:rPr>
        <w:rFonts w:ascii="FrankRuehl" w:hAnsi="FrankRuehl" w:cs="FrankRuehl"/>
        <w:color w:val="000000"/>
      </w:rPr>
      <w:pict w14:anchorId="655D4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4DEB4" w14:textId="77777777" w:rsidR="000B4FF8" w:rsidRDefault="000B4FF8">
      <w:r>
        <w:separator/>
      </w:r>
    </w:p>
  </w:footnote>
  <w:footnote w:type="continuationSeparator" w:id="0">
    <w:p w14:paraId="1A15AAB1" w14:textId="77777777" w:rsidR="000B4FF8" w:rsidRDefault="000B4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203A6" w14:textId="77777777" w:rsidR="009645EA" w:rsidRPr="00CB5139" w:rsidRDefault="009645EA" w:rsidP="00CB51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54487-02-16</w:t>
    </w:r>
    <w:r>
      <w:rPr>
        <w:rFonts w:ascii="David" w:hAnsi="David"/>
        <w:color w:val="000000"/>
        <w:sz w:val="22"/>
        <w:szCs w:val="22"/>
        <w:rtl/>
      </w:rPr>
      <w:tab/>
      <w:t xml:space="preserve"> מדינת ישראל נ' זיו דודוב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BD1F" w14:textId="77777777" w:rsidR="009645EA" w:rsidRPr="00CB5139" w:rsidRDefault="009645EA" w:rsidP="00CB513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54487-02-16</w:t>
    </w:r>
    <w:r>
      <w:rPr>
        <w:rFonts w:ascii="David" w:hAnsi="David"/>
        <w:color w:val="000000"/>
        <w:sz w:val="22"/>
        <w:szCs w:val="22"/>
        <w:rtl/>
      </w:rPr>
      <w:tab/>
      <w:t xml:space="preserve"> מדינת ישראל נ' זיו דודוב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379922">
    <w:abstractNumId w:val="1"/>
  </w:num>
  <w:num w:numId="2" w16cid:durableId="40175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318B"/>
    <w:rsid w:val="000B4FF8"/>
    <w:rsid w:val="001E3D8F"/>
    <w:rsid w:val="00233690"/>
    <w:rsid w:val="004314C7"/>
    <w:rsid w:val="00673C3F"/>
    <w:rsid w:val="007C2B33"/>
    <w:rsid w:val="008D43C7"/>
    <w:rsid w:val="008E3B5C"/>
    <w:rsid w:val="009645EA"/>
    <w:rsid w:val="00A249EE"/>
    <w:rsid w:val="00AF33B1"/>
    <w:rsid w:val="00CB5139"/>
    <w:rsid w:val="00D5318B"/>
    <w:rsid w:val="00DF27D7"/>
    <w:rsid w:val="00E52CBE"/>
    <w:rsid w:val="00EC4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8F7E0F"/>
  <w15:chartTrackingRefBased/>
  <w15:docId w15:val="{969728C2-AF3C-4B8C-9FB1-D7C47B50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318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5318B"/>
    <w:pPr>
      <w:tabs>
        <w:tab w:val="center" w:pos="4153"/>
        <w:tab w:val="right" w:pos="8306"/>
      </w:tabs>
    </w:pPr>
  </w:style>
  <w:style w:type="paragraph" w:styleId="a4">
    <w:name w:val="footer"/>
    <w:basedOn w:val="a"/>
    <w:rsid w:val="00D5318B"/>
    <w:pPr>
      <w:tabs>
        <w:tab w:val="center" w:pos="4153"/>
        <w:tab w:val="right" w:pos="8306"/>
      </w:tabs>
    </w:pPr>
  </w:style>
  <w:style w:type="character" w:styleId="a5">
    <w:name w:val="page number"/>
    <w:basedOn w:val="a0"/>
    <w:rsid w:val="00D5318B"/>
  </w:style>
  <w:style w:type="paragraph" w:customStyle="1" w:styleId="ListParagraph">
    <w:name w:val="List Paragraph"/>
    <w:basedOn w:val="a"/>
    <w:rsid w:val="00D5318B"/>
    <w:pPr>
      <w:ind w:left="720"/>
      <w:contextualSpacing/>
    </w:pPr>
    <w:rPr>
      <w:rFonts w:cs="Times New Roman"/>
    </w:rPr>
  </w:style>
  <w:style w:type="character" w:styleId="Hyperlink">
    <w:name w:val="Hyperlink"/>
    <w:basedOn w:val="a0"/>
    <w:rsid w:val="00CB5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0705570" TargetMode="External"/><Relationship Id="rId39" Type="http://schemas.openxmlformats.org/officeDocument/2006/relationships/hyperlink" Target="http://www.nevo.co.il/case/20632055" TargetMode="External"/><Relationship Id="rId21" Type="http://schemas.openxmlformats.org/officeDocument/2006/relationships/hyperlink" Target="http://www.nevo.co.il/case/13093721" TargetMode="External"/><Relationship Id="rId34" Type="http://schemas.openxmlformats.org/officeDocument/2006/relationships/hyperlink" Target="http://www.nevo.co.il/case/485572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01117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6241434" TargetMode="External"/><Relationship Id="rId32" Type="http://schemas.openxmlformats.org/officeDocument/2006/relationships/hyperlink" Target="http://www.nevo.co.il/case/18119161" TargetMode="External"/><Relationship Id="rId37" Type="http://schemas.openxmlformats.org/officeDocument/2006/relationships/hyperlink" Target="http://www.nevo.co.il/case/10459128" TargetMode="External"/><Relationship Id="rId40" Type="http://schemas.openxmlformats.org/officeDocument/2006/relationships/hyperlink" Target="http://www.nevo.co.il/case/2053438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4216/10" TargetMode="External"/><Relationship Id="rId28" Type="http://schemas.openxmlformats.org/officeDocument/2006/relationships/hyperlink" Target="http://www.nevo.co.il/case/2088108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829166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16938303" TargetMode="External"/><Relationship Id="rId27" Type="http://schemas.openxmlformats.org/officeDocument/2006/relationships/hyperlink" Target="http://www.nevo.co.il/case/16938303" TargetMode="External"/><Relationship Id="rId30" Type="http://schemas.openxmlformats.org/officeDocument/2006/relationships/hyperlink" Target="http://www.nevo.co.il/case/18107527" TargetMode="External"/><Relationship Id="rId35" Type="http://schemas.openxmlformats.org/officeDocument/2006/relationships/hyperlink" Target="http://www.nevo.co.il/law/70301/40d"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4804940" TargetMode="External"/><Relationship Id="rId33" Type="http://schemas.openxmlformats.org/officeDocument/2006/relationships/hyperlink" Target="http://www.nevo.co.il/case/16938303" TargetMode="External"/><Relationship Id="rId38" Type="http://schemas.openxmlformats.org/officeDocument/2006/relationships/hyperlink" Target="http://www.nevo.co.il/case/20841655"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2330</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13955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3866740</vt:i4>
      </vt:variant>
      <vt:variant>
        <vt:i4>99</vt:i4>
      </vt:variant>
      <vt:variant>
        <vt:i4>0</vt:i4>
      </vt:variant>
      <vt:variant>
        <vt:i4>5</vt:i4>
      </vt:variant>
      <vt:variant>
        <vt:lpwstr>http://www.nevo.co.il/case/20534384</vt:lpwstr>
      </vt:variant>
      <vt:variant>
        <vt:lpwstr/>
      </vt:variant>
      <vt:variant>
        <vt:i4>3342455</vt:i4>
      </vt:variant>
      <vt:variant>
        <vt:i4>96</vt:i4>
      </vt:variant>
      <vt:variant>
        <vt:i4>0</vt:i4>
      </vt:variant>
      <vt:variant>
        <vt:i4>5</vt:i4>
      </vt:variant>
      <vt:variant>
        <vt:lpwstr>http://www.nevo.co.il/case/20632055</vt:lpwstr>
      </vt:variant>
      <vt:variant>
        <vt:lpwstr/>
      </vt:variant>
      <vt:variant>
        <vt:i4>4063350</vt:i4>
      </vt:variant>
      <vt:variant>
        <vt:i4>93</vt:i4>
      </vt:variant>
      <vt:variant>
        <vt:i4>0</vt:i4>
      </vt:variant>
      <vt:variant>
        <vt:i4>5</vt:i4>
      </vt:variant>
      <vt:variant>
        <vt:lpwstr>http://www.nevo.co.il/case/20841655</vt:lpwstr>
      </vt:variant>
      <vt:variant>
        <vt:lpwstr/>
      </vt:variant>
      <vt:variant>
        <vt:i4>4063344</vt:i4>
      </vt:variant>
      <vt:variant>
        <vt:i4>90</vt:i4>
      </vt:variant>
      <vt:variant>
        <vt:i4>0</vt:i4>
      </vt:variant>
      <vt:variant>
        <vt:i4>5</vt:i4>
      </vt:variant>
      <vt:variant>
        <vt:lpwstr>http://www.nevo.co.il/case/10459128</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3604603</vt:i4>
      </vt:variant>
      <vt:variant>
        <vt:i4>81</vt:i4>
      </vt:variant>
      <vt:variant>
        <vt:i4>0</vt:i4>
      </vt:variant>
      <vt:variant>
        <vt:i4>5</vt:i4>
      </vt:variant>
      <vt:variant>
        <vt:lpwstr>http://www.nevo.co.il/case/4855721</vt:lpwstr>
      </vt:variant>
      <vt:variant>
        <vt:lpwstr/>
      </vt:variant>
      <vt:variant>
        <vt:i4>3145842</vt:i4>
      </vt:variant>
      <vt:variant>
        <vt:i4>78</vt:i4>
      </vt:variant>
      <vt:variant>
        <vt:i4>0</vt:i4>
      </vt:variant>
      <vt:variant>
        <vt:i4>5</vt:i4>
      </vt:variant>
      <vt:variant>
        <vt:lpwstr>http://www.nevo.co.il/case/16938303</vt:lpwstr>
      </vt:variant>
      <vt:variant>
        <vt:lpwstr/>
      </vt:variant>
      <vt:variant>
        <vt:i4>4128892</vt:i4>
      </vt:variant>
      <vt:variant>
        <vt:i4>75</vt:i4>
      </vt:variant>
      <vt:variant>
        <vt:i4>0</vt:i4>
      </vt:variant>
      <vt:variant>
        <vt:i4>5</vt:i4>
      </vt:variant>
      <vt:variant>
        <vt:lpwstr>http://www.nevo.co.il/case/18119161</vt:lpwstr>
      </vt:variant>
      <vt:variant>
        <vt:lpwstr/>
      </vt:variant>
      <vt:variant>
        <vt:i4>3539057</vt:i4>
      </vt:variant>
      <vt:variant>
        <vt:i4>72</vt:i4>
      </vt:variant>
      <vt:variant>
        <vt:i4>0</vt:i4>
      </vt:variant>
      <vt:variant>
        <vt:i4>5</vt:i4>
      </vt:variant>
      <vt:variant>
        <vt:lpwstr>http://www.nevo.co.il/case/8291661</vt:lpwstr>
      </vt:variant>
      <vt:variant>
        <vt:lpwstr/>
      </vt:variant>
      <vt:variant>
        <vt:i4>3473529</vt:i4>
      </vt:variant>
      <vt:variant>
        <vt:i4>69</vt:i4>
      </vt:variant>
      <vt:variant>
        <vt:i4>0</vt:i4>
      </vt:variant>
      <vt:variant>
        <vt:i4>5</vt:i4>
      </vt:variant>
      <vt:variant>
        <vt:lpwstr>http://www.nevo.co.il/case/18107527</vt:lpwstr>
      </vt:variant>
      <vt:variant>
        <vt:lpwstr/>
      </vt:variant>
      <vt:variant>
        <vt:i4>3276914</vt:i4>
      </vt:variant>
      <vt:variant>
        <vt:i4>66</vt:i4>
      </vt:variant>
      <vt:variant>
        <vt:i4>0</vt:i4>
      </vt:variant>
      <vt:variant>
        <vt:i4>5</vt:i4>
      </vt:variant>
      <vt:variant>
        <vt:lpwstr>http://www.nevo.co.il/case/20111708</vt:lpwstr>
      </vt:variant>
      <vt:variant>
        <vt:lpwstr/>
      </vt:variant>
      <vt:variant>
        <vt:i4>3342460</vt:i4>
      </vt:variant>
      <vt:variant>
        <vt:i4>63</vt:i4>
      </vt:variant>
      <vt:variant>
        <vt:i4>0</vt:i4>
      </vt:variant>
      <vt:variant>
        <vt:i4>5</vt:i4>
      </vt:variant>
      <vt:variant>
        <vt:lpwstr>http://www.nevo.co.il/case/20881083</vt:lpwstr>
      </vt:variant>
      <vt:variant>
        <vt:lpwstr/>
      </vt:variant>
      <vt:variant>
        <vt:i4>3145842</vt:i4>
      </vt:variant>
      <vt:variant>
        <vt:i4>60</vt:i4>
      </vt:variant>
      <vt:variant>
        <vt:i4>0</vt:i4>
      </vt:variant>
      <vt:variant>
        <vt:i4>5</vt:i4>
      </vt:variant>
      <vt:variant>
        <vt:lpwstr>http://www.nevo.co.il/case/16938303</vt:lpwstr>
      </vt:variant>
      <vt:variant>
        <vt:lpwstr/>
      </vt:variant>
      <vt:variant>
        <vt:i4>3604593</vt:i4>
      </vt:variant>
      <vt:variant>
        <vt:i4>57</vt:i4>
      </vt:variant>
      <vt:variant>
        <vt:i4>0</vt:i4>
      </vt:variant>
      <vt:variant>
        <vt:i4>5</vt:i4>
      </vt:variant>
      <vt:variant>
        <vt:lpwstr>http://www.nevo.co.il/case/20705570</vt:lpwstr>
      </vt:variant>
      <vt:variant>
        <vt:lpwstr/>
      </vt:variant>
      <vt:variant>
        <vt:i4>3997820</vt:i4>
      </vt:variant>
      <vt:variant>
        <vt:i4>54</vt:i4>
      </vt:variant>
      <vt:variant>
        <vt:i4>0</vt:i4>
      </vt:variant>
      <vt:variant>
        <vt:i4>5</vt:i4>
      </vt:variant>
      <vt:variant>
        <vt:lpwstr>http://www.nevo.co.il/case/4804940</vt:lpwstr>
      </vt:variant>
      <vt:variant>
        <vt:lpwstr/>
      </vt:variant>
      <vt:variant>
        <vt:i4>3276916</vt:i4>
      </vt:variant>
      <vt:variant>
        <vt:i4>51</vt:i4>
      </vt:variant>
      <vt:variant>
        <vt:i4>0</vt:i4>
      </vt:variant>
      <vt:variant>
        <vt:i4>5</vt:i4>
      </vt:variant>
      <vt:variant>
        <vt:lpwstr>http://www.nevo.co.il/case/6241434</vt:lpwstr>
      </vt:variant>
      <vt:variant>
        <vt:lpwstr/>
      </vt:variant>
      <vt:variant>
        <vt:i4>5177418</vt:i4>
      </vt:variant>
      <vt:variant>
        <vt:i4>48</vt:i4>
      </vt:variant>
      <vt:variant>
        <vt:i4>0</vt:i4>
      </vt:variant>
      <vt:variant>
        <vt:i4>5</vt:i4>
      </vt:variant>
      <vt:variant>
        <vt:lpwstr>http://www.nevo.co.il/law/4216/10</vt:lpwstr>
      </vt:variant>
      <vt:variant>
        <vt:lpwstr/>
      </vt:variant>
      <vt:variant>
        <vt:i4>3145842</vt:i4>
      </vt:variant>
      <vt:variant>
        <vt:i4>45</vt:i4>
      </vt:variant>
      <vt:variant>
        <vt:i4>0</vt:i4>
      </vt:variant>
      <vt:variant>
        <vt:i4>5</vt:i4>
      </vt:variant>
      <vt:variant>
        <vt:lpwstr>http://www.nevo.co.il/case/16938303</vt:lpwstr>
      </vt:variant>
      <vt:variant>
        <vt:lpwstr/>
      </vt:variant>
      <vt:variant>
        <vt:i4>3145849</vt:i4>
      </vt:variant>
      <vt:variant>
        <vt:i4>42</vt:i4>
      </vt:variant>
      <vt:variant>
        <vt:i4>0</vt:i4>
      </vt:variant>
      <vt:variant>
        <vt:i4>5</vt:i4>
      </vt:variant>
      <vt:variant>
        <vt:lpwstr>http://www.nevo.co.il/case/13093721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54487</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זיו דודוב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20170226</vt:lpwstr>
  </property>
  <property fmtid="{D5CDD505-2E9C-101B-9397-08002B2CF9AE}" pid="13" name="TYPE_N_DATE">
    <vt:lpwstr>38020170226</vt:lpwstr>
  </property>
  <property fmtid="{D5CDD505-2E9C-101B-9397-08002B2CF9AE}" pid="14" name="WORDNUMPAGES">
    <vt:lpwstr>8</vt:lpwstr>
  </property>
  <property fmtid="{D5CDD505-2E9C-101B-9397-08002B2CF9AE}" pid="15" name="TYPE_ABS_DATE">
    <vt:lpwstr>380120170226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13093721;16938303:3;6241434;4804940;20705570;20881083;20111708;18107527;8291661;18119161;4855721;10459128;20841655;20632055;20534384</vt:lpwstr>
  </property>
  <property fmtid="{D5CDD505-2E9C-101B-9397-08002B2CF9AE}" pid="36" name="LAWLISTTMP1">
    <vt:lpwstr>4216/006;010:2;007.a;007.c</vt:lpwstr>
  </property>
  <property fmtid="{D5CDD505-2E9C-101B-9397-08002B2CF9AE}" pid="37" name="LAWLISTTMP2">
    <vt:lpwstr>70301/040d</vt:lpwstr>
  </property>
  <property fmtid="{D5CDD505-2E9C-101B-9397-08002B2CF9AE}" pid="38" name="METAKZER">
    <vt:lpwstr>שירי</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8991;14346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20170319</vt:lpwstr>
  </property>
</Properties>
</file>