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B14BF0" w:rsidRPr="00101068" w14:paraId="4EBC88D2" w14:textId="77777777">
        <w:trPr>
          <w:trHeight w:hRule="exact" w:val="418"/>
          <w:jc w:val="center"/>
        </w:trPr>
        <w:tc>
          <w:tcPr>
            <w:tcW w:w="8721" w:type="dxa"/>
            <w:gridSpan w:val="2"/>
          </w:tcPr>
          <w:p w14:paraId="07EA9E03" w14:textId="77777777" w:rsidR="00B14BF0" w:rsidRPr="00101068" w:rsidRDefault="00101068">
            <w:pPr>
              <w:pStyle w:val="a3"/>
              <w:jc w:val="center"/>
              <w:rPr>
                <w:rFonts w:ascii="Tahoma" w:hAnsi="Tahoma" w:cs="Tahoma"/>
                <w:color w:val="000080"/>
                <w:rtl/>
              </w:rPr>
            </w:pPr>
            <w:bookmarkStart w:id="0" w:name="LastJudge"/>
            <w:r w:rsidRPr="00101068">
              <w:rPr>
                <w:rFonts w:ascii="Tahoma" w:hAnsi="Tahoma" w:cs="Tahoma"/>
                <w:b/>
                <w:bCs/>
                <w:color w:val="000080"/>
                <w:rtl/>
              </w:rPr>
              <w:t>בית משפט השלום בירושלים</w:t>
            </w:r>
          </w:p>
        </w:tc>
      </w:tr>
      <w:tr w:rsidR="00B14BF0" w:rsidRPr="00101068" w14:paraId="6C0757A0" w14:textId="77777777">
        <w:trPr>
          <w:trHeight w:val="337"/>
          <w:jc w:val="center"/>
        </w:trPr>
        <w:tc>
          <w:tcPr>
            <w:tcW w:w="5056" w:type="dxa"/>
          </w:tcPr>
          <w:p w14:paraId="31D9AED1" w14:textId="77777777" w:rsidR="00B14BF0" w:rsidRPr="00101068" w:rsidRDefault="00101068">
            <w:pPr>
              <w:rPr>
                <w:rFonts w:cs="FrankRuehl"/>
                <w:sz w:val="28"/>
                <w:szCs w:val="28"/>
                <w:rtl/>
              </w:rPr>
            </w:pPr>
            <w:r w:rsidRPr="00101068">
              <w:rPr>
                <w:rFonts w:cs="FrankRuehl"/>
                <w:sz w:val="28"/>
                <w:szCs w:val="28"/>
                <w:rtl/>
              </w:rPr>
              <w:t>ת"פ</w:t>
            </w:r>
            <w:r w:rsidRPr="00101068">
              <w:rPr>
                <w:rFonts w:cs="FrankRuehl" w:hint="cs"/>
                <w:sz w:val="28"/>
                <w:szCs w:val="28"/>
                <w:rtl/>
              </w:rPr>
              <w:t xml:space="preserve"> </w:t>
            </w:r>
            <w:r w:rsidRPr="00101068">
              <w:rPr>
                <w:rFonts w:cs="FrankRuehl"/>
                <w:sz w:val="28"/>
                <w:szCs w:val="28"/>
                <w:rtl/>
              </w:rPr>
              <w:t>54771-02-16</w:t>
            </w:r>
            <w:r w:rsidRPr="00101068">
              <w:rPr>
                <w:rFonts w:cs="FrankRuehl" w:hint="cs"/>
                <w:sz w:val="28"/>
                <w:szCs w:val="28"/>
                <w:rtl/>
              </w:rPr>
              <w:t xml:space="preserve"> </w:t>
            </w:r>
            <w:r w:rsidRPr="00101068">
              <w:rPr>
                <w:rFonts w:cs="FrankRuehl"/>
                <w:sz w:val="28"/>
                <w:szCs w:val="28"/>
                <w:rtl/>
              </w:rPr>
              <w:t>מדינת ישראל נ' כהן(עציר)</w:t>
            </w:r>
          </w:p>
          <w:p w14:paraId="07144931" w14:textId="77777777" w:rsidR="00B14BF0" w:rsidRPr="00101068" w:rsidRDefault="00B14BF0">
            <w:pPr>
              <w:pStyle w:val="a3"/>
              <w:rPr>
                <w:rFonts w:cs="FrankRuehl"/>
                <w:sz w:val="28"/>
                <w:szCs w:val="28"/>
                <w:rtl/>
              </w:rPr>
            </w:pPr>
          </w:p>
        </w:tc>
        <w:tc>
          <w:tcPr>
            <w:tcW w:w="3665" w:type="dxa"/>
          </w:tcPr>
          <w:p w14:paraId="3048984C" w14:textId="77777777" w:rsidR="00B14BF0" w:rsidRPr="00101068" w:rsidRDefault="00B14BF0">
            <w:pPr>
              <w:pStyle w:val="a3"/>
              <w:jc w:val="right"/>
              <w:rPr>
                <w:rFonts w:cs="FrankRuehl"/>
                <w:sz w:val="28"/>
                <w:szCs w:val="28"/>
                <w:rtl/>
              </w:rPr>
            </w:pPr>
          </w:p>
        </w:tc>
      </w:tr>
    </w:tbl>
    <w:p w14:paraId="70B981EB" w14:textId="77777777" w:rsidR="00B14BF0" w:rsidRPr="00101068" w:rsidRDefault="00101068">
      <w:pPr>
        <w:pStyle w:val="a3"/>
        <w:rPr>
          <w:rtl/>
        </w:rPr>
      </w:pPr>
      <w:r w:rsidRPr="00101068">
        <w:rPr>
          <w:rFonts w:hint="cs"/>
          <w:rtl/>
        </w:rPr>
        <w:t xml:space="preserve"> </w:t>
      </w:r>
    </w:p>
    <w:p w14:paraId="17BA0AB0" w14:textId="77777777" w:rsidR="00B14BF0" w:rsidRPr="00101068" w:rsidRDefault="00B14BF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14BF0" w:rsidRPr="00101068" w14:paraId="7C8D4CCF" w14:textId="77777777">
        <w:trPr>
          <w:trHeight w:val="295"/>
          <w:jc w:val="center"/>
        </w:trPr>
        <w:tc>
          <w:tcPr>
            <w:tcW w:w="923" w:type="dxa"/>
            <w:tcBorders>
              <w:top w:val="nil"/>
              <w:left w:val="nil"/>
              <w:bottom w:val="nil"/>
              <w:right w:val="nil"/>
            </w:tcBorders>
            <w:shd w:val="clear" w:color="auto" w:fill="auto"/>
          </w:tcPr>
          <w:p w14:paraId="5738AE38" w14:textId="77777777" w:rsidR="00B14BF0" w:rsidRPr="00101068" w:rsidRDefault="00101068">
            <w:pPr>
              <w:jc w:val="both"/>
              <w:rPr>
                <w:rFonts w:ascii="Arial" w:hAnsi="Arial" w:cs="FrankRuehl"/>
                <w:sz w:val="28"/>
                <w:szCs w:val="28"/>
              </w:rPr>
            </w:pPr>
            <w:r w:rsidRPr="00101068">
              <w:rPr>
                <w:rFonts w:ascii="Arial" w:hAnsi="Arial" w:cs="FrankRuehl" w:hint="cs"/>
                <w:sz w:val="28"/>
                <w:szCs w:val="28"/>
                <w:rtl/>
              </w:rPr>
              <w:t>ב</w:t>
            </w:r>
            <w:r w:rsidRPr="0010106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4808199" w14:textId="77777777" w:rsidR="00B14BF0" w:rsidRPr="00101068" w:rsidRDefault="00101068">
            <w:pPr>
              <w:rPr>
                <w:rFonts w:ascii="Arial" w:hAnsi="Arial"/>
                <w:b/>
                <w:bCs/>
                <w:rtl/>
              </w:rPr>
            </w:pPr>
            <w:r w:rsidRPr="00101068">
              <w:rPr>
                <w:rFonts w:ascii="Arial" w:hAnsi="Arial" w:hint="cs"/>
                <w:b/>
                <w:bCs/>
                <w:rtl/>
              </w:rPr>
              <w:t>כבוד ה</w:t>
            </w:r>
            <w:r w:rsidRPr="00101068">
              <w:rPr>
                <w:rFonts w:hint="cs"/>
                <w:rtl/>
              </w:rPr>
              <w:t>שופטת</w:t>
            </w:r>
            <w:r w:rsidRPr="00101068">
              <w:rPr>
                <w:rFonts w:ascii="Arial" w:hAnsi="Arial" w:hint="cs"/>
                <w:b/>
                <w:bCs/>
                <w:rtl/>
              </w:rPr>
              <w:t xml:space="preserve">  </w:t>
            </w:r>
            <w:r w:rsidRPr="00101068">
              <w:rPr>
                <w:rFonts w:hint="cs"/>
                <w:rtl/>
              </w:rPr>
              <w:t>ג'ויה סקפה שפירא</w:t>
            </w:r>
          </w:p>
          <w:p w14:paraId="40F88999" w14:textId="77777777" w:rsidR="00B14BF0" w:rsidRPr="00101068" w:rsidRDefault="00B14BF0">
            <w:pPr>
              <w:rPr>
                <w:rtl/>
              </w:rPr>
            </w:pPr>
          </w:p>
          <w:p w14:paraId="19C38335" w14:textId="77777777" w:rsidR="00B14BF0" w:rsidRPr="00101068" w:rsidRDefault="00B14BF0">
            <w:pPr>
              <w:jc w:val="both"/>
              <w:rPr>
                <w:rFonts w:ascii="Arial" w:hAnsi="Arial" w:cs="FrankRuehl"/>
                <w:sz w:val="28"/>
                <w:szCs w:val="28"/>
              </w:rPr>
            </w:pPr>
          </w:p>
        </w:tc>
      </w:tr>
      <w:tr w:rsidR="00B14BF0" w:rsidRPr="00101068" w14:paraId="4356F347" w14:textId="77777777">
        <w:trPr>
          <w:trHeight w:val="355"/>
          <w:jc w:val="center"/>
        </w:trPr>
        <w:tc>
          <w:tcPr>
            <w:tcW w:w="923" w:type="dxa"/>
            <w:tcBorders>
              <w:top w:val="nil"/>
              <w:left w:val="nil"/>
              <w:bottom w:val="nil"/>
              <w:right w:val="nil"/>
            </w:tcBorders>
            <w:shd w:val="clear" w:color="auto" w:fill="auto"/>
          </w:tcPr>
          <w:p w14:paraId="53C8A91E" w14:textId="77777777" w:rsidR="00B14BF0" w:rsidRPr="00101068" w:rsidRDefault="00101068">
            <w:pPr>
              <w:jc w:val="both"/>
              <w:rPr>
                <w:rFonts w:ascii="Arial" w:hAnsi="Arial" w:cs="FrankRuehl"/>
                <w:sz w:val="28"/>
                <w:szCs w:val="28"/>
              </w:rPr>
            </w:pPr>
            <w:bookmarkStart w:id="1" w:name="FirstAppellant"/>
            <w:r w:rsidRPr="0010106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40CD0EB" w14:textId="77777777" w:rsidR="00B14BF0" w:rsidRPr="00101068" w:rsidRDefault="00101068">
            <w:r w:rsidRPr="00101068">
              <w:rPr>
                <w:rFonts w:hint="cs"/>
                <w:rtl/>
              </w:rPr>
              <w:t>מדינת ישראל</w:t>
            </w:r>
          </w:p>
        </w:tc>
        <w:tc>
          <w:tcPr>
            <w:tcW w:w="3771" w:type="dxa"/>
            <w:tcBorders>
              <w:top w:val="nil"/>
              <w:left w:val="nil"/>
              <w:bottom w:val="nil"/>
              <w:right w:val="nil"/>
            </w:tcBorders>
            <w:shd w:val="clear" w:color="auto" w:fill="auto"/>
          </w:tcPr>
          <w:p w14:paraId="0AB7AC3A" w14:textId="77777777" w:rsidR="00B14BF0" w:rsidRPr="00101068" w:rsidRDefault="00B14BF0">
            <w:pPr>
              <w:jc w:val="both"/>
              <w:rPr>
                <w:rFonts w:ascii="Arial" w:hAnsi="Arial" w:cs="FrankRuehl"/>
                <w:sz w:val="28"/>
                <w:szCs w:val="28"/>
              </w:rPr>
            </w:pPr>
          </w:p>
        </w:tc>
      </w:tr>
      <w:bookmarkEnd w:id="1"/>
      <w:tr w:rsidR="00B14BF0" w:rsidRPr="00101068" w14:paraId="7F2F271C" w14:textId="77777777">
        <w:trPr>
          <w:trHeight w:val="355"/>
          <w:jc w:val="center"/>
        </w:trPr>
        <w:tc>
          <w:tcPr>
            <w:tcW w:w="923" w:type="dxa"/>
            <w:tcBorders>
              <w:top w:val="nil"/>
              <w:left w:val="nil"/>
              <w:bottom w:val="nil"/>
              <w:right w:val="nil"/>
            </w:tcBorders>
            <w:shd w:val="clear" w:color="auto" w:fill="auto"/>
          </w:tcPr>
          <w:p w14:paraId="79BFCC32" w14:textId="77777777" w:rsidR="00B14BF0" w:rsidRPr="00101068" w:rsidRDefault="00B14BF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E099F76" w14:textId="77777777" w:rsidR="00B14BF0" w:rsidRPr="00101068" w:rsidRDefault="00B14BF0">
            <w:pPr>
              <w:jc w:val="both"/>
              <w:rPr>
                <w:rtl/>
              </w:rPr>
            </w:pPr>
          </w:p>
        </w:tc>
        <w:tc>
          <w:tcPr>
            <w:tcW w:w="3771" w:type="dxa"/>
            <w:tcBorders>
              <w:top w:val="nil"/>
              <w:left w:val="nil"/>
              <w:bottom w:val="nil"/>
              <w:right w:val="nil"/>
            </w:tcBorders>
            <w:shd w:val="clear" w:color="auto" w:fill="auto"/>
          </w:tcPr>
          <w:p w14:paraId="62375119" w14:textId="77777777" w:rsidR="00B14BF0" w:rsidRPr="00101068" w:rsidRDefault="00101068">
            <w:pPr>
              <w:jc w:val="right"/>
              <w:rPr>
                <w:rFonts w:ascii="Arial" w:hAnsi="Arial" w:cs="FrankRuehl"/>
                <w:sz w:val="28"/>
                <w:szCs w:val="28"/>
                <w:rtl/>
              </w:rPr>
            </w:pPr>
            <w:r w:rsidRPr="00101068">
              <w:rPr>
                <w:rFonts w:ascii="Arial" w:hAnsi="Arial" w:cs="FrankRuehl" w:hint="cs"/>
                <w:sz w:val="28"/>
                <w:szCs w:val="28"/>
                <w:rtl/>
              </w:rPr>
              <w:t>ה</w:t>
            </w:r>
            <w:r w:rsidRPr="00101068">
              <w:rPr>
                <w:rFonts w:hint="cs"/>
                <w:rtl/>
              </w:rPr>
              <w:t>מאשימה</w:t>
            </w:r>
          </w:p>
        </w:tc>
      </w:tr>
      <w:tr w:rsidR="00B14BF0" w:rsidRPr="00101068" w14:paraId="62E7D83E" w14:textId="77777777">
        <w:trPr>
          <w:trHeight w:val="355"/>
          <w:jc w:val="center"/>
        </w:trPr>
        <w:tc>
          <w:tcPr>
            <w:tcW w:w="923" w:type="dxa"/>
            <w:tcBorders>
              <w:top w:val="nil"/>
              <w:left w:val="nil"/>
              <w:bottom w:val="nil"/>
              <w:right w:val="nil"/>
            </w:tcBorders>
            <w:shd w:val="clear" w:color="auto" w:fill="auto"/>
          </w:tcPr>
          <w:p w14:paraId="4EFC671D" w14:textId="77777777" w:rsidR="00B14BF0" w:rsidRPr="00101068" w:rsidRDefault="00B14BF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40CACCF" w14:textId="77777777" w:rsidR="00B14BF0" w:rsidRPr="00101068" w:rsidRDefault="00B14BF0">
            <w:pPr>
              <w:jc w:val="center"/>
              <w:rPr>
                <w:rFonts w:ascii="Arial" w:hAnsi="Arial" w:cs="FrankRuehl"/>
                <w:b/>
                <w:bCs/>
                <w:sz w:val="28"/>
                <w:szCs w:val="28"/>
                <w:rtl/>
              </w:rPr>
            </w:pPr>
          </w:p>
          <w:p w14:paraId="354E62E8" w14:textId="77777777" w:rsidR="00B14BF0" w:rsidRPr="00101068" w:rsidRDefault="00101068">
            <w:pPr>
              <w:jc w:val="center"/>
              <w:rPr>
                <w:rFonts w:ascii="Arial" w:hAnsi="Arial" w:cs="FrankRuehl"/>
                <w:b/>
                <w:bCs/>
                <w:sz w:val="28"/>
                <w:szCs w:val="28"/>
                <w:rtl/>
              </w:rPr>
            </w:pPr>
            <w:r w:rsidRPr="00101068">
              <w:rPr>
                <w:rFonts w:ascii="Arial" w:hAnsi="Arial" w:cs="FrankRuehl"/>
                <w:b/>
                <w:bCs/>
                <w:sz w:val="28"/>
                <w:szCs w:val="28"/>
                <w:rtl/>
              </w:rPr>
              <w:t>נגד</w:t>
            </w:r>
          </w:p>
          <w:p w14:paraId="1B3532BA" w14:textId="77777777" w:rsidR="00B14BF0" w:rsidRPr="00101068" w:rsidRDefault="00B14BF0">
            <w:pPr>
              <w:jc w:val="both"/>
              <w:rPr>
                <w:rFonts w:ascii="Arial" w:hAnsi="Arial" w:cs="FrankRuehl"/>
                <w:sz w:val="28"/>
                <w:szCs w:val="28"/>
              </w:rPr>
            </w:pPr>
          </w:p>
        </w:tc>
      </w:tr>
      <w:tr w:rsidR="00B14BF0" w:rsidRPr="00101068" w14:paraId="4A26DC71" w14:textId="77777777">
        <w:trPr>
          <w:trHeight w:val="355"/>
          <w:jc w:val="center"/>
        </w:trPr>
        <w:tc>
          <w:tcPr>
            <w:tcW w:w="923" w:type="dxa"/>
            <w:tcBorders>
              <w:top w:val="nil"/>
              <w:left w:val="nil"/>
              <w:bottom w:val="nil"/>
              <w:right w:val="nil"/>
            </w:tcBorders>
            <w:shd w:val="clear" w:color="auto" w:fill="auto"/>
          </w:tcPr>
          <w:p w14:paraId="735FB815" w14:textId="77777777" w:rsidR="00B14BF0" w:rsidRPr="00101068" w:rsidRDefault="00B14BF0">
            <w:pPr>
              <w:rPr>
                <w:rFonts w:ascii="Arial" w:hAnsi="Arial" w:cs="FrankRuehl"/>
                <w:sz w:val="28"/>
                <w:szCs w:val="28"/>
                <w:rtl/>
              </w:rPr>
            </w:pPr>
          </w:p>
        </w:tc>
        <w:tc>
          <w:tcPr>
            <w:tcW w:w="4126" w:type="dxa"/>
            <w:tcBorders>
              <w:top w:val="nil"/>
              <w:left w:val="nil"/>
              <w:bottom w:val="nil"/>
              <w:right w:val="nil"/>
            </w:tcBorders>
            <w:shd w:val="clear" w:color="auto" w:fill="auto"/>
          </w:tcPr>
          <w:p w14:paraId="3A25FD9B" w14:textId="77777777" w:rsidR="00B14BF0" w:rsidRPr="00101068" w:rsidRDefault="00101068">
            <w:pPr>
              <w:rPr>
                <w:rtl/>
              </w:rPr>
            </w:pPr>
            <w:r w:rsidRPr="00101068">
              <w:rPr>
                <w:rFonts w:hint="cs"/>
                <w:rtl/>
              </w:rPr>
              <w:t>ירון כהן (עציר)</w:t>
            </w:r>
          </w:p>
        </w:tc>
        <w:tc>
          <w:tcPr>
            <w:tcW w:w="3771" w:type="dxa"/>
            <w:tcBorders>
              <w:top w:val="nil"/>
              <w:left w:val="nil"/>
              <w:bottom w:val="nil"/>
              <w:right w:val="nil"/>
            </w:tcBorders>
            <w:shd w:val="clear" w:color="auto" w:fill="auto"/>
          </w:tcPr>
          <w:p w14:paraId="5E7F0670" w14:textId="77777777" w:rsidR="00B14BF0" w:rsidRPr="00101068" w:rsidRDefault="00B14BF0">
            <w:pPr>
              <w:jc w:val="right"/>
              <w:rPr>
                <w:rFonts w:ascii="Arial" w:hAnsi="Arial" w:cs="FrankRuehl"/>
                <w:sz w:val="28"/>
                <w:szCs w:val="28"/>
              </w:rPr>
            </w:pPr>
          </w:p>
        </w:tc>
      </w:tr>
      <w:tr w:rsidR="00B14BF0" w:rsidRPr="00101068" w14:paraId="6230A1A8" w14:textId="77777777">
        <w:trPr>
          <w:trHeight w:val="355"/>
          <w:jc w:val="center"/>
        </w:trPr>
        <w:tc>
          <w:tcPr>
            <w:tcW w:w="923" w:type="dxa"/>
            <w:tcBorders>
              <w:top w:val="nil"/>
              <w:left w:val="nil"/>
              <w:bottom w:val="nil"/>
              <w:right w:val="nil"/>
            </w:tcBorders>
            <w:shd w:val="clear" w:color="auto" w:fill="auto"/>
          </w:tcPr>
          <w:p w14:paraId="4FE3A827" w14:textId="77777777" w:rsidR="00B14BF0" w:rsidRPr="00101068" w:rsidRDefault="00B14BF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BB6B67C" w14:textId="77777777" w:rsidR="00B14BF0" w:rsidRPr="00101068" w:rsidRDefault="00B14BF0">
            <w:pPr>
              <w:jc w:val="both"/>
              <w:rPr>
                <w:rtl/>
              </w:rPr>
            </w:pPr>
          </w:p>
        </w:tc>
        <w:tc>
          <w:tcPr>
            <w:tcW w:w="3771" w:type="dxa"/>
            <w:tcBorders>
              <w:top w:val="nil"/>
              <w:left w:val="nil"/>
              <w:bottom w:val="nil"/>
              <w:right w:val="nil"/>
            </w:tcBorders>
            <w:shd w:val="clear" w:color="auto" w:fill="auto"/>
          </w:tcPr>
          <w:p w14:paraId="5B83967A" w14:textId="77777777" w:rsidR="00B14BF0" w:rsidRPr="00101068" w:rsidRDefault="00101068">
            <w:pPr>
              <w:jc w:val="right"/>
              <w:rPr>
                <w:rFonts w:ascii="Arial" w:hAnsi="Arial" w:cs="FrankRuehl"/>
                <w:sz w:val="28"/>
                <w:szCs w:val="28"/>
              </w:rPr>
            </w:pPr>
            <w:r w:rsidRPr="00101068">
              <w:rPr>
                <w:rFonts w:ascii="Arial" w:hAnsi="Arial" w:cs="FrankRuehl" w:hint="cs"/>
                <w:sz w:val="28"/>
                <w:szCs w:val="28"/>
                <w:rtl/>
              </w:rPr>
              <w:t>ה</w:t>
            </w:r>
            <w:r w:rsidRPr="00101068">
              <w:rPr>
                <w:rFonts w:hint="cs"/>
                <w:rtl/>
              </w:rPr>
              <w:t>נאשמים</w:t>
            </w:r>
          </w:p>
        </w:tc>
      </w:tr>
      <w:tr w:rsidR="00B14BF0" w14:paraId="0D0687B4" w14:textId="77777777">
        <w:trPr>
          <w:trHeight w:val="355"/>
          <w:jc w:val="center"/>
        </w:trPr>
        <w:tc>
          <w:tcPr>
            <w:tcW w:w="8820" w:type="dxa"/>
            <w:gridSpan w:val="3"/>
            <w:tcBorders>
              <w:top w:val="nil"/>
              <w:left w:val="nil"/>
              <w:bottom w:val="nil"/>
              <w:right w:val="nil"/>
            </w:tcBorders>
            <w:shd w:val="clear" w:color="auto" w:fill="auto"/>
          </w:tcPr>
          <w:p w14:paraId="7EB693FA" w14:textId="77777777" w:rsidR="00A06EFA" w:rsidRDefault="00A06EFA" w:rsidP="00101068">
            <w:pPr>
              <w:jc w:val="center"/>
              <w:rPr>
                <w:rFonts w:ascii="Arial" w:hAnsi="Arial" w:cs="FrankRuehl"/>
                <w:sz w:val="32"/>
                <w:szCs w:val="32"/>
                <w:rtl/>
              </w:rPr>
            </w:pPr>
            <w:bookmarkStart w:id="2" w:name="PsakDin" w:colFirst="0" w:colLast="0"/>
            <w:bookmarkStart w:id="3" w:name="LawTable"/>
            <w:bookmarkEnd w:id="0"/>
            <w:bookmarkEnd w:id="3"/>
          </w:p>
          <w:p w14:paraId="3D57D7E1" w14:textId="77777777" w:rsidR="00A06EFA" w:rsidRPr="00A06EFA" w:rsidRDefault="00A06EFA" w:rsidP="00A06EFA">
            <w:pPr>
              <w:spacing w:after="120" w:line="240" w:lineRule="exact"/>
              <w:ind w:left="283" w:hanging="283"/>
              <w:jc w:val="both"/>
              <w:rPr>
                <w:rFonts w:ascii="FrankRuehl" w:hAnsi="FrankRuehl" w:cs="FrankRuehl"/>
                <w:rtl/>
              </w:rPr>
            </w:pPr>
          </w:p>
          <w:p w14:paraId="6E01A887" w14:textId="77777777" w:rsidR="00A06EFA" w:rsidRPr="00A06EFA" w:rsidRDefault="00A06EFA" w:rsidP="00A06EFA">
            <w:pPr>
              <w:spacing w:after="120" w:line="240" w:lineRule="exact"/>
              <w:ind w:left="283" w:hanging="283"/>
              <w:jc w:val="both"/>
              <w:rPr>
                <w:rFonts w:ascii="FrankRuehl" w:hAnsi="FrankRuehl" w:cs="FrankRuehl"/>
                <w:rtl/>
              </w:rPr>
            </w:pPr>
            <w:r w:rsidRPr="00A06EFA">
              <w:rPr>
                <w:rFonts w:ascii="FrankRuehl" w:hAnsi="FrankRuehl" w:cs="FrankRuehl"/>
                <w:rtl/>
              </w:rPr>
              <w:t xml:space="preserve">חקיקה שאוזכרה: </w:t>
            </w:r>
          </w:p>
          <w:p w14:paraId="50AB426C" w14:textId="77777777" w:rsidR="00A06EFA" w:rsidRPr="00A06EFA" w:rsidRDefault="00A06EFA" w:rsidP="00A06EFA">
            <w:pPr>
              <w:spacing w:after="120" w:line="240" w:lineRule="exact"/>
              <w:ind w:left="283" w:hanging="283"/>
              <w:jc w:val="both"/>
              <w:rPr>
                <w:rFonts w:ascii="FrankRuehl" w:hAnsi="FrankRuehl" w:cs="FrankRuehl"/>
                <w:rtl/>
              </w:rPr>
            </w:pPr>
            <w:hyperlink r:id="rId7" w:history="1">
              <w:r w:rsidRPr="00A06EFA">
                <w:rPr>
                  <w:rFonts w:ascii="FrankRuehl" w:hAnsi="FrankRuehl" w:cs="FrankRuehl"/>
                  <w:color w:val="0000FF"/>
                  <w:u w:val="single"/>
                  <w:rtl/>
                </w:rPr>
                <w:t>חוק העונשין, תשל"ז-1977</w:t>
              </w:r>
            </w:hyperlink>
            <w:r w:rsidRPr="00A06EFA">
              <w:rPr>
                <w:rFonts w:ascii="FrankRuehl" w:hAnsi="FrankRuehl" w:cs="FrankRuehl"/>
                <w:rtl/>
              </w:rPr>
              <w:t xml:space="preserve">: סע'  </w:t>
            </w:r>
            <w:hyperlink r:id="rId8" w:history="1">
              <w:r w:rsidRPr="00A06EFA">
                <w:rPr>
                  <w:rFonts w:ascii="FrankRuehl" w:hAnsi="FrankRuehl" w:cs="FrankRuehl"/>
                  <w:color w:val="0000FF"/>
                  <w:u w:val="single"/>
                  <w:rtl/>
                </w:rPr>
                <w:t>58</w:t>
              </w:r>
            </w:hyperlink>
          </w:p>
          <w:p w14:paraId="551FFAFB" w14:textId="77777777" w:rsidR="00A06EFA" w:rsidRPr="00A06EFA" w:rsidRDefault="00A06EFA" w:rsidP="00A06EFA">
            <w:pPr>
              <w:spacing w:after="120" w:line="240" w:lineRule="exact"/>
              <w:ind w:left="283" w:hanging="283"/>
              <w:jc w:val="both"/>
              <w:rPr>
                <w:rFonts w:ascii="FrankRuehl" w:hAnsi="FrankRuehl" w:cs="FrankRuehl"/>
                <w:rtl/>
              </w:rPr>
            </w:pPr>
            <w:hyperlink r:id="rId9" w:history="1">
              <w:r w:rsidRPr="00A06EFA">
                <w:rPr>
                  <w:rFonts w:ascii="FrankRuehl" w:hAnsi="FrankRuehl" w:cs="FrankRuehl"/>
                  <w:color w:val="0000FF"/>
                  <w:u w:val="single"/>
                  <w:rtl/>
                </w:rPr>
                <w:t>פקודת הסמים המסוכנים [נוסח חדש], תשל"ג-1973</w:t>
              </w:r>
            </w:hyperlink>
          </w:p>
          <w:p w14:paraId="46EC4F8B" w14:textId="77777777" w:rsidR="00A06EFA" w:rsidRPr="00A06EFA" w:rsidRDefault="00A06EFA" w:rsidP="00A06EFA">
            <w:pPr>
              <w:spacing w:after="120" w:line="240" w:lineRule="exact"/>
              <w:ind w:left="283" w:hanging="283"/>
              <w:jc w:val="both"/>
              <w:rPr>
                <w:rFonts w:ascii="FrankRuehl" w:hAnsi="FrankRuehl" w:cs="FrankRuehl"/>
                <w:rtl/>
              </w:rPr>
            </w:pPr>
          </w:p>
          <w:p w14:paraId="72B45199" w14:textId="77777777" w:rsidR="00A06EFA" w:rsidRPr="00A06EFA" w:rsidRDefault="00A06EFA" w:rsidP="00101068">
            <w:pPr>
              <w:jc w:val="center"/>
              <w:rPr>
                <w:rFonts w:ascii="Arial" w:hAnsi="Arial" w:cs="FrankRuehl"/>
                <w:sz w:val="32"/>
                <w:szCs w:val="32"/>
                <w:rtl/>
              </w:rPr>
            </w:pPr>
            <w:bookmarkStart w:id="4" w:name="LawTable_End"/>
            <w:bookmarkEnd w:id="4"/>
          </w:p>
          <w:p w14:paraId="0AAB4D13" w14:textId="77777777" w:rsidR="00101068" w:rsidRPr="00101068" w:rsidRDefault="00101068" w:rsidP="00101068">
            <w:pPr>
              <w:jc w:val="center"/>
              <w:rPr>
                <w:rFonts w:ascii="Arial" w:hAnsi="Arial" w:cs="FrankRuehl"/>
                <w:b/>
                <w:bCs/>
                <w:sz w:val="32"/>
                <w:szCs w:val="32"/>
                <w:u w:val="single"/>
                <w:rtl/>
              </w:rPr>
            </w:pPr>
            <w:r w:rsidRPr="00101068">
              <w:rPr>
                <w:rFonts w:ascii="Arial" w:hAnsi="Arial" w:cs="FrankRuehl"/>
                <w:b/>
                <w:bCs/>
                <w:sz w:val="32"/>
                <w:szCs w:val="32"/>
                <w:u w:val="single"/>
                <w:rtl/>
              </w:rPr>
              <w:t>גזר דין</w:t>
            </w:r>
          </w:p>
          <w:p w14:paraId="68B89A5B" w14:textId="77777777" w:rsidR="00B14BF0" w:rsidRPr="00101068" w:rsidRDefault="00B14BF0" w:rsidP="00101068">
            <w:pPr>
              <w:jc w:val="center"/>
              <w:rPr>
                <w:rFonts w:ascii="Arial" w:hAnsi="Arial" w:cs="FrankRuehl"/>
                <w:bCs/>
                <w:sz w:val="32"/>
                <w:szCs w:val="32"/>
                <w:u w:val="single"/>
                <w:rtl/>
              </w:rPr>
            </w:pPr>
          </w:p>
        </w:tc>
      </w:tr>
      <w:bookmarkEnd w:id="2"/>
    </w:tbl>
    <w:p w14:paraId="4E90B46B" w14:textId="77777777" w:rsidR="00B14BF0" w:rsidRDefault="00B14BF0">
      <w:pPr>
        <w:rPr>
          <w:rFonts w:ascii="Arial" w:hAnsi="Arial"/>
          <w:rtl/>
        </w:rPr>
      </w:pPr>
    </w:p>
    <w:p w14:paraId="20665746" w14:textId="77777777" w:rsidR="00B14BF0" w:rsidRDefault="00B14BF0">
      <w:pPr>
        <w:rPr>
          <w:rFonts w:ascii="Arial" w:hAnsi="Arial"/>
          <w:rtl/>
        </w:rPr>
      </w:pPr>
    </w:p>
    <w:p w14:paraId="112EC936" w14:textId="77777777" w:rsidR="00B14BF0" w:rsidRDefault="00B14BF0">
      <w:pPr>
        <w:rPr>
          <w:rtl/>
        </w:rPr>
      </w:pPr>
    </w:p>
    <w:p w14:paraId="4AE9D99C" w14:textId="77777777" w:rsidR="00B14BF0" w:rsidRDefault="00101068">
      <w:pPr>
        <w:pStyle w:val="ListParagraph"/>
        <w:numPr>
          <w:ilvl w:val="0"/>
          <w:numId w:val="1"/>
        </w:numPr>
        <w:spacing w:line="360" w:lineRule="auto"/>
        <w:ind w:hanging="720"/>
        <w:jc w:val="both"/>
      </w:pPr>
      <w:bookmarkStart w:id="5" w:name="ABSTRACT_START"/>
      <w:bookmarkEnd w:id="5"/>
      <w:r>
        <w:rPr>
          <w:rFonts w:hint="cs"/>
          <w:rtl/>
        </w:rPr>
        <w:t>הנאשם הורשע, לאחר שמיעת ראיות, בהחזקת סם מסוכן מסוג קוקאין במשקל 1.3482 גרם שלא לצריכה עצמית. על פי הכרעת הדין, ביום 3.8.15, החזיק הנאשם את הסם כשהוא מוסלק מחוץ לדלת הכניסה לביתו ברחוב משה דיין בירושלים.</w:t>
      </w:r>
    </w:p>
    <w:p w14:paraId="084E09F8" w14:textId="77777777" w:rsidR="00B14BF0" w:rsidRDefault="00B14BF0">
      <w:pPr>
        <w:pStyle w:val="ListParagraph"/>
        <w:spacing w:line="360" w:lineRule="auto"/>
        <w:jc w:val="both"/>
      </w:pPr>
      <w:bookmarkStart w:id="6" w:name="ABSTRACT_END"/>
      <w:bookmarkEnd w:id="6"/>
    </w:p>
    <w:p w14:paraId="34E12FD5" w14:textId="77777777" w:rsidR="00B14BF0" w:rsidRDefault="00101068">
      <w:pPr>
        <w:pStyle w:val="ListParagraph"/>
        <w:numPr>
          <w:ilvl w:val="0"/>
          <w:numId w:val="1"/>
        </w:numPr>
        <w:spacing w:line="360" w:lineRule="auto"/>
        <w:ind w:hanging="720"/>
        <w:jc w:val="both"/>
      </w:pPr>
      <w:r>
        <w:rPr>
          <w:rFonts w:hint="cs"/>
          <w:rtl/>
        </w:rPr>
        <w:t xml:space="preserve">המאשימה טענה כי יש לקבוע בעניינו של הנאשם מתחם עונש הולם שבין  תשעה לשמונה - עשר חודשי מאסר בפועל, זאת לאחר שהדגישה את סוג הסם, כמותו והפנתה לפסיקה המתאימה, לדעתה, לנסיבות. עוד טענה המאשימה כי לנוכח עברו הפלילי של הנאשם הכולל 13 הרשעות קודמות בעבירות רכוש, סמים ואלימות ולעובדה כי ריצה עונשי מאסר ממושכים וכי תלוי ועומד נגדו מאסר מותנה בן 6 חודשים, וכן לנוכח העובדה כי לא לקח אחריות על מעשיו, יש לגזור על הנאשם עונש ברף בינוני-עליון של המתחם וביקשה להטיל </w:t>
      </w:r>
      <w:r>
        <w:rPr>
          <w:rFonts w:hint="cs"/>
          <w:rtl/>
        </w:rPr>
        <w:lastRenderedPageBreak/>
        <w:t xml:space="preserve">עליו 16 חודשי מאסר בפועל וכן להפעיל במצטבר עונש של 6 חודשי מאסר מותנים, ולגזור על הנאשם מאסר על תנאי, פסילה בפועל מלהחזיק ולקבל רישיון נהיגה ופסילה על תנאי. </w:t>
      </w:r>
    </w:p>
    <w:p w14:paraId="3DF4D5D2" w14:textId="77777777" w:rsidR="00B14BF0" w:rsidRDefault="00B14BF0">
      <w:pPr>
        <w:pStyle w:val="ListParagraph"/>
        <w:spacing w:line="360" w:lineRule="auto"/>
        <w:jc w:val="both"/>
      </w:pPr>
    </w:p>
    <w:p w14:paraId="74BBB227" w14:textId="77777777" w:rsidR="00B14BF0" w:rsidRDefault="00101068">
      <w:pPr>
        <w:pStyle w:val="ListParagraph"/>
        <w:numPr>
          <w:ilvl w:val="0"/>
          <w:numId w:val="1"/>
        </w:numPr>
        <w:spacing w:line="360" w:lineRule="auto"/>
        <w:ind w:hanging="720"/>
        <w:jc w:val="both"/>
      </w:pPr>
      <w:r>
        <w:rPr>
          <w:rFonts w:hint="cs"/>
          <w:rtl/>
        </w:rPr>
        <w:t xml:space="preserve">ב"כ הנאשם לא חלק על קיומו של מאסר מותנה שתלוי ועומד נגד הנאשם וטען כי אין מקום לזקוף לחובת הנאשם את העובדה שניהל הוכחות. עוד טען ב"כ הנאשם, כי מדובר בכמות מזערית של סם ולו היה הנאשם מודה בהחזקתו, היה הדבר נחשב לו כהחזקה לצריכה עצמית. ב"כ הנאשם הזכיר כי הנאשם היה עצור בגין תיק זה בראשית הדרך וכן נעצר שוב עד תום ההליכים לאחר ששוחרר, משהתקבל גילוי </w:t>
      </w:r>
      <w:r>
        <w:rPr>
          <w:rFonts w:hint="cs"/>
        </w:rPr>
        <w:t>DNA</w:t>
      </w:r>
      <w:r>
        <w:rPr>
          <w:rFonts w:hint="cs"/>
          <w:rtl/>
        </w:rPr>
        <w:t xml:space="preserve"> שלו על הסמים. עוד טען ב"כ הנאשם, כי בעת שהותו של הנאשם בבית הסוהר הוא היה נתון בבידוד, עובדה שהקשתה עליו את המעצר וכי הגם ששוחרר רק לאחרונה ממאסר בתיק אחר, החל לעבוד בצורה מסודרת ואף הציג אישור על עבודה זו. נטען, כי בשנים האחרונות הנאשם עלה על דרך הישר וחיכה לשחרורו ממאסר כדי לשקם את חייו. עוד נטען בדבר מצבו הרפואי של הנאשם, הסובל מבעיות ברכיים וזקוק לניתוח. בנוסף נטען, כי ההחזקה של הסמים אינה בעלת מאפיינים של סחר, הסם בכמות מזערית והוחזק ללא חלוקה למנות. ב"כ הנאשם תמך אף הוא טענותיו בפסיקה מטעמו, והגיש גזרי דין שבהם נגזרו עונשי מאסר מותנים, מאסר על תנאי ומאסר בעבודות שירות. ב"כ הנאשם ביקש להאריך את עונש המאסר המותנה שנגזר על הנאשם תוך  שקילת העובדה כי הנאשם למעשה שהה במעצר השקול לעונש מאסר. בהקשר זה נטען, כי מדובר בעונש מאסר על תנאי שהוטל לפני כשש שנים והעבירה התבצעה סמוך ממש לסיום תקופת התנאי. לחלופין, ביקש ב"כ הנאשם כי אם יופעל התנאי, הדבר ייעשה שלא במסגרת מאסר בפועל אלא בדרך של עבודות שירות. </w:t>
      </w:r>
    </w:p>
    <w:p w14:paraId="5FAE6C57" w14:textId="77777777" w:rsidR="00B14BF0" w:rsidRDefault="00B14BF0">
      <w:pPr>
        <w:pStyle w:val="ListParagraph"/>
        <w:spacing w:line="360" w:lineRule="auto"/>
        <w:jc w:val="both"/>
      </w:pPr>
    </w:p>
    <w:p w14:paraId="417F2E48" w14:textId="77777777" w:rsidR="00B14BF0" w:rsidRDefault="00101068">
      <w:pPr>
        <w:pStyle w:val="ListParagraph"/>
        <w:numPr>
          <w:ilvl w:val="0"/>
          <w:numId w:val="1"/>
        </w:numPr>
        <w:spacing w:line="360" w:lineRule="auto"/>
        <w:ind w:hanging="720"/>
        <w:jc w:val="both"/>
      </w:pPr>
      <w:r>
        <w:rPr>
          <w:rFonts w:hint="cs"/>
          <w:rtl/>
        </w:rPr>
        <w:t>הנאשם בדברו האחרון אמר כי הוא משוחרר כבר שלושה שבועות ממאסר וערך שינוי בחייו, החל לעבוד והוא מעוניין להמשיך בשינוי.</w:t>
      </w:r>
    </w:p>
    <w:p w14:paraId="471F507B" w14:textId="77777777" w:rsidR="00B14BF0" w:rsidRDefault="00B14BF0">
      <w:pPr>
        <w:spacing w:line="360" w:lineRule="auto"/>
        <w:jc w:val="both"/>
        <w:rPr>
          <w:b/>
          <w:bCs/>
          <w:rtl/>
        </w:rPr>
      </w:pPr>
    </w:p>
    <w:p w14:paraId="175F4DBC" w14:textId="77777777" w:rsidR="00B14BF0" w:rsidRDefault="00B14BF0">
      <w:pPr>
        <w:spacing w:line="360" w:lineRule="auto"/>
        <w:jc w:val="both"/>
        <w:rPr>
          <w:b/>
          <w:bCs/>
          <w:rtl/>
        </w:rPr>
      </w:pPr>
    </w:p>
    <w:p w14:paraId="3E35F0FA" w14:textId="77777777" w:rsidR="00B14BF0" w:rsidRDefault="00101068">
      <w:pPr>
        <w:spacing w:line="360" w:lineRule="auto"/>
        <w:jc w:val="both"/>
      </w:pPr>
      <w:r>
        <w:rPr>
          <w:rFonts w:hint="cs"/>
          <w:b/>
          <w:bCs/>
          <w:rtl/>
        </w:rPr>
        <w:t>מתחם העונש ההולם</w:t>
      </w:r>
    </w:p>
    <w:p w14:paraId="366A6BD5" w14:textId="77777777" w:rsidR="00B14BF0" w:rsidRDefault="00101068">
      <w:pPr>
        <w:pStyle w:val="ListParagraph"/>
        <w:numPr>
          <w:ilvl w:val="0"/>
          <w:numId w:val="1"/>
        </w:numPr>
        <w:spacing w:line="360" w:lineRule="auto"/>
        <w:ind w:hanging="720"/>
        <w:jc w:val="both"/>
      </w:pPr>
      <w:r>
        <w:rPr>
          <w:rFonts w:hint="cs"/>
          <w:rtl/>
        </w:rPr>
        <w:t xml:space="preserve">הערך המוגן בעבירות סמים הוא הגנה על הציבור מפני הנזקים החברתיים הישירים והעקיפים הנגרמים כתוצאה משימוש בסמים מסוכנים, לרבות ביצוע עבירות נלוות על ידי אותם משתמשים בסמים, כדי לממן את צריכת הסם. השימוש בסמים אינו פוגע רק פגיעה פיזית ונפשית במשתמש עצמו אלא גם בבני משפחתו, בסביבתו הקרובה, ולבסוף גם בחברה כולה. סמים המוחזקים שלא לצריכה עצמית מקימים חשש כבד להפצתם. </w:t>
      </w:r>
    </w:p>
    <w:p w14:paraId="2BB78905" w14:textId="77777777" w:rsidR="00B14BF0" w:rsidRDefault="00B14BF0">
      <w:pPr>
        <w:pStyle w:val="ListParagraph"/>
        <w:spacing w:line="360" w:lineRule="auto"/>
        <w:jc w:val="both"/>
      </w:pPr>
    </w:p>
    <w:p w14:paraId="3B1058F6" w14:textId="77777777" w:rsidR="00B14BF0" w:rsidRDefault="00101068">
      <w:pPr>
        <w:pStyle w:val="ListParagraph"/>
        <w:numPr>
          <w:ilvl w:val="0"/>
          <w:numId w:val="1"/>
        </w:numPr>
        <w:spacing w:line="360" w:lineRule="auto"/>
        <w:ind w:hanging="720"/>
        <w:jc w:val="both"/>
      </w:pPr>
      <w:r>
        <w:rPr>
          <w:rFonts w:hint="cs"/>
          <w:rtl/>
        </w:rPr>
        <w:t xml:space="preserve">בקביעת מתחם העונש ההולם מצאתי להתחשב בסוג הסם וכמותו- מדובר בסם מסוכן מסוג קוקאין הנחשב כ"סם קשה", שפגיעתו רבה. הכמות שהחזיק הנאשם אמנם אינה </w:t>
      </w:r>
      <w:r>
        <w:rPr>
          <w:rFonts w:hint="cs"/>
          <w:rtl/>
        </w:rPr>
        <w:lastRenderedPageBreak/>
        <w:t>כמות גדולה, אך מגיעה כדי פי ארבע מהכמות המקימה חזקה על פי החוק לפיה אין מדובר בסם שנועד לצריכה עצמית בלבד. הנאשם הורשע בעבירה של החזקת הסם שלא לצריכה עצמית בלבד, ועל כן לא ראיתי לקבל את טענת הסניגור בכל הנוגע לתרחיש תאורטי שבו הנאשם היה מודה בהחזקת הסם לצריכתו העצמית בלבד.</w:t>
      </w:r>
    </w:p>
    <w:p w14:paraId="7D31AE87" w14:textId="77777777" w:rsidR="00B14BF0" w:rsidRDefault="00B14BF0">
      <w:pPr>
        <w:pStyle w:val="ListParagraph"/>
        <w:spacing w:line="360" w:lineRule="auto"/>
        <w:jc w:val="both"/>
      </w:pPr>
    </w:p>
    <w:p w14:paraId="76017716" w14:textId="77777777" w:rsidR="00B14BF0" w:rsidRDefault="00101068">
      <w:pPr>
        <w:pStyle w:val="ListParagraph"/>
        <w:numPr>
          <w:ilvl w:val="0"/>
          <w:numId w:val="1"/>
        </w:numPr>
        <w:spacing w:line="360" w:lineRule="auto"/>
        <w:ind w:hanging="720"/>
        <w:jc w:val="both"/>
      </w:pPr>
      <w:r>
        <w:rPr>
          <w:rFonts w:hint="cs"/>
          <w:rtl/>
        </w:rPr>
        <w:t>עוד יש לשקול במסגרת קביעת מתחם העונש ההולם את האופן שבו הוסלקו הסמים בתוך שתי אריזות ובמקום מחבוא המאפשר לנאשם לטעון כי הסמים אינם שייכים לו, המלמד על תכנון ומחשבה שקדמו לביצוע העבירה.</w:t>
      </w:r>
    </w:p>
    <w:p w14:paraId="3142858C" w14:textId="77777777" w:rsidR="00B14BF0" w:rsidRDefault="00101068">
      <w:pPr>
        <w:pStyle w:val="ListParagraph"/>
        <w:numPr>
          <w:ilvl w:val="0"/>
          <w:numId w:val="1"/>
        </w:numPr>
        <w:spacing w:line="360" w:lineRule="auto"/>
        <w:ind w:hanging="720"/>
        <w:jc w:val="both"/>
      </w:pPr>
      <w:r>
        <w:rPr>
          <w:rFonts w:hint="cs"/>
          <w:rtl/>
        </w:rPr>
        <w:t xml:space="preserve">הנזק שיכול היה להיגרם כתוצאה מביצוע העבירה בשים לב לטיב הסמים וכמותם, הוא נזק גדול של פגיעה במספר משתמשים, כמו גם חשיפת בני ביתו של הנאשם לסמים, אם כי בסופו של יום הסמים נתפסו והפצתם לאחרים נמנעה. </w:t>
      </w:r>
    </w:p>
    <w:p w14:paraId="600A1DC1" w14:textId="77777777" w:rsidR="00B14BF0" w:rsidRDefault="00B14BF0">
      <w:pPr>
        <w:pStyle w:val="ListParagraph"/>
        <w:spacing w:line="360" w:lineRule="auto"/>
        <w:jc w:val="both"/>
      </w:pPr>
    </w:p>
    <w:p w14:paraId="7F246367" w14:textId="77777777" w:rsidR="00B14BF0" w:rsidRDefault="00101068">
      <w:pPr>
        <w:pStyle w:val="ListParagraph"/>
        <w:numPr>
          <w:ilvl w:val="0"/>
          <w:numId w:val="1"/>
        </w:numPr>
        <w:spacing w:line="360" w:lineRule="auto"/>
        <w:ind w:hanging="720"/>
        <w:jc w:val="both"/>
      </w:pPr>
      <w:r>
        <w:rPr>
          <w:rFonts w:hint="cs"/>
          <w:rtl/>
        </w:rPr>
        <w:t xml:space="preserve">מצאתי את הפסיקה שלהלן כרלבנטית לקביעת המתחם: </w:t>
      </w:r>
      <w:hyperlink r:id="rId10" w:history="1">
        <w:r w:rsidRPr="00101068">
          <w:rPr>
            <w:color w:val="0000FF"/>
            <w:u w:val="single"/>
            <w:rtl/>
          </w:rPr>
          <w:t>רע"פ 747/14</w:t>
        </w:r>
      </w:hyperlink>
      <w:r>
        <w:rPr>
          <w:rFonts w:hint="cs"/>
          <w:rtl/>
        </w:rPr>
        <w:t xml:space="preserve"> </w:t>
      </w:r>
      <w:r>
        <w:rPr>
          <w:rFonts w:hint="cs"/>
          <w:b/>
          <w:bCs/>
          <w:rtl/>
        </w:rPr>
        <w:t>אלי לוי נ' מדינת ישראל</w:t>
      </w:r>
      <w:r>
        <w:rPr>
          <w:rFonts w:hint="cs"/>
          <w:rtl/>
        </w:rPr>
        <w:t xml:space="preserve"> [פורסם בנבו 11.2.14] בו נדחתה בקשת רשות ערעור של נאשם שהורשע בהחזקת 5 גרם הרואין שלא לצריכה עצמית ובהחזקת 0.09 גרם קוקאין לצריכה עצמית וכן בהחזקה של כחצי גרם הרואין לצריכה עצמית לשמונה חודשי מאסר בפועל ועונשים נלווים, זאת לאחר שנשקלו בעניינו שיקולי שיקום; </w:t>
      </w:r>
      <w:hyperlink r:id="rId11" w:history="1">
        <w:r w:rsidR="00A06EFA" w:rsidRPr="00A06EFA">
          <w:rPr>
            <w:color w:val="0000FF"/>
            <w:u w:val="single"/>
            <w:rtl/>
          </w:rPr>
          <w:t xml:space="preserve">עפ"ג (חיפה)  4757-09-12 </w:t>
        </w:r>
      </w:hyperlink>
      <w:r>
        <w:t xml:space="preserve"> </w:t>
      </w:r>
      <w:r>
        <w:rPr>
          <w:b/>
          <w:bCs/>
          <w:rtl/>
        </w:rPr>
        <w:t>דהן</w:t>
      </w:r>
      <w:r>
        <w:rPr>
          <w:rFonts w:hint="cs"/>
          <w:b/>
          <w:bCs/>
          <w:rtl/>
        </w:rPr>
        <w:t xml:space="preserve"> נ' מ</w:t>
      </w:r>
      <w:r>
        <w:rPr>
          <w:b/>
          <w:bCs/>
          <w:rtl/>
        </w:rPr>
        <w:t>דינת</w:t>
      </w:r>
      <w:r>
        <w:rPr>
          <w:b/>
          <w:bCs/>
        </w:rPr>
        <w:t xml:space="preserve"> </w:t>
      </w:r>
      <w:r>
        <w:rPr>
          <w:b/>
          <w:bCs/>
          <w:rtl/>
        </w:rPr>
        <w:t>ישראל</w:t>
      </w:r>
      <w:r>
        <w:rPr>
          <w:rFonts w:hint="cs"/>
          <w:rtl/>
        </w:rPr>
        <w:t xml:space="preserve"> (21.3.13), בו נ</w:t>
      </w:r>
      <w:r>
        <w:rPr>
          <w:rtl/>
        </w:rPr>
        <w:t>דחה</w:t>
      </w:r>
      <w:r>
        <w:t xml:space="preserve"> </w:t>
      </w:r>
      <w:r>
        <w:rPr>
          <w:rtl/>
        </w:rPr>
        <w:t>ערעורו</w:t>
      </w:r>
      <w:r>
        <w:t xml:space="preserve"> </w:t>
      </w:r>
      <w:r>
        <w:rPr>
          <w:rtl/>
        </w:rPr>
        <w:t>של</w:t>
      </w:r>
      <w:r>
        <w:t xml:space="preserve"> </w:t>
      </w:r>
      <w:r>
        <w:rPr>
          <w:rtl/>
        </w:rPr>
        <w:t>נאשם</w:t>
      </w:r>
      <w:r>
        <w:t xml:space="preserve"> </w:t>
      </w:r>
      <w:r>
        <w:rPr>
          <w:rtl/>
        </w:rPr>
        <w:t>אשר</w:t>
      </w:r>
      <w:r>
        <w:t xml:space="preserve"> </w:t>
      </w:r>
      <w:r>
        <w:rPr>
          <w:rtl/>
        </w:rPr>
        <w:t>הורשע</w:t>
      </w:r>
      <w:r>
        <w:t xml:space="preserve"> </w:t>
      </w:r>
      <w:r>
        <w:rPr>
          <w:rtl/>
        </w:rPr>
        <w:t>ב</w:t>
      </w:r>
      <w:r>
        <w:rPr>
          <w:rFonts w:hint="cs"/>
          <w:rtl/>
        </w:rPr>
        <w:t>החזקת כ-3 גרם קוקאין שלא לשימוש עצמי ו</w:t>
      </w:r>
      <w:r>
        <w:rPr>
          <w:rtl/>
        </w:rPr>
        <w:t>נדון</w:t>
      </w:r>
      <w:r>
        <w:t xml:space="preserve"> </w:t>
      </w:r>
      <w:r>
        <w:rPr>
          <w:rtl/>
        </w:rPr>
        <w:t>ל</w:t>
      </w:r>
      <w:r>
        <w:rPr>
          <w:rFonts w:hint="cs"/>
          <w:rtl/>
        </w:rPr>
        <w:t xml:space="preserve">שנים-עשר </w:t>
      </w:r>
      <w:r>
        <w:rPr>
          <w:rtl/>
        </w:rPr>
        <w:t>חודשי</w:t>
      </w:r>
      <w:r>
        <w:t xml:space="preserve"> </w:t>
      </w:r>
      <w:r>
        <w:rPr>
          <w:rtl/>
        </w:rPr>
        <w:t>מאסר</w:t>
      </w:r>
      <w:r>
        <w:t xml:space="preserve"> </w:t>
      </w:r>
      <w:r>
        <w:rPr>
          <w:rtl/>
        </w:rPr>
        <w:t>בפוע</w:t>
      </w:r>
      <w:r>
        <w:rPr>
          <w:rFonts w:hint="cs"/>
          <w:rtl/>
        </w:rPr>
        <w:t>ל ול</w:t>
      </w:r>
      <w:r>
        <w:rPr>
          <w:rtl/>
        </w:rPr>
        <w:t>עונשים</w:t>
      </w:r>
      <w:r>
        <w:t xml:space="preserve"> </w:t>
      </w:r>
      <w:r>
        <w:rPr>
          <w:rtl/>
        </w:rPr>
        <w:t>נלוו</w:t>
      </w:r>
      <w:r>
        <w:rPr>
          <w:rFonts w:hint="cs"/>
          <w:rtl/>
        </w:rPr>
        <w:t xml:space="preserve">ים; </w:t>
      </w:r>
      <w:r>
        <w:t xml:space="preserve"> </w:t>
      </w:r>
      <w:hyperlink r:id="rId12" w:history="1">
        <w:r w:rsidRPr="00101068">
          <w:rPr>
            <w:color w:val="0000FF"/>
            <w:u w:val="single"/>
            <w:rtl/>
          </w:rPr>
          <w:t>ת"פ (כפר סבא)  2265-02-11</w:t>
        </w:r>
      </w:hyperlink>
      <w:r>
        <w:t xml:space="preserve"> </w:t>
      </w:r>
      <w:r>
        <w:rPr>
          <w:b/>
          <w:bCs/>
          <w:rtl/>
        </w:rPr>
        <w:t>מדינת</w:t>
      </w:r>
      <w:r>
        <w:rPr>
          <w:b/>
          <w:bCs/>
        </w:rPr>
        <w:t xml:space="preserve"> </w:t>
      </w:r>
      <w:r>
        <w:rPr>
          <w:b/>
          <w:bCs/>
          <w:rtl/>
        </w:rPr>
        <w:t>ישראל</w:t>
      </w:r>
      <w:r>
        <w:rPr>
          <w:b/>
          <w:bCs/>
        </w:rPr>
        <w:t xml:space="preserve"> </w:t>
      </w:r>
      <w:r>
        <w:rPr>
          <w:b/>
          <w:bCs/>
          <w:rtl/>
        </w:rPr>
        <w:t>נ</w:t>
      </w:r>
      <w:r>
        <w:rPr>
          <w:rFonts w:hint="cs"/>
          <w:b/>
          <w:bCs/>
          <w:rtl/>
        </w:rPr>
        <w:t xml:space="preserve">' </w:t>
      </w:r>
      <w:r>
        <w:rPr>
          <w:b/>
          <w:bCs/>
          <w:rtl/>
        </w:rPr>
        <w:t>הנייה</w:t>
      </w:r>
      <w:r>
        <w:rPr>
          <w:rFonts w:hint="cs"/>
          <w:rtl/>
        </w:rPr>
        <w:t xml:space="preserve"> [פורסם בנבו 28.6.11], בו נגזרו על נאשם שהורשע בעבירות כניסה לישראל שלא כדין והחזקת 11.2 גרם הרואין חמישה- עשר </w:t>
      </w:r>
      <w:r>
        <w:t xml:space="preserve"> </w:t>
      </w:r>
      <w:r>
        <w:rPr>
          <w:rtl/>
        </w:rPr>
        <w:t>חודשי</w:t>
      </w:r>
      <w:r>
        <w:t xml:space="preserve"> </w:t>
      </w:r>
      <w:r>
        <w:rPr>
          <w:rtl/>
        </w:rPr>
        <w:t>מאסר</w:t>
      </w:r>
      <w:r>
        <w:t xml:space="preserve"> </w:t>
      </w:r>
      <w:r>
        <w:rPr>
          <w:rtl/>
        </w:rPr>
        <w:t>בפועל</w:t>
      </w:r>
      <w:r>
        <w:t xml:space="preserve"> </w:t>
      </w:r>
      <w:r>
        <w:rPr>
          <w:rtl/>
        </w:rPr>
        <w:t>ועונשים</w:t>
      </w:r>
      <w:r>
        <w:t xml:space="preserve"> </w:t>
      </w:r>
      <w:r>
        <w:rPr>
          <w:rtl/>
        </w:rPr>
        <w:t>נלווים</w:t>
      </w:r>
      <w:r>
        <w:rPr>
          <w:rFonts w:hint="cs"/>
          <w:rtl/>
        </w:rPr>
        <w:t xml:space="preserve">; </w:t>
      </w:r>
      <w:hyperlink r:id="rId13" w:history="1">
        <w:r w:rsidRPr="00101068">
          <w:rPr>
            <w:color w:val="0000FF"/>
            <w:u w:val="single"/>
            <w:rtl/>
          </w:rPr>
          <w:t>ת"פ (תל אביב)  22464-07-12</w:t>
        </w:r>
      </w:hyperlink>
      <w:r>
        <w:rPr>
          <w:rFonts w:hint="cs"/>
          <w:rtl/>
        </w:rPr>
        <w:t xml:space="preserve"> </w:t>
      </w:r>
      <w:r>
        <w:rPr>
          <w:b/>
          <w:bCs/>
          <w:rtl/>
        </w:rPr>
        <w:t>מדינת</w:t>
      </w:r>
      <w:r>
        <w:rPr>
          <w:b/>
          <w:bCs/>
        </w:rPr>
        <w:t xml:space="preserve"> </w:t>
      </w:r>
      <w:r>
        <w:rPr>
          <w:b/>
          <w:bCs/>
          <w:rtl/>
        </w:rPr>
        <w:t>ישראל</w:t>
      </w:r>
      <w:r>
        <w:rPr>
          <w:rFonts w:hint="cs"/>
          <w:b/>
          <w:bCs/>
          <w:rtl/>
        </w:rPr>
        <w:t xml:space="preserve"> נ' </w:t>
      </w:r>
      <w:r>
        <w:rPr>
          <w:b/>
          <w:bCs/>
          <w:rtl/>
        </w:rPr>
        <w:t>חמדאן</w:t>
      </w:r>
      <w:r>
        <w:rPr>
          <w:rFonts w:hint="cs"/>
          <w:rtl/>
        </w:rPr>
        <w:t xml:space="preserve"> [פורסם בנבו 5.3.14] בו נגזרו על נאשם צעיר ללא עבר פלילי ש</w:t>
      </w:r>
      <w:r>
        <w:rPr>
          <w:rtl/>
        </w:rPr>
        <w:t>הורשע</w:t>
      </w:r>
      <w:r>
        <w:t xml:space="preserve"> </w:t>
      </w:r>
      <w:r>
        <w:rPr>
          <w:rtl/>
        </w:rPr>
        <w:t>בהחזקת</w:t>
      </w:r>
      <w:r>
        <w:t xml:space="preserve"> </w:t>
      </w:r>
      <w:r>
        <w:rPr>
          <w:rtl/>
        </w:rPr>
        <w:t>סם</w:t>
      </w:r>
      <w:r>
        <w:t xml:space="preserve"> </w:t>
      </w:r>
      <w:r>
        <w:rPr>
          <w:rtl/>
        </w:rPr>
        <w:t>מסוג</w:t>
      </w:r>
      <w:r>
        <w:t xml:space="preserve"> </w:t>
      </w:r>
      <w:r>
        <w:rPr>
          <w:rtl/>
        </w:rPr>
        <w:t>קוקאין</w:t>
      </w:r>
      <w:r>
        <w:t xml:space="preserve"> </w:t>
      </w:r>
      <w:r>
        <w:rPr>
          <w:rtl/>
        </w:rPr>
        <w:t>במשקל</w:t>
      </w:r>
      <w:r>
        <w:rPr>
          <w:rFonts w:hint="cs"/>
          <w:rtl/>
        </w:rPr>
        <w:t xml:space="preserve"> של כ- </w:t>
      </w:r>
      <w:r>
        <w:t xml:space="preserve"> 5.2 </w:t>
      </w:r>
      <w:r>
        <w:rPr>
          <w:rtl/>
        </w:rPr>
        <w:t>גרם</w:t>
      </w:r>
      <w:r>
        <w:rPr>
          <w:rFonts w:hint="cs"/>
          <w:rtl/>
        </w:rPr>
        <w:t xml:space="preserve">, שמונה </w:t>
      </w:r>
      <w:r>
        <w:rPr>
          <w:rtl/>
        </w:rPr>
        <w:t>חודשי</w:t>
      </w:r>
      <w:r>
        <w:t xml:space="preserve"> </w:t>
      </w:r>
      <w:r>
        <w:rPr>
          <w:rtl/>
        </w:rPr>
        <w:t>מאסר</w:t>
      </w:r>
      <w:r>
        <w:t xml:space="preserve"> </w:t>
      </w:r>
      <w:r>
        <w:rPr>
          <w:rFonts w:hint="cs"/>
          <w:rtl/>
        </w:rPr>
        <w:t xml:space="preserve">בפועל </w:t>
      </w:r>
      <w:r>
        <w:rPr>
          <w:rtl/>
        </w:rPr>
        <w:t>ועונשים</w:t>
      </w:r>
      <w:r>
        <w:t xml:space="preserve"> </w:t>
      </w:r>
      <w:r>
        <w:rPr>
          <w:rtl/>
        </w:rPr>
        <w:t>נלווי</w:t>
      </w:r>
      <w:r>
        <w:rPr>
          <w:rFonts w:hint="cs"/>
          <w:rtl/>
        </w:rPr>
        <w:t xml:space="preserve">ם; </w:t>
      </w:r>
      <w:hyperlink r:id="rId14" w:history="1">
        <w:r w:rsidRPr="00101068">
          <w:rPr>
            <w:color w:val="0000FF"/>
            <w:u w:val="single"/>
            <w:rtl/>
          </w:rPr>
          <w:t>ת"פ (תל- אביב) 18793-08-09</w:t>
        </w:r>
      </w:hyperlink>
      <w:r>
        <w:rPr>
          <w:rFonts w:hint="cs"/>
          <w:rtl/>
        </w:rPr>
        <w:t xml:space="preserve"> </w:t>
      </w:r>
      <w:r>
        <w:rPr>
          <w:rFonts w:hint="cs"/>
          <w:b/>
          <w:bCs/>
          <w:rtl/>
        </w:rPr>
        <w:t xml:space="preserve">מדינת ישראל נ' ממן ואח' </w:t>
      </w:r>
      <w:r>
        <w:rPr>
          <w:rFonts w:hint="cs"/>
          <w:rtl/>
        </w:rPr>
        <w:t>[פורסם בנבו 19.7.11] בו נגזרו על נאשם 2, בעל עבר פלילי קודם, שהחזיק יחד עם אחרים בביתו סם מסוג קוקאין במשקל של כ- 1.4 גרם</w:t>
      </w:r>
      <w:r>
        <w:t xml:space="preserve"> </w:t>
      </w:r>
      <w:r>
        <w:rPr>
          <w:rFonts w:hint="cs"/>
          <w:rtl/>
        </w:rPr>
        <w:t xml:space="preserve">, ארבעה חודשי מאסר בפועל, בחופף למאסר אותו ריצה. </w:t>
      </w:r>
    </w:p>
    <w:p w14:paraId="32067502" w14:textId="77777777" w:rsidR="00B14BF0" w:rsidRDefault="00101068">
      <w:pPr>
        <w:pStyle w:val="ListParagraph"/>
        <w:spacing w:line="360" w:lineRule="auto"/>
        <w:jc w:val="both"/>
      </w:pPr>
      <w:r>
        <w:rPr>
          <w:rFonts w:hint="cs"/>
          <w:rtl/>
        </w:rPr>
        <w:t xml:space="preserve">במקרים שאינם שגרתיים ומשיקולי שיקום, הוטלו עונשי מאסר בעבודות שירות ושירות לתועלת הציבור. </w:t>
      </w:r>
    </w:p>
    <w:p w14:paraId="3CC39AAE" w14:textId="77777777" w:rsidR="00B14BF0" w:rsidRDefault="00B14BF0">
      <w:pPr>
        <w:pStyle w:val="ListParagraph"/>
        <w:spacing w:line="360" w:lineRule="auto"/>
        <w:jc w:val="both"/>
      </w:pPr>
    </w:p>
    <w:p w14:paraId="3711CD98" w14:textId="77777777" w:rsidR="00B14BF0" w:rsidRDefault="00101068">
      <w:pPr>
        <w:pStyle w:val="ListParagraph"/>
        <w:numPr>
          <w:ilvl w:val="0"/>
          <w:numId w:val="1"/>
        </w:numPr>
        <w:spacing w:line="360" w:lineRule="auto"/>
        <w:ind w:hanging="720"/>
        <w:jc w:val="both"/>
        <w:rPr>
          <w:b/>
          <w:bCs/>
          <w:rtl/>
        </w:rPr>
      </w:pPr>
      <w:r>
        <w:rPr>
          <w:rFonts w:hint="cs"/>
          <w:rtl/>
        </w:rPr>
        <w:t xml:space="preserve">לנוכח האמור לעיל, אני סבורה כי מתחם העונש ההולם לעבירה שבה הורשע הנאשם, תוך שימת לב לכמות הסם והשוואתה לזו שנידונה בפסקי הדין שנזכרו מתחיל במאסר בפועל בן חודשים ספורים ומסתיים ב- 8 חודשי מאסר בפועל, ולצדם עונשים נלווים של מאסר מותנה וקנס. מתחם הקנס מתחיל בהימנעות מהטלתו ומגיע כדי אלפי שקלים בודדים. </w:t>
      </w:r>
    </w:p>
    <w:p w14:paraId="41090587" w14:textId="77777777" w:rsidR="00B14BF0" w:rsidRDefault="00B14BF0">
      <w:pPr>
        <w:spacing w:line="360" w:lineRule="auto"/>
        <w:jc w:val="both"/>
        <w:rPr>
          <w:b/>
          <w:bCs/>
          <w:rtl/>
        </w:rPr>
      </w:pPr>
    </w:p>
    <w:p w14:paraId="1225E68F" w14:textId="77777777" w:rsidR="00B14BF0" w:rsidRDefault="00101068">
      <w:pPr>
        <w:spacing w:line="360" w:lineRule="auto"/>
        <w:jc w:val="both"/>
      </w:pPr>
      <w:r>
        <w:rPr>
          <w:rFonts w:hint="cs"/>
          <w:b/>
          <w:bCs/>
          <w:rtl/>
        </w:rPr>
        <w:t>קביעת העונש בתוך המתחם</w:t>
      </w:r>
    </w:p>
    <w:p w14:paraId="530ABF9C" w14:textId="77777777" w:rsidR="00B14BF0" w:rsidRDefault="00101068">
      <w:pPr>
        <w:pStyle w:val="ListParagraph"/>
        <w:numPr>
          <w:ilvl w:val="0"/>
          <w:numId w:val="1"/>
        </w:numPr>
        <w:spacing w:line="360" w:lineRule="auto"/>
        <w:ind w:hanging="720"/>
        <w:jc w:val="both"/>
      </w:pPr>
      <w:r>
        <w:rPr>
          <w:rFonts w:hint="cs"/>
          <w:rtl/>
        </w:rPr>
        <w:t xml:space="preserve">הנאשם בן 48. בעברו 13 הרשעות קודמות בעבירות אלימות, רכוש, מרמה וסמים, לרבות עבירות סחר בסמים. </w:t>
      </w:r>
    </w:p>
    <w:p w14:paraId="5E659E55" w14:textId="77777777" w:rsidR="00B14BF0" w:rsidRDefault="00B14BF0">
      <w:pPr>
        <w:pStyle w:val="ListParagraph"/>
        <w:spacing w:line="360" w:lineRule="auto"/>
        <w:jc w:val="both"/>
      </w:pPr>
    </w:p>
    <w:p w14:paraId="7B781AD6" w14:textId="77777777" w:rsidR="00B14BF0" w:rsidRDefault="00101068">
      <w:pPr>
        <w:pStyle w:val="ListParagraph"/>
        <w:numPr>
          <w:ilvl w:val="0"/>
          <w:numId w:val="1"/>
        </w:numPr>
        <w:spacing w:line="360" w:lineRule="auto"/>
        <w:ind w:hanging="720"/>
        <w:jc w:val="both"/>
      </w:pPr>
      <w:r>
        <w:rPr>
          <w:rFonts w:hint="cs"/>
          <w:rtl/>
        </w:rPr>
        <w:t>ביום 21.9.10, נגזר דינו של הנאשם בבית משפט השלום בירושלים בגין עבירות סחר בסמים. על הנאשם הוטלו 36 חודשי מאסר בפועל, הופעל במצטבר עונש מאסר מותנה בן 12 חודשים, וכן נגזרו עליו ששה חודשי מאסר על תנאי שהם בני הפעלה בתיק הנוכחי. מתוך גזר הדין באותו התיק עולה כי הנאשם ניהל אורח חיים התמכרותי ועברייני, וכי בית המשפט לא התרשם שמדובר במי שבאמת ובתמים מבקש להשתקם ולהעלות על דרך חדשה המאמצת אורח חיים נורמטיבי.</w:t>
      </w:r>
    </w:p>
    <w:p w14:paraId="49AA7C87" w14:textId="77777777" w:rsidR="00B14BF0" w:rsidRDefault="00B14BF0">
      <w:pPr>
        <w:pStyle w:val="ListParagraph"/>
        <w:spacing w:line="360" w:lineRule="auto"/>
        <w:jc w:val="both"/>
      </w:pPr>
    </w:p>
    <w:p w14:paraId="2C781964" w14:textId="77777777" w:rsidR="00B14BF0" w:rsidRDefault="00101068">
      <w:pPr>
        <w:pStyle w:val="ListParagraph"/>
        <w:numPr>
          <w:ilvl w:val="0"/>
          <w:numId w:val="1"/>
        </w:numPr>
        <w:spacing w:line="360" w:lineRule="auto"/>
        <w:ind w:hanging="720"/>
        <w:jc w:val="both"/>
      </w:pPr>
      <w:r>
        <w:rPr>
          <w:rFonts w:hint="cs"/>
          <w:rtl/>
        </w:rPr>
        <w:t xml:space="preserve">הנאשם הצהיר במסגרת הטיעונים לעונש כי בכוונתו לשנות כיוון בחייו ולעלות על דרך הישר. הצהרה דומה נשמעה מפיו כבר בשנת 2010, ואולם הצהרה זו לא מומשה, שעה שלפני חודשים ספורים הורשע הנאשם בעבירות חמורות אחרות, שאמנם אינן עבירות סמים, אך הן עבירות שיש בהן משום התרסה בוטה כנגד רשויות אכיפת החוק. ספק רב בעיני האם הצהרתו של הנאשם כיום על רצונו בשיקום מלווה בכוונה של ממש לקיימה. מכל מקום, מובן כי פרק זמן קצר של שבועות ספורים מאז שחרורו של הנאשם ממאסר, שבו הנאשם עבד בעבודה מסודרת, אין בו כדי ללמד על שיקום שכזה. משכך, אף, לא סברתי כי ניתן ללמוד גזירה שווה מחלקם הגדול של פסקי הדין שהוגשו במסגרת טיעוני ההגנה לעונש, ואשר מתייחסים לנאשמים שהיו מצויים בשלבים כאלה ואחרים של שיקום, לאחר שנטלו אחריות על מעשיהם. </w:t>
      </w:r>
    </w:p>
    <w:p w14:paraId="1672DCB5" w14:textId="77777777" w:rsidR="00B14BF0" w:rsidRDefault="00B14BF0">
      <w:pPr>
        <w:pStyle w:val="ListParagraph"/>
        <w:spacing w:line="360" w:lineRule="auto"/>
        <w:jc w:val="both"/>
      </w:pPr>
    </w:p>
    <w:p w14:paraId="4F89DB41" w14:textId="77777777" w:rsidR="00B14BF0" w:rsidRDefault="00101068">
      <w:pPr>
        <w:pStyle w:val="ListParagraph"/>
        <w:numPr>
          <w:ilvl w:val="0"/>
          <w:numId w:val="1"/>
        </w:numPr>
        <w:spacing w:line="360" w:lineRule="auto"/>
        <w:ind w:hanging="720"/>
        <w:jc w:val="both"/>
      </w:pPr>
      <w:r>
        <w:rPr>
          <w:rFonts w:hint="cs"/>
          <w:rtl/>
        </w:rPr>
        <w:t xml:space="preserve">עונש המאסר המותנה שהוטל על הנאשם הוטל, אמנם,  זה מכבר, לפני כשש שנים, ואולם, יש לזכור כי את מרבית התקופה שחלפה מאז הוטל המאסר המותנה, עשה הנאשם כשהוא נתון בכלא. משכך, העובדה כי חלף פרק זמן משמעותי עד לביצוע עבירת סמים נוספת, אינה בעלת משקל ממשי. מנגד, העובדה כי העונש המותנה הוטל בגין עבירות חמורות של סחר בסמים, וכעת עותרת התביעה להפעלתו בגין עבירה אחת של החזקת סמים שלא לצריכה עצמית, היא בעלת משקל, אם כי אין בכך כדי להצדיק מסקנה לפיה אין מקום להפעלתו של המאסר המותנה. לא מצאתי טעם המצדיק חריגה מן הכלל הקבוע </w:t>
      </w:r>
      <w:hyperlink r:id="rId15" w:history="1">
        <w:r w:rsidR="009A3EBE" w:rsidRPr="009A3EBE">
          <w:rPr>
            <w:color w:val="0000FF"/>
            <w:u w:val="single"/>
            <w:rtl/>
          </w:rPr>
          <w:t>בסעיף 58</w:t>
        </w:r>
      </w:hyperlink>
      <w:r>
        <w:rPr>
          <w:rFonts w:hint="cs"/>
          <w:rtl/>
        </w:rPr>
        <w:t xml:space="preserve"> ל</w:t>
      </w:r>
      <w:hyperlink r:id="rId16" w:history="1">
        <w:r w:rsidRPr="00101068">
          <w:rPr>
            <w:color w:val="0000FF"/>
            <w:u w:val="single"/>
            <w:rtl/>
          </w:rPr>
          <w:t>חוק העונשין</w:t>
        </w:r>
      </w:hyperlink>
      <w:r>
        <w:rPr>
          <w:rFonts w:hint="cs"/>
          <w:rtl/>
        </w:rPr>
        <w:t xml:space="preserve"> התשל"ז- 1977 לפיו יש להפעיל עונש מאסר מותנה במצטבר לעונש שייגזר בתיק זה. </w:t>
      </w:r>
    </w:p>
    <w:p w14:paraId="76AD1BBC" w14:textId="77777777" w:rsidR="00B14BF0" w:rsidRDefault="00B14BF0">
      <w:pPr>
        <w:pStyle w:val="ListParagraph"/>
        <w:spacing w:line="360" w:lineRule="auto"/>
        <w:jc w:val="both"/>
      </w:pPr>
    </w:p>
    <w:p w14:paraId="6A0DF44E" w14:textId="77777777" w:rsidR="00B14BF0" w:rsidRDefault="00101068">
      <w:pPr>
        <w:pStyle w:val="ListParagraph"/>
        <w:numPr>
          <w:ilvl w:val="0"/>
          <w:numId w:val="1"/>
        </w:numPr>
        <w:spacing w:line="360" w:lineRule="auto"/>
        <w:ind w:hanging="720"/>
        <w:jc w:val="both"/>
      </w:pPr>
      <w:r>
        <w:rPr>
          <w:rFonts w:hint="cs"/>
          <w:rtl/>
        </w:rPr>
        <w:t xml:space="preserve">העובדה כי הנאשם ריצה עונשי מאסר ארוכים, בין היתר בגין עבירות סמים וכי גם עונשי מאסר מותנים לתקופות לא מבוטלות, לא הרתיעו אותו מלשוב ולבצע עבירת סמים נוספת, מהווה נסיבה לחומרה. כישלון ההרתעה מקים חשש כי הנאשם ישוב לבצע עבירות ועל כן יש לשקול גם היבטים נחוצים של הגנה על הציבור מפני ביצוע עבירות נוספות על ידי הנאשם, אם כי באלה, אין בנסיבות התיק הנוכחי, כדי להצדיק חריגה ממתחם העונש ההולם. </w:t>
      </w:r>
    </w:p>
    <w:p w14:paraId="34623BAA" w14:textId="77777777" w:rsidR="00B14BF0" w:rsidRDefault="00B14BF0">
      <w:pPr>
        <w:pStyle w:val="ListParagraph"/>
        <w:spacing w:line="360" w:lineRule="auto"/>
        <w:jc w:val="both"/>
      </w:pPr>
    </w:p>
    <w:p w14:paraId="3797AEBE" w14:textId="77777777" w:rsidR="00B14BF0" w:rsidRDefault="00101068">
      <w:pPr>
        <w:pStyle w:val="ListParagraph"/>
        <w:numPr>
          <w:ilvl w:val="0"/>
          <w:numId w:val="1"/>
        </w:numPr>
        <w:spacing w:line="360" w:lineRule="auto"/>
        <w:ind w:hanging="720"/>
        <w:jc w:val="both"/>
      </w:pPr>
      <w:r>
        <w:rPr>
          <w:rFonts w:hint="cs"/>
          <w:rtl/>
        </w:rPr>
        <w:t xml:space="preserve">מובן כי זכותו של הנאשם לעמוד על הוכחת האישום נגדו, ומובן כי עובדה זו אינה יכולה להיזקף לחובתו. עם זאת, העובדה כי הנאשם לא נטל אחריות על המעשה גם לאחר הכרעת הדין, מלמדת כי הנאשם לא הפנים את הפסול שבמעשים. אני סבורה כי שלב ראשון והכרחי בדרך לשיקום ויציאה לחיים נורמטיביים, הוא קבלת אחריות על מעשים פסולים שנעשו בעבר. </w:t>
      </w:r>
    </w:p>
    <w:p w14:paraId="51177B86" w14:textId="77777777" w:rsidR="00B14BF0" w:rsidRDefault="00B14BF0">
      <w:pPr>
        <w:pStyle w:val="ListParagraph"/>
        <w:spacing w:line="360" w:lineRule="auto"/>
        <w:jc w:val="both"/>
      </w:pPr>
    </w:p>
    <w:p w14:paraId="0CEAAEFB" w14:textId="77777777" w:rsidR="00B14BF0" w:rsidRDefault="00101068">
      <w:pPr>
        <w:pStyle w:val="ListParagraph"/>
        <w:numPr>
          <w:ilvl w:val="0"/>
          <w:numId w:val="1"/>
        </w:numPr>
        <w:spacing w:line="360" w:lineRule="auto"/>
        <w:ind w:hanging="720"/>
        <w:jc w:val="both"/>
      </w:pPr>
      <w:r>
        <w:rPr>
          <w:rFonts w:hint="cs"/>
          <w:rtl/>
        </w:rPr>
        <w:t xml:space="preserve">נתתי דעתי לטענות בדבר מצבו הרפואי של הנאשם, העובדה כי התחיל לעבוד מיד עם שחרורו ממאסר קודם ושקלתי לקולא גם את תנאי כליאתו של הנאשם בבידוד, שעה שהיה במעצר עד תום ההליכים בתיק זה. </w:t>
      </w:r>
    </w:p>
    <w:p w14:paraId="22478ADC" w14:textId="77777777" w:rsidR="00B14BF0" w:rsidRDefault="00B14BF0">
      <w:pPr>
        <w:pStyle w:val="ListParagraph"/>
        <w:spacing w:line="360" w:lineRule="auto"/>
        <w:jc w:val="both"/>
      </w:pPr>
    </w:p>
    <w:p w14:paraId="2DA6CBD3" w14:textId="77777777" w:rsidR="00B14BF0" w:rsidRDefault="00101068">
      <w:pPr>
        <w:pStyle w:val="ListParagraph"/>
        <w:numPr>
          <w:ilvl w:val="0"/>
          <w:numId w:val="1"/>
        </w:numPr>
        <w:spacing w:line="360" w:lineRule="auto"/>
        <w:ind w:hanging="720"/>
        <w:jc w:val="both"/>
      </w:pPr>
      <w:r>
        <w:rPr>
          <w:rFonts w:hint="cs"/>
          <w:rtl/>
        </w:rPr>
        <w:t xml:space="preserve">לנוכח מכלול השיקולים שנמנו, אני סבורה כי יש למקם את הנאשם בחלקו הבינוני- עליון של מתחם הענישה. </w:t>
      </w:r>
    </w:p>
    <w:p w14:paraId="72E63671" w14:textId="77777777" w:rsidR="00B14BF0" w:rsidRDefault="00B14BF0">
      <w:pPr>
        <w:spacing w:line="360" w:lineRule="auto"/>
        <w:jc w:val="both"/>
        <w:rPr>
          <w:b/>
          <w:bCs/>
          <w:rtl/>
        </w:rPr>
      </w:pPr>
    </w:p>
    <w:p w14:paraId="04C37043" w14:textId="77777777" w:rsidR="00B14BF0" w:rsidRDefault="00101068">
      <w:pPr>
        <w:spacing w:line="360" w:lineRule="auto"/>
        <w:jc w:val="both"/>
      </w:pPr>
      <w:r>
        <w:rPr>
          <w:rFonts w:hint="cs"/>
          <w:b/>
          <w:bCs/>
          <w:rtl/>
        </w:rPr>
        <w:t xml:space="preserve">ניכוי ימי המעצר </w:t>
      </w:r>
    </w:p>
    <w:p w14:paraId="58B65A55" w14:textId="77777777" w:rsidR="00B14BF0" w:rsidRDefault="00101068">
      <w:pPr>
        <w:pStyle w:val="ListParagraph"/>
        <w:numPr>
          <w:ilvl w:val="0"/>
          <w:numId w:val="1"/>
        </w:numPr>
        <w:spacing w:line="360" w:lineRule="auto"/>
        <w:ind w:hanging="720"/>
        <w:jc w:val="both"/>
      </w:pPr>
      <w:r>
        <w:rPr>
          <w:rFonts w:hint="cs"/>
          <w:rtl/>
        </w:rPr>
        <w:t xml:space="preserve">הנאשם שהה במעצר בגין תיק זה מיום 3.8.15 ועד יום 7.8.15. הנאשם שוחרר ממעצר בשלב הראשוני של החקירה וזו הוסיפה להתקדם עד שהתגלה </w:t>
      </w:r>
      <w:r>
        <w:rPr>
          <w:rFonts w:hint="cs"/>
        </w:rPr>
        <w:t>DNA</w:t>
      </w:r>
      <w:r>
        <w:rPr>
          <w:rFonts w:hint="cs"/>
          <w:rtl/>
        </w:rPr>
        <w:t xml:space="preserve"> של הנאשם על אריזות הסמים. באותו זמן היה הנאשם עצור בתיק אחר (ת"פ 30588-10-15; להלן: "התיק האחר"),  שבו נגזר דינו ביום 18.4.16. ביום 25.2.16 התבקש מעצרו של הנאשם עד תום ההליכים בתיק זה. במועד זה נעצר הנאשם עד החלטה אחרת, וביום 21.4.16, נעצר עד תום ההליכים. ביום 5.5.16, שוחרר הנאשם על ידי כב' השופטת מאק- קלמנוביץ' לחלופת מעצר במשמורת שב"ס, וזאת בשל העובדה כי היה אסיר בתיק אחר. במסגרת חלופת המעצר, נאסר על הנאשם לצאת לחופשות. ביום 18.8.16, שלושה ימים לפני שחרורו של הנאשם מהמאסר בתיק האחר, הסכימו הצדדים כי מרגע שחרורו ממאסר ישונו תנאי השחרור בתיק זה, כך שעל הנאשם יחולו הערבויות והעירבון הכספי שנחתמו והופקדו בתיק להבטחת התייצבותו להמשך משפטו ולריצוי עונשו. מכאן, שהנאשם היה במעצר בתיק זה למשך 4 ימים בחודש אוגוסט 2015 וכן מיום 25.2.16 ועד ליום 5.5.16. תקופת הזמן השנייה, בת חודשיים ו-11 ימים היא תקופה שבה היה עצור הנאשם עד תום ההליכים, ולאחר מכן אסיר, בתיק האחר. עונש המאסר שהוטל על הנאשם בתיק האחר כולל את ימי מעצרו. </w:t>
      </w:r>
    </w:p>
    <w:p w14:paraId="66B45E38" w14:textId="77777777" w:rsidR="00B14BF0" w:rsidRDefault="00B14BF0">
      <w:pPr>
        <w:pStyle w:val="ListParagraph"/>
        <w:spacing w:line="360" w:lineRule="auto"/>
        <w:jc w:val="both"/>
      </w:pPr>
    </w:p>
    <w:p w14:paraId="308F8766" w14:textId="77777777" w:rsidR="00B14BF0" w:rsidRDefault="00101068">
      <w:pPr>
        <w:pStyle w:val="ListParagraph"/>
        <w:numPr>
          <w:ilvl w:val="0"/>
          <w:numId w:val="1"/>
        </w:numPr>
        <w:spacing w:line="360" w:lineRule="auto"/>
        <w:ind w:hanging="720"/>
        <w:jc w:val="both"/>
      </w:pPr>
      <w:r>
        <w:rPr>
          <w:rFonts w:hint="cs"/>
          <w:rtl/>
        </w:rPr>
        <w:t xml:space="preserve">בהתאם לפסיקת בית המשפט העליון, על דרך הכלל אין מקום לאפשר "ניכוי כפול" של ימי המעצר (ראו </w:t>
      </w:r>
      <w:hyperlink r:id="rId17" w:history="1">
        <w:r w:rsidRPr="00101068">
          <w:rPr>
            <w:color w:val="0000FF"/>
            <w:u w:val="single"/>
            <w:rtl/>
          </w:rPr>
          <w:t>רע"פ 1020/09</w:t>
        </w:r>
      </w:hyperlink>
      <w:r>
        <w:rPr>
          <w:rFonts w:hint="cs"/>
          <w:rtl/>
        </w:rPr>
        <w:t xml:space="preserve"> </w:t>
      </w:r>
      <w:r>
        <w:rPr>
          <w:rFonts w:hint="cs"/>
          <w:b/>
          <w:bCs/>
          <w:rtl/>
        </w:rPr>
        <w:t xml:space="preserve"> אברהם זיתון נ' מדינת ישראל </w:t>
      </w:r>
      <w:r>
        <w:rPr>
          <w:rFonts w:hint="cs"/>
          <w:rtl/>
        </w:rPr>
        <w:t xml:space="preserve">[פורסם בנבו 18.2.09] וכן </w:t>
      </w:r>
      <w:hyperlink r:id="rId18" w:history="1">
        <w:r w:rsidRPr="00101068">
          <w:rPr>
            <w:color w:val="0000FF"/>
            <w:u w:val="single"/>
            <w:rtl/>
          </w:rPr>
          <w:t>ע"פ 1552/15</w:t>
        </w:r>
      </w:hyperlink>
      <w:r>
        <w:rPr>
          <w:rFonts w:hint="cs"/>
          <w:rtl/>
        </w:rPr>
        <w:t xml:space="preserve"> </w:t>
      </w:r>
      <w:r>
        <w:rPr>
          <w:rFonts w:hint="cs"/>
          <w:b/>
          <w:bCs/>
          <w:rtl/>
        </w:rPr>
        <w:t xml:space="preserve">יקיר גואל נ' מדינת ישראל </w:t>
      </w:r>
      <w:r>
        <w:rPr>
          <w:rFonts w:hint="cs"/>
          <w:rtl/>
        </w:rPr>
        <w:t xml:space="preserve">[פורסם בנבו 4.6.15]. לא מצאתי בעניינו של הנאשם נסיבות המצדיקות סטייה מכלל זה. לנוכח האמור יש לנכות מהעונש שיוטל על הנאשם רק את ימי מעצרו מיום  3.8.15 ועד יום  7.8.15. </w:t>
      </w:r>
    </w:p>
    <w:p w14:paraId="0D4A33F7" w14:textId="77777777" w:rsidR="00B14BF0" w:rsidRDefault="00B14BF0">
      <w:pPr>
        <w:pStyle w:val="ListParagraph"/>
        <w:spacing w:line="360" w:lineRule="auto"/>
        <w:jc w:val="both"/>
      </w:pPr>
    </w:p>
    <w:p w14:paraId="72B85163" w14:textId="77777777" w:rsidR="00B14BF0" w:rsidRDefault="00101068">
      <w:pPr>
        <w:pStyle w:val="ListParagraph"/>
        <w:numPr>
          <w:ilvl w:val="0"/>
          <w:numId w:val="1"/>
        </w:numPr>
        <w:spacing w:line="360" w:lineRule="auto"/>
        <w:ind w:hanging="720"/>
        <w:jc w:val="both"/>
      </w:pPr>
      <w:r>
        <w:rPr>
          <w:rFonts w:hint="cs"/>
          <w:rtl/>
        </w:rPr>
        <w:t>אני גוזרת על הנאשם את העונשים הבאים:</w:t>
      </w:r>
    </w:p>
    <w:p w14:paraId="241727D2" w14:textId="77777777" w:rsidR="00B14BF0" w:rsidRDefault="00101068">
      <w:pPr>
        <w:pStyle w:val="ListParagraph"/>
        <w:numPr>
          <w:ilvl w:val="0"/>
          <w:numId w:val="2"/>
        </w:numPr>
        <w:spacing w:line="360" w:lineRule="auto"/>
        <w:jc w:val="both"/>
      </w:pPr>
      <w:r>
        <w:rPr>
          <w:rFonts w:hint="cs"/>
          <w:rtl/>
        </w:rPr>
        <w:t>חמישה חודשי מאסר בפועל.</w:t>
      </w:r>
    </w:p>
    <w:p w14:paraId="275F69A6" w14:textId="77777777" w:rsidR="00B14BF0" w:rsidRDefault="00B14BF0">
      <w:pPr>
        <w:pStyle w:val="ListParagraph"/>
        <w:spacing w:line="360" w:lineRule="auto"/>
        <w:ind w:left="1496"/>
        <w:jc w:val="both"/>
      </w:pPr>
    </w:p>
    <w:p w14:paraId="1264CE4A" w14:textId="77777777" w:rsidR="00B14BF0" w:rsidRDefault="00101068" w:rsidP="00A06EFA">
      <w:pPr>
        <w:pStyle w:val="ListParagraph"/>
        <w:numPr>
          <w:ilvl w:val="0"/>
          <w:numId w:val="2"/>
        </w:numPr>
        <w:spacing w:line="360" w:lineRule="auto"/>
        <w:jc w:val="both"/>
      </w:pPr>
      <w:r>
        <w:rPr>
          <w:rFonts w:hint="cs"/>
          <w:rtl/>
        </w:rPr>
        <w:t>הפעלת עונש המאסר המותנה בן שישה חודשים שהוטל על הנאשם ב</w:t>
      </w:r>
      <w:hyperlink r:id="rId19" w:history="1">
        <w:r w:rsidR="00A06EFA" w:rsidRPr="00A06EFA">
          <w:rPr>
            <w:color w:val="0000FF"/>
            <w:u w:val="single"/>
            <w:rtl/>
          </w:rPr>
          <w:t xml:space="preserve">ת.פ. 1002-10 </w:t>
        </w:r>
      </w:hyperlink>
      <w:r>
        <w:rPr>
          <w:rFonts w:hint="cs"/>
          <w:rtl/>
        </w:rPr>
        <w:t xml:space="preserve"> של בית משפט השלום בירושלים, במצטבר לעונש שהוטל בתיק זה. הנאשם ירצה בסך הכל עונש של 11 חודשי מאסר בפועל.  </w:t>
      </w:r>
    </w:p>
    <w:p w14:paraId="404A9D36" w14:textId="77777777" w:rsidR="00B14BF0" w:rsidRDefault="00B14BF0">
      <w:pPr>
        <w:pStyle w:val="ListParagraph"/>
        <w:spacing w:line="360" w:lineRule="auto"/>
        <w:ind w:left="1496"/>
        <w:jc w:val="both"/>
      </w:pPr>
    </w:p>
    <w:p w14:paraId="097E0087" w14:textId="77777777" w:rsidR="00B14BF0" w:rsidRDefault="00101068">
      <w:pPr>
        <w:pStyle w:val="ListParagraph"/>
        <w:numPr>
          <w:ilvl w:val="0"/>
          <w:numId w:val="2"/>
        </w:numPr>
        <w:spacing w:line="360" w:lineRule="auto"/>
        <w:jc w:val="both"/>
      </w:pPr>
      <w:r>
        <w:rPr>
          <w:rFonts w:hint="cs"/>
          <w:rtl/>
        </w:rPr>
        <w:t xml:space="preserve">שישה חודשי מאסר על תנאי למשך 3 שנים מיום שחרורו של הנאשם ממאסר, שלא יעבור עבירה לפי </w:t>
      </w:r>
      <w:hyperlink r:id="rId20" w:history="1">
        <w:r w:rsidRPr="00101068">
          <w:rPr>
            <w:color w:val="0000FF"/>
            <w:u w:val="single"/>
            <w:rtl/>
          </w:rPr>
          <w:t>פקודת הסמים המסוכנים</w:t>
        </w:r>
      </w:hyperlink>
      <w:r>
        <w:rPr>
          <w:rFonts w:hint="cs"/>
          <w:rtl/>
        </w:rPr>
        <w:t xml:space="preserve"> למעט החזקת סמים לצריכה עצמית וכלים. </w:t>
      </w:r>
    </w:p>
    <w:p w14:paraId="41E701B3" w14:textId="77777777" w:rsidR="00B14BF0" w:rsidRDefault="00B14BF0">
      <w:pPr>
        <w:pStyle w:val="ListParagraph"/>
        <w:spacing w:line="360" w:lineRule="auto"/>
        <w:ind w:left="1496"/>
        <w:jc w:val="both"/>
      </w:pPr>
    </w:p>
    <w:p w14:paraId="563914E1" w14:textId="77777777" w:rsidR="00B14BF0" w:rsidRDefault="00101068">
      <w:pPr>
        <w:pStyle w:val="ListParagraph"/>
        <w:numPr>
          <w:ilvl w:val="0"/>
          <w:numId w:val="2"/>
        </w:numPr>
        <w:spacing w:line="360" w:lineRule="auto"/>
        <w:jc w:val="both"/>
      </w:pPr>
      <w:r>
        <w:rPr>
          <w:rFonts w:hint="cs"/>
          <w:rtl/>
        </w:rPr>
        <w:t xml:space="preserve">שלושה חודשי מאסר על תנאי למשך 3 שנים מיום שחרורו של הנאשם ממאסר, שלא יעבור עבירה של החזקת סמים לצריכה עצמית וכלים. </w:t>
      </w:r>
    </w:p>
    <w:p w14:paraId="66E2E84F" w14:textId="77777777" w:rsidR="00B14BF0" w:rsidRDefault="00B14BF0">
      <w:pPr>
        <w:pStyle w:val="ListParagraph"/>
        <w:spacing w:line="360" w:lineRule="auto"/>
        <w:ind w:left="1496"/>
        <w:jc w:val="both"/>
      </w:pPr>
    </w:p>
    <w:p w14:paraId="29F7001C" w14:textId="77777777" w:rsidR="00B14BF0" w:rsidRDefault="00101068">
      <w:pPr>
        <w:pStyle w:val="ListParagraph"/>
        <w:numPr>
          <w:ilvl w:val="0"/>
          <w:numId w:val="2"/>
        </w:numPr>
        <w:spacing w:line="360" w:lineRule="auto"/>
        <w:jc w:val="both"/>
      </w:pPr>
      <w:r>
        <w:rPr>
          <w:rFonts w:hint="cs"/>
          <w:rtl/>
        </w:rPr>
        <w:t xml:space="preserve">קנס בסך 2,000 שקלים או חודש מאסר תמורתו. הקנס ישולם עד ליום 1.2.17. </w:t>
      </w:r>
    </w:p>
    <w:p w14:paraId="03CBEABF" w14:textId="77777777" w:rsidR="00B14BF0" w:rsidRDefault="00B14BF0">
      <w:pPr>
        <w:pStyle w:val="ListParagraph"/>
        <w:spacing w:line="360" w:lineRule="auto"/>
        <w:ind w:left="1496"/>
        <w:jc w:val="both"/>
      </w:pPr>
    </w:p>
    <w:p w14:paraId="40F95A2F" w14:textId="77777777" w:rsidR="00B14BF0" w:rsidRDefault="00101068">
      <w:pPr>
        <w:pStyle w:val="ListParagraph"/>
        <w:numPr>
          <w:ilvl w:val="0"/>
          <w:numId w:val="1"/>
        </w:numPr>
        <w:spacing w:line="360" w:lineRule="auto"/>
        <w:ind w:hanging="720"/>
        <w:jc w:val="both"/>
      </w:pPr>
      <w:r>
        <w:rPr>
          <w:rFonts w:hint="cs"/>
          <w:rtl/>
        </w:rPr>
        <w:t xml:space="preserve">מתוך תקופת המאסר שעל הנאשם לרצות ינוכו ימי מעצרו מיום 3.8.15 ועד ליום 7.8.15. </w:t>
      </w:r>
    </w:p>
    <w:p w14:paraId="39058AC7" w14:textId="77777777" w:rsidR="00B14BF0" w:rsidRDefault="00B14BF0">
      <w:pPr>
        <w:pStyle w:val="ListParagraph"/>
        <w:spacing w:line="360" w:lineRule="auto"/>
        <w:jc w:val="both"/>
      </w:pPr>
    </w:p>
    <w:p w14:paraId="24A9B5A2" w14:textId="77777777" w:rsidR="00B14BF0" w:rsidRDefault="00101068">
      <w:pPr>
        <w:pStyle w:val="ListParagraph"/>
        <w:numPr>
          <w:ilvl w:val="0"/>
          <w:numId w:val="1"/>
        </w:numPr>
        <w:spacing w:line="360" w:lineRule="auto"/>
        <w:ind w:hanging="720"/>
        <w:jc w:val="both"/>
        <w:rPr>
          <w:rtl/>
        </w:rPr>
      </w:pPr>
      <w:r>
        <w:rPr>
          <w:rFonts w:hint="cs"/>
          <w:rtl/>
        </w:rPr>
        <w:t xml:space="preserve">זכות ערעור לבית המשפט המחוזי בתוך 45 ימים. </w:t>
      </w:r>
    </w:p>
    <w:p w14:paraId="1DA9CA51" w14:textId="77777777" w:rsidR="00B14BF0" w:rsidRDefault="00B14BF0">
      <w:pPr>
        <w:rPr>
          <w:rtl/>
        </w:rPr>
      </w:pPr>
    </w:p>
    <w:p w14:paraId="15C33D53" w14:textId="77777777" w:rsidR="00B14BF0" w:rsidRPr="00101068" w:rsidRDefault="00101068">
      <w:pPr>
        <w:rPr>
          <w:color w:val="FFFFFF"/>
          <w:sz w:val="2"/>
          <w:szCs w:val="2"/>
          <w:rtl/>
        </w:rPr>
      </w:pPr>
      <w:r w:rsidRPr="00101068">
        <w:rPr>
          <w:color w:val="FFFFFF"/>
          <w:sz w:val="2"/>
          <w:szCs w:val="2"/>
          <w:rtl/>
        </w:rPr>
        <w:t>5129371</w:t>
      </w:r>
    </w:p>
    <w:p w14:paraId="7E145FF5" w14:textId="77777777" w:rsidR="00B14BF0" w:rsidRDefault="00101068">
      <w:pPr>
        <w:rPr>
          <w:rFonts w:cs="FrankRuehl"/>
          <w:sz w:val="28"/>
          <w:szCs w:val="28"/>
          <w:rtl/>
        </w:rPr>
      </w:pPr>
      <w:r w:rsidRPr="00101068">
        <w:rPr>
          <w:rFonts w:ascii="Arial" w:hAnsi="Arial"/>
          <w:color w:val="FFFFFF"/>
          <w:sz w:val="2"/>
          <w:szCs w:val="2"/>
          <w:rtl/>
        </w:rPr>
        <w:t>54678313</w:t>
      </w:r>
      <w:r>
        <w:rPr>
          <w:rFonts w:ascii="Arial" w:hAnsi="Arial"/>
          <w:rtl/>
        </w:rPr>
        <w:t xml:space="preserve">ניתן היום,  ט"ו חשוון תשע"ז, 16 נובמבר 2016, במעמד הצדדים. </w:t>
      </w:r>
    </w:p>
    <w:p w14:paraId="6EB22CCB" w14:textId="77777777" w:rsidR="00B14BF0" w:rsidRDefault="0010106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46D4C13" w14:textId="77777777" w:rsidR="00101068" w:rsidRPr="00101068" w:rsidRDefault="00101068" w:rsidP="00101068">
      <w:pPr>
        <w:keepNext/>
        <w:rPr>
          <w:rFonts w:ascii="David" w:hAnsi="David"/>
          <w:color w:val="000000"/>
          <w:sz w:val="22"/>
          <w:szCs w:val="22"/>
          <w:rtl/>
        </w:rPr>
      </w:pPr>
    </w:p>
    <w:p w14:paraId="300C5722" w14:textId="77777777" w:rsidR="00101068" w:rsidRPr="00101068" w:rsidRDefault="00101068" w:rsidP="00101068">
      <w:pPr>
        <w:keepNext/>
        <w:rPr>
          <w:rFonts w:ascii="David" w:hAnsi="David"/>
          <w:color w:val="000000"/>
          <w:sz w:val="22"/>
          <w:szCs w:val="22"/>
          <w:rtl/>
        </w:rPr>
      </w:pPr>
      <w:r w:rsidRPr="00101068">
        <w:rPr>
          <w:rFonts w:ascii="David" w:hAnsi="David"/>
          <w:color w:val="000000"/>
          <w:sz w:val="22"/>
          <w:szCs w:val="22"/>
          <w:rtl/>
        </w:rPr>
        <w:t>ג'ויה סקפה שפירא 54678313</w:t>
      </w:r>
    </w:p>
    <w:p w14:paraId="64779235" w14:textId="77777777" w:rsidR="00101068" w:rsidRDefault="00101068" w:rsidP="00101068">
      <w:r w:rsidRPr="00101068">
        <w:rPr>
          <w:color w:val="000000"/>
          <w:rtl/>
        </w:rPr>
        <w:t>נוסח מסמך זה כפוף לשינויי ניסוח ועריכה</w:t>
      </w:r>
    </w:p>
    <w:p w14:paraId="5A30F9CE" w14:textId="77777777" w:rsidR="00101068" w:rsidRDefault="00101068" w:rsidP="00101068">
      <w:pPr>
        <w:rPr>
          <w:rtl/>
        </w:rPr>
      </w:pPr>
    </w:p>
    <w:p w14:paraId="23EC4C06" w14:textId="77777777" w:rsidR="00101068" w:rsidRDefault="00101068" w:rsidP="00101068">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r w:rsidR="00A06EFA">
        <w:rPr>
          <w:rFonts w:hint="cs"/>
          <w:color w:val="0000FF"/>
          <w:u w:val="single"/>
          <w:rtl/>
        </w:rPr>
        <w:t xml:space="preserve"> </w:t>
      </w:r>
    </w:p>
    <w:p w14:paraId="3B2D4325" w14:textId="77777777" w:rsidR="00B14BF0" w:rsidRPr="00101068" w:rsidRDefault="00B14BF0" w:rsidP="00101068">
      <w:pPr>
        <w:jc w:val="center"/>
        <w:rPr>
          <w:color w:val="0000FF"/>
          <w:u w:val="single"/>
        </w:rPr>
      </w:pPr>
    </w:p>
    <w:sectPr w:rsidR="00B14BF0" w:rsidRPr="00101068" w:rsidSect="00101068">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4E173" w14:textId="77777777" w:rsidR="0065345C" w:rsidRDefault="0065345C">
      <w:r>
        <w:separator/>
      </w:r>
    </w:p>
  </w:endnote>
  <w:endnote w:type="continuationSeparator" w:id="0">
    <w:p w14:paraId="6B78D6B0" w14:textId="77777777" w:rsidR="0065345C" w:rsidRDefault="00653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02D1F" w14:textId="77777777" w:rsidR="00C12BAA" w:rsidRDefault="00C12BAA" w:rsidP="0010106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FFDCE5" w14:textId="77777777" w:rsidR="00C12BAA" w:rsidRPr="00101068" w:rsidRDefault="00C12BAA" w:rsidP="00101068">
    <w:pPr>
      <w:pStyle w:val="a4"/>
      <w:pBdr>
        <w:top w:val="single" w:sz="4" w:space="1" w:color="auto"/>
        <w:between w:val="single" w:sz="4" w:space="0" w:color="auto"/>
      </w:pBdr>
      <w:spacing w:after="60"/>
      <w:jc w:val="center"/>
      <w:rPr>
        <w:rFonts w:ascii="FrankRuehl" w:hAnsi="FrankRuehl" w:cs="FrankRuehl"/>
        <w:color w:val="000000"/>
      </w:rPr>
    </w:pPr>
    <w:r w:rsidRPr="001010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0E472" w14:textId="77777777" w:rsidR="00C12BAA" w:rsidRDefault="00C12BAA" w:rsidP="0010106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94866">
      <w:rPr>
        <w:rFonts w:ascii="FrankRuehl" w:hAnsi="FrankRuehl" w:cs="FrankRuehl"/>
        <w:noProof/>
        <w:rtl/>
      </w:rPr>
      <w:t>2</w:t>
    </w:r>
    <w:r>
      <w:rPr>
        <w:rFonts w:ascii="FrankRuehl" w:hAnsi="FrankRuehl" w:cs="FrankRuehl"/>
        <w:rtl/>
      </w:rPr>
      <w:fldChar w:fldCharType="end"/>
    </w:r>
  </w:p>
  <w:p w14:paraId="198890E7" w14:textId="77777777" w:rsidR="00C12BAA" w:rsidRPr="00101068" w:rsidRDefault="00C12BAA" w:rsidP="00101068">
    <w:pPr>
      <w:pStyle w:val="a4"/>
      <w:pBdr>
        <w:top w:val="single" w:sz="4" w:space="1" w:color="auto"/>
        <w:between w:val="single" w:sz="4" w:space="0" w:color="auto"/>
      </w:pBdr>
      <w:spacing w:after="60"/>
      <w:jc w:val="center"/>
      <w:rPr>
        <w:rFonts w:ascii="FrankRuehl" w:hAnsi="FrankRuehl" w:cs="FrankRuehl"/>
        <w:color w:val="000000"/>
      </w:rPr>
    </w:pPr>
    <w:r w:rsidRPr="00101068">
      <w:rPr>
        <w:rFonts w:ascii="FrankRuehl" w:hAnsi="FrankRuehl" w:cs="FrankRuehl"/>
        <w:color w:val="000000"/>
      </w:rPr>
      <w:pict w14:anchorId="00A44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B2A1A" w14:textId="77777777" w:rsidR="0065345C" w:rsidRDefault="0065345C">
      <w:r>
        <w:separator/>
      </w:r>
    </w:p>
  </w:footnote>
  <w:footnote w:type="continuationSeparator" w:id="0">
    <w:p w14:paraId="12EB2347" w14:textId="77777777" w:rsidR="0065345C" w:rsidRDefault="00653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75A00" w14:textId="77777777" w:rsidR="00C12BAA" w:rsidRPr="00101068" w:rsidRDefault="00C12BAA" w:rsidP="001010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54771-02-16</w:t>
    </w:r>
    <w:r>
      <w:rPr>
        <w:rFonts w:ascii="David" w:hAnsi="David"/>
        <w:color w:val="000000"/>
        <w:sz w:val="22"/>
        <w:szCs w:val="22"/>
        <w:rtl/>
      </w:rPr>
      <w:tab/>
      <w:t xml:space="preserve"> מדינת ישראל נ' ירון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54877" w14:textId="77777777" w:rsidR="00C12BAA" w:rsidRPr="00101068" w:rsidRDefault="00C12BAA" w:rsidP="001010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54771-02-16</w:t>
    </w:r>
    <w:r>
      <w:rPr>
        <w:rFonts w:ascii="David" w:hAnsi="David"/>
        <w:color w:val="000000"/>
        <w:sz w:val="22"/>
        <w:szCs w:val="22"/>
        <w:rtl/>
      </w:rPr>
      <w:tab/>
      <w:t xml:space="preserve"> מדינת ישראל נ' ירון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B169E"/>
    <w:multiLevelType w:val="hybridMultilevel"/>
    <w:tmpl w:val="EA4AC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06CA7"/>
    <w:multiLevelType w:val="hybridMultilevel"/>
    <w:tmpl w:val="462A047E"/>
    <w:lvl w:ilvl="0" w:tplc="04090013">
      <w:start w:val="1"/>
      <w:numFmt w:val="hebrew1"/>
      <w:lvlText w:val="%1."/>
      <w:lvlJc w:val="center"/>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num w:numId="1" w16cid:durableId="601887526">
    <w:abstractNumId w:val="0"/>
  </w:num>
  <w:num w:numId="2" w16cid:durableId="1183086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14BF0"/>
    <w:rsid w:val="00101068"/>
    <w:rsid w:val="004437F1"/>
    <w:rsid w:val="004D009D"/>
    <w:rsid w:val="0065345C"/>
    <w:rsid w:val="009A3082"/>
    <w:rsid w:val="009A3EBE"/>
    <w:rsid w:val="009F656C"/>
    <w:rsid w:val="00A06EFA"/>
    <w:rsid w:val="00B14BF0"/>
    <w:rsid w:val="00B94866"/>
    <w:rsid w:val="00C12BAA"/>
    <w:rsid w:val="00C241AF"/>
    <w:rsid w:val="00CE6C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1AD30E"/>
  <w15:chartTrackingRefBased/>
  <w15:docId w15:val="{181D0582-B893-4E4C-B9E0-42C69985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4BF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14BF0"/>
    <w:pPr>
      <w:tabs>
        <w:tab w:val="center" w:pos="4153"/>
        <w:tab w:val="right" w:pos="8306"/>
      </w:tabs>
    </w:pPr>
  </w:style>
  <w:style w:type="paragraph" w:styleId="a4">
    <w:name w:val="footer"/>
    <w:basedOn w:val="a"/>
    <w:rsid w:val="00B14BF0"/>
    <w:pPr>
      <w:tabs>
        <w:tab w:val="center" w:pos="4153"/>
        <w:tab w:val="right" w:pos="8306"/>
      </w:tabs>
    </w:pPr>
  </w:style>
  <w:style w:type="character" w:styleId="a5">
    <w:name w:val="page number"/>
    <w:basedOn w:val="a0"/>
    <w:rsid w:val="00B14BF0"/>
  </w:style>
  <w:style w:type="paragraph" w:customStyle="1" w:styleId="ListParagraph">
    <w:name w:val="List Paragraph"/>
    <w:basedOn w:val="a"/>
    <w:rsid w:val="00B14BF0"/>
    <w:pPr>
      <w:ind w:left="720"/>
      <w:contextualSpacing/>
    </w:pPr>
  </w:style>
  <w:style w:type="character" w:styleId="Hyperlink">
    <w:name w:val="Hyperlink"/>
    <w:rsid w:val="001010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58" TargetMode="External"/><Relationship Id="rId13" Type="http://schemas.openxmlformats.org/officeDocument/2006/relationships/hyperlink" Target="http://www.nevo.co.il/case/3846305" TargetMode="External"/><Relationship Id="rId18" Type="http://schemas.openxmlformats.org/officeDocument/2006/relationships/hyperlink" Target="http://www.nevo.co.il/case/2006057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case/3665031" TargetMode="External"/><Relationship Id="rId17" Type="http://schemas.openxmlformats.org/officeDocument/2006/relationships/hyperlink" Target="http://www.nevo.co.il/case/5741288"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4140033"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58" TargetMode="External"/><Relationship Id="rId23" Type="http://schemas.openxmlformats.org/officeDocument/2006/relationships/header" Target="header2.xml"/><Relationship Id="rId10" Type="http://schemas.openxmlformats.org/officeDocument/2006/relationships/hyperlink" Target="http://www.nevo.co.il/case/11279208" TargetMode="External"/><Relationship Id="rId19" Type="http://schemas.openxmlformats.org/officeDocument/2006/relationships/hyperlink" Target="http://www.nevo.co.il/case/2394501"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case/5886000"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1855</Words>
  <Characters>9275</Characters>
  <Application>Microsoft Office Word</Application>
  <DocSecurity>0</DocSecurity>
  <Lines>77</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11108</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4128883</vt:i4>
      </vt:variant>
      <vt:variant>
        <vt:i4>36</vt:i4>
      </vt:variant>
      <vt:variant>
        <vt:i4>0</vt:i4>
      </vt:variant>
      <vt:variant>
        <vt:i4>5</vt:i4>
      </vt:variant>
      <vt:variant>
        <vt:lpwstr>http://www.nevo.co.il/case/2394501</vt:lpwstr>
      </vt:variant>
      <vt:variant>
        <vt:lpwstr/>
      </vt:variant>
      <vt:variant>
        <vt:i4>3473527</vt:i4>
      </vt:variant>
      <vt:variant>
        <vt:i4>33</vt:i4>
      </vt:variant>
      <vt:variant>
        <vt:i4>0</vt:i4>
      </vt:variant>
      <vt:variant>
        <vt:i4>5</vt:i4>
      </vt:variant>
      <vt:variant>
        <vt:lpwstr>http://www.nevo.co.il/case/20060571</vt:lpwstr>
      </vt:variant>
      <vt:variant>
        <vt:lpwstr/>
      </vt:variant>
      <vt:variant>
        <vt:i4>3866746</vt:i4>
      </vt:variant>
      <vt:variant>
        <vt:i4>30</vt:i4>
      </vt:variant>
      <vt:variant>
        <vt:i4>0</vt:i4>
      </vt:variant>
      <vt:variant>
        <vt:i4>5</vt:i4>
      </vt:variant>
      <vt:variant>
        <vt:lpwstr>http://www.nevo.co.il/case/5741288</vt:lpwstr>
      </vt:variant>
      <vt:variant>
        <vt:lpwstr/>
      </vt:variant>
      <vt:variant>
        <vt:i4>7995492</vt:i4>
      </vt:variant>
      <vt:variant>
        <vt:i4>27</vt:i4>
      </vt:variant>
      <vt:variant>
        <vt:i4>0</vt:i4>
      </vt:variant>
      <vt:variant>
        <vt:i4>5</vt:i4>
      </vt:variant>
      <vt:variant>
        <vt:lpwstr>http://www.nevo.co.il/law/70301</vt:lpwstr>
      </vt:variant>
      <vt:variant>
        <vt:lpwstr/>
      </vt:variant>
      <vt:variant>
        <vt:i4>7143520</vt:i4>
      </vt:variant>
      <vt:variant>
        <vt:i4>24</vt:i4>
      </vt:variant>
      <vt:variant>
        <vt:i4>0</vt:i4>
      </vt:variant>
      <vt:variant>
        <vt:i4>5</vt:i4>
      </vt:variant>
      <vt:variant>
        <vt:lpwstr>http://www.nevo.co.il/law/70301/58</vt:lpwstr>
      </vt:variant>
      <vt:variant>
        <vt:lpwstr/>
      </vt:variant>
      <vt:variant>
        <vt:i4>3997818</vt:i4>
      </vt:variant>
      <vt:variant>
        <vt:i4>21</vt:i4>
      </vt:variant>
      <vt:variant>
        <vt:i4>0</vt:i4>
      </vt:variant>
      <vt:variant>
        <vt:i4>5</vt:i4>
      </vt:variant>
      <vt:variant>
        <vt:lpwstr>http://www.nevo.co.il/case/5886000</vt:lpwstr>
      </vt:variant>
      <vt:variant>
        <vt:lpwstr/>
      </vt:variant>
      <vt:variant>
        <vt:i4>3211386</vt:i4>
      </vt:variant>
      <vt:variant>
        <vt:i4>18</vt:i4>
      </vt:variant>
      <vt:variant>
        <vt:i4>0</vt:i4>
      </vt:variant>
      <vt:variant>
        <vt:i4>5</vt:i4>
      </vt:variant>
      <vt:variant>
        <vt:lpwstr>http://www.nevo.co.il/case/3846305</vt:lpwstr>
      </vt:variant>
      <vt:variant>
        <vt:lpwstr/>
      </vt:variant>
      <vt:variant>
        <vt:i4>3407988</vt:i4>
      </vt:variant>
      <vt:variant>
        <vt:i4>15</vt:i4>
      </vt:variant>
      <vt:variant>
        <vt:i4>0</vt:i4>
      </vt:variant>
      <vt:variant>
        <vt:i4>5</vt:i4>
      </vt:variant>
      <vt:variant>
        <vt:lpwstr>http://www.nevo.co.il/case/3665031</vt:lpwstr>
      </vt:variant>
      <vt:variant>
        <vt:lpwstr/>
      </vt:variant>
      <vt:variant>
        <vt:i4>3342454</vt:i4>
      </vt:variant>
      <vt:variant>
        <vt:i4>12</vt:i4>
      </vt:variant>
      <vt:variant>
        <vt:i4>0</vt:i4>
      </vt:variant>
      <vt:variant>
        <vt:i4>5</vt:i4>
      </vt:variant>
      <vt:variant>
        <vt:lpwstr>http://www.nevo.co.il/case/4140033</vt:lpwstr>
      </vt:variant>
      <vt:variant>
        <vt:lpwstr/>
      </vt:variant>
      <vt:variant>
        <vt:i4>3801200</vt:i4>
      </vt:variant>
      <vt:variant>
        <vt:i4>9</vt:i4>
      </vt:variant>
      <vt:variant>
        <vt:i4>0</vt:i4>
      </vt:variant>
      <vt:variant>
        <vt:i4>5</vt:i4>
      </vt:variant>
      <vt:variant>
        <vt:lpwstr>http://www.nevo.co.il/case/11279208</vt:lpwstr>
      </vt:variant>
      <vt:variant>
        <vt:lpwstr/>
      </vt:variant>
      <vt:variant>
        <vt:i4>8257637</vt:i4>
      </vt:variant>
      <vt:variant>
        <vt:i4>6</vt:i4>
      </vt:variant>
      <vt:variant>
        <vt:i4>0</vt:i4>
      </vt:variant>
      <vt:variant>
        <vt:i4>5</vt:i4>
      </vt:variant>
      <vt:variant>
        <vt:lpwstr>http://www.nevo.co.il/law/4216</vt:lpwstr>
      </vt:variant>
      <vt:variant>
        <vt:lpwstr/>
      </vt:variant>
      <vt:variant>
        <vt:i4>7143520</vt:i4>
      </vt:variant>
      <vt:variant>
        <vt:i4>3</vt:i4>
      </vt:variant>
      <vt:variant>
        <vt:i4>0</vt:i4>
      </vt:variant>
      <vt:variant>
        <vt:i4>5</vt:i4>
      </vt:variant>
      <vt:variant>
        <vt:lpwstr>http://www.nevo.co.il/law/70301/58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2025-04-22T23:00:00Z</dcterms:created>
  <dcterms:modified xsi:type="dcterms:W3CDTF">2025-04-22T23:00:00Z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54771</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ירון כהן</vt:lpwstr>
  </property>
  <property fmtid="{D5CDD505-2E9C-101B-9397-08002B2CF9AE}" pid="10" name="JUDGE">
    <vt:lpwstr>ג'ויה סקפה שפירא</vt:lpwstr>
  </property>
  <property fmtid="{D5CDD505-2E9C-101B-9397-08002B2CF9AE}" pid="11" name="CITY">
    <vt:lpwstr>י-ם</vt:lpwstr>
  </property>
  <property fmtid="{D5CDD505-2E9C-101B-9397-08002B2CF9AE}" pid="12" name="DATE">
    <vt:lpwstr>20161116</vt:lpwstr>
  </property>
  <property fmtid="{D5CDD505-2E9C-101B-9397-08002B2CF9AE}" pid="13" name="TYPE_N_DATE">
    <vt:lpwstr>38020161116</vt:lpwstr>
  </property>
  <property fmtid="{D5CDD505-2E9C-101B-9397-08002B2CF9AE}" pid="14" name="WORDNUMPAGES">
    <vt:lpwstr>6</vt:lpwstr>
  </property>
  <property fmtid="{D5CDD505-2E9C-101B-9397-08002B2CF9AE}" pid="15" name="TYPE_ABS_DATE">
    <vt:lpwstr>380020161116</vt:lpwstr>
  </property>
  <property fmtid="{D5CDD505-2E9C-101B-9397-08002B2CF9AE}" pid="16" name="ISABSTRACT">
    <vt:lpwstr>Y</vt:lpwstr>
  </property>
  <property fmtid="{D5CDD505-2E9C-101B-9397-08002B2CF9AE}" pid="17" name="CASESLISTTMP1">
    <vt:lpwstr>11279208;4140033;3665031;3846305;5886000;5741288;20060571;2394501</vt:lpwstr>
  </property>
  <property fmtid="{D5CDD505-2E9C-101B-9397-08002B2CF9AE}" pid="18" name="LAWLISTTMP1">
    <vt:lpwstr>70301/058</vt:lpwstr>
  </property>
  <property fmtid="{D5CDD505-2E9C-101B-9397-08002B2CF9AE}" pid="19" name="LAWLISTTMP2">
    <vt:lpwstr>4216</vt:lpwstr>
  </property>
</Properties>
</file>