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DF203B" w:rsidRPr="00B116FE" w14:paraId="5D348285" w14:textId="77777777" w:rsidTr="007431D8">
        <w:trPr>
          <w:trHeight w:hRule="exact" w:val="418"/>
          <w:jc w:val="center"/>
        </w:trPr>
        <w:tc>
          <w:tcPr>
            <w:tcW w:w="8523" w:type="dxa"/>
            <w:gridSpan w:val="2"/>
          </w:tcPr>
          <w:p w14:paraId="2385C071" w14:textId="77777777" w:rsidR="00DF203B" w:rsidRPr="00B116FE" w:rsidRDefault="00DF203B" w:rsidP="00CA4D27">
            <w:pPr>
              <w:pStyle w:val="a3"/>
              <w:jc w:val="center"/>
              <w:rPr>
                <w:rFonts w:ascii="Tahoma" w:hAnsi="Tahoma"/>
                <w:color w:val="000080"/>
                <w:sz w:val="32"/>
                <w:szCs w:val="32"/>
                <w:rtl/>
              </w:rPr>
            </w:pPr>
            <w:bookmarkStart w:id="0" w:name="LastJudge"/>
            <w:r w:rsidRPr="00B116FE">
              <w:rPr>
                <w:rFonts w:ascii="Tahoma" w:hAnsi="Tahoma"/>
                <w:b/>
                <w:bCs/>
                <w:color w:val="000080"/>
                <w:sz w:val="32"/>
                <w:szCs w:val="32"/>
                <w:rtl/>
              </w:rPr>
              <w:t>בית משפט השלום בתל אביב - יפו</w:t>
            </w:r>
          </w:p>
        </w:tc>
      </w:tr>
      <w:tr w:rsidR="00DF203B" w:rsidRPr="00B116FE" w14:paraId="1EBB66D2" w14:textId="77777777" w:rsidTr="007431D8">
        <w:trPr>
          <w:trHeight w:val="337"/>
          <w:jc w:val="center"/>
        </w:trPr>
        <w:tc>
          <w:tcPr>
            <w:tcW w:w="4945" w:type="dxa"/>
          </w:tcPr>
          <w:p w14:paraId="42800F7E" w14:textId="77777777" w:rsidR="00DF203B" w:rsidRPr="00B116FE" w:rsidRDefault="00DF203B" w:rsidP="00CA4D27">
            <w:pPr>
              <w:rPr>
                <w:sz w:val="26"/>
                <w:szCs w:val="26"/>
                <w:rtl/>
              </w:rPr>
            </w:pPr>
            <w:r w:rsidRPr="00B116FE">
              <w:rPr>
                <w:sz w:val="26"/>
                <w:szCs w:val="26"/>
                <w:rtl/>
              </w:rPr>
              <w:t>ת"פ</w:t>
            </w:r>
            <w:r w:rsidRPr="00B116FE">
              <w:rPr>
                <w:rFonts w:hint="cs"/>
                <w:sz w:val="26"/>
                <w:szCs w:val="26"/>
                <w:rtl/>
              </w:rPr>
              <w:t xml:space="preserve"> </w:t>
            </w:r>
            <w:r w:rsidRPr="00B116FE">
              <w:rPr>
                <w:sz w:val="26"/>
                <w:szCs w:val="26"/>
                <w:rtl/>
              </w:rPr>
              <w:t>56714-02-16</w:t>
            </w:r>
            <w:r w:rsidRPr="00B116FE">
              <w:rPr>
                <w:rFonts w:hint="cs"/>
                <w:sz w:val="26"/>
                <w:szCs w:val="26"/>
                <w:rtl/>
              </w:rPr>
              <w:t xml:space="preserve"> </w:t>
            </w:r>
            <w:r w:rsidRPr="00B116FE">
              <w:rPr>
                <w:sz w:val="26"/>
                <w:szCs w:val="26"/>
                <w:rtl/>
              </w:rPr>
              <w:t>מדינת ישראל נ' לוי</w:t>
            </w:r>
          </w:p>
        </w:tc>
        <w:tc>
          <w:tcPr>
            <w:tcW w:w="3578" w:type="dxa"/>
          </w:tcPr>
          <w:p w14:paraId="45DF332F" w14:textId="77777777" w:rsidR="00DF203B" w:rsidRPr="00B116FE" w:rsidRDefault="00DF203B" w:rsidP="00CA4D27">
            <w:pPr>
              <w:pStyle w:val="a3"/>
              <w:jc w:val="right"/>
              <w:rPr>
                <w:rFonts w:cs="FrankRuehl"/>
                <w:sz w:val="28"/>
                <w:szCs w:val="28"/>
                <w:rtl/>
              </w:rPr>
            </w:pPr>
          </w:p>
        </w:tc>
      </w:tr>
    </w:tbl>
    <w:p w14:paraId="16644A7A" w14:textId="77777777" w:rsidR="00DF203B" w:rsidRPr="00B116FE" w:rsidRDefault="00DF203B" w:rsidP="00DF203B">
      <w:pPr>
        <w:pStyle w:val="a3"/>
        <w:rPr>
          <w:rtl/>
        </w:rPr>
      </w:pPr>
      <w:r w:rsidRPr="00B116FE">
        <w:rPr>
          <w:rFonts w:hint="cs"/>
          <w:rtl/>
        </w:rPr>
        <w:t xml:space="preserve"> </w:t>
      </w:r>
    </w:p>
    <w:p w14:paraId="2089E90A" w14:textId="77777777" w:rsidR="00DF203B" w:rsidRPr="00B116FE" w:rsidRDefault="00DF203B" w:rsidP="00DF203B">
      <w:pPr>
        <w:jc w:val="both"/>
        <w:rPr>
          <w:rtl/>
        </w:rPr>
      </w:pPr>
    </w:p>
    <w:p w14:paraId="65BDD961" w14:textId="77777777" w:rsidR="00DF203B" w:rsidRPr="00B116FE" w:rsidRDefault="00DF203B" w:rsidP="00DF203B">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8"/>
        <w:gridCol w:w="3397"/>
      </w:tblGrid>
      <w:tr w:rsidR="00DF203B" w:rsidRPr="00B116FE" w14:paraId="7C00EEFF" w14:textId="77777777" w:rsidTr="00DF203B">
        <w:trPr>
          <w:trHeight w:val="295"/>
          <w:jc w:val="center"/>
        </w:trPr>
        <w:tc>
          <w:tcPr>
            <w:tcW w:w="8820" w:type="dxa"/>
            <w:gridSpan w:val="3"/>
            <w:tcBorders>
              <w:top w:val="nil"/>
              <w:left w:val="nil"/>
              <w:bottom w:val="nil"/>
              <w:right w:val="nil"/>
            </w:tcBorders>
            <w:shd w:val="clear" w:color="auto" w:fill="auto"/>
          </w:tcPr>
          <w:p w14:paraId="3F4959A5" w14:textId="77777777" w:rsidR="00DF203B" w:rsidRPr="00B116FE" w:rsidRDefault="00DF203B" w:rsidP="00DF203B">
            <w:pPr>
              <w:jc w:val="both"/>
              <w:rPr>
                <w:rFonts w:ascii="Arial" w:hAnsi="Arial"/>
                <w:b/>
                <w:bCs/>
                <w:sz w:val="26"/>
                <w:szCs w:val="26"/>
              </w:rPr>
            </w:pPr>
            <w:r w:rsidRPr="00B116FE">
              <w:rPr>
                <w:rFonts w:ascii="Arial" w:hAnsi="Arial" w:hint="cs"/>
                <w:b/>
                <w:bCs/>
                <w:sz w:val="26"/>
                <w:szCs w:val="26"/>
                <w:rtl/>
              </w:rPr>
              <w:t>ל</w:t>
            </w:r>
            <w:r w:rsidRPr="00B116FE">
              <w:rPr>
                <w:rFonts w:ascii="Arial" w:hAnsi="Arial"/>
                <w:b/>
                <w:bCs/>
                <w:sz w:val="26"/>
                <w:szCs w:val="26"/>
                <w:rtl/>
              </w:rPr>
              <w:t xml:space="preserve">פני </w:t>
            </w:r>
            <w:r w:rsidRPr="00B116FE">
              <w:rPr>
                <w:rFonts w:ascii="Arial" w:hAnsi="Arial" w:hint="cs"/>
                <w:b/>
                <w:bCs/>
                <w:sz w:val="26"/>
                <w:szCs w:val="26"/>
                <w:rtl/>
              </w:rPr>
              <w:t>כבוד ה</w:t>
            </w:r>
            <w:r w:rsidRPr="00B116FE">
              <w:rPr>
                <w:rFonts w:ascii="Arial" w:hAnsi="Arial"/>
                <w:b/>
                <w:bCs/>
                <w:sz w:val="26"/>
                <w:szCs w:val="26"/>
                <w:rtl/>
              </w:rPr>
              <w:t>שופט</w:t>
            </w:r>
            <w:r w:rsidRPr="00B116FE">
              <w:rPr>
                <w:rFonts w:ascii="Arial" w:hAnsi="Arial" w:hint="cs"/>
                <w:b/>
                <w:bCs/>
                <w:sz w:val="26"/>
                <w:szCs w:val="26"/>
                <w:rtl/>
              </w:rPr>
              <w:t xml:space="preserve">  </w:t>
            </w:r>
            <w:r w:rsidRPr="00B116FE">
              <w:rPr>
                <w:rFonts w:ascii="Arial" w:hAnsi="Arial"/>
                <w:b/>
                <w:bCs/>
                <w:sz w:val="26"/>
                <w:szCs w:val="26"/>
                <w:rtl/>
              </w:rPr>
              <w:t>איתן קורנהאוזר</w:t>
            </w:r>
          </w:p>
        </w:tc>
      </w:tr>
      <w:tr w:rsidR="00DF203B" w:rsidRPr="00B116FE" w14:paraId="518A5799" w14:textId="77777777" w:rsidTr="00DF203B">
        <w:trPr>
          <w:trHeight w:val="355"/>
          <w:jc w:val="center"/>
        </w:trPr>
        <w:tc>
          <w:tcPr>
            <w:tcW w:w="885" w:type="dxa"/>
            <w:tcBorders>
              <w:top w:val="nil"/>
              <w:left w:val="nil"/>
              <w:bottom w:val="nil"/>
              <w:right w:val="nil"/>
            </w:tcBorders>
            <w:shd w:val="clear" w:color="auto" w:fill="auto"/>
          </w:tcPr>
          <w:p w14:paraId="4ADDA798" w14:textId="77777777" w:rsidR="00DF203B" w:rsidRPr="00B116FE" w:rsidRDefault="00DF203B" w:rsidP="00DF203B">
            <w:pPr>
              <w:jc w:val="both"/>
              <w:rPr>
                <w:rFonts w:ascii="Arial" w:hAnsi="Arial"/>
                <w:b/>
                <w:bCs/>
                <w:sz w:val="26"/>
                <w:szCs w:val="26"/>
              </w:rPr>
            </w:pPr>
            <w:bookmarkStart w:id="1" w:name="FirstAppellant"/>
            <w:bookmarkStart w:id="2" w:name="FirstLawyer"/>
            <w:r w:rsidRPr="00B116FE">
              <w:rPr>
                <w:rFonts w:ascii="Arial" w:hAnsi="Arial" w:hint="cs"/>
                <w:sz w:val="26"/>
                <w:szCs w:val="26"/>
                <w:rtl/>
              </w:rPr>
              <w:t>ה</w:t>
            </w:r>
            <w:r w:rsidRPr="00B116FE">
              <w:rPr>
                <w:rFonts w:ascii="Arial" w:hAnsi="Arial"/>
                <w:sz w:val="26"/>
                <w:szCs w:val="26"/>
                <w:rtl/>
              </w:rPr>
              <w:t>מאשימה</w:t>
            </w:r>
          </w:p>
        </w:tc>
        <w:tc>
          <w:tcPr>
            <w:tcW w:w="4384" w:type="dxa"/>
            <w:tcBorders>
              <w:top w:val="nil"/>
              <w:left w:val="nil"/>
              <w:bottom w:val="nil"/>
              <w:right w:val="nil"/>
            </w:tcBorders>
            <w:shd w:val="clear" w:color="auto" w:fill="auto"/>
          </w:tcPr>
          <w:p w14:paraId="34734EE8" w14:textId="77777777" w:rsidR="00DF203B" w:rsidRPr="00B116FE" w:rsidRDefault="00DF203B" w:rsidP="00DF203B">
            <w:pPr>
              <w:jc w:val="both"/>
              <w:rPr>
                <w:sz w:val="26"/>
                <w:szCs w:val="26"/>
                <w:rtl/>
              </w:rPr>
            </w:pPr>
            <w:r w:rsidRPr="00B116FE">
              <w:rPr>
                <w:rFonts w:ascii="Arial" w:hAnsi="Arial"/>
                <w:sz w:val="26"/>
                <w:szCs w:val="26"/>
                <w:rtl/>
              </w:rPr>
              <w:t>מדינת ישראל</w:t>
            </w:r>
          </w:p>
          <w:p w14:paraId="46A6E835" w14:textId="77777777" w:rsidR="00DF203B" w:rsidRPr="00B116FE" w:rsidRDefault="00DF203B" w:rsidP="00DF203B">
            <w:pPr>
              <w:jc w:val="both"/>
              <w:rPr>
                <w:sz w:val="26"/>
                <w:szCs w:val="26"/>
              </w:rPr>
            </w:pPr>
            <w:r w:rsidRPr="00B116FE">
              <w:rPr>
                <w:rFonts w:hint="cs"/>
                <w:sz w:val="26"/>
                <w:szCs w:val="26"/>
                <w:rtl/>
              </w:rPr>
              <w:t>ע"י ב"כ עו"ד יעל גבריאל</w:t>
            </w:r>
          </w:p>
        </w:tc>
        <w:tc>
          <w:tcPr>
            <w:tcW w:w="3551" w:type="dxa"/>
            <w:tcBorders>
              <w:top w:val="nil"/>
              <w:left w:val="nil"/>
              <w:bottom w:val="nil"/>
              <w:right w:val="nil"/>
            </w:tcBorders>
            <w:shd w:val="clear" w:color="auto" w:fill="auto"/>
          </w:tcPr>
          <w:p w14:paraId="0C270F80" w14:textId="77777777" w:rsidR="00DF203B" w:rsidRPr="00B116FE" w:rsidRDefault="00DF203B" w:rsidP="00DF203B">
            <w:pPr>
              <w:jc w:val="both"/>
              <w:rPr>
                <w:rFonts w:ascii="Arial" w:hAnsi="Arial"/>
                <w:sz w:val="26"/>
                <w:szCs w:val="26"/>
              </w:rPr>
            </w:pPr>
          </w:p>
        </w:tc>
      </w:tr>
      <w:bookmarkEnd w:id="1"/>
      <w:bookmarkEnd w:id="2"/>
      <w:tr w:rsidR="00DF203B" w:rsidRPr="00B116FE" w14:paraId="12BB5E2E" w14:textId="77777777" w:rsidTr="00DF203B">
        <w:trPr>
          <w:trHeight w:val="373"/>
          <w:jc w:val="center"/>
        </w:trPr>
        <w:tc>
          <w:tcPr>
            <w:tcW w:w="885" w:type="dxa"/>
            <w:tcBorders>
              <w:top w:val="nil"/>
              <w:left w:val="nil"/>
              <w:bottom w:val="nil"/>
              <w:right w:val="nil"/>
            </w:tcBorders>
            <w:shd w:val="clear" w:color="auto" w:fill="auto"/>
          </w:tcPr>
          <w:p w14:paraId="434F67F7" w14:textId="77777777" w:rsidR="00DF203B" w:rsidRPr="00B116FE" w:rsidRDefault="00DF203B" w:rsidP="00DF203B">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58545156" w14:textId="77777777" w:rsidR="00DF203B" w:rsidRPr="00B116FE" w:rsidRDefault="00DF203B" w:rsidP="00DF203B">
            <w:pPr>
              <w:jc w:val="both"/>
              <w:rPr>
                <w:rFonts w:ascii="Arial" w:hAnsi="Arial"/>
                <w:b/>
                <w:bCs/>
                <w:sz w:val="26"/>
                <w:szCs w:val="26"/>
                <w:rtl/>
              </w:rPr>
            </w:pPr>
          </w:p>
          <w:p w14:paraId="35C12B95" w14:textId="77777777" w:rsidR="00DF203B" w:rsidRPr="00B116FE" w:rsidRDefault="00DF203B" w:rsidP="00DF203B">
            <w:pPr>
              <w:jc w:val="both"/>
              <w:rPr>
                <w:rFonts w:ascii="Arial" w:hAnsi="Arial"/>
                <w:b/>
                <w:bCs/>
                <w:sz w:val="26"/>
                <w:szCs w:val="26"/>
                <w:rtl/>
              </w:rPr>
            </w:pPr>
            <w:r w:rsidRPr="00B116FE">
              <w:rPr>
                <w:rFonts w:ascii="Arial" w:hAnsi="Arial"/>
                <w:b/>
                <w:bCs/>
                <w:sz w:val="26"/>
                <w:szCs w:val="26"/>
                <w:rtl/>
              </w:rPr>
              <w:t>נגד</w:t>
            </w:r>
          </w:p>
          <w:p w14:paraId="4EB1B6B7" w14:textId="77777777" w:rsidR="00DF203B" w:rsidRPr="00B116FE" w:rsidRDefault="00DF203B" w:rsidP="00DF203B">
            <w:pPr>
              <w:jc w:val="both"/>
              <w:rPr>
                <w:rFonts w:ascii="Arial" w:hAnsi="Arial"/>
                <w:sz w:val="26"/>
                <w:szCs w:val="26"/>
              </w:rPr>
            </w:pPr>
          </w:p>
        </w:tc>
      </w:tr>
      <w:tr w:rsidR="00DF203B" w:rsidRPr="00B116FE" w14:paraId="237E9E98" w14:textId="77777777" w:rsidTr="00DF203B">
        <w:trPr>
          <w:trHeight w:val="355"/>
          <w:jc w:val="center"/>
        </w:trPr>
        <w:tc>
          <w:tcPr>
            <w:tcW w:w="885" w:type="dxa"/>
            <w:tcBorders>
              <w:top w:val="nil"/>
              <w:left w:val="nil"/>
              <w:bottom w:val="nil"/>
              <w:right w:val="nil"/>
            </w:tcBorders>
            <w:shd w:val="clear" w:color="auto" w:fill="auto"/>
          </w:tcPr>
          <w:p w14:paraId="3918BA11" w14:textId="77777777" w:rsidR="00DF203B" w:rsidRPr="00B116FE" w:rsidRDefault="00DF203B" w:rsidP="00DF203B">
            <w:pPr>
              <w:jc w:val="both"/>
              <w:rPr>
                <w:rFonts w:ascii="Arial" w:hAnsi="Arial"/>
                <w:sz w:val="26"/>
                <w:szCs w:val="26"/>
                <w:rtl/>
              </w:rPr>
            </w:pPr>
            <w:r w:rsidRPr="00B116FE">
              <w:rPr>
                <w:rFonts w:ascii="Arial" w:hAnsi="Arial" w:hint="cs"/>
                <w:sz w:val="26"/>
                <w:szCs w:val="26"/>
                <w:rtl/>
              </w:rPr>
              <w:t>ה</w:t>
            </w:r>
            <w:r w:rsidRPr="00B116FE">
              <w:rPr>
                <w:rFonts w:ascii="Arial" w:hAnsi="Arial"/>
                <w:sz w:val="26"/>
                <w:szCs w:val="26"/>
                <w:rtl/>
              </w:rPr>
              <w:t>נאשם</w:t>
            </w:r>
          </w:p>
        </w:tc>
        <w:tc>
          <w:tcPr>
            <w:tcW w:w="4384" w:type="dxa"/>
            <w:tcBorders>
              <w:top w:val="nil"/>
              <w:left w:val="nil"/>
              <w:bottom w:val="nil"/>
              <w:right w:val="nil"/>
            </w:tcBorders>
            <w:shd w:val="clear" w:color="auto" w:fill="auto"/>
          </w:tcPr>
          <w:p w14:paraId="04A6F03A" w14:textId="77777777" w:rsidR="00DF203B" w:rsidRPr="00B116FE" w:rsidRDefault="00DF203B" w:rsidP="00DF203B">
            <w:pPr>
              <w:jc w:val="both"/>
              <w:rPr>
                <w:sz w:val="26"/>
                <w:szCs w:val="26"/>
                <w:rtl/>
              </w:rPr>
            </w:pPr>
            <w:r w:rsidRPr="00B116FE">
              <w:rPr>
                <w:rFonts w:ascii="Arial" w:hAnsi="Arial"/>
                <w:sz w:val="26"/>
                <w:szCs w:val="26"/>
                <w:rtl/>
              </w:rPr>
              <w:t>אבינועם לוי</w:t>
            </w:r>
          </w:p>
          <w:p w14:paraId="135A9094" w14:textId="77777777" w:rsidR="00DF203B" w:rsidRPr="00B116FE" w:rsidRDefault="00DF203B" w:rsidP="00DF203B">
            <w:pPr>
              <w:jc w:val="both"/>
              <w:rPr>
                <w:sz w:val="26"/>
                <w:szCs w:val="26"/>
                <w:rtl/>
              </w:rPr>
            </w:pPr>
            <w:r w:rsidRPr="00B116FE">
              <w:rPr>
                <w:rFonts w:hint="cs"/>
                <w:sz w:val="26"/>
                <w:szCs w:val="26"/>
                <w:rtl/>
              </w:rPr>
              <w:t>ע"י ב"כ עו"ד גיא פרידמן</w:t>
            </w:r>
          </w:p>
        </w:tc>
        <w:tc>
          <w:tcPr>
            <w:tcW w:w="3551" w:type="dxa"/>
            <w:tcBorders>
              <w:top w:val="nil"/>
              <w:left w:val="nil"/>
              <w:bottom w:val="nil"/>
              <w:right w:val="nil"/>
            </w:tcBorders>
            <w:shd w:val="clear" w:color="auto" w:fill="auto"/>
          </w:tcPr>
          <w:p w14:paraId="14693763" w14:textId="77777777" w:rsidR="00DF203B" w:rsidRPr="00B116FE" w:rsidRDefault="00DF203B" w:rsidP="00DF203B">
            <w:pPr>
              <w:jc w:val="both"/>
              <w:rPr>
                <w:rFonts w:ascii="Arial" w:hAnsi="Arial"/>
                <w:sz w:val="26"/>
                <w:szCs w:val="26"/>
              </w:rPr>
            </w:pPr>
          </w:p>
        </w:tc>
      </w:tr>
    </w:tbl>
    <w:p w14:paraId="4B96E796" w14:textId="77777777" w:rsidR="007431D8" w:rsidRPr="007431D8" w:rsidRDefault="007431D8" w:rsidP="007431D8">
      <w:pPr>
        <w:spacing w:before="120" w:after="120" w:line="240" w:lineRule="exact"/>
        <w:ind w:left="283" w:hanging="283"/>
        <w:jc w:val="both"/>
        <w:rPr>
          <w:rFonts w:ascii="FrankRuehl" w:hAnsi="FrankRuehl" w:cs="FrankRuehl"/>
          <w:rtl/>
        </w:rPr>
      </w:pPr>
      <w:bookmarkStart w:id="3" w:name="LawTable"/>
      <w:bookmarkEnd w:id="3"/>
    </w:p>
    <w:p w14:paraId="773F526F" w14:textId="77777777" w:rsidR="007431D8" w:rsidRPr="007431D8" w:rsidRDefault="007431D8" w:rsidP="007431D8">
      <w:pPr>
        <w:spacing w:before="120" w:after="120" w:line="240" w:lineRule="exact"/>
        <w:ind w:left="283" w:hanging="283"/>
        <w:jc w:val="both"/>
        <w:rPr>
          <w:rFonts w:ascii="FrankRuehl" w:hAnsi="FrankRuehl" w:cs="FrankRuehl"/>
          <w:rtl/>
        </w:rPr>
      </w:pPr>
      <w:r w:rsidRPr="007431D8">
        <w:rPr>
          <w:rFonts w:ascii="FrankRuehl" w:hAnsi="FrankRuehl" w:cs="FrankRuehl"/>
          <w:rtl/>
        </w:rPr>
        <w:t xml:space="preserve">חקיקה שאוזכרה: </w:t>
      </w:r>
    </w:p>
    <w:p w14:paraId="534A7092" w14:textId="77777777" w:rsidR="007431D8" w:rsidRPr="007431D8" w:rsidRDefault="007431D8" w:rsidP="007431D8">
      <w:pPr>
        <w:spacing w:before="120" w:after="120" w:line="240" w:lineRule="exact"/>
        <w:ind w:left="283" w:hanging="283"/>
        <w:jc w:val="both"/>
        <w:rPr>
          <w:rFonts w:ascii="FrankRuehl" w:hAnsi="FrankRuehl" w:cs="FrankRuehl"/>
          <w:color w:val="0000FF"/>
          <w:rtl/>
        </w:rPr>
      </w:pPr>
      <w:hyperlink r:id="rId7" w:history="1">
        <w:r w:rsidRPr="007431D8">
          <w:rPr>
            <w:rStyle w:val="Hyperlink"/>
            <w:rFonts w:ascii="FrankRuehl" w:hAnsi="FrankRuehl" w:cs="FrankRuehl"/>
            <w:rtl/>
          </w:rPr>
          <w:t>חוק המאבק בתופעת השימוש בחומרים מסכנים, תשע"ג-2013</w:t>
        </w:r>
      </w:hyperlink>
      <w:r w:rsidRPr="007431D8">
        <w:rPr>
          <w:rFonts w:ascii="FrankRuehl" w:hAnsi="FrankRuehl" w:cs="FrankRuehl"/>
          <w:color w:val="0000FF"/>
          <w:u w:val="single"/>
          <w:rtl/>
        </w:rPr>
        <w:t xml:space="preserve">: סע'  </w:t>
      </w:r>
      <w:hyperlink r:id="rId8" w:history="1">
        <w:r w:rsidRPr="007431D8">
          <w:rPr>
            <w:rStyle w:val="Hyperlink"/>
            <w:rFonts w:ascii="FrankRuehl" w:hAnsi="FrankRuehl" w:cs="FrankRuehl"/>
          </w:rPr>
          <w:t>7</w:t>
        </w:r>
      </w:hyperlink>
      <w:r w:rsidRPr="007431D8">
        <w:rPr>
          <w:rFonts w:ascii="FrankRuehl" w:hAnsi="FrankRuehl" w:cs="FrankRuehl"/>
          <w:color w:val="0000FF"/>
          <w:rtl/>
        </w:rPr>
        <w:t>(א)(1)</w:t>
      </w:r>
    </w:p>
    <w:p w14:paraId="69CD81CE" w14:textId="77777777" w:rsidR="007431D8" w:rsidRPr="007431D8" w:rsidRDefault="007431D8" w:rsidP="007431D8">
      <w:pPr>
        <w:spacing w:before="120" w:after="120" w:line="240" w:lineRule="exact"/>
        <w:ind w:left="283" w:hanging="283"/>
        <w:jc w:val="both"/>
        <w:rPr>
          <w:rFonts w:ascii="FrankRuehl" w:hAnsi="FrankRuehl" w:cs="FrankRuehl"/>
          <w:color w:val="0000FF"/>
          <w:u w:val="single"/>
          <w:rtl/>
        </w:rPr>
      </w:pPr>
      <w:hyperlink r:id="rId9" w:history="1">
        <w:r w:rsidRPr="007431D8">
          <w:rPr>
            <w:rStyle w:val="Hyperlink"/>
            <w:rFonts w:ascii="FrankRuehl" w:hAnsi="FrankRuehl" w:cs="FrankRuehl"/>
            <w:rtl/>
          </w:rPr>
          <w:t>חוק העונשין, תשל"ז-1977</w:t>
        </w:r>
      </w:hyperlink>
      <w:r w:rsidRPr="007431D8">
        <w:rPr>
          <w:rFonts w:ascii="FrankRuehl" w:hAnsi="FrankRuehl" w:cs="FrankRuehl"/>
          <w:color w:val="0000FF"/>
          <w:u w:val="single"/>
          <w:rtl/>
        </w:rPr>
        <w:t xml:space="preserve">: סע'  </w:t>
      </w:r>
      <w:hyperlink r:id="rId10" w:history="1">
        <w:r w:rsidRPr="007431D8">
          <w:rPr>
            <w:rStyle w:val="Hyperlink"/>
            <w:rFonts w:ascii="FrankRuehl" w:hAnsi="FrankRuehl" w:cs="FrankRuehl"/>
          </w:rPr>
          <w:t>413</w:t>
        </w:r>
      </w:hyperlink>
    </w:p>
    <w:p w14:paraId="0BF9A3D7" w14:textId="77777777" w:rsidR="007431D8" w:rsidRPr="007431D8" w:rsidRDefault="007431D8" w:rsidP="007431D8">
      <w:pPr>
        <w:spacing w:before="120" w:after="120" w:line="240" w:lineRule="exact"/>
        <w:ind w:left="283" w:hanging="283"/>
        <w:jc w:val="both"/>
        <w:rPr>
          <w:rFonts w:ascii="FrankRuehl" w:hAnsi="FrankRuehl" w:cs="FrankRuehl"/>
          <w:color w:val="0000FF"/>
          <w:u w:val="single"/>
          <w:rtl/>
        </w:rPr>
      </w:pPr>
      <w:hyperlink r:id="rId11" w:history="1">
        <w:r w:rsidRPr="007431D8">
          <w:rPr>
            <w:rStyle w:val="Hyperlink"/>
            <w:rFonts w:ascii="FrankRuehl" w:hAnsi="FrankRuehl" w:cs="FrankRuehl"/>
            <w:rtl/>
          </w:rPr>
          <w:t>פקודת הסמים המסוכנים [נוסח חדש], תשל"ג-1973</w:t>
        </w:r>
      </w:hyperlink>
    </w:p>
    <w:p w14:paraId="030F2715" w14:textId="77777777" w:rsidR="00DF203B" w:rsidRPr="007431D8" w:rsidRDefault="00DF203B" w:rsidP="007431D8">
      <w:pPr>
        <w:jc w:val="both"/>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203B" w14:paraId="7B2F33AD" w14:textId="77777777" w:rsidTr="00DF203B">
        <w:trPr>
          <w:trHeight w:val="355"/>
          <w:jc w:val="center"/>
        </w:trPr>
        <w:tc>
          <w:tcPr>
            <w:tcW w:w="8820" w:type="dxa"/>
            <w:tcBorders>
              <w:top w:val="nil"/>
              <w:left w:val="nil"/>
              <w:bottom w:val="nil"/>
              <w:right w:val="nil"/>
            </w:tcBorders>
            <w:shd w:val="clear" w:color="auto" w:fill="auto"/>
          </w:tcPr>
          <w:p w14:paraId="775AF80A" w14:textId="77777777" w:rsidR="00B116FE" w:rsidRPr="00B116FE" w:rsidRDefault="00B116FE" w:rsidP="00B116FE">
            <w:pPr>
              <w:jc w:val="center"/>
              <w:rPr>
                <w:rFonts w:ascii="Arial" w:hAnsi="Arial"/>
                <w:b/>
                <w:bCs/>
                <w:sz w:val="28"/>
                <w:szCs w:val="28"/>
                <w:u w:val="single"/>
                <w:rtl/>
              </w:rPr>
            </w:pPr>
            <w:bookmarkStart w:id="5" w:name="PsakDin" w:colFirst="0" w:colLast="0"/>
            <w:bookmarkEnd w:id="0"/>
            <w:r w:rsidRPr="00B116FE">
              <w:rPr>
                <w:rFonts w:ascii="Arial" w:hAnsi="Arial"/>
                <w:b/>
                <w:bCs/>
                <w:sz w:val="28"/>
                <w:szCs w:val="28"/>
                <w:u w:val="single"/>
                <w:rtl/>
              </w:rPr>
              <w:t>גזר דין</w:t>
            </w:r>
          </w:p>
          <w:p w14:paraId="77EA864D" w14:textId="77777777" w:rsidR="00DF203B" w:rsidRPr="00B116FE" w:rsidRDefault="00DF203B" w:rsidP="00B116FE">
            <w:pPr>
              <w:jc w:val="center"/>
              <w:rPr>
                <w:rFonts w:ascii="Arial" w:hAnsi="Arial"/>
                <w:bCs/>
                <w:sz w:val="28"/>
                <w:szCs w:val="28"/>
                <w:u w:val="single"/>
                <w:rtl/>
              </w:rPr>
            </w:pPr>
          </w:p>
        </w:tc>
      </w:tr>
      <w:bookmarkEnd w:id="5"/>
    </w:tbl>
    <w:p w14:paraId="5CDE6FDA" w14:textId="77777777" w:rsidR="00DF203B" w:rsidRPr="00B05847" w:rsidRDefault="00DF203B" w:rsidP="00DF203B">
      <w:pPr>
        <w:jc w:val="both"/>
        <w:rPr>
          <w:rFonts w:ascii="Arial" w:hAnsi="Arial"/>
          <w:rtl/>
        </w:rPr>
      </w:pPr>
    </w:p>
    <w:p w14:paraId="5C75EFB6" w14:textId="77777777" w:rsidR="00DF203B" w:rsidRPr="001B58D3" w:rsidRDefault="00DF203B" w:rsidP="00DF203B">
      <w:pPr>
        <w:spacing w:line="360" w:lineRule="auto"/>
        <w:jc w:val="both"/>
        <w:rPr>
          <w:rFonts w:ascii="Arial" w:hAnsi="Arial"/>
          <w:b/>
          <w:bCs/>
          <w:u w:val="single"/>
          <w:rtl/>
        </w:rPr>
      </w:pPr>
      <w:r w:rsidRPr="001B58D3">
        <w:rPr>
          <w:rFonts w:ascii="Arial" w:hAnsi="Arial" w:hint="cs"/>
          <w:b/>
          <w:bCs/>
          <w:u w:val="single"/>
          <w:rtl/>
        </w:rPr>
        <w:t>רקע</w:t>
      </w:r>
    </w:p>
    <w:p w14:paraId="3379FA13" w14:textId="77777777" w:rsidR="00DF203B" w:rsidRDefault="00DF203B" w:rsidP="00DF203B">
      <w:pPr>
        <w:pStyle w:val="a9"/>
        <w:numPr>
          <w:ilvl w:val="0"/>
          <w:numId w:val="1"/>
        </w:numPr>
        <w:spacing w:line="360" w:lineRule="auto"/>
        <w:jc w:val="both"/>
      </w:pPr>
      <w:bookmarkStart w:id="6" w:name="ABSTRACT_START"/>
      <w:bookmarkEnd w:id="6"/>
      <w:r>
        <w:rPr>
          <w:rFonts w:hint="cs"/>
          <w:rtl/>
        </w:rPr>
        <w:t xml:space="preserve">הנאשם הורשע על יסוד הודאתו, בעבירות מסחר, החזקת והפצת חומר אסור, לפי </w:t>
      </w:r>
      <w:hyperlink r:id="rId12" w:history="1">
        <w:r w:rsidR="007431D8" w:rsidRPr="007431D8">
          <w:rPr>
            <w:rStyle w:val="Hyperlink"/>
            <w:rFonts w:hint="eastAsia"/>
            <w:color w:val="0000FF"/>
            <w:rtl/>
          </w:rPr>
          <w:t>סעיף</w:t>
        </w:r>
        <w:r w:rsidR="007431D8" w:rsidRPr="007431D8">
          <w:rPr>
            <w:rStyle w:val="Hyperlink"/>
            <w:color w:val="0000FF"/>
            <w:rtl/>
          </w:rPr>
          <w:t xml:space="preserve"> 7(א)(1)</w:t>
        </w:r>
      </w:hyperlink>
      <w:r>
        <w:rPr>
          <w:rFonts w:hint="cs"/>
          <w:rtl/>
        </w:rPr>
        <w:t xml:space="preserve"> ל</w:t>
      </w:r>
      <w:hyperlink r:id="rId13" w:history="1">
        <w:r w:rsidR="00B116FE" w:rsidRPr="00B116FE">
          <w:rPr>
            <w:color w:val="0000FF"/>
            <w:u w:val="single"/>
            <w:rtl/>
          </w:rPr>
          <w:t>חוק המאבק בתופעת השימוש בחומרים מסכנים</w:t>
        </w:r>
      </w:hyperlink>
      <w:r>
        <w:rPr>
          <w:rFonts w:hint="cs"/>
          <w:rtl/>
        </w:rPr>
        <w:t xml:space="preserve">, תשע"ג </w:t>
      </w:r>
      <w:r>
        <w:rPr>
          <w:rtl/>
        </w:rPr>
        <w:t>–</w:t>
      </w:r>
      <w:r>
        <w:rPr>
          <w:rFonts w:hint="cs"/>
          <w:rtl/>
        </w:rPr>
        <w:t xml:space="preserve"> 2013 (להלן: "חוק המאבק"), וכן בעבירת החזקת נכס החשוד כגנוב, לפי </w:t>
      </w:r>
      <w:hyperlink r:id="rId14" w:history="1">
        <w:r w:rsidR="007431D8" w:rsidRPr="007431D8">
          <w:rPr>
            <w:rStyle w:val="Hyperlink"/>
            <w:rFonts w:hint="eastAsia"/>
            <w:color w:val="0000FF"/>
            <w:rtl/>
          </w:rPr>
          <w:t>סעיף</w:t>
        </w:r>
        <w:r w:rsidR="007431D8" w:rsidRPr="007431D8">
          <w:rPr>
            <w:rStyle w:val="Hyperlink"/>
            <w:color w:val="0000FF"/>
            <w:rtl/>
          </w:rPr>
          <w:t xml:space="preserve"> 413</w:t>
        </w:r>
      </w:hyperlink>
      <w:r>
        <w:rPr>
          <w:rFonts w:hint="cs"/>
          <w:rtl/>
        </w:rPr>
        <w:t xml:space="preserve"> ל</w:t>
      </w:r>
      <w:hyperlink r:id="rId15" w:history="1">
        <w:r w:rsidR="00B116FE" w:rsidRPr="00B116FE">
          <w:rPr>
            <w:color w:val="0000FF"/>
            <w:u w:val="single"/>
            <w:rtl/>
          </w:rPr>
          <w:t>חוק העונשין</w:t>
        </w:r>
      </w:hyperlink>
      <w:r>
        <w:rPr>
          <w:rFonts w:hint="cs"/>
          <w:rtl/>
        </w:rPr>
        <w:t xml:space="preserve">, תשל"ז </w:t>
      </w:r>
      <w:r>
        <w:rPr>
          <w:rtl/>
        </w:rPr>
        <w:t>–</w:t>
      </w:r>
      <w:r>
        <w:rPr>
          <w:rFonts w:hint="cs"/>
          <w:rtl/>
        </w:rPr>
        <w:t xml:space="preserve"> 1977. </w:t>
      </w:r>
    </w:p>
    <w:p w14:paraId="697B8663" w14:textId="77777777" w:rsidR="00DF203B" w:rsidRDefault="00DF203B" w:rsidP="00DF203B">
      <w:pPr>
        <w:pStyle w:val="a9"/>
        <w:spacing w:line="360" w:lineRule="auto"/>
        <w:jc w:val="both"/>
        <w:rPr>
          <w:rtl/>
        </w:rPr>
      </w:pPr>
      <w:bookmarkStart w:id="7" w:name="ABSTRACT_END"/>
      <w:bookmarkEnd w:id="7"/>
    </w:p>
    <w:p w14:paraId="42DF7BDA" w14:textId="77777777" w:rsidR="00DF203B" w:rsidRDefault="00DF203B" w:rsidP="00DF203B">
      <w:pPr>
        <w:pStyle w:val="a9"/>
        <w:spacing w:line="360" w:lineRule="auto"/>
        <w:jc w:val="both"/>
        <w:rPr>
          <w:rtl/>
        </w:rPr>
      </w:pPr>
      <w:r>
        <w:rPr>
          <w:rFonts w:hint="cs"/>
          <w:rtl/>
        </w:rPr>
        <w:t xml:space="preserve">בהתאם לעובדות כתב האישום, ביום 2.6.2014 החזיק בנאשם ברכבו ב-18 בקבוקי ליטר וחצי מלאים אשר הכילו חומר מסכן מסוג </w:t>
      </w:r>
      <w:r>
        <w:rPr>
          <w:rFonts w:hint="cs"/>
        </w:rPr>
        <w:t>AB CHMINACA</w:t>
      </w:r>
      <w:r>
        <w:rPr>
          <w:rFonts w:hint="cs"/>
          <w:rtl/>
        </w:rPr>
        <w:t xml:space="preserve"> (להלן: "החומר המסכן") במצב נוזלי ובמשקל כולל של 15,507 גרם ברוטו. בנסיבות אלה, החזיק הנאשם ב-475 שקיות עליהן רשום "</w:t>
      </w:r>
      <w:r>
        <w:t>magic smoke</w:t>
      </w:r>
      <w:r>
        <w:rPr>
          <w:rFonts w:hint="cs"/>
          <w:rtl/>
        </w:rPr>
        <w:t xml:space="preserve"> 10 גרם" אשר מכילות את החומר המסכן ובכמות נוספת של 2,920.28 גרם החומר המסכן בתפזורת. באותן נסיבות החזיק הנאשם ברכב בשלושה משקלים אלקטרוניים, ג'ריקן, מכונת הלחמה לשקיות, שקיות ריקות לצורך הפצה ובשני מכשירי טלפון ניידים החשודים כגנובים.</w:t>
      </w:r>
    </w:p>
    <w:p w14:paraId="129F25A7" w14:textId="77777777" w:rsidR="00DF203B" w:rsidRDefault="00DF203B" w:rsidP="00DF203B">
      <w:pPr>
        <w:spacing w:line="360" w:lineRule="auto"/>
        <w:jc w:val="both"/>
        <w:rPr>
          <w:b/>
          <w:bCs/>
          <w:u w:val="single"/>
          <w:rtl/>
        </w:rPr>
      </w:pPr>
    </w:p>
    <w:p w14:paraId="7E7427C5" w14:textId="77777777" w:rsidR="00DF203B" w:rsidRPr="00F74F38" w:rsidRDefault="00DF203B" w:rsidP="00DF203B">
      <w:pPr>
        <w:spacing w:line="360" w:lineRule="auto"/>
        <w:jc w:val="both"/>
        <w:rPr>
          <w:b/>
          <w:bCs/>
          <w:u w:val="single"/>
          <w:rtl/>
        </w:rPr>
      </w:pPr>
      <w:r w:rsidRPr="00F74F38">
        <w:rPr>
          <w:rFonts w:hint="cs"/>
          <w:b/>
          <w:bCs/>
          <w:u w:val="single"/>
          <w:rtl/>
        </w:rPr>
        <w:t>תסקיר שרות המבחן</w:t>
      </w:r>
    </w:p>
    <w:p w14:paraId="4926A1EF" w14:textId="77777777" w:rsidR="00DF203B" w:rsidRDefault="00DF203B" w:rsidP="00DF203B">
      <w:pPr>
        <w:pStyle w:val="a9"/>
        <w:numPr>
          <w:ilvl w:val="0"/>
          <w:numId w:val="1"/>
        </w:numPr>
        <w:spacing w:line="360" w:lineRule="auto"/>
        <w:jc w:val="both"/>
      </w:pPr>
      <w:r>
        <w:rPr>
          <w:rFonts w:hint="cs"/>
          <w:rtl/>
        </w:rPr>
        <w:t xml:space="preserve">בטרם נשמעו טיעונים לעונש, הוגש תסקיר שניתן בעניינו של הנאשם במסגרת </w:t>
      </w:r>
      <w:hyperlink r:id="rId16" w:history="1">
        <w:r w:rsidR="00B116FE" w:rsidRPr="00B116FE">
          <w:rPr>
            <w:color w:val="0000FF"/>
            <w:u w:val="single"/>
            <w:rtl/>
          </w:rPr>
          <w:t>ת"פ (מחוזי ת"א) 55959-02-16</w:t>
        </w:r>
      </w:hyperlink>
      <w:r>
        <w:rPr>
          <w:rFonts w:hint="cs"/>
          <w:rtl/>
        </w:rPr>
        <w:t xml:space="preserve"> (להלן: "התיק המחוזי"), זאת בהתחשב בחובת קבלת התסקיר לאור גילו של הנאשם בעת ביצוע העבירות. בהמשך, בשל התמשכות ההליך, התקבל תסקיר נוסף מעודכן. שרות המבחן תיאר את נסיבות חיי הנאשם שהובילו אותו </w:t>
      </w:r>
      <w:r>
        <w:rPr>
          <w:rFonts w:hint="cs"/>
          <w:rtl/>
        </w:rPr>
        <w:lastRenderedPageBreak/>
        <w:t xml:space="preserve">לביצוע העבירה, וכן את שילובו בהליך טיפולי במסגרת התיק המחוזי. הנאשם השתתף בקשר טיפולי במשך תקופה של שנה וחצי, כמשתתף משמעותי ואף כמודל לחיקוי לחברי קבוצה טיפולית. שרות המבחן התרשם כי הנאשם עבר תהליך שינוי משמעותי בשנים האחרונות בהן השתלב בהליך טיפולי, ניתק את קשריו השוליים, ושמר על יציבות תעסוקתית אף לצד ביצוע עבודות שירות. לפיכך, הדגיש שירות המבחן כי לא התרשם מדפוסי חשיבה והתנהגות עברייניים מושרשים, וכן כי בעת הנוכחית פחת הסיכוי להישנות מעורבות בפלילים. בנסיבות אלה, המליץ שירות המבחן על הטלת של"צ בהיקף של 100 שעות, צו מבחן למשך חצי שנה ומאסר מותנה. </w:t>
      </w:r>
    </w:p>
    <w:p w14:paraId="6A1F20EB" w14:textId="77777777" w:rsidR="00DF203B" w:rsidRDefault="00DF203B" w:rsidP="00DF203B">
      <w:pPr>
        <w:spacing w:line="360" w:lineRule="auto"/>
        <w:jc w:val="both"/>
        <w:rPr>
          <w:rtl/>
        </w:rPr>
      </w:pPr>
    </w:p>
    <w:p w14:paraId="473EC212" w14:textId="77777777" w:rsidR="00DF203B" w:rsidRPr="00F74F38" w:rsidRDefault="00DF203B" w:rsidP="00DF203B">
      <w:pPr>
        <w:spacing w:line="360" w:lineRule="auto"/>
        <w:jc w:val="both"/>
        <w:rPr>
          <w:b/>
          <w:bCs/>
          <w:u w:val="single"/>
          <w:rtl/>
        </w:rPr>
      </w:pPr>
      <w:r w:rsidRPr="00F74F38">
        <w:rPr>
          <w:rFonts w:hint="cs"/>
          <w:b/>
          <w:bCs/>
          <w:u w:val="single"/>
          <w:rtl/>
        </w:rPr>
        <w:t>טיעוני הצדדים</w:t>
      </w:r>
    </w:p>
    <w:p w14:paraId="4DA7F931" w14:textId="77777777" w:rsidR="00DF203B" w:rsidRDefault="00DF203B" w:rsidP="00DF203B">
      <w:pPr>
        <w:pStyle w:val="a9"/>
        <w:numPr>
          <w:ilvl w:val="0"/>
          <w:numId w:val="1"/>
        </w:numPr>
        <w:spacing w:line="360" w:lineRule="auto"/>
        <w:jc w:val="both"/>
      </w:pPr>
      <w:r>
        <w:rPr>
          <w:rFonts w:hint="cs"/>
          <w:rtl/>
        </w:rPr>
        <w:t>ב"כ המאשימה טענה כי מדובר בהסתבכותו הראשונה של הנאשם עם החוק, כשהחזיק בכמויות משמעותיות של החומר המסוכן הנמצא בעיקר בשימוש של נוער, גורם לנזקים ארוכי טווח על הגוף ומביא לסיכונים בריאותיים וחברתיים. כעבור כשנה וחצי לאחר ביצוע העבירות, המשיך הנאשם בפעילותו העבריינית תוך שייצר והחזיק ביחד עם אחר כמות גדולה יותר של אותו חומר מסוכן, אשר באותו שלב נכלל ב</w:t>
      </w:r>
      <w:hyperlink r:id="rId17" w:history="1">
        <w:r w:rsidR="00B116FE" w:rsidRPr="00B116FE">
          <w:rPr>
            <w:color w:val="0000FF"/>
            <w:u w:val="single"/>
            <w:rtl/>
          </w:rPr>
          <w:t>פקודת הסמים המסוכנים</w:t>
        </w:r>
      </w:hyperlink>
      <w:r>
        <w:rPr>
          <w:rFonts w:hint="cs"/>
          <w:rtl/>
        </w:rPr>
        <w:t xml:space="preserve">, הודה ונגזר דינו בבית המשפט המחוזי למאסר בעבודות שרות. ב"כ המאשימה הפנתה לגזר הדין בבית המשפט המחוזי וטענה כי העונש שהוטל על הנאשם נובע אך ורק בשל עיקרון אחידות הענישה עם שותפו באותו מקרה. בנסיבות המקרה הנדון, טענה כי יש לקבוע מתחם ענישה הנע בין 9 ל-18 חודשי מאסר. בעניינו של נאשם זה, עתרה להסתפק ברף התחתון.  </w:t>
      </w:r>
    </w:p>
    <w:p w14:paraId="400F9FAC" w14:textId="77777777" w:rsidR="00DF203B" w:rsidRDefault="00DF203B" w:rsidP="00DF203B">
      <w:pPr>
        <w:pStyle w:val="a9"/>
        <w:spacing w:line="360" w:lineRule="auto"/>
        <w:jc w:val="both"/>
        <w:rPr>
          <w:rtl/>
        </w:rPr>
      </w:pPr>
      <w:r>
        <w:rPr>
          <w:rFonts w:hint="cs"/>
          <w:rtl/>
        </w:rPr>
        <w:t>ב"כ המאשימה הגישה פסקי דין על מנת לתמוך בטיעוניה.</w:t>
      </w:r>
    </w:p>
    <w:p w14:paraId="326D5F47" w14:textId="77777777" w:rsidR="00DF203B" w:rsidRDefault="00DF203B" w:rsidP="00DF203B">
      <w:pPr>
        <w:pStyle w:val="a9"/>
        <w:spacing w:line="360" w:lineRule="auto"/>
        <w:jc w:val="both"/>
      </w:pPr>
      <w:r>
        <w:rPr>
          <w:rFonts w:hint="cs"/>
          <w:rtl/>
        </w:rPr>
        <w:t xml:space="preserve"> </w:t>
      </w:r>
    </w:p>
    <w:p w14:paraId="28ECFFCF" w14:textId="77777777" w:rsidR="00DF203B" w:rsidRDefault="00DF203B" w:rsidP="00DF203B">
      <w:pPr>
        <w:pStyle w:val="a9"/>
        <w:numPr>
          <w:ilvl w:val="0"/>
          <w:numId w:val="1"/>
        </w:numPr>
        <w:spacing w:line="360" w:lineRule="auto"/>
        <w:jc w:val="both"/>
      </w:pPr>
      <w:r>
        <w:rPr>
          <w:rFonts w:hint="cs"/>
          <w:rtl/>
        </w:rPr>
        <w:t>ב"כ הנאשם הדגיש את הפער לחומרה בין התיק המחוזי, בו הורשע הנאשם בעבירות סמים מסוכנים, לבין התיק הנדון בו הורשע הנאשם בעבירת חומר מסוכן וכן בכמות הקטנה בחצי מזו בה הורשע בתיק המחוזי. בנוסף, טען כי יש לתת משקל לחלוף הזמן מאז ביצוע העבירות בשנת 2014, כאשר המאשימה הגישה את כתב האישום בשנת 2016, זאת לאחר הגשת כתב האישום בתיק המחוזי. לגבי גזר דינו של הנאשם בתיק המחוזי, היפנה ב"כ הנאשם לכך שכב' השופטת חיימוביץ' נימקה את עונשו על אחידות הענישה אך גם על הירתמות הנאשם להליך טיפולי. ב"כ הנאשם הוסיף כי יש להתייחס לחומר המסוכן בהתאם להגדרתו בחוק בעת ביצוע העבירה, וכן כי הטענה לגבי שימוש בחומר המסוכן על ידי נוער אינה מבוססת. ב"כ הנאשם טען כי מתחם הענישה נע בין מאסר מותנה למאסר שירוצה בעבודות שרות. תחילה, טען כי יש להטיל מאסר שירוצה בעבודות שרות למשך חודשיים-שלושה במצטבר לעבודות השרות אותן הנאשם ריצה בגין התיק המחוזי, אך לאחר קבלת תסקיר משלים טען כי יש לאמץ את ההמלצה להטלת של"צ.</w:t>
      </w:r>
    </w:p>
    <w:p w14:paraId="271E79F3" w14:textId="77777777" w:rsidR="00DF203B" w:rsidRDefault="00DF203B" w:rsidP="00DF203B">
      <w:pPr>
        <w:pStyle w:val="a9"/>
        <w:spacing w:line="360" w:lineRule="auto"/>
        <w:jc w:val="both"/>
      </w:pPr>
      <w:r>
        <w:rPr>
          <w:rFonts w:hint="cs"/>
          <w:rtl/>
        </w:rPr>
        <w:t xml:space="preserve"> </w:t>
      </w:r>
    </w:p>
    <w:p w14:paraId="57391945" w14:textId="77777777" w:rsidR="00DF203B" w:rsidRDefault="00DF203B" w:rsidP="00DF203B">
      <w:pPr>
        <w:spacing w:line="360" w:lineRule="auto"/>
        <w:jc w:val="both"/>
        <w:rPr>
          <w:b/>
          <w:bCs/>
          <w:u w:val="single"/>
          <w:rtl/>
        </w:rPr>
      </w:pPr>
      <w:r w:rsidRPr="00C6454F">
        <w:rPr>
          <w:rFonts w:hint="cs"/>
          <w:b/>
          <w:bCs/>
          <w:u w:val="single"/>
          <w:rtl/>
        </w:rPr>
        <w:t>דיון והכרעה</w:t>
      </w:r>
    </w:p>
    <w:p w14:paraId="448B5C89" w14:textId="77777777" w:rsidR="00DF203B" w:rsidRDefault="00DF203B" w:rsidP="00DF203B">
      <w:pPr>
        <w:pStyle w:val="a9"/>
        <w:numPr>
          <w:ilvl w:val="0"/>
          <w:numId w:val="1"/>
        </w:numPr>
        <w:spacing w:line="360" w:lineRule="auto"/>
        <w:jc w:val="both"/>
      </w:pPr>
      <w:r>
        <w:rPr>
          <w:rFonts w:hint="cs"/>
          <w:rtl/>
        </w:rPr>
        <w:lastRenderedPageBreak/>
        <w:t xml:space="preserve">הנאשם הורשע בגין עבירה על חוק המאבק, שנועד לאפשר לשקול מהם סמים לצורך הוספתם לפקודת הסמים, זאת כחלק מהתופעה של שימוש ב"סמים חוקיים", לכאורה, הנפוץ בעיקר בקרב בני נוער: </w:t>
      </w:r>
    </w:p>
    <w:p w14:paraId="3169BFE6" w14:textId="77777777" w:rsidR="00DF203B" w:rsidRDefault="00DF203B" w:rsidP="00DF203B">
      <w:pPr>
        <w:pStyle w:val="a9"/>
        <w:ind w:left="1361" w:right="1418"/>
        <w:jc w:val="both"/>
        <w:rPr>
          <w:rFonts w:ascii="David" w:hAnsi="David"/>
          <w:rtl/>
        </w:rPr>
      </w:pPr>
      <w:r>
        <w:rPr>
          <w:rFonts w:hint="cs"/>
          <w:rtl/>
        </w:rPr>
        <w:t>"</w:t>
      </w:r>
      <w:r w:rsidRPr="002E5411">
        <w:rPr>
          <w:rFonts w:ascii="David" w:hAnsi="David"/>
          <w:b/>
          <w:bCs/>
          <w:rtl/>
        </w:rPr>
        <w:t>...חוק זה נועד להילחם נגד התופעה הנפוצה של שימוש ב"סמים חוקיים" לכאורה. השימוש בחומרים כאלה נפוץ במידה מדאיגה, בין בני היתר בקרב נוער וצעירים. "מנתוני משרד החינוך עולה כי כאלפי בני נוער בארץ צורכים חומרים מסכנים, מדי שנה בשנה, ונתונים להשפעות המזיקות של חומרים אלה" (ראו: הצעת חוק המאבק בתופעת השימוש בחומרים מסוכנים, התשע"ג-2013, ה"ח 783, בעמ' 1020). כמו בתחומים אחרים, ההתפתחות הטכנולוגית או מעין-טכנולוגית מהירה יותר מהיכולת של הדין להתייחס אליה. פער זה מביא לכך שסמים שונים הגורמים להשפעות פסיכואקטיביות (ראו שם</w:t>
      </w:r>
      <w:r>
        <w:rPr>
          <w:rFonts w:ascii="David" w:hAnsi="David"/>
          <w:b/>
          <w:bCs/>
          <w:rtl/>
        </w:rPr>
        <w:t>) אינם אסורים בדין</w:t>
      </w:r>
      <w:r>
        <w:rPr>
          <w:rFonts w:ascii="David" w:hAnsi="David" w:hint="cs"/>
          <w:rtl/>
        </w:rPr>
        <w:t xml:space="preserve">" </w:t>
      </w:r>
    </w:p>
    <w:p w14:paraId="40F3A303" w14:textId="77777777" w:rsidR="00DF203B" w:rsidRDefault="00DF203B" w:rsidP="00DF203B">
      <w:pPr>
        <w:pStyle w:val="a9"/>
        <w:ind w:left="1361" w:right="1418"/>
        <w:jc w:val="both"/>
        <w:rPr>
          <w:rFonts w:ascii="David" w:hAnsi="David"/>
          <w:rtl/>
        </w:rPr>
      </w:pPr>
      <w:r>
        <w:rPr>
          <w:rFonts w:ascii="David" w:hAnsi="David" w:hint="cs"/>
          <w:rtl/>
        </w:rPr>
        <w:t>(</w:t>
      </w:r>
      <w:hyperlink r:id="rId18" w:history="1">
        <w:r w:rsidR="00B116FE" w:rsidRPr="00B116FE">
          <w:rPr>
            <w:rFonts w:ascii="David" w:hAnsi="David"/>
            <w:color w:val="0000FF"/>
            <w:u w:val="single"/>
            <w:rtl/>
          </w:rPr>
          <w:t>ע"פ 7962/15</w:t>
        </w:r>
      </w:hyperlink>
      <w:r>
        <w:rPr>
          <w:rFonts w:ascii="David" w:hAnsi="David" w:hint="cs"/>
          <w:rtl/>
        </w:rPr>
        <w:t xml:space="preserve"> </w:t>
      </w:r>
      <w:r>
        <w:rPr>
          <w:rFonts w:ascii="David" w:hAnsi="David" w:hint="cs"/>
          <w:b/>
          <w:bCs/>
          <w:rtl/>
        </w:rPr>
        <w:t xml:space="preserve">יוסף אשורוב נ' מדינת ישראל </w:t>
      </w:r>
      <w:r>
        <w:rPr>
          <w:rFonts w:ascii="David" w:hAnsi="David" w:hint="cs"/>
          <w:rtl/>
        </w:rPr>
        <w:t>פסקה 3 (25.9.2016)).</w:t>
      </w:r>
    </w:p>
    <w:p w14:paraId="5DC1765E" w14:textId="77777777" w:rsidR="00DF203B" w:rsidRPr="002E5411" w:rsidRDefault="00DF203B" w:rsidP="00DF203B">
      <w:pPr>
        <w:pStyle w:val="a9"/>
        <w:ind w:left="1361" w:right="1418"/>
        <w:jc w:val="both"/>
        <w:rPr>
          <w:rFonts w:ascii="David" w:hAnsi="David"/>
          <w:rtl/>
        </w:rPr>
      </w:pPr>
      <w:r>
        <w:rPr>
          <w:rFonts w:ascii="David" w:hAnsi="David" w:hint="cs"/>
          <w:rtl/>
        </w:rPr>
        <w:t xml:space="preserve"> </w:t>
      </w:r>
    </w:p>
    <w:p w14:paraId="61E6CA8A" w14:textId="77777777" w:rsidR="00DF203B" w:rsidRDefault="00DF203B" w:rsidP="00DF203B">
      <w:pPr>
        <w:spacing w:line="360" w:lineRule="auto"/>
        <w:ind w:left="720"/>
        <w:jc w:val="both"/>
        <w:rPr>
          <w:rtl/>
        </w:rPr>
      </w:pPr>
      <w:r>
        <w:rPr>
          <w:rFonts w:hint="cs"/>
          <w:rtl/>
        </w:rPr>
        <w:t>בנסיבות מקרה זה, מדובר בחומר שאכן הוסף ל</w:t>
      </w:r>
      <w:hyperlink r:id="rId19" w:history="1">
        <w:r w:rsidR="00B116FE" w:rsidRPr="00B116FE">
          <w:rPr>
            <w:color w:val="0000FF"/>
            <w:u w:val="single"/>
            <w:rtl/>
          </w:rPr>
          <w:t>פקודת הסמים המסוכנים</w:t>
        </w:r>
      </w:hyperlink>
      <w:r>
        <w:rPr>
          <w:rFonts w:hint="cs"/>
          <w:rtl/>
        </w:rPr>
        <w:t>, מספר חודשים לאחר המעשים בהם הורשע הנאשם. בהתחשב במשקל המשמעותי ביותר של החומר המסכן שנתפס בידי הנאשם, מאות השקיות שנתפסו בהן החומר המסכן, והציוד הנוסף שנתפס בידי הנאשם אשר נועד לסייע בהפצת חומר זה - המעידים כולם על הסכנה הרבה לציבור רחב - מדובר בפגיעה משמעותית ביותר בערך המוגן של שלום הציבור ובריאותו. לצד זאת, יש לזכור כי המחוקק קבע עבירה זו כעבירה מסוג עוון לעומת עבירת החזקת סם שלא לצריכה עצמית אשר העונש המירבי בגינה הוא עשרים שנות מאסר.</w:t>
      </w:r>
    </w:p>
    <w:p w14:paraId="6DF4FA87" w14:textId="77777777" w:rsidR="00DF203B" w:rsidRDefault="00DF203B" w:rsidP="00DF203B">
      <w:pPr>
        <w:spacing w:line="360" w:lineRule="auto"/>
        <w:ind w:left="360"/>
        <w:jc w:val="both"/>
        <w:rPr>
          <w:rtl/>
        </w:rPr>
      </w:pPr>
      <w:r>
        <w:rPr>
          <w:rFonts w:hint="cs"/>
          <w:rtl/>
        </w:rPr>
        <w:t xml:space="preserve"> </w:t>
      </w:r>
    </w:p>
    <w:p w14:paraId="6A3C0A8C" w14:textId="77777777" w:rsidR="00DF203B" w:rsidRDefault="00DF203B" w:rsidP="00DF203B">
      <w:pPr>
        <w:spacing w:line="360" w:lineRule="auto"/>
        <w:ind w:left="720"/>
        <w:jc w:val="both"/>
        <w:rPr>
          <w:rtl/>
        </w:rPr>
      </w:pPr>
      <w:r>
        <w:rPr>
          <w:rFonts w:hint="cs"/>
          <w:rtl/>
        </w:rPr>
        <w:t>בהתחשב בכל האמור לעיל, וכן הפסיקה שהציגה המאשימה, אני מוצא כי יש לאמץ את הרף התחתון של מתחם הענישה לו עתרה המאשימה. אשר לרף העליון, מדובר בטווח ענישה מצומצם שאינו מאפיין מתחם ענישה. לפיכך, אני קובע כי מתחם הענישה במקרה זה נע בין 9 חודשי מאסר שיכול וירוצו בעבודות שירות ועד ל-24 חודשי מאסר.</w:t>
      </w:r>
    </w:p>
    <w:p w14:paraId="1C6D804B" w14:textId="77777777" w:rsidR="00DF203B" w:rsidRDefault="00DF203B" w:rsidP="00DF203B">
      <w:pPr>
        <w:spacing w:line="360" w:lineRule="auto"/>
        <w:ind w:left="720"/>
        <w:jc w:val="both"/>
        <w:rPr>
          <w:rtl/>
        </w:rPr>
      </w:pPr>
      <w:r>
        <w:rPr>
          <w:rFonts w:hint="cs"/>
          <w:rtl/>
        </w:rPr>
        <w:t xml:space="preserve"> </w:t>
      </w:r>
    </w:p>
    <w:p w14:paraId="2FDF7226" w14:textId="77777777" w:rsidR="00DF203B" w:rsidRDefault="00DF203B" w:rsidP="00DF203B">
      <w:pPr>
        <w:pStyle w:val="a9"/>
        <w:numPr>
          <w:ilvl w:val="0"/>
          <w:numId w:val="1"/>
        </w:numPr>
        <w:spacing w:line="360" w:lineRule="auto"/>
        <w:jc w:val="both"/>
      </w:pPr>
      <w:r>
        <w:rPr>
          <w:rFonts w:hint="cs"/>
          <w:rtl/>
        </w:rPr>
        <w:t>הנאשם הורשע בבית המשפט המחוזי, בגין עבירה של החזקת כמות גדולה באופן משמעותי של חומר דומה, אך לאחר שהוכר כסם ולפיכך הורשע בעבירה על פקודת הסמים. מדובר בעבירה שבוצעה לאחר ביצוע העבירה בתיק הנוכחי, אולם כתב האישום בבית המשפט המחוזי הוגש בטרם הוגש כתב אישום זה. למעשה, לא היתה כל מניעה להגיש כתב אישום זה כאישום נפרד במסגרת כתב האישום אשר הוגש בבית המשפט המחוזי. בתום ההליך בבית המשפט המחוזי, גזר בית המשפט על הנאשם מאסר בעבודות שירות למשך שישה חודשים, כאשר אחד מנימוקיו העיקריים נשען על עקרון אחידות הענישה נוכח העונש שהוטל על שותפו של הנאשם באותו מקרה, אשר עבר הליך שיקומי מרשים (</w:t>
      </w:r>
      <w:hyperlink r:id="rId20" w:history="1">
        <w:r w:rsidR="00B116FE" w:rsidRPr="00B116FE">
          <w:rPr>
            <w:color w:val="0000FF"/>
            <w:u w:val="single"/>
            <w:rtl/>
          </w:rPr>
          <w:t>ת"פ (מחוזי ת"א) 55959-02-16</w:t>
        </w:r>
      </w:hyperlink>
      <w:r>
        <w:rPr>
          <w:rFonts w:hint="cs"/>
          <w:rtl/>
        </w:rPr>
        <w:t xml:space="preserve">, עמ' 3 ש- 3-5 לפרוט'). איני מקבל את טיעוני המאשימה המבקשת שלא לתת משקל משמעותי לגזר דינו של הנאשם במסגרת התיק המחוזי: </w:t>
      </w:r>
    </w:p>
    <w:p w14:paraId="2A2AD86C" w14:textId="77777777" w:rsidR="00DF203B" w:rsidRDefault="00DF203B" w:rsidP="00DF203B">
      <w:pPr>
        <w:pStyle w:val="a9"/>
        <w:spacing w:line="360" w:lineRule="auto"/>
        <w:jc w:val="both"/>
        <w:rPr>
          <w:rtl/>
        </w:rPr>
      </w:pPr>
      <w:r>
        <w:rPr>
          <w:rFonts w:hint="cs"/>
          <w:rtl/>
        </w:rPr>
        <w:t xml:space="preserve">ראשית, כאמור לעיל, אין להטיל על הנאשם אחריות על כך שכתבי האישום פוצלו על ידי המדינה. שנית, בית המשפט המחוזי היה מודע לקיומו של הליך נוסף התלוי כנגד הנאשם. שלישית, הנאשם העלה טיעונים ראייתיים לגבי שרשרת הסם, ולפיכך נדחה הדיון בעניינו. אין לקבל טענה כלשהי כנגד התנהלות משפטית זו של הנאשם, אשר הודה בסופו של יום בכתב האישום. רביעית, וחשוב מכל, אני מוצא כי אותה הנמקה ששימשה את כב' בית המשפט המחוזי לשם הקלה מטעמי שיקום בעניינו של שותפו של הנאשם, והתייחסה אף להליך שיקומי שעבר הנאשם בעצמו, מקבלת משנה תוקף בשלב הנוכחי. מאז הסתיים ההליך בתיק המחוזי, הנאשם המשיך בקשר עם שירות המבחן אשר הגיש לבית המשפט תסקיר עדכני. כמפורט לעיל, הנאשם עבר הליך שיקומי מרשים לאורך תקופה ארוכה, ניתק את קשריו השוליים, השתלב בעבודה יציבה, ושירות המבחן התרשם מהפחתה בסכנה להישנות עבירות. יש להזכיר כי מדובר בעבירה שבוצעה בשנת 2014. שירות המבחן המליץ לבית המשפט לנקוט בענישה שיקומית, הכוללת צו מבחן ושל"צ, זאת בהתבסס על ההליך השיקומי שעבר הנאשם. המלצת שירות המבחן אינה מתחשבת דיה בחומרת העבירה ובשיקולי ענישה נדרשים, סוגיות שאינן מצויות במסגרת שיקול דעתו, אך יש בהחלט להתחשב בה כמבססת שיקולי שיקום המחייבים סטיה לקולא ממתחם הענישה, ועידודו של הנאשם להמשיך בדרך החיובית בה הוא נמצא. יחד עם זאת, בשל נימוקי הענישה הנוספים, ובהם מידת הפגיעה בערכים המוגנים ועקרון ההלימה, אין לאמץ את המלצת שירות המבחן כפי עתירת ב"כ הנאשם. </w:t>
      </w:r>
    </w:p>
    <w:p w14:paraId="48BD7F0D" w14:textId="77777777" w:rsidR="00DF203B" w:rsidRDefault="00DF203B" w:rsidP="00DF203B">
      <w:pPr>
        <w:pStyle w:val="a9"/>
        <w:spacing w:line="360" w:lineRule="auto"/>
        <w:jc w:val="both"/>
        <w:rPr>
          <w:rtl/>
        </w:rPr>
      </w:pPr>
    </w:p>
    <w:p w14:paraId="28BFEB11" w14:textId="77777777" w:rsidR="00DF203B" w:rsidRDefault="00DF203B" w:rsidP="00DF203B">
      <w:pPr>
        <w:pStyle w:val="a9"/>
        <w:spacing w:line="360" w:lineRule="auto"/>
        <w:jc w:val="both"/>
        <w:rPr>
          <w:rtl/>
        </w:rPr>
      </w:pPr>
      <w:r>
        <w:rPr>
          <w:rFonts w:hint="cs"/>
          <w:rtl/>
        </w:rPr>
        <w:t xml:space="preserve">לאחר ששבתי ובחנתי את כל האמור לעיל, החלטתי להטיל על הנאשם את העונשים הבאים: </w:t>
      </w:r>
    </w:p>
    <w:p w14:paraId="65A9C0BE" w14:textId="77777777" w:rsidR="00DF203B" w:rsidRDefault="00DF203B" w:rsidP="00DF203B">
      <w:pPr>
        <w:pStyle w:val="a9"/>
        <w:numPr>
          <w:ilvl w:val="0"/>
          <w:numId w:val="2"/>
        </w:numPr>
        <w:spacing w:line="360" w:lineRule="auto"/>
        <w:jc w:val="both"/>
      </w:pPr>
      <w:r>
        <w:rPr>
          <w:rFonts w:hint="cs"/>
          <w:rtl/>
        </w:rPr>
        <w:t xml:space="preserve">שלושה חודשי מאסר שירוצו בעבודות שירות, זאת בהתאם לחוות דעת הממונה. </w:t>
      </w:r>
    </w:p>
    <w:p w14:paraId="3C54237F" w14:textId="77777777" w:rsidR="00DF203B" w:rsidRDefault="00DF203B" w:rsidP="00DF203B">
      <w:pPr>
        <w:pStyle w:val="a9"/>
        <w:numPr>
          <w:ilvl w:val="0"/>
          <w:numId w:val="2"/>
        </w:numPr>
        <w:spacing w:line="360" w:lineRule="auto"/>
        <w:jc w:val="both"/>
      </w:pPr>
      <w:r>
        <w:rPr>
          <w:rFonts w:hint="cs"/>
          <w:rtl/>
        </w:rPr>
        <w:t xml:space="preserve">שישה חודשי מאסר, אותם לא ירצה הנאשם אלא אם יעבור תוך שלוש שנים מהיום עבירה על חוק המאבק. </w:t>
      </w:r>
    </w:p>
    <w:p w14:paraId="02E29D40" w14:textId="77777777" w:rsidR="00DF203B" w:rsidRDefault="00DF203B" w:rsidP="00DF203B">
      <w:pPr>
        <w:pStyle w:val="a9"/>
        <w:numPr>
          <w:ilvl w:val="0"/>
          <w:numId w:val="2"/>
        </w:numPr>
        <w:spacing w:line="360" w:lineRule="auto"/>
        <w:jc w:val="both"/>
      </w:pPr>
      <w:r>
        <w:rPr>
          <w:rFonts w:hint="cs"/>
          <w:rtl/>
        </w:rPr>
        <w:t xml:space="preserve">חודשיים מאסר אותם לא ירצה הנאשם אלא אם יעבור תוך שלוש שנים מהיום עבירת רכוש מסוג כלשהו, לרבות על </w:t>
      </w:r>
      <w:hyperlink r:id="rId21" w:history="1">
        <w:r w:rsidR="007431D8" w:rsidRPr="007431D8">
          <w:rPr>
            <w:rStyle w:val="Hyperlink"/>
            <w:rFonts w:hint="eastAsia"/>
            <w:color w:val="0000FF"/>
            <w:rtl/>
          </w:rPr>
          <w:t>סעיף</w:t>
        </w:r>
        <w:r w:rsidR="007431D8" w:rsidRPr="007431D8">
          <w:rPr>
            <w:rStyle w:val="Hyperlink"/>
            <w:color w:val="0000FF"/>
            <w:rtl/>
          </w:rPr>
          <w:t xml:space="preserve"> 413</w:t>
        </w:r>
      </w:hyperlink>
      <w:r>
        <w:rPr>
          <w:rFonts w:hint="cs"/>
          <w:rtl/>
        </w:rPr>
        <w:t xml:space="preserve"> ל</w:t>
      </w:r>
      <w:hyperlink r:id="rId22" w:history="1">
        <w:r w:rsidR="00B116FE" w:rsidRPr="00B116FE">
          <w:rPr>
            <w:color w:val="0000FF"/>
            <w:u w:val="single"/>
            <w:rtl/>
          </w:rPr>
          <w:t>חוק העונשין</w:t>
        </w:r>
      </w:hyperlink>
      <w:r>
        <w:rPr>
          <w:rFonts w:hint="cs"/>
          <w:rtl/>
        </w:rPr>
        <w:t>.</w:t>
      </w:r>
    </w:p>
    <w:p w14:paraId="4AB7591F" w14:textId="77777777" w:rsidR="00DF203B" w:rsidRDefault="00DF203B" w:rsidP="00DF203B">
      <w:pPr>
        <w:pStyle w:val="a9"/>
        <w:numPr>
          <w:ilvl w:val="0"/>
          <w:numId w:val="2"/>
        </w:numPr>
        <w:spacing w:line="360" w:lineRule="auto"/>
        <w:jc w:val="both"/>
      </w:pPr>
      <w:r>
        <w:rPr>
          <w:rFonts w:hint="cs"/>
          <w:rtl/>
        </w:rPr>
        <w:t xml:space="preserve">ניתן צו להשמדת החומרים המסכנים ולחילוט או השמדת שאר המוצגים, בהתאם לשיקול דעת קצין משטרה. סכום הכסף בסך 620 ₪ יושב לידי הנאשם באמצעות היחידה החוקרת. </w:t>
      </w:r>
    </w:p>
    <w:p w14:paraId="76E2CEEE" w14:textId="77777777" w:rsidR="00DF203B" w:rsidRPr="00556ADB" w:rsidRDefault="00DF203B" w:rsidP="00DF203B">
      <w:pPr>
        <w:spacing w:line="360" w:lineRule="auto"/>
        <w:ind w:left="720"/>
        <w:jc w:val="both"/>
        <w:rPr>
          <w:rtl/>
        </w:rPr>
      </w:pPr>
    </w:p>
    <w:p w14:paraId="76297B0A" w14:textId="77777777" w:rsidR="00DF203B" w:rsidRPr="00B05847" w:rsidRDefault="00DF203B" w:rsidP="00DF203B">
      <w:pPr>
        <w:spacing w:line="360" w:lineRule="auto"/>
        <w:ind w:left="720"/>
        <w:jc w:val="both"/>
        <w:rPr>
          <w:rtl/>
        </w:rPr>
      </w:pPr>
      <w:r>
        <w:rPr>
          <w:rFonts w:hint="cs"/>
          <w:rtl/>
        </w:rPr>
        <w:t xml:space="preserve">זכות ערעור לבית המשפט המחוזי תוך 45 יום מהיום. </w:t>
      </w:r>
    </w:p>
    <w:p w14:paraId="30623521" w14:textId="77777777" w:rsidR="00DF203B" w:rsidRPr="00B05847" w:rsidRDefault="00DF203B" w:rsidP="00DF203B">
      <w:pPr>
        <w:jc w:val="both"/>
        <w:rPr>
          <w:rtl/>
        </w:rPr>
      </w:pPr>
    </w:p>
    <w:p w14:paraId="429D0EA0" w14:textId="77777777" w:rsidR="00DF203B" w:rsidRPr="00B05847" w:rsidRDefault="00DF203B" w:rsidP="00DF203B">
      <w:pPr>
        <w:jc w:val="both"/>
        <w:rPr>
          <w:rtl/>
        </w:rPr>
      </w:pPr>
    </w:p>
    <w:p w14:paraId="1E46EF96" w14:textId="77777777" w:rsidR="00DF203B" w:rsidRPr="00B05847" w:rsidRDefault="00DF203B" w:rsidP="00DF203B">
      <w:pPr>
        <w:jc w:val="both"/>
        <w:rPr>
          <w:rtl/>
        </w:rPr>
      </w:pPr>
    </w:p>
    <w:p w14:paraId="226210B4" w14:textId="77777777" w:rsidR="00DF203B" w:rsidRPr="00B116FE" w:rsidRDefault="00B116FE" w:rsidP="00DF203B">
      <w:pPr>
        <w:jc w:val="both"/>
        <w:rPr>
          <w:color w:val="FFFFFF"/>
          <w:sz w:val="2"/>
          <w:szCs w:val="2"/>
          <w:rtl/>
        </w:rPr>
      </w:pPr>
      <w:r w:rsidRPr="00B116FE">
        <w:rPr>
          <w:color w:val="FFFFFF"/>
          <w:sz w:val="2"/>
          <w:szCs w:val="2"/>
          <w:rtl/>
        </w:rPr>
        <w:t>5129371</w:t>
      </w:r>
    </w:p>
    <w:p w14:paraId="2727A09C" w14:textId="77777777" w:rsidR="00DF203B" w:rsidRPr="00250B83" w:rsidRDefault="00B116FE" w:rsidP="00DF203B">
      <w:pPr>
        <w:jc w:val="both"/>
        <w:rPr>
          <w:rtl/>
        </w:rPr>
      </w:pPr>
      <w:bookmarkStart w:id="8" w:name="Nitan"/>
      <w:r w:rsidRPr="00B116FE">
        <w:rPr>
          <w:rFonts w:ascii="Arial" w:hAnsi="Arial"/>
          <w:color w:val="FFFFFF"/>
          <w:sz w:val="2"/>
          <w:szCs w:val="2"/>
          <w:rtl/>
        </w:rPr>
        <w:t>54678313</w:t>
      </w:r>
      <w:r>
        <w:rPr>
          <w:rFonts w:ascii="Arial" w:hAnsi="Arial"/>
          <w:rtl/>
        </w:rPr>
        <w:t xml:space="preserve">ניתן היום,  ט"ז שבט תש"פ, 11 פברואר 2020, במעמד הצדדים. </w:t>
      </w:r>
      <w:bookmarkEnd w:id="8"/>
    </w:p>
    <w:p w14:paraId="364944A2" w14:textId="77777777" w:rsidR="00DF203B" w:rsidRPr="00250B83" w:rsidRDefault="00DF203B" w:rsidP="00B116FE">
      <w:pPr>
        <w:jc w:val="both"/>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33DACB07" w14:textId="77777777" w:rsidR="00DF203B" w:rsidRPr="00250B83" w:rsidRDefault="00DF203B" w:rsidP="00DF203B">
      <w:pPr>
        <w:jc w:val="both"/>
        <w:rPr>
          <w:rFonts w:ascii="Arial" w:hAnsi="Arial"/>
          <w:rtl/>
        </w:rPr>
      </w:pPr>
    </w:p>
    <w:p w14:paraId="6BAB8CA7" w14:textId="77777777" w:rsidR="00B116FE" w:rsidRDefault="00B116FE" w:rsidP="00B116FE">
      <w:pPr>
        <w:rPr>
          <w:rtl/>
        </w:rPr>
      </w:pPr>
    </w:p>
    <w:p w14:paraId="2F3FDCF4" w14:textId="77777777" w:rsidR="00B116FE" w:rsidRDefault="00B116FE" w:rsidP="00B116FE">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400C40E7" w14:textId="77777777" w:rsidR="007431D8" w:rsidRPr="007431D8" w:rsidRDefault="007431D8" w:rsidP="007431D8">
      <w:pPr>
        <w:keepNext/>
        <w:rPr>
          <w:rFonts w:ascii="David" w:hAnsi="David"/>
          <w:color w:val="000000"/>
          <w:sz w:val="22"/>
          <w:szCs w:val="22"/>
          <w:rtl/>
        </w:rPr>
      </w:pPr>
    </w:p>
    <w:p w14:paraId="3122A39A" w14:textId="77777777" w:rsidR="007431D8" w:rsidRPr="007431D8" w:rsidRDefault="007431D8" w:rsidP="007431D8">
      <w:pPr>
        <w:keepNext/>
        <w:rPr>
          <w:rFonts w:ascii="David" w:hAnsi="David"/>
          <w:color w:val="000000"/>
          <w:sz w:val="22"/>
          <w:szCs w:val="22"/>
          <w:rtl/>
        </w:rPr>
      </w:pPr>
      <w:r w:rsidRPr="007431D8">
        <w:rPr>
          <w:rFonts w:ascii="David" w:hAnsi="David"/>
          <w:color w:val="000000"/>
          <w:sz w:val="22"/>
          <w:szCs w:val="22"/>
          <w:rtl/>
        </w:rPr>
        <w:t>איתן קורנהאוזר 54678313-/</w:t>
      </w:r>
    </w:p>
    <w:p w14:paraId="18EB21F1" w14:textId="77777777" w:rsidR="00B116FE" w:rsidRPr="00B116FE" w:rsidRDefault="007431D8" w:rsidP="007431D8">
      <w:pPr>
        <w:rPr>
          <w:color w:val="0000FF"/>
          <w:u w:val="single"/>
        </w:rPr>
      </w:pPr>
      <w:r w:rsidRPr="007431D8">
        <w:rPr>
          <w:color w:val="000000"/>
          <w:u w:val="single"/>
          <w:rtl/>
        </w:rPr>
        <w:t>נוסח מסמך זה כפוף לשינויי ניסוח ועריכה</w:t>
      </w:r>
    </w:p>
    <w:sectPr w:rsidR="00B116FE" w:rsidRPr="00B116FE" w:rsidSect="007431D8">
      <w:headerReference w:type="even" r:id="rId24"/>
      <w:headerReference w:type="default" r:id="rId25"/>
      <w:footerReference w:type="even" r:id="rId26"/>
      <w:footerReference w:type="default" r:id="rId2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D364B" w14:textId="77777777" w:rsidR="00A856D2" w:rsidRDefault="00A856D2" w:rsidP="00757FF9">
      <w:r>
        <w:separator/>
      </w:r>
    </w:p>
  </w:endnote>
  <w:endnote w:type="continuationSeparator" w:id="0">
    <w:p w14:paraId="6AEFBB6E" w14:textId="77777777" w:rsidR="00A856D2" w:rsidRDefault="00A856D2" w:rsidP="00757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26407" w14:textId="77777777" w:rsidR="007431D8" w:rsidRDefault="007431D8" w:rsidP="007431D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DA42E04" w14:textId="77777777" w:rsidR="00CA4D27" w:rsidRPr="007431D8" w:rsidRDefault="007431D8" w:rsidP="007431D8">
    <w:pPr>
      <w:pStyle w:val="a5"/>
      <w:pBdr>
        <w:top w:val="single" w:sz="4" w:space="1" w:color="auto"/>
        <w:between w:val="single" w:sz="4" w:space="0" w:color="auto"/>
      </w:pBdr>
      <w:spacing w:after="60"/>
      <w:jc w:val="center"/>
      <w:rPr>
        <w:rFonts w:ascii="FrankRuehl" w:hAnsi="FrankRuehl" w:cs="FrankRuehl"/>
        <w:color w:val="000000"/>
      </w:rPr>
    </w:pPr>
    <w:r w:rsidRPr="007431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C7DF0" w14:textId="77777777" w:rsidR="007431D8" w:rsidRDefault="007431D8" w:rsidP="007431D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0CFD">
      <w:rPr>
        <w:rFonts w:ascii="FrankRuehl" w:hAnsi="FrankRuehl" w:cs="FrankRuehl"/>
        <w:noProof/>
        <w:rtl/>
      </w:rPr>
      <w:t>1</w:t>
    </w:r>
    <w:r>
      <w:rPr>
        <w:rFonts w:ascii="FrankRuehl" w:hAnsi="FrankRuehl" w:cs="FrankRuehl"/>
        <w:rtl/>
      </w:rPr>
      <w:fldChar w:fldCharType="end"/>
    </w:r>
  </w:p>
  <w:p w14:paraId="5E981DED" w14:textId="77777777" w:rsidR="00CA4D27" w:rsidRPr="007431D8" w:rsidRDefault="007431D8" w:rsidP="007431D8">
    <w:pPr>
      <w:pStyle w:val="a5"/>
      <w:pBdr>
        <w:top w:val="single" w:sz="4" w:space="1" w:color="auto"/>
        <w:between w:val="single" w:sz="4" w:space="0" w:color="auto"/>
      </w:pBdr>
      <w:spacing w:after="60"/>
      <w:jc w:val="center"/>
      <w:rPr>
        <w:rFonts w:ascii="FrankRuehl" w:hAnsi="FrankRuehl" w:cs="FrankRuehl"/>
        <w:color w:val="000000"/>
      </w:rPr>
    </w:pPr>
    <w:r w:rsidRPr="007431D8">
      <w:rPr>
        <w:rFonts w:ascii="FrankRuehl" w:hAnsi="FrankRuehl" w:cs="FrankRuehl"/>
        <w:color w:val="000000"/>
      </w:rPr>
      <w:pict w14:anchorId="6F7759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01BD9" w14:textId="77777777" w:rsidR="00A856D2" w:rsidRDefault="00A856D2" w:rsidP="00757FF9">
      <w:r>
        <w:separator/>
      </w:r>
    </w:p>
  </w:footnote>
  <w:footnote w:type="continuationSeparator" w:id="0">
    <w:p w14:paraId="6DDA3DC6" w14:textId="77777777" w:rsidR="00A856D2" w:rsidRDefault="00A856D2" w:rsidP="00757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7CA40" w14:textId="77777777" w:rsidR="00B116FE" w:rsidRPr="007431D8" w:rsidRDefault="007431D8" w:rsidP="007431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56714-02-16</w:t>
    </w:r>
    <w:r>
      <w:rPr>
        <w:rFonts w:ascii="David" w:hAnsi="David"/>
        <w:color w:val="000000"/>
        <w:sz w:val="22"/>
        <w:szCs w:val="22"/>
        <w:rtl/>
      </w:rPr>
      <w:tab/>
      <w:t xml:space="preserve"> מדינת ישראל נ' אבינועם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51ED1" w14:textId="77777777" w:rsidR="00B116FE" w:rsidRPr="007431D8" w:rsidRDefault="007431D8" w:rsidP="007431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56714-02-16</w:t>
    </w:r>
    <w:r>
      <w:rPr>
        <w:rFonts w:ascii="David" w:hAnsi="David"/>
        <w:color w:val="000000"/>
        <w:sz w:val="22"/>
        <w:szCs w:val="22"/>
        <w:rtl/>
      </w:rPr>
      <w:tab/>
      <w:t xml:space="preserve"> מדינת ישראל נ' אבינועם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22D51"/>
    <w:multiLevelType w:val="hybridMultilevel"/>
    <w:tmpl w:val="CAAA87AC"/>
    <w:lvl w:ilvl="0" w:tplc="94F8994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0D03A7"/>
    <w:multiLevelType w:val="hybridMultilevel"/>
    <w:tmpl w:val="B4BE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524742">
    <w:abstractNumId w:val="1"/>
  </w:num>
  <w:num w:numId="2" w16cid:durableId="172741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203B"/>
    <w:rsid w:val="00504FF0"/>
    <w:rsid w:val="007431D8"/>
    <w:rsid w:val="00757FF9"/>
    <w:rsid w:val="00A856D2"/>
    <w:rsid w:val="00AA0CFD"/>
    <w:rsid w:val="00B116FE"/>
    <w:rsid w:val="00CA4D27"/>
    <w:rsid w:val="00CA5B68"/>
    <w:rsid w:val="00CB63BD"/>
    <w:rsid w:val="00DF203B"/>
    <w:rsid w:val="00FC33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DCCF91"/>
  <w15:chartTrackingRefBased/>
  <w15:docId w15:val="{60958E4D-30D0-4AF5-A8E6-DDB3E76B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20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203B"/>
    <w:pPr>
      <w:tabs>
        <w:tab w:val="center" w:pos="4153"/>
        <w:tab w:val="right" w:pos="8306"/>
      </w:tabs>
    </w:pPr>
  </w:style>
  <w:style w:type="character" w:customStyle="1" w:styleId="a4">
    <w:name w:val="כותרת עליונה תו"/>
    <w:link w:val="a3"/>
    <w:rsid w:val="00DF203B"/>
    <w:rPr>
      <w:rFonts w:ascii="Times New Roman" w:eastAsia="Times New Roman" w:hAnsi="Times New Roman" w:cs="David"/>
      <w:sz w:val="24"/>
      <w:szCs w:val="24"/>
    </w:rPr>
  </w:style>
  <w:style w:type="paragraph" w:styleId="a5">
    <w:name w:val="footer"/>
    <w:basedOn w:val="a"/>
    <w:link w:val="a6"/>
    <w:rsid w:val="00DF203B"/>
    <w:pPr>
      <w:tabs>
        <w:tab w:val="center" w:pos="4153"/>
        <w:tab w:val="right" w:pos="8306"/>
      </w:tabs>
    </w:pPr>
  </w:style>
  <w:style w:type="character" w:customStyle="1" w:styleId="a6">
    <w:name w:val="כותרת תחתונה תו"/>
    <w:link w:val="a5"/>
    <w:rsid w:val="00DF203B"/>
    <w:rPr>
      <w:rFonts w:ascii="Times New Roman" w:eastAsia="Times New Roman" w:hAnsi="Times New Roman" w:cs="David"/>
      <w:sz w:val="24"/>
      <w:szCs w:val="24"/>
    </w:rPr>
  </w:style>
  <w:style w:type="table" w:styleId="a7">
    <w:name w:val="Table Grid"/>
    <w:basedOn w:val="a1"/>
    <w:rsid w:val="00DF20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203B"/>
  </w:style>
  <w:style w:type="paragraph" w:styleId="a9">
    <w:name w:val="List Paragraph"/>
    <w:basedOn w:val="a"/>
    <w:qFormat/>
    <w:rsid w:val="00DF203B"/>
    <w:pPr>
      <w:ind w:left="720"/>
      <w:contextualSpacing/>
    </w:pPr>
  </w:style>
  <w:style w:type="character" w:styleId="Hyperlink">
    <w:name w:val="Hyperlink"/>
    <w:rsid w:val="00B116F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127622/7.a.1" TargetMode="External"/><Relationship Id="rId13" Type="http://schemas.openxmlformats.org/officeDocument/2006/relationships/hyperlink" Target="http://www.nevo.co.il/law/127622" TargetMode="External"/><Relationship Id="rId18" Type="http://schemas.openxmlformats.org/officeDocument/2006/relationships/hyperlink" Target="http://www.nevo.co.il/case/20683510"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70301/413" TargetMode="External"/><Relationship Id="rId7" Type="http://schemas.openxmlformats.org/officeDocument/2006/relationships/hyperlink" Target="http://www.nevo.co.il/law/127622" TargetMode="External"/><Relationship Id="rId12" Type="http://schemas.openxmlformats.org/officeDocument/2006/relationships/hyperlink" Target="http://www.nevo.co.il/law/127622/7.a.1" TargetMode="External"/><Relationship Id="rId17" Type="http://schemas.openxmlformats.org/officeDocument/2006/relationships/hyperlink" Target="http://www.nevo.co.il/law/4216"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0994404" TargetMode="External"/><Relationship Id="rId20" Type="http://schemas.openxmlformats.org/officeDocument/2006/relationships/hyperlink" Target="http://www.nevo.co.il/case/2099440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413"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13" TargetMode="External"/><Relationship Id="rId22" Type="http://schemas.openxmlformats.org/officeDocument/2006/relationships/hyperlink" Target="http://www.nevo.co.il/law/7030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1473</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8826</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6553697</vt:i4>
      </vt:variant>
      <vt:variant>
        <vt:i4>42</vt:i4>
      </vt:variant>
      <vt:variant>
        <vt:i4>0</vt:i4>
      </vt:variant>
      <vt:variant>
        <vt:i4>5</vt:i4>
      </vt:variant>
      <vt:variant>
        <vt:lpwstr>http://www.nevo.co.il/law/70301/413</vt:lpwstr>
      </vt:variant>
      <vt:variant>
        <vt:lpwstr/>
      </vt:variant>
      <vt:variant>
        <vt:i4>4128889</vt:i4>
      </vt:variant>
      <vt:variant>
        <vt:i4>39</vt:i4>
      </vt:variant>
      <vt:variant>
        <vt:i4>0</vt:i4>
      </vt:variant>
      <vt:variant>
        <vt:i4>5</vt:i4>
      </vt:variant>
      <vt:variant>
        <vt:lpwstr>http://www.nevo.co.il/case/20994404</vt:lpwstr>
      </vt:variant>
      <vt:variant>
        <vt:lpwstr/>
      </vt:variant>
      <vt:variant>
        <vt:i4>8257637</vt:i4>
      </vt:variant>
      <vt:variant>
        <vt:i4>36</vt:i4>
      </vt:variant>
      <vt:variant>
        <vt:i4>0</vt:i4>
      </vt:variant>
      <vt:variant>
        <vt:i4>5</vt:i4>
      </vt:variant>
      <vt:variant>
        <vt:lpwstr>http://www.nevo.co.il/law/4216</vt:lpwstr>
      </vt:variant>
      <vt:variant>
        <vt:lpwstr/>
      </vt:variant>
      <vt:variant>
        <vt:i4>3539065</vt:i4>
      </vt:variant>
      <vt:variant>
        <vt:i4>33</vt:i4>
      </vt:variant>
      <vt:variant>
        <vt:i4>0</vt:i4>
      </vt:variant>
      <vt:variant>
        <vt:i4>5</vt:i4>
      </vt:variant>
      <vt:variant>
        <vt:lpwstr>http://www.nevo.co.il/case/20683510</vt:lpwstr>
      </vt:variant>
      <vt:variant>
        <vt:lpwstr/>
      </vt:variant>
      <vt:variant>
        <vt:i4>8257637</vt:i4>
      </vt:variant>
      <vt:variant>
        <vt:i4>30</vt:i4>
      </vt:variant>
      <vt:variant>
        <vt:i4>0</vt:i4>
      </vt:variant>
      <vt:variant>
        <vt:i4>5</vt:i4>
      </vt:variant>
      <vt:variant>
        <vt:lpwstr>http://www.nevo.co.il/law/4216</vt:lpwstr>
      </vt:variant>
      <vt:variant>
        <vt:lpwstr/>
      </vt:variant>
      <vt:variant>
        <vt:i4>4128889</vt:i4>
      </vt:variant>
      <vt:variant>
        <vt:i4>27</vt:i4>
      </vt:variant>
      <vt:variant>
        <vt:i4>0</vt:i4>
      </vt:variant>
      <vt:variant>
        <vt:i4>5</vt:i4>
      </vt:variant>
      <vt:variant>
        <vt:lpwstr>http://www.nevo.co.il/case/20994404</vt:lpwstr>
      </vt:variant>
      <vt:variant>
        <vt:lpwstr/>
      </vt:variant>
      <vt:variant>
        <vt:i4>7995492</vt:i4>
      </vt:variant>
      <vt:variant>
        <vt:i4>24</vt:i4>
      </vt:variant>
      <vt:variant>
        <vt:i4>0</vt:i4>
      </vt:variant>
      <vt:variant>
        <vt:i4>5</vt:i4>
      </vt:variant>
      <vt:variant>
        <vt:lpwstr>http://www.nevo.co.il/law/70301</vt:lpwstr>
      </vt:variant>
      <vt:variant>
        <vt:lpwstr/>
      </vt:variant>
      <vt:variant>
        <vt:i4>6553697</vt:i4>
      </vt:variant>
      <vt:variant>
        <vt:i4>21</vt:i4>
      </vt:variant>
      <vt:variant>
        <vt:i4>0</vt:i4>
      </vt:variant>
      <vt:variant>
        <vt:i4>5</vt:i4>
      </vt:variant>
      <vt:variant>
        <vt:lpwstr>http://www.nevo.co.il/law/70301/413</vt:lpwstr>
      </vt:variant>
      <vt:variant>
        <vt:lpwstr/>
      </vt:variant>
      <vt:variant>
        <vt:i4>4980820</vt:i4>
      </vt:variant>
      <vt:variant>
        <vt:i4>18</vt:i4>
      </vt:variant>
      <vt:variant>
        <vt:i4>0</vt:i4>
      </vt:variant>
      <vt:variant>
        <vt:i4>5</vt:i4>
      </vt:variant>
      <vt:variant>
        <vt:lpwstr>http://www.nevo.co.il/law/127622</vt:lpwstr>
      </vt:variant>
      <vt:variant>
        <vt:lpwstr/>
      </vt:variant>
      <vt:variant>
        <vt:i4>2818171</vt:i4>
      </vt:variant>
      <vt:variant>
        <vt:i4>15</vt:i4>
      </vt:variant>
      <vt:variant>
        <vt:i4>0</vt:i4>
      </vt:variant>
      <vt:variant>
        <vt:i4>5</vt:i4>
      </vt:variant>
      <vt:variant>
        <vt:lpwstr>http://www.nevo.co.il/law/127622/7.a.1</vt:lpwstr>
      </vt:variant>
      <vt:variant>
        <vt:lpwstr/>
      </vt:variant>
      <vt:variant>
        <vt:i4>8257637</vt:i4>
      </vt:variant>
      <vt:variant>
        <vt:i4>12</vt:i4>
      </vt:variant>
      <vt:variant>
        <vt:i4>0</vt:i4>
      </vt:variant>
      <vt:variant>
        <vt:i4>5</vt:i4>
      </vt:variant>
      <vt:variant>
        <vt:lpwstr>http://www.nevo.co.il/law/4216</vt:lpwstr>
      </vt:variant>
      <vt:variant>
        <vt:lpwstr/>
      </vt:variant>
      <vt:variant>
        <vt:i4>6553697</vt:i4>
      </vt:variant>
      <vt:variant>
        <vt:i4>9</vt:i4>
      </vt:variant>
      <vt:variant>
        <vt:i4>0</vt:i4>
      </vt:variant>
      <vt:variant>
        <vt:i4>5</vt:i4>
      </vt:variant>
      <vt:variant>
        <vt:lpwstr>http://www.nevo.co.il/law/70301/413</vt:lpwstr>
      </vt:variant>
      <vt:variant>
        <vt:lpwstr/>
      </vt:variant>
      <vt:variant>
        <vt:i4>7995492</vt:i4>
      </vt:variant>
      <vt:variant>
        <vt:i4>6</vt:i4>
      </vt:variant>
      <vt:variant>
        <vt:i4>0</vt:i4>
      </vt:variant>
      <vt:variant>
        <vt:i4>5</vt:i4>
      </vt:variant>
      <vt:variant>
        <vt:lpwstr>http://www.nevo.co.il/law/70301</vt:lpwstr>
      </vt:variant>
      <vt:variant>
        <vt:lpwstr/>
      </vt:variant>
      <vt:variant>
        <vt:i4>2818171</vt:i4>
      </vt:variant>
      <vt:variant>
        <vt:i4>3</vt:i4>
      </vt:variant>
      <vt:variant>
        <vt:i4>0</vt:i4>
      </vt:variant>
      <vt:variant>
        <vt:i4>5</vt:i4>
      </vt:variant>
      <vt:variant>
        <vt:lpwstr>http://www.nevo.co.il/law/127622/7.a.1</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2025-04-22T23:00:00Z</dcterms:created>
  <dcterms:modified xsi:type="dcterms:W3CDTF">2025-04-22T23:00:00Z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56714</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אבינועם לוי</vt:lpwstr>
  </property>
  <property fmtid="{D5CDD505-2E9C-101B-9397-08002B2CF9AE}" pid="10" name="LAWYER">
    <vt:lpwstr>יעל גבריאל;גיא פרידמן</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20200211</vt:lpwstr>
  </property>
  <property fmtid="{D5CDD505-2E9C-101B-9397-08002B2CF9AE}" pid="14" name="TYPE_N_DATE">
    <vt:lpwstr>38020200211</vt:lpwstr>
  </property>
  <property fmtid="{D5CDD505-2E9C-101B-9397-08002B2CF9AE}" pid="15" name="CASESLISTTMP1">
    <vt:lpwstr>20994404:2;20683510</vt:lpwstr>
  </property>
  <property fmtid="{D5CDD505-2E9C-101B-9397-08002B2CF9AE}" pid="16" name="WORDNUMPAGES">
    <vt:lpwstr>5</vt:lpwstr>
  </property>
  <property fmtid="{D5CDD505-2E9C-101B-9397-08002B2CF9AE}" pid="17" name="TYPE_ABS_DATE">
    <vt:lpwstr>380020200211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127622/007.a.1</vt:lpwstr>
  </property>
  <property fmtid="{D5CDD505-2E9C-101B-9397-08002B2CF9AE}" pid="37" name="LAWLISTTMP2">
    <vt:lpwstr>70301/413:2</vt:lpwstr>
  </property>
  <property fmtid="{D5CDD505-2E9C-101B-9397-08002B2CF9AE}" pid="38" name="LAWLISTTMP3">
    <vt:lpwstr>4216:2</vt:lpwstr>
  </property>
</Properties>
</file>