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8244F" w:rsidRPr="00265F27" w14:paraId="4940DAF8" w14:textId="77777777" w:rsidTr="00E15C89">
        <w:trPr>
          <w:trHeight w:hRule="exact" w:val="418"/>
          <w:jc w:val="center"/>
        </w:trPr>
        <w:tc>
          <w:tcPr>
            <w:tcW w:w="8721" w:type="dxa"/>
            <w:gridSpan w:val="2"/>
          </w:tcPr>
          <w:p w14:paraId="3CD818EC" w14:textId="77777777" w:rsidR="0098244F" w:rsidRPr="00265F27" w:rsidRDefault="0098244F" w:rsidP="00544DBD">
            <w:pPr>
              <w:pStyle w:val="a3"/>
              <w:jc w:val="center"/>
              <w:rPr>
                <w:rFonts w:ascii="Tahoma" w:hAnsi="Tahoma" w:cs="Tahoma"/>
                <w:color w:val="000080"/>
                <w:rtl/>
              </w:rPr>
            </w:pPr>
            <w:r w:rsidRPr="00265F27">
              <w:rPr>
                <w:rFonts w:ascii="Tahoma" w:hAnsi="Tahoma" w:cs="Tahoma"/>
                <w:b/>
                <w:bCs/>
                <w:color w:val="000080"/>
                <w:rtl/>
              </w:rPr>
              <w:t>בית משפט השלום ברחובות</w:t>
            </w:r>
          </w:p>
        </w:tc>
      </w:tr>
      <w:tr w:rsidR="0098244F" w:rsidRPr="00265F27" w14:paraId="73D4B04F" w14:textId="77777777" w:rsidTr="00E15C89">
        <w:trPr>
          <w:trHeight w:val="337"/>
          <w:jc w:val="center"/>
        </w:trPr>
        <w:tc>
          <w:tcPr>
            <w:tcW w:w="5058" w:type="dxa"/>
          </w:tcPr>
          <w:p w14:paraId="581D2FA3" w14:textId="77777777" w:rsidR="0098244F" w:rsidRPr="00265F27" w:rsidRDefault="0098244F" w:rsidP="00544DBD">
            <w:pPr>
              <w:rPr>
                <w:rFonts w:cs="FrankRuehl"/>
                <w:sz w:val="28"/>
                <w:szCs w:val="28"/>
                <w:rtl/>
              </w:rPr>
            </w:pPr>
            <w:r w:rsidRPr="00265F27">
              <w:rPr>
                <w:rFonts w:cs="FrankRuehl"/>
                <w:sz w:val="28"/>
                <w:szCs w:val="28"/>
                <w:rtl/>
              </w:rPr>
              <w:t>ת"פ</w:t>
            </w:r>
            <w:r w:rsidRPr="00265F27">
              <w:rPr>
                <w:rFonts w:cs="FrankRuehl" w:hint="cs"/>
                <w:sz w:val="28"/>
                <w:szCs w:val="28"/>
                <w:rtl/>
              </w:rPr>
              <w:t xml:space="preserve"> </w:t>
            </w:r>
            <w:r w:rsidRPr="00265F27">
              <w:rPr>
                <w:rFonts w:cs="FrankRuehl"/>
                <w:sz w:val="28"/>
                <w:szCs w:val="28"/>
                <w:rtl/>
              </w:rPr>
              <w:t>5726-02-16</w:t>
            </w:r>
            <w:r w:rsidRPr="00265F27">
              <w:rPr>
                <w:rFonts w:cs="FrankRuehl" w:hint="cs"/>
                <w:sz w:val="28"/>
                <w:szCs w:val="28"/>
                <w:rtl/>
              </w:rPr>
              <w:t xml:space="preserve"> </w:t>
            </w:r>
            <w:r w:rsidRPr="00265F27">
              <w:rPr>
                <w:rFonts w:cs="FrankRuehl"/>
                <w:sz w:val="28"/>
                <w:szCs w:val="28"/>
                <w:rtl/>
              </w:rPr>
              <w:t>פרקליטות מחוז מרכז נ' מישלי(עציר)</w:t>
            </w:r>
          </w:p>
          <w:p w14:paraId="72B96E5B" w14:textId="77777777" w:rsidR="0098244F" w:rsidRPr="00265F27" w:rsidRDefault="0098244F" w:rsidP="00544DBD">
            <w:pPr>
              <w:pStyle w:val="a3"/>
              <w:rPr>
                <w:rFonts w:cs="FrankRuehl"/>
                <w:sz w:val="28"/>
                <w:szCs w:val="28"/>
                <w:rtl/>
              </w:rPr>
            </w:pPr>
            <w:r w:rsidRPr="00265F27">
              <w:rPr>
                <w:rFonts w:cs="FrankRuehl" w:hint="cs"/>
                <w:sz w:val="28"/>
                <w:szCs w:val="28"/>
                <w:rtl/>
              </w:rPr>
              <w:t>ת"פ 7585-06-17 (שלום תל אביב)</w:t>
            </w:r>
          </w:p>
        </w:tc>
        <w:tc>
          <w:tcPr>
            <w:tcW w:w="3663" w:type="dxa"/>
          </w:tcPr>
          <w:p w14:paraId="4ECB99B6" w14:textId="77777777" w:rsidR="0098244F" w:rsidRPr="00265F27" w:rsidRDefault="0098244F" w:rsidP="00544DBD">
            <w:pPr>
              <w:pStyle w:val="a3"/>
              <w:jc w:val="right"/>
              <w:rPr>
                <w:rFonts w:cs="FrankRuehl"/>
                <w:sz w:val="28"/>
                <w:szCs w:val="28"/>
                <w:rtl/>
              </w:rPr>
            </w:pPr>
          </w:p>
        </w:tc>
      </w:tr>
    </w:tbl>
    <w:p w14:paraId="417CB4B2" w14:textId="77777777" w:rsidR="0098244F" w:rsidRPr="00265F27" w:rsidRDefault="0098244F" w:rsidP="0098244F">
      <w:pPr>
        <w:pStyle w:val="a3"/>
        <w:rPr>
          <w:rtl/>
        </w:rPr>
      </w:pPr>
      <w:r w:rsidRPr="00265F27">
        <w:rPr>
          <w:rFonts w:hint="cs"/>
          <w:rtl/>
        </w:rPr>
        <w:t xml:space="preserve"> </w:t>
      </w:r>
    </w:p>
    <w:p w14:paraId="682CDD04" w14:textId="77777777" w:rsidR="0098244F" w:rsidRPr="00265F27" w:rsidRDefault="0098244F" w:rsidP="0098244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244F" w:rsidRPr="00265F27" w14:paraId="07EEBF5A" w14:textId="77777777" w:rsidTr="0098244F">
        <w:trPr>
          <w:trHeight w:val="295"/>
          <w:jc w:val="center"/>
        </w:trPr>
        <w:tc>
          <w:tcPr>
            <w:tcW w:w="923" w:type="dxa"/>
            <w:tcBorders>
              <w:top w:val="nil"/>
              <w:left w:val="nil"/>
              <w:bottom w:val="nil"/>
              <w:right w:val="nil"/>
            </w:tcBorders>
            <w:shd w:val="clear" w:color="auto" w:fill="auto"/>
          </w:tcPr>
          <w:p w14:paraId="1C27BFD1" w14:textId="77777777" w:rsidR="0098244F" w:rsidRPr="00265F27" w:rsidRDefault="0098244F" w:rsidP="0098244F">
            <w:pPr>
              <w:jc w:val="both"/>
              <w:rPr>
                <w:rFonts w:ascii="Arial" w:hAnsi="Arial" w:cs="FrankRuehl"/>
                <w:sz w:val="28"/>
                <w:szCs w:val="28"/>
              </w:rPr>
            </w:pPr>
            <w:r w:rsidRPr="00265F27">
              <w:rPr>
                <w:rFonts w:ascii="Arial" w:hAnsi="Arial" w:cs="FrankRuehl" w:hint="cs"/>
                <w:sz w:val="28"/>
                <w:szCs w:val="28"/>
                <w:rtl/>
              </w:rPr>
              <w:t>ב</w:t>
            </w:r>
            <w:r w:rsidRPr="00265F2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BF674D7" w14:textId="77777777" w:rsidR="0098244F" w:rsidRPr="00265F27" w:rsidRDefault="0098244F" w:rsidP="00544DBD">
            <w:pPr>
              <w:rPr>
                <w:rFonts w:ascii="Arial" w:hAnsi="Arial"/>
                <w:b/>
                <w:bCs/>
                <w:rtl/>
              </w:rPr>
            </w:pPr>
            <w:r w:rsidRPr="00265F27">
              <w:rPr>
                <w:rFonts w:ascii="Arial" w:hAnsi="Arial" w:hint="cs"/>
                <w:b/>
                <w:bCs/>
                <w:rtl/>
              </w:rPr>
              <w:t>כבוד ה</w:t>
            </w:r>
            <w:r w:rsidRPr="00265F27">
              <w:rPr>
                <w:rFonts w:ascii="Arial" w:hAnsi="Arial"/>
                <w:b/>
                <w:bCs/>
                <w:rtl/>
              </w:rPr>
              <w:t>שופטת, סגנית נשיאה</w:t>
            </w:r>
            <w:r w:rsidRPr="00265F27">
              <w:rPr>
                <w:rFonts w:ascii="Arial" w:hAnsi="Arial" w:hint="cs"/>
                <w:b/>
                <w:bCs/>
                <w:rtl/>
              </w:rPr>
              <w:t xml:space="preserve">  </w:t>
            </w:r>
            <w:r w:rsidRPr="00265F27">
              <w:rPr>
                <w:rFonts w:ascii="Arial" w:hAnsi="Arial"/>
                <w:b/>
                <w:bCs/>
                <w:rtl/>
              </w:rPr>
              <w:t>אפרת פינק</w:t>
            </w:r>
          </w:p>
          <w:p w14:paraId="78ED339E" w14:textId="77777777" w:rsidR="0098244F" w:rsidRPr="00265F27" w:rsidRDefault="0098244F" w:rsidP="00544DBD">
            <w:pPr>
              <w:rPr>
                <w:rtl/>
              </w:rPr>
            </w:pPr>
          </w:p>
          <w:p w14:paraId="3EE23A98" w14:textId="77777777" w:rsidR="0098244F" w:rsidRPr="00265F27" w:rsidRDefault="0098244F" w:rsidP="0098244F">
            <w:pPr>
              <w:jc w:val="both"/>
              <w:rPr>
                <w:rFonts w:ascii="Arial" w:hAnsi="Arial" w:cs="FrankRuehl"/>
                <w:sz w:val="28"/>
                <w:szCs w:val="28"/>
              </w:rPr>
            </w:pPr>
          </w:p>
        </w:tc>
      </w:tr>
      <w:tr w:rsidR="0098244F" w:rsidRPr="00265F27" w14:paraId="34AC5F55" w14:textId="77777777" w:rsidTr="0098244F">
        <w:trPr>
          <w:trHeight w:val="355"/>
          <w:jc w:val="center"/>
        </w:trPr>
        <w:tc>
          <w:tcPr>
            <w:tcW w:w="923" w:type="dxa"/>
            <w:tcBorders>
              <w:top w:val="nil"/>
              <w:left w:val="nil"/>
              <w:bottom w:val="nil"/>
              <w:right w:val="nil"/>
            </w:tcBorders>
            <w:shd w:val="clear" w:color="auto" w:fill="auto"/>
          </w:tcPr>
          <w:p w14:paraId="6D2F82E9" w14:textId="77777777" w:rsidR="0098244F" w:rsidRPr="00265F27" w:rsidRDefault="0098244F" w:rsidP="0098244F">
            <w:pPr>
              <w:jc w:val="both"/>
              <w:rPr>
                <w:rFonts w:ascii="Arial" w:hAnsi="Arial"/>
                <w:b/>
                <w:bCs/>
              </w:rPr>
            </w:pPr>
            <w:bookmarkStart w:id="0" w:name="FirstAppellant"/>
            <w:bookmarkStart w:id="1" w:name="LastJudge"/>
            <w:bookmarkEnd w:id="1"/>
            <w:r w:rsidRPr="00265F27">
              <w:rPr>
                <w:rFonts w:ascii="Arial" w:hAnsi="Arial" w:hint="cs"/>
                <w:b/>
                <w:bCs/>
                <w:rtl/>
              </w:rPr>
              <w:t>בעניין:</w:t>
            </w:r>
          </w:p>
        </w:tc>
        <w:tc>
          <w:tcPr>
            <w:tcW w:w="4126" w:type="dxa"/>
            <w:tcBorders>
              <w:top w:val="nil"/>
              <w:left w:val="nil"/>
              <w:bottom w:val="nil"/>
              <w:right w:val="nil"/>
            </w:tcBorders>
            <w:shd w:val="clear" w:color="auto" w:fill="auto"/>
          </w:tcPr>
          <w:p w14:paraId="52BE0CB8" w14:textId="77777777" w:rsidR="0098244F" w:rsidRPr="00265F27" w:rsidRDefault="0098244F" w:rsidP="00544DBD">
            <w:pPr>
              <w:rPr>
                <w:b/>
                <w:bCs/>
              </w:rPr>
            </w:pPr>
            <w:r w:rsidRPr="00265F27">
              <w:rPr>
                <w:rFonts w:ascii="Arial" w:hAnsi="Arial"/>
                <w:b/>
                <w:bCs/>
                <w:rtl/>
              </w:rPr>
              <w:t>פרקליטות מחוז מרכז</w:t>
            </w:r>
            <w:r w:rsidRPr="00265F27">
              <w:rPr>
                <w:rFonts w:ascii="Arial" w:hAnsi="Arial"/>
                <w:b/>
                <w:bCs/>
                <w:rtl/>
              </w:rPr>
              <w:br/>
            </w:r>
          </w:p>
        </w:tc>
        <w:tc>
          <w:tcPr>
            <w:tcW w:w="3771" w:type="dxa"/>
            <w:tcBorders>
              <w:top w:val="nil"/>
              <w:left w:val="nil"/>
              <w:bottom w:val="nil"/>
              <w:right w:val="nil"/>
            </w:tcBorders>
            <w:shd w:val="clear" w:color="auto" w:fill="auto"/>
          </w:tcPr>
          <w:p w14:paraId="5FFAD438" w14:textId="77777777" w:rsidR="0098244F" w:rsidRPr="00265F27" w:rsidRDefault="0098244F" w:rsidP="0098244F">
            <w:pPr>
              <w:jc w:val="both"/>
              <w:rPr>
                <w:rFonts w:ascii="Arial" w:hAnsi="Arial"/>
                <w:b/>
                <w:bCs/>
              </w:rPr>
            </w:pPr>
          </w:p>
        </w:tc>
      </w:tr>
      <w:tr w:rsidR="0098244F" w:rsidRPr="00265F27" w14:paraId="475E829C" w14:textId="77777777" w:rsidTr="0098244F">
        <w:trPr>
          <w:trHeight w:val="355"/>
          <w:jc w:val="center"/>
        </w:trPr>
        <w:tc>
          <w:tcPr>
            <w:tcW w:w="923" w:type="dxa"/>
            <w:tcBorders>
              <w:top w:val="nil"/>
              <w:left w:val="nil"/>
              <w:bottom w:val="nil"/>
              <w:right w:val="nil"/>
            </w:tcBorders>
            <w:shd w:val="clear" w:color="auto" w:fill="auto"/>
          </w:tcPr>
          <w:p w14:paraId="53D20470" w14:textId="77777777" w:rsidR="0098244F" w:rsidRPr="00265F27" w:rsidRDefault="0098244F" w:rsidP="0098244F">
            <w:pPr>
              <w:jc w:val="both"/>
              <w:rPr>
                <w:rFonts w:ascii="Arial" w:hAnsi="Arial"/>
                <w:b/>
                <w:bCs/>
                <w:rtl/>
              </w:rPr>
            </w:pPr>
            <w:bookmarkStart w:id="2" w:name="FirstLawyer"/>
            <w:bookmarkEnd w:id="0"/>
          </w:p>
        </w:tc>
        <w:tc>
          <w:tcPr>
            <w:tcW w:w="4126" w:type="dxa"/>
            <w:tcBorders>
              <w:top w:val="nil"/>
              <w:left w:val="nil"/>
              <w:bottom w:val="nil"/>
              <w:right w:val="nil"/>
            </w:tcBorders>
            <w:shd w:val="clear" w:color="auto" w:fill="auto"/>
          </w:tcPr>
          <w:p w14:paraId="3B011E3F" w14:textId="77777777" w:rsidR="0098244F" w:rsidRPr="00265F27" w:rsidRDefault="0098244F" w:rsidP="0098244F">
            <w:pPr>
              <w:jc w:val="both"/>
              <w:rPr>
                <w:rtl/>
              </w:rPr>
            </w:pPr>
            <w:r w:rsidRPr="00265F27">
              <w:rPr>
                <w:rFonts w:hint="cs"/>
                <w:rtl/>
              </w:rPr>
              <w:t>ע"י ב"כ עו"ד עומר סגל-רוזנבוים ועו"ד רזי בטחיש</w:t>
            </w:r>
          </w:p>
        </w:tc>
        <w:tc>
          <w:tcPr>
            <w:tcW w:w="3771" w:type="dxa"/>
            <w:tcBorders>
              <w:top w:val="nil"/>
              <w:left w:val="nil"/>
              <w:bottom w:val="nil"/>
              <w:right w:val="nil"/>
            </w:tcBorders>
            <w:shd w:val="clear" w:color="auto" w:fill="auto"/>
          </w:tcPr>
          <w:p w14:paraId="34F21D65" w14:textId="77777777" w:rsidR="0098244F" w:rsidRPr="00265F27" w:rsidRDefault="0098244F" w:rsidP="0098244F">
            <w:pPr>
              <w:jc w:val="right"/>
              <w:rPr>
                <w:rFonts w:ascii="Arial" w:hAnsi="Arial"/>
                <w:b/>
                <w:bCs/>
                <w:rtl/>
              </w:rPr>
            </w:pPr>
            <w:r w:rsidRPr="00265F27">
              <w:rPr>
                <w:rFonts w:ascii="Arial" w:hAnsi="Arial" w:hint="cs"/>
                <w:b/>
                <w:bCs/>
                <w:rtl/>
              </w:rPr>
              <w:t>ה</w:t>
            </w:r>
            <w:r w:rsidRPr="00265F27">
              <w:rPr>
                <w:rFonts w:ascii="Arial" w:hAnsi="Arial"/>
                <w:b/>
                <w:bCs/>
                <w:rtl/>
              </w:rPr>
              <w:t>מאשימה</w:t>
            </w:r>
          </w:p>
        </w:tc>
      </w:tr>
      <w:bookmarkEnd w:id="2"/>
      <w:tr w:rsidR="0098244F" w:rsidRPr="00265F27" w14:paraId="1CC94291" w14:textId="77777777" w:rsidTr="0098244F">
        <w:trPr>
          <w:trHeight w:val="355"/>
          <w:jc w:val="center"/>
        </w:trPr>
        <w:tc>
          <w:tcPr>
            <w:tcW w:w="923" w:type="dxa"/>
            <w:tcBorders>
              <w:top w:val="nil"/>
              <w:left w:val="nil"/>
              <w:bottom w:val="nil"/>
              <w:right w:val="nil"/>
            </w:tcBorders>
            <w:shd w:val="clear" w:color="auto" w:fill="auto"/>
          </w:tcPr>
          <w:p w14:paraId="0FC56920" w14:textId="77777777" w:rsidR="0098244F" w:rsidRPr="00265F27" w:rsidRDefault="0098244F" w:rsidP="0098244F">
            <w:pPr>
              <w:jc w:val="both"/>
              <w:rPr>
                <w:rFonts w:ascii="Arial" w:hAnsi="Arial"/>
                <w:b/>
                <w:bCs/>
                <w:rtl/>
              </w:rPr>
            </w:pPr>
          </w:p>
        </w:tc>
        <w:tc>
          <w:tcPr>
            <w:tcW w:w="7897" w:type="dxa"/>
            <w:gridSpan w:val="2"/>
            <w:tcBorders>
              <w:top w:val="nil"/>
              <w:left w:val="nil"/>
              <w:bottom w:val="nil"/>
              <w:right w:val="nil"/>
            </w:tcBorders>
            <w:shd w:val="clear" w:color="auto" w:fill="auto"/>
          </w:tcPr>
          <w:p w14:paraId="235EAAEC" w14:textId="77777777" w:rsidR="0098244F" w:rsidRPr="00265F27" w:rsidRDefault="0098244F" w:rsidP="0098244F">
            <w:pPr>
              <w:jc w:val="center"/>
              <w:rPr>
                <w:rFonts w:ascii="Arial" w:hAnsi="Arial"/>
                <w:b/>
                <w:bCs/>
                <w:rtl/>
              </w:rPr>
            </w:pPr>
          </w:p>
          <w:p w14:paraId="01CFDF5A" w14:textId="77777777" w:rsidR="0098244F" w:rsidRPr="00265F27" w:rsidRDefault="0098244F" w:rsidP="0098244F">
            <w:pPr>
              <w:jc w:val="center"/>
              <w:rPr>
                <w:rFonts w:ascii="Arial" w:hAnsi="Arial"/>
                <w:b/>
                <w:bCs/>
                <w:rtl/>
              </w:rPr>
            </w:pPr>
            <w:r w:rsidRPr="00265F27">
              <w:rPr>
                <w:rFonts w:ascii="Arial" w:hAnsi="Arial"/>
                <w:b/>
                <w:bCs/>
                <w:rtl/>
              </w:rPr>
              <w:t>נגד</w:t>
            </w:r>
          </w:p>
          <w:p w14:paraId="1EB83B57" w14:textId="77777777" w:rsidR="0098244F" w:rsidRPr="00265F27" w:rsidRDefault="0098244F" w:rsidP="0098244F">
            <w:pPr>
              <w:jc w:val="both"/>
              <w:rPr>
                <w:rFonts w:ascii="Arial" w:hAnsi="Arial"/>
                <w:b/>
                <w:bCs/>
              </w:rPr>
            </w:pPr>
          </w:p>
        </w:tc>
      </w:tr>
      <w:tr w:rsidR="0098244F" w:rsidRPr="00265F27" w14:paraId="4F6E4FDD" w14:textId="77777777" w:rsidTr="0098244F">
        <w:trPr>
          <w:trHeight w:val="355"/>
          <w:jc w:val="center"/>
        </w:trPr>
        <w:tc>
          <w:tcPr>
            <w:tcW w:w="923" w:type="dxa"/>
            <w:tcBorders>
              <w:top w:val="nil"/>
              <w:left w:val="nil"/>
              <w:bottom w:val="nil"/>
              <w:right w:val="nil"/>
            </w:tcBorders>
            <w:shd w:val="clear" w:color="auto" w:fill="auto"/>
          </w:tcPr>
          <w:p w14:paraId="700B6381" w14:textId="77777777" w:rsidR="0098244F" w:rsidRPr="00265F27" w:rsidRDefault="0098244F" w:rsidP="00544DBD">
            <w:pPr>
              <w:rPr>
                <w:rFonts w:ascii="Arial" w:hAnsi="Arial"/>
                <w:b/>
                <w:bCs/>
                <w:rtl/>
              </w:rPr>
            </w:pPr>
          </w:p>
        </w:tc>
        <w:tc>
          <w:tcPr>
            <w:tcW w:w="4126" w:type="dxa"/>
            <w:tcBorders>
              <w:top w:val="nil"/>
              <w:left w:val="nil"/>
              <w:bottom w:val="nil"/>
              <w:right w:val="nil"/>
            </w:tcBorders>
            <w:shd w:val="clear" w:color="auto" w:fill="auto"/>
          </w:tcPr>
          <w:p w14:paraId="7FF539DB" w14:textId="77777777" w:rsidR="0098244F" w:rsidRPr="00265F27" w:rsidRDefault="0098244F" w:rsidP="00544DBD">
            <w:pPr>
              <w:rPr>
                <w:b/>
                <w:bCs/>
                <w:rtl/>
              </w:rPr>
            </w:pPr>
            <w:r w:rsidRPr="00265F27">
              <w:rPr>
                <w:rFonts w:ascii="Arial" w:hAnsi="Arial"/>
                <w:b/>
                <w:bCs/>
                <w:rtl/>
              </w:rPr>
              <w:t>יוסי מישלי (עציר)</w:t>
            </w:r>
          </w:p>
        </w:tc>
        <w:tc>
          <w:tcPr>
            <w:tcW w:w="3771" w:type="dxa"/>
            <w:tcBorders>
              <w:top w:val="nil"/>
              <w:left w:val="nil"/>
              <w:bottom w:val="nil"/>
              <w:right w:val="nil"/>
            </w:tcBorders>
            <w:shd w:val="clear" w:color="auto" w:fill="auto"/>
          </w:tcPr>
          <w:p w14:paraId="7DB97945" w14:textId="77777777" w:rsidR="0098244F" w:rsidRPr="00265F27" w:rsidRDefault="0098244F" w:rsidP="0098244F">
            <w:pPr>
              <w:jc w:val="right"/>
              <w:rPr>
                <w:rFonts w:ascii="Arial" w:hAnsi="Arial"/>
                <w:b/>
                <w:bCs/>
              </w:rPr>
            </w:pPr>
          </w:p>
        </w:tc>
      </w:tr>
      <w:tr w:rsidR="0098244F" w:rsidRPr="00265F27" w14:paraId="3EA507F2" w14:textId="77777777" w:rsidTr="0098244F">
        <w:trPr>
          <w:trHeight w:val="355"/>
          <w:jc w:val="center"/>
        </w:trPr>
        <w:tc>
          <w:tcPr>
            <w:tcW w:w="923" w:type="dxa"/>
            <w:tcBorders>
              <w:top w:val="nil"/>
              <w:left w:val="nil"/>
              <w:bottom w:val="nil"/>
              <w:right w:val="nil"/>
            </w:tcBorders>
            <w:shd w:val="clear" w:color="auto" w:fill="auto"/>
          </w:tcPr>
          <w:p w14:paraId="55FABE9B" w14:textId="77777777" w:rsidR="0098244F" w:rsidRPr="00265F27" w:rsidRDefault="0098244F" w:rsidP="0098244F">
            <w:pPr>
              <w:jc w:val="both"/>
              <w:rPr>
                <w:rFonts w:ascii="Arial" w:hAnsi="Arial"/>
                <w:b/>
                <w:bCs/>
                <w:rtl/>
              </w:rPr>
            </w:pPr>
          </w:p>
        </w:tc>
        <w:tc>
          <w:tcPr>
            <w:tcW w:w="4126" w:type="dxa"/>
            <w:tcBorders>
              <w:top w:val="nil"/>
              <w:left w:val="nil"/>
              <w:bottom w:val="nil"/>
              <w:right w:val="nil"/>
            </w:tcBorders>
            <w:shd w:val="clear" w:color="auto" w:fill="auto"/>
          </w:tcPr>
          <w:p w14:paraId="0F6F1AAD" w14:textId="77777777" w:rsidR="0098244F" w:rsidRPr="00265F27" w:rsidRDefault="0098244F" w:rsidP="0098244F">
            <w:pPr>
              <w:jc w:val="both"/>
              <w:rPr>
                <w:rtl/>
              </w:rPr>
            </w:pPr>
            <w:r w:rsidRPr="00265F27">
              <w:rPr>
                <w:rFonts w:hint="cs"/>
                <w:rtl/>
              </w:rPr>
              <w:t xml:space="preserve">ע"י ב"כ עו"ד קרינה אבאל בשם עו"ד משה סוכמי  </w:t>
            </w:r>
          </w:p>
        </w:tc>
        <w:tc>
          <w:tcPr>
            <w:tcW w:w="3771" w:type="dxa"/>
            <w:tcBorders>
              <w:top w:val="nil"/>
              <w:left w:val="nil"/>
              <w:bottom w:val="nil"/>
              <w:right w:val="nil"/>
            </w:tcBorders>
            <w:shd w:val="clear" w:color="auto" w:fill="auto"/>
          </w:tcPr>
          <w:p w14:paraId="345F1493" w14:textId="77777777" w:rsidR="0098244F" w:rsidRPr="00265F27" w:rsidRDefault="0098244F" w:rsidP="0098244F">
            <w:pPr>
              <w:jc w:val="right"/>
              <w:rPr>
                <w:rFonts w:ascii="Arial" w:hAnsi="Arial"/>
                <w:b/>
                <w:bCs/>
              </w:rPr>
            </w:pPr>
            <w:r w:rsidRPr="00265F27">
              <w:rPr>
                <w:rFonts w:ascii="Arial" w:hAnsi="Arial" w:hint="cs"/>
                <w:b/>
                <w:bCs/>
                <w:rtl/>
              </w:rPr>
              <w:t>ה</w:t>
            </w:r>
            <w:r w:rsidRPr="00265F27">
              <w:rPr>
                <w:rFonts w:ascii="Arial" w:hAnsi="Arial"/>
                <w:b/>
                <w:bCs/>
                <w:rtl/>
              </w:rPr>
              <w:t>נאשם</w:t>
            </w:r>
          </w:p>
        </w:tc>
      </w:tr>
    </w:tbl>
    <w:p w14:paraId="5C2E9FC3" w14:textId="77777777" w:rsidR="005E44C1" w:rsidRDefault="005E44C1" w:rsidP="0098244F">
      <w:pPr>
        <w:rPr>
          <w:rtl/>
        </w:rPr>
      </w:pPr>
      <w:bookmarkStart w:id="3" w:name="LawTable"/>
      <w:bookmarkEnd w:id="3"/>
    </w:p>
    <w:p w14:paraId="03B3D54F" w14:textId="77777777" w:rsidR="005E44C1" w:rsidRPr="005E44C1" w:rsidRDefault="005E44C1" w:rsidP="005E44C1">
      <w:pPr>
        <w:spacing w:after="120" w:line="240" w:lineRule="exact"/>
        <w:ind w:left="283" w:hanging="283"/>
        <w:jc w:val="both"/>
        <w:rPr>
          <w:rFonts w:ascii="FrankRuehl" w:hAnsi="FrankRuehl" w:cs="FrankRuehl"/>
          <w:rtl/>
        </w:rPr>
      </w:pPr>
    </w:p>
    <w:p w14:paraId="250AE688" w14:textId="77777777" w:rsidR="005E44C1" w:rsidRPr="005E44C1" w:rsidRDefault="005E44C1" w:rsidP="005E44C1">
      <w:pPr>
        <w:spacing w:after="120" w:line="240" w:lineRule="exact"/>
        <w:ind w:left="283" w:hanging="283"/>
        <w:jc w:val="both"/>
        <w:rPr>
          <w:rFonts w:ascii="FrankRuehl" w:hAnsi="FrankRuehl" w:cs="FrankRuehl"/>
          <w:rtl/>
        </w:rPr>
      </w:pPr>
      <w:r w:rsidRPr="005E44C1">
        <w:rPr>
          <w:rFonts w:ascii="FrankRuehl" w:hAnsi="FrankRuehl" w:cs="FrankRuehl"/>
          <w:rtl/>
        </w:rPr>
        <w:t xml:space="preserve">חקיקה שאוזכרה: </w:t>
      </w:r>
    </w:p>
    <w:p w14:paraId="2E3AB70A" w14:textId="77777777" w:rsidR="005E44C1" w:rsidRPr="005E44C1" w:rsidRDefault="005E44C1" w:rsidP="005E44C1">
      <w:pPr>
        <w:spacing w:after="120" w:line="240" w:lineRule="exact"/>
        <w:ind w:left="283" w:hanging="283"/>
        <w:jc w:val="both"/>
        <w:rPr>
          <w:rFonts w:ascii="FrankRuehl" w:hAnsi="FrankRuehl" w:cs="FrankRuehl"/>
          <w:rtl/>
        </w:rPr>
      </w:pPr>
      <w:hyperlink r:id="rId7" w:history="1">
        <w:r w:rsidRPr="005E44C1">
          <w:rPr>
            <w:rFonts w:ascii="FrankRuehl" w:hAnsi="FrankRuehl" w:cs="FrankRuehl"/>
            <w:color w:val="0000FF"/>
            <w:u w:val="single"/>
            <w:rtl/>
          </w:rPr>
          <w:t>פקודת הסמים המסוכנים [נוסח חדש], תשל"ג-1973</w:t>
        </w:r>
      </w:hyperlink>
      <w:r w:rsidRPr="005E44C1">
        <w:rPr>
          <w:rFonts w:ascii="FrankRuehl" w:hAnsi="FrankRuehl" w:cs="FrankRuehl"/>
          <w:rtl/>
        </w:rPr>
        <w:t xml:space="preserve">: סע'  </w:t>
      </w:r>
      <w:hyperlink r:id="rId8" w:history="1">
        <w:r w:rsidRPr="005E44C1">
          <w:rPr>
            <w:rFonts w:ascii="FrankRuehl" w:hAnsi="FrankRuehl" w:cs="FrankRuehl"/>
            <w:color w:val="0000FF"/>
            <w:u w:val="single"/>
            <w:rtl/>
          </w:rPr>
          <w:t>6</w:t>
        </w:r>
      </w:hyperlink>
      <w:r w:rsidRPr="005E44C1">
        <w:rPr>
          <w:rFonts w:ascii="FrankRuehl" w:hAnsi="FrankRuehl" w:cs="FrankRuehl"/>
          <w:rtl/>
        </w:rPr>
        <w:t xml:space="preserve">, </w:t>
      </w:r>
      <w:hyperlink r:id="rId9" w:history="1">
        <w:r w:rsidRPr="005E44C1">
          <w:rPr>
            <w:rFonts w:ascii="FrankRuehl" w:hAnsi="FrankRuehl" w:cs="FrankRuehl"/>
            <w:color w:val="0000FF"/>
            <w:u w:val="single"/>
            <w:rtl/>
          </w:rPr>
          <w:t>7(א)</w:t>
        </w:r>
      </w:hyperlink>
      <w:r w:rsidRPr="005E44C1">
        <w:rPr>
          <w:rFonts w:ascii="FrankRuehl" w:hAnsi="FrankRuehl" w:cs="FrankRuehl"/>
          <w:rtl/>
        </w:rPr>
        <w:t xml:space="preserve">, </w:t>
      </w:r>
      <w:hyperlink r:id="rId10" w:history="1">
        <w:r w:rsidRPr="005E44C1">
          <w:rPr>
            <w:rFonts w:ascii="FrankRuehl" w:hAnsi="FrankRuehl" w:cs="FrankRuehl"/>
            <w:color w:val="0000FF"/>
            <w:u w:val="single"/>
            <w:rtl/>
          </w:rPr>
          <w:t>7(ג)</w:t>
        </w:r>
      </w:hyperlink>
      <w:r w:rsidRPr="005E44C1">
        <w:rPr>
          <w:rFonts w:ascii="FrankRuehl" w:hAnsi="FrankRuehl" w:cs="FrankRuehl"/>
          <w:rtl/>
        </w:rPr>
        <w:t xml:space="preserve">, </w:t>
      </w:r>
      <w:hyperlink r:id="rId11" w:history="1">
        <w:r w:rsidRPr="005E44C1">
          <w:rPr>
            <w:rFonts w:ascii="FrankRuehl" w:hAnsi="FrankRuehl" w:cs="FrankRuehl"/>
            <w:color w:val="0000FF"/>
            <w:u w:val="single"/>
            <w:rtl/>
          </w:rPr>
          <w:t>10</w:t>
        </w:r>
      </w:hyperlink>
      <w:r w:rsidRPr="005E44C1">
        <w:rPr>
          <w:rFonts w:ascii="FrankRuehl" w:hAnsi="FrankRuehl" w:cs="FrankRuehl"/>
          <w:rtl/>
        </w:rPr>
        <w:t xml:space="preserve">, </w:t>
      </w:r>
      <w:hyperlink r:id="rId12" w:history="1">
        <w:r w:rsidRPr="005E44C1">
          <w:rPr>
            <w:rFonts w:ascii="FrankRuehl" w:hAnsi="FrankRuehl" w:cs="FrankRuehl"/>
            <w:color w:val="0000FF"/>
            <w:u w:val="single"/>
            <w:rtl/>
          </w:rPr>
          <w:t>36א(ב)</w:t>
        </w:r>
      </w:hyperlink>
    </w:p>
    <w:p w14:paraId="1D8CC6FD" w14:textId="77777777" w:rsidR="005E44C1" w:rsidRPr="005E44C1" w:rsidRDefault="005E44C1" w:rsidP="005E44C1">
      <w:pPr>
        <w:spacing w:after="120" w:line="240" w:lineRule="exact"/>
        <w:ind w:left="283" w:hanging="283"/>
        <w:jc w:val="both"/>
        <w:rPr>
          <w:rFonts w:ascii="FrankRuehl" w:hAnsi="FrankRuehl" w:cs="FrankRuehl"/>
          <w:rtl/>
        </w:rPr>
      </w:pPr>
      <w:hyperlink r:id="rId13" w:history="1">
        <w:r w:rsidRPr="005E44C1">
          <w:rPr>
            <w:rFonts w:ascii="FrankRuehl" w:hAnsi="FrankRuehl" w:cs="FrankRuehl"/>
            <w:color w:val="0000FF"/>
            <w:u w:val="single"/>
            <w:rtl/>
          </w:rPr>
          <w:t>חוק העונשין, תשל"ז-1977</w:t>
        </w:r>
      </w:hyperlink>
      <w:r w:rsidRPr="005E44C1">
        <w:rPr>
          <w:rFonts w:ascii="FrankRuehl" w:hAnsi="FrankRuehl" w:cs="FrankRuehl"/>
          <w:rtl/>
        </w:rPr>
        <w:t xml:space="preserve">: סע'  </w:t>
      </w:r>
      <w:hyperlink r:id="rId14" w:history="1">
        <w:r w:rsidRPr="005E44C1">
          <w:rPr>
            <w:rFonts w:ascii="FrankRuehl" w:hAnsi="FrankRuehl" w:cs="FrankRuehl"/>
            <w:color w:val="0000FF"/>
            <w:u w:val="single"/>
            <w:rtl/>
          </w:rPr>
          <w:t>40ג</w:t>
        </w:r>
      </w:hyperlink>
      <w:r w:rsidRPr="005E44C1">
        <w:rPr>
          <w:rFonts w:ascii="FrankRuehl" w:hAnsi="FrankRuehl" w:cs="FrankRuehl"/>
          <w:rtl/>
        </w:rPr>
        <w:t xml:space="preserve">, </w:t>
      </w:r>
      <w:hyperlink r:id="rId15" w:history="1">
        <w:r w:rsidRPr="005E44C1">
          <w:rPr>
            <w:rFonts w:ascii="FrankRuehl" w:hAnsi="FrankRuehl" w:cs="FrankRuehl"/>
            <w:color w:val="0000FF"/>
            <w:u w:val="single"/>
            <w:rtl/>
          </w:rPr>
          <w:t>40ט(5)</w:t>
        </w:r>
      </w:hyperlink>
      <w:r w:rsidRPr="005E44C1">
        <w:rPr>
          <w:rFonts w:ascii="FrankRuehl" w:hAnsi="FrankRuehl" w:cs="FrankRuehl"/>
          <w:rtl/>
        </w:rPr>
        <w:t xml:space="preserve">, </w:t>
      </w:r>
      <w:hyperlink r:id="rId16" w:history="1">
        <w:r w:rsidRPr="005E44C1">
          <w:rPr>
            <w:rFonts w:ascii="FrankRuehl" w:hAnsi="FrankRuehl" w:cs="FrankRuehl"/>
            <w:color w:val="0000FF"/>
            <w:u w:val="single"/>
            <w:rtl/>
          </w:rPr>
          <w:t>40יא(2)</w:t>
        </w:r>
      </w:hyperlink>
      <w:r w:rsidRPr="005E44C1">
        <w:rPr>
          <w:rFonts w:ascii="FrankRuehl" w:hAnsi="FrankRuehl" w:cs="FrankRuehl"/>
          <w:rtl/>
        </w:rPr>
        <w:t xml:space="preserve">, </w:t>
      </w:r>
      <w:hyperlink r:id="rId17" w:history="1">
        <w:r w:rsidRPr="005E44C1">
          <w:rPr>
            <w:rFonts w:ascii="FrankRuehl" w:hAnsi="FrankRuehl" w:cs="FrankRuehl"/>
            <w:color w:val="0000FF"/>
            <w:u w:val="single"/>
            <w:rtl/>
          </w:rPr>
          <w:t>40יג</w:t>
        </w:r>
      </w:hyperlink>
    </w:p>
    <w:p w14:paraId="3CBA8EE8" w14:textId="77777777" w:rsidR="005E44C1" w:rsidRPr="005E44C1" w:rsidRDefault="005E44C1" w:rsidP="005E44C1">
      <w:pPr>
        <w:spacing w:after="120" w:line="240" w:lineRule="exact"/>
        <w:ind w:left="283" w:hanging="283"/>
        <w:jc w:val="both"/>
        <w:rPr>
          <w:rFonts w:ascii="FrankRuehl" w:hAnsi="FrankRuehl" w:cs="FrankRuehl"/>
          <w:rtl/>
        </w:rPr>
      </w:pPr>
    </w:p>
    <w:p w14:paraId="5C09408F" w14:textId="77777777" w:rsidR="005E44C1" w:rsidRPr="005E44C1" w:rsidRDefault="005E44C1" w:rsidP="0098244F">
      <w:pPr>
        <w:rPr>
          <w:rtl/>
        </w:rPr>
      </w:pPr>
      <w:bookmarkStart w:id="4" w:name="LawTable_End"/>
      <w:bookmarkEnd w:id="4"/>
    </w:p>
    <w:p w14:paraId="69FE8577" w14:textId="77777777" w:rsidR="00265F27" w:rsidRPr="00265F27" w:rsidRDefault="00265F27" w:rsidP="0098244F">
      <w:pPr>
        <w:rPr>
          <w:b/>
          <w:bCs/>
          <w:rtl/>
        </w:rPr>
      </w:pPr>
    </w:p>
    <w:p w14:paraId="64530610" w14:textId="77777777" w:rsidR="0098244F" w:rsidRPr="00265F27" w:rsidRDefault="0098244F" w:rsidP="0098244F">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244F" w:rsidRPr="00221D54" w14:paraId="12895C2D" w14:textId="77777777" w:rsidTr="0098244F">
        <w:trPr>
          <w:trHeight w:val="355"/>
          <w:jc w:val="center"/>
        </w:trPr>
        <w:tc>
          <w:tcPr>
            <w:tcW w:w="8820" w:type="dxa"/>
            <w:tcBorders>
              <w:top w:val="nil"/>
              <w:left w:val="nil"/>
              <w:bottom w:val="nil"/>
              <w:right w:val="nil"/>
            </w:tcBorders>
            <w:shd w:val="clear" w:color="auto" w:fill="auto"/>
          </w:tcPr>
          <w:p w14:paraId="601C79DD" w14:textId="77777777" w:rsidR="00265F27" w:rsidRPr="00265F27" w:rsidRDefault="00265F27" w:rsidP="00265F27">
            <w:pPr>
              <w:jc w:val="center"/>
              <w:rPr>
                <w:rFonts w:ascii="Arial" w:hAnsi="Arial"/>
                <w:b/>
                <w:bCs/>
                <w:sz w:val="38"/>
                <w:szCs w:val="38"/>
                <w:u w:val="single"/>
                <w:rtl/>
              </w:rPr>
            </w:pPr>
            <w:bookmarkStart w:id="5" w:name="PsakDin" w:colFirst="0" w:colLast="0"/>
            <w:r w:rsidRPr="00265F27">
              <w:rPr>
                <w:rFonts w:ascii="Arial" w:hAnsi="Arial"/>
                <w:b/>
                <w:bCs/>
                <w:sz w:val="38"/>
                <w:szCs w:val="38"/>
                <w:u w:val="single"/>
                <w:rtl/>
              </w:rPr>
              <w:t>גזר דין</w:t>
            </w:r>
          </w:p>
          <w:p w14:paraId="3F7BFC43" w14:textId="77777777" w:rsidR="0098244F" w:rsidRPr="00265F27" w:rsidRDefault="0098244F" w:rsidP="00265F27">
            <w:pPr>
              <w:jc w:val="center"/>
              <w:rPr>
                <w:rFonts w:ascii="Arial" w:hAnsi="Arial"/>
                <w:b/>
                <w:bCs/>
                <w:u w:val="single"/>
                <w:rtl/>
              </w:rPr>
            </w:pPr>
          </w:p>
        </w:tc>
      </w:tr>
      <w:bookmarkEnd w:id="5"/>
    </w:tbl>
    <w:p w14:paraId="3AA1E8EA" w14:textId="77777777" w:rsidR="0098244F" w:rsidRPr="00B05847" w:rsidRDefault="0098244F" w:rsidP="0098244F">
      <w:pPr>
        <w:rPr>
          <w:rFonts w:ascii="Arial" w:hAnsi="Arial"/>
          <w:rtl/>
        </w:rPr>
      </w:pPr>
    </w:p>
    <w:p w14:paraId="7071262E" w14:textId="77777777" w:rsidR="0098244F" w:rsidRDefault="0098244F" w:rsidP="0098244F">
      <w:pPr>
        <w:spacing w:before="120" w:after="120"/>
        <w:ind w:left="509" w:hanging="567"/>
        <w:contextualSpacing/>
        <w:jc w:val="both"/>
        <w:rPr>
          <w:b/>
          <w:bCs/>
          <w:u w:val="single"/>
        </w:rPr>
      </w:pPr>
      <w:r>
        <w:rPr>
          <w:rFonts w:hint="cs"/>
          <w:b/>
          <w:bCs/>
          <w:u w:val="single"/>
          <w:rtl/>
        </w:rPr>
        <w:t>מבוא</w:t>
      </w:r>
    </w:p>
    <w:p w14:paraId="3FD2B65C" w14:textId="77777777" w:rsidR="0098244F" w:rsidRDefault="0098244F" w:rsidP="0098244F">
      <w:pPr>
        <w:spacing w:before="120" w:after="120"/>
        <w:ind w:left="509" w:hanging="567"/>
        <w:contextualSpacing/>
        <w:jc w:val="both"/>
        <w:rPr>
          <w:b/>
          <w:bCs/>
          <w:u w:val="single"/>
          <w:rtl/>
        </w:rPr>
      </w:pPr>
      <w:bookmarkStart w:id="6" w:name="ABSTRACT_START"/>
      <w:bookmarkEnd w:id="6"/>
    </w:p>
    <w:p w14:paraId="11AAC6CF" w14:textId="77777777" w:rsidR="0098244F" w:rsidRDefault="0098244F" w:rsidP="0098244F">
      <w:pPr>
        <w:pStyle w:val="aa"/>
        <w:numPr>
          <w:ilvl w:val="0"/>
          <w:numId w:val="1"/>
        </w:numPr>
        <w:bidi/>
        <w:spacing w:before="120" w:after="120"/>
        <w:ind w:left="567" w:hanging="567"/>
        <w:jc w:val="both"/>
        <w:rPr>
          <w:rFonts w:cs="David"/>
          <w:sz w:val="24"/>
          <w:szCs w:val="24"/>
          <w:rtl/>
        </w:rPr>
      </w:pPr>
      <w:r>
        <w:rPr>
          <w:rFonts w:cs="David" w:hint="cs"/>
          <w:sz w:val="24"/>
          <w:szCs w:val="24"/>
          <w:rtl/>
        </w:rPr>
        <w:t>גזר דין זה עניינו בשתי הכרעות דין בעניינו של הנאשם, האחת ניתנה ב</w:t>
      </w:r>
      <w:hyperlink r:id="rId18" w:history="1">
        <w:r w:rsidR="00265F27" w:rsidRPr="00265F27">
          <w:rPr>
            <w:rFonts w:cs="David" w:hint="cs"/>
            <w:color w:val="0000FF"/>
            <w:sz w:val="24"/>
            <w:szCs w:val="24"/>
            <w:u w:val="single"/>
            <w:rtl/>
          </w:rPr>
          <w:t>ת</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רח</w:t>
        </w:r>
        <w:r w:rsidR="00265F27" w:rsidRPr="00265F27">
          <w:rPr>
            <w:rFonts w:cs="David"/>
            <w:color w:val="0000FF"/>
            <w:sz w:val="24"/>
            <w:szCs w:val="24"/>
            <w:u w:val="single"/>
            <w:rtl/>
          </w:rPr>
          <w:t>') 5726-02-16</w:t>
        </w:r>
      </w:hyperlink>
      <w:r>
        <w:rPr>
          <w:rFonts w:cs="David" w:hint="cs"/>
          <w:sz w:val="24"/>
          <w:szCs w:val="24"/>
          <w:rtl/>
        </w:rPr>
        <w:t xml:space="preserve"> ביום 11.9.16, והשנייה ניתנה ב</w:t>
      </w:r>
      <w:hyperlink r:id="rId19" w:history="1">
        <w:r w:rsidR="00265F27" w:rsidRPr="00265F27">
          <w:rPr>
            <w:rFonts w:cs="David" w:hint="cs"/>
            <w:color w:val="0000FF"/>
            <w:sz w:val="24"/>
            <w:szCs w:val="24"/>
            <w:u w:val="single"/>
            <w:rtl/>
          </w:rPr>
          <w:t>ת</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ת</w:t>
        </w:r>
        <w:r w:rsidR="00265F27" w:rsidRPr="00265F27">
          <w:rPr>
            <w:rFonts w:cs="David"/>
            <w:color w:val="0000FF"/>
            <w:sz w:val="24"/>
            <w:szCs w:val="24"/>
            <w:u w:val="single"/>
            <w:rtl/>
          </w:rPr>
          <w:t>"</w:t>
        </w:r>
        <w:r w:rsidR="00265F27" w:rsidRPr="00265F27">
          <w:rPr>
            <w:rFonts w:cs="David" w:hint="cs"/>
            <w:color w:val="0000FF"/>
            <w:sz w:val="24"/>
            <w:szCs w:val="24"/>
            <w:u w:val="single"/>
            <w:rtl/>
          </w:rPr>
          <w:t>א</w:t>
        </w:r>
        <w:r w:rsidR="00265F27" w:rsidRPr="00265F27">
          <w:rPr>
            <w:rFonts w:cs="David"/>
            <w:color w:val="0000FF"/>
            <w:sz w:val="24"/>
            <w:szCs w:val="24"/>
            <w:u w:val="single"/>
            <w:rtl/>
          </w:rPr>
          <w:t>) 7585-06-17</w:t>
        </w:r>
      </w:hyperlink>
      <w:r>
        <w:rPr>
          <w:rFonts w:cs="David" w:hint="cs"/>
          <w:sz w:val="24"/>
          <w:szCs w:val="24"/>
          <w:rtl/>
        </w:rPr>
        <w:t xml:space="preserve"> שצורף ביום 17.10.17. </w:t>
      </w:r>
    </w:p>
    <w:p w14:paraId="5F99AF71" w14:textId="77777777" w:rsidR="0098244F" w:rsidRDefault="0098244F" w:rsidP="0098244F">
      <w:pPr>
        <w:pStyle w:val="aa"/>
        <w:numPr>
          <w:ilvl w:val="0"/>
          <w:numId w:val="1"/>
        </w:numPr>
        <w:bidi/>
        <w:spacing w:before="120" w:after="120"/>
        <w:ind w:left="567" w:hanging="567"/>
        <w:jc w:val="both"/>
        <w:rPr>
          <w:rFonts w:cs="David"/>
          <w:sz w:val="24"/>
          <w:szCs w:val="24"/>
        </w:rPr>
      </w:pPr>
      <w:r>
        <w:rPr>
          <w:rFonts w:cs="David" w:hint="cs"/>
          <w:sz w:val="24"/>
          <w:szCs w:val="24"/>
          <w:rtl/>
        </w:rPr>
        <w:t xml:space="preserve">כתב האישום הראשון הוגש ביום 3.2.16. בהכרעת דין מיום 11.9.16 הורשע הנאשם, לפי הודאתו, בעבירה של יצור, הכנה, והפקת סם, לפי </w:t>
      </w:r>
      <w:hyperlink r:id="rId20"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6</w:t>
        </w:r>
      </w:hyperlink>
      <w:r>
        <w:rPr>
          <w:rFonts w:cs="David" w:hint="cs"/>
          <w:sz w:val="24"/>
          <w:szCs w:val="24"/>
          <w:rtl/>
        </w:rPr>
        <w:t xml:space="preserve"> ל</w:t>
      </w:r>
      <w:hyperlink r:id="rId21" w:history="1">
        <w:r w:rsidR="00265F27" w:rsidRPr="00265F27">
          <w:rPr>
            <w:rFonts w:cs="David" w:hint="cs"/>
            <w:color w:val="0000FF"/>
            <w:sz w:val="24"/>
            <w:szCs w:val="24"/>
            <w:u w:val="single"/>
            <w:rtl/>
          </w:rPr>
          <w:t>פקודת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הסמים</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המסוכנים</w:t>
        </w:r>
      </w:hyperlink>
      <w:r>
        <w:rPr>
          <w:rFonts w:cs="David" w:hint="cs"/>
          <w:sz w:val="24"/>
          <w:szCs w:val="24"/>
          <w:rtl/>
        </w:rPr>
        <w:t xml:space="preserve"> [נוסח חדש], התשל"ג – 1973, ובעבירה של החזקת סם מסוכן שלא לצריכה עצמית, לפי </w:t>
      </w:r>
      <w:hyperlink r:id="rId22"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7(</w:t>
        </w:r>
        <w:r w:rsidR="00E15C89" w:rsidRPr="00E15C89">
          <w:rPr>
            <w:rFonts w:cs="David" w:hint="cs"/>
            <w:color w:val="0000FF"/>
            <w:sz w:val="24"/>
            <w:szCs w:val="24"/>
            <w:u w:val="single"/>
            <w:rtl/>
          </w:rPr>
          <w:t>א</w:t>
        </w:r>
        <w:r w:rsidR="00E15C89" w:rsidRPr="00E15C89">
          <w:rPr>
            <w:rFonts w:cs="David"/>
            <w:color w:val="0000FF"/>
            <w:sz w:val="24"/>
            <w:szCs w:val="24"/>
            <w:u w:val="single"/>
            <w:rtl/>
          </w:rPr>
          <w:t>)</w:t>
        </w:r>
      </w:hyperlink>
      <w:r>
        <w:rPr>
          <w:rFonts w:cs="David" w:hint="cs"/>
          <w:sz w:val="24"/>
          <w:szCs w:val="24"/>
          <w:rtl/>
        </w:rPr>
        <w:t xml:space="preserve"> יחד עם </w:t>
      </w:r>
      <w:hyperlink r:id="rId23"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7(</w:t>
        </w:r>
        <w:r w:rsidR="00E15C89" w:rsidRPr="00E15C89">
          <w:rPr>
            <w:rFonts w:cs="David" w:hint="cs"/>
            <w:color w:val="0000FF"/>
            <w:sz w:val="24"/>
            <w:szCs w:val="24"/>
            <w:u w:val="single"/>
            <w:rtl/>
          </w:rPr>
          <w:t>ג</w:t>
        </w:r>
        <w:r w:rsidR="00E15C89" w:rsidRPr="00E15C89">
          <w:rPr>
            <w:rFonts w:cs="David"/>
            <w:color w:val="0000FF"/>
            <w:sz w:val="24"/>
            <w:szCs w:val="24"/>
            <w:u w:val="single"/>
            <w:rtl/>
          </w:rPr>
          <w:t>)</w:t>
        </w:r>
      </w:hyperlink>
      <w:r>
        <w:rPr>
          <w:rFonts w:cs="David" w:hint="cs"/>
          <w:sz w:val="24"/>
          <w:szCs w:val="24"/>
          <w:rtl/>
        </w:rPr>
        <w:t xml:space="preserve"> רישא לפקודת הסמים המסוכנים. לפי כתב האישום, הנאשם הקים מעבדה וגידל בה 250 שתילי קנבוס במשקל 41.25 ק"ג נטו.</w:t>
      </w:r>
    </w:p>
    <w:p w14:paraId="25EC5D64" w14:textId="77777777" w:rsidR="0098244F" w:rsidRDefault="0098244F" w:rsidP="0098244F">
      <w:pPr>
        <w:pStyle w:val="aa"/>
        <w:numPr>
          <w:ilvl w:val="0"/>
          <w:numId w:val="1"/>
        </w:numPr>
        <w:bidi/>
        <w:spacing w:before="120" w:after="120"/>
        <w:ind w:left="567" w:hanging="567"/>
        <w:jc w:val="both"/>
        <w:rPr>
          <w:rFonts w:cs="David"/>
          <w:sz w:val="24"/>
          <w:szCs w:val="24"/>
        </w:rPr>
      </w:pPr>
      <w:bookmarkStart w:id="7" w:name="ABSTRACT_END"/>
      <w:bookmarkEnd w:id="7"/>
      <w:r>
        <w:rPr>
          <w:rFonts w:cs="David" w:hint="cs"/>
          <w:sz w:val="24"/>
          <w:szCs w:val="24"/>
          <w:rtl/>
        </w:rPr>
        <w:lastRenderedPageBreak/>
        <w:t xml:space="preserve">בין ובין, נשלח הנאשם לשירות המבחן ונערכו מספר תסקירים בעניינו. התסקירים עמדו על כך שהנאשם שוחרר ממעצרו להליך של טיפול, ואף שיתף פעולה עם שירות המבחן בהליך זה משך זמן רב.    </w:t>
      </w:r>
    </w:p>
    <w:p w14:paraId="77C788E9" w14:textId="77777777" w:rsidR="0098244F" w:rsidRDefault="0098244F" w:rsidP="0098244F">
      <w:pPr>
        <w:pStyle w:val="aa"/>
        <w:numPr>
          <w:ilvl w:val="0"/>
          <w:numId w:val="1"/>
        </w:numPr>
        <w:bidi/>
        <w:spacing w:before="120" w:after="120"/>
        <w:ind w:left="567" w:hanging="567"/>
        <w:jc w:val="both"/>
        <w:rPr>
          <w:rFonts w:cs="David"/>
          <w:sz w:val="24"/>
          <w:szCs w:val="24"/>
        </w:rPr>
      </w:pPr>
      <w:r>
        <w:rPr>
          <w:rFonts w:cs="David" w:hint="cs"/>
          <w:sz w:val="24"/>
          <w:szCs w:val="24"/>
          <w:rtl/>
        </w:rPr>
        <w:t xml:space="preserve">דא עקא, כי במהלך הליך הטיפול, נעצר הנאשם ובהמשך הוגש כתב אישום נוסף נגד הנאשם ביום 5.6.17. בהכרעת דין מיום 17.10.17 הורשע הנאשם, לפי הודאתו, בכתב האישום הנוסף בעבירה של יצור, הכנה, והפקת סם, לפי </w:t>
      </w:r>
      <w:hyperlink r:id="rId24"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6</w:t>
        </w:r>
      </w:hyperlink>
      <w:r>
        <w:rPr>
          <w:rFonts w:cs="David" w:hint="cs"/>
          <w:sz w:val="24"/>
          <w:szCs w:val="24"/>
          <w:rtl/>
        </w:rPr>
        <w:t xml:space="preserve"> ל</w:t>
      </w:r>
      <w:hyperlink r:id="rId25" w:history="1">
        <w:r w:rsidR="00265F27" w:rsidRPr="00265F27">
          <w:rPr>
            <w:rFonts w:cs="David" w:hint="cs"/>
            <w:color w:val="0000FF"/>
            <w:sz w:val="24"/>
            <w:szCs w:val="24"/>
            <w:u w:val="single"/>
            <w:rtl/>
          </w:rPr>
          <w:t>פקודת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הסמים</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המסוכנים</w:t>
        </w:r>
      </w:hyperlink>
      <w:r>
        <w:rPr>
          <w:rFonts w:cs="David" w:hint="cs"/>
          <w:sz w:val="24"/>
          <w:szCs w:val="24"/>
          <w:rtl/>
        </w:rPr>
        <w:t xml:space="preserve">, בעבירה של החזקת סם מסוכן שלא לצריכה עצמית, לפי </w:t>
      </w:r>
      <w:hyperlink r:id="rId26"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7(</w:t>
        </w:r>
        <w:r w:rsidR="00E15C89" w:rsidRPr="00E15C89">
          <w:rPr>
            <w:rFonts w:cs="David" w:hint="cs"/>
            <w:color w:val="0000FF"/>
            <w:sz w:val="24"/>
            <w:szCs w:val="24"/>
            <w:u w:val="single"/>
            <w:rtl/>
          </w:rPr>
          <w:t>א</w:t>
        </w:r>
        <w:r w:rsidR="00E15C89" w:rsidRPr="00E15C89">
          <w:rPr>
            <w:rFonts w:cs="David"/>
            <w:color w:val="0000FF"/>
            <w:sz w:val="24"/>
            <w:szCs w:val="24"/>
            <w:u w:val="single"/>
            <w:rtl/>
          </w:rPr>
          <w:t>)</w:t>
        </w:r>
      </w:hyperlink>
      <w:r>
        <w:rPr>
          <w:rFonts w:cs="David" w:hint="cs"/>
          <w:sz w:val="24"/>
          <w:szCs w:val="24"/>
          <w:rtl/>
        </w:rPr>
        <w:t xml:space="preserve"> יחד עם </w:t>
      </w:r>
      <w:hyperlink r:id="rId27"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7(</w:t>
        </w:r>
        <w:r w:rsidR="00E15C89" w:rsidRPr="00E15C89">
          <w:rPr>
            <w:rFonts w:cs="David" w:hint="cs"/>
            <w:color w:val="0000FF"/>
            <w:sz w:val="24"/>
            <w:szCs w:val="24"/>
            <w:u w:val="single"/>
            <w:rtl/>
          </w:rPr>
          <w:t>ג</w:t>
        </w:r>
        <w:r w:rsidR="00E15C89" w:rsidRPr="00E15C89">
          <w:rPr>
            <w:rFonts w:cs="David"/>
            <w:color w:val="0000FF"/>
            <w:sz w:val="24"/>
            <w:szCs w:val="24"/>
            <w:u w:val="single"/>
            <w:rtl/>
          </w:rPr>
          <w:t>)</w:t>
        </w:r>
      </w:hyperlink>
      <w:r>
        <w:rPr>
          <w:rFonts w:cs="David" w:hint="cs"/>
          <w:sz w:val="24"/>
          <w:szCs w:val="24"/>
          <w:rtl/>
        </w:rPr>
        <w:t xml:space="preserve"> רישא לפקודת הסמים המסוכנים, ובעבירה של החזקת כלים המשמשים להכנת סם מסוכן, לפי </w:t>
      </w:r>
      <w:hyperlink r:id="rId28"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10</w:t>
        </w:r>
      </w:hyperlink>
      <w:r>
        <w:rPr>
          <w:rFonts w:cs="David" w:hint="cs"/>
          <w:sz w:val="24"/>
          <w:szCs w:val="24"/>
          <w:rtl/>
        </w:rPr>
        <w:t xml:space="preserve"> רישא לפקודת הסמים המסוכנים. לפי כתב האישום הנוסף, הנאשם הקים מעבדה נוספת וגידל בה שתילי קנבוס רבים במשקל 45.47 ק"ג נטו.     </w:t>
      </w:r>
    </w:p>
    <w:p w14:paraId="3CDC4CB4" w14:textId="77777777" w:rsidR="0098244F" w:rsidRDefault="0098244F" w:rsidP="0098244F">
      <w:pPr>
        <w:spacing w:before="120" w:after="120"/>
        <w:ind w:left="509" w:hanging="567"/>
        <w:contextualSpacing/>
        <w:jc w:val="both"/>
        <w:rPr>
          <w:b/>
          <w:bCs/>
          <w:u w:val="single"/>
        </w:rPr>
      </w:pPr>
    </w:p>
    <w:p w14:paraId="6A776B2E" w14:textId="77777777" w:rsidR="0098244F" w:rsidRDefault="0098244F" w:rsidP="0098244F">
      <w:pPr>
        <w:spacing w:before="120" w:after="120"/>
        <w:ind w:left="509" w:hanging="567"/>
        <w:contextualSpacing/>
        <w:jc w:val="both"/>
        <w:rPr>
          <w:b/>
          <w:bCs/>
          <w:u w:val="single"/>
          <w:rtl/>
        </w:rPr>
      </w:pPr>
      <w:r>
        <w:rPr>
          <w:rFonts w:hint="cs"/>
          <w:b/>
          <w:bCs/>
          <w:u w:val="single"/>
          <w:rtl/>
        </w:rPr>
        <w:t>ראיות לעונש</w:t>
      </w:r>
    </w:p>
    <w:p w14:paraId="0257C318" w14:textId="77777777" w:rsidR="0098244F" w:rsidRDefault="0098244F" w:rsidP="0098244F">
      <w:pPr>
        <w:pStyle w:val="aa"/>
        <w:numPr>
          <w:ilvl w:val="0"/>
          <w:numId w:val="1"/>
        </w:numPr>
        <w:bidi/>
        <w:spacing w:before="120" w:after="120"/>
        <w:ind w:left="509" w:hanging="567"/>
        <w:jc w:val="both"/>
        <w:rPr>
          <w:rFonts w:cs="David"/>
          <w:sz w:val="24"/>
          <w:szCs w:val="24"/>
          <w:rtl/>
        </w:rPr>
      </w:pPr>
      <w:r>
        <w:rPr>
          <w:rFonts w:cs="David" w:hint="cs"/>
          <w:sz w:val="24"/>
          <w:szCs w:val="24"/>
          <w:rtl/>
        </w:rPr>
        <w:t xml:space="preserve">מטעם הנאשם העידה אשתו. בעדותה תיארה כי נישאה לנאשם ביודעה על עברו הפלילי ובהחלטה משותפת כי יפתח דף חדש. עוד ציינה, כי בעת שבנם הבכור היה בן מספר חודשים, התגלה שהוא עיוור והיא והנאשם נאלצו לעזוב את מקום עבודתם. הבן נאלץ לעבור ניתוחים ונזקק לטיפולים רפואיים יקרים, וסובל מבעיות רפואיות והתפתחויות (נ/1). בהמשך, נולדו שני קטינים נוספים. מכאן, התדרדר מצבם הכלכלי, והנאשם לווה כספים בשוק האפור. בהמשך לכך, החלו לאיים עליהם, להטריד אותם ולא ניתן היה לפנות למשטרה. עוד הוסיפה, כי בשל המצב הכלכלי, הנאשם ביצע תחילה את העבירות מושא כתב האישום הראשון. כן ציינה, כי בעת שהנאשם שוחרר בתיק הראשון, מצבם הכלכלי התדרדר עוד יותר משום שהיה נתון זמן ממושך במעצר בית ולא יכול היה לעבוד. בהמשך לכך, ביצע גם את העבירות מושא כתב האישום השני, על מנת להחזיר כספים. הנאשם ציין בפניה כי הוא מעדיף לשבת בחושך על מנת שבנו לא יהיה בחושך. לדבריה, היא מתקיימת משירותי הרווחה, ונאלצת לגדל בעצמה 3 ילדים קטינים, שהגדול לקוי הראייה, בן 4 בלבד. </w:t>
      </w:r>
    </w:p>
    <w:p w14:paraId="7BE41B19" w14:textId="77777777" w:rsidR="0098244F" w:rsidRDefault="0098244F" w:rsidP="0098244F">
      <w:pPr>
        <w:spacing w:before="120" w:after="120"/>
        <w:ind w:left="509" w:hanging="567"/>
        <w:contextualSpacing/>
        <w:jc w:val="both"/>
        <w:rPr>
          <w:b/>
          <w:bCs/>
          <w:u w:val="single"/>
          <w:rtl/>
        </w:rPr>
      </w:pPr>
    </w:p>
    <w:p w14:paraId="78F094CD" w14:textId="77777777" w:rsidR="0098244F" w:rsidRDefault="0098244F" w:rsidP="0098244F">
      <w:pPr>
        <w:spacing w:before="120" w:after="120"/>
        <w:ind w:left="509" w:hanging="567"/>
        <w:contextualSpacing/>
        <w:jc w:val="both"/>
        <w:rPr>
          <w:b/>
          <w:bCs/>
          <w:u w:val="single"/>
          <w:rtl/>
        </w:rPr>
      </w:pPr>
      <w:r>
        <w:rPr>
          <w:rFonts w:hint="cs"/>
          <w:b/>
          <w:bCs/>
          <w:u w:val="single"/>
          <w:rtl/>
        </w:rPr>
        <w:t>טענות הצדדים לעונש</w:t>
      </w:r>
    </w:p>
    <w:p w14:paraId="40898405" w14:textId="77777777" w:rsidR="0098244F" w:rsidRDefault="0098244F" w:rsidP="0098244F">
      <w:pPr>
        <w:pStyle w:val="aa"/>
        <w:numPr>
          <w:ilvl w:val="0"/>
          <w:numId w:val="1"/>
        </w:numPr>
        <w:bidi/>
        <w:spacing w:before="120" w:after="120"/>
        <w:ind w:left="509" w:hanging="567"/>
        <w:jc w:val="both"/>
        <w:rPr>
          <w:rFonts w:cs="David"/>
          <w:b/>
          <w:bCs/>
          <w:sz w:val="24"/>
          <w:szCs w:val="24"/>
          <w:u w:val="single"/>
          <w:rtl/>
        </w:rPr>
      </w:pPr>
      <w:r>
        <w:rPr>
          <w:rFonts w:cs="David" w:hint="cs"/>
          <w:sz w:val="24"/>
          <w:szCs w:val="24"/>
          <w:rtl/>
        </w:rPr>
        <w:t>בא כוח התביעה טען, שכתוצאה מביצוע העבירות נפגעו הערכים החברתיים של הגנה על בריאותו ושלמותו הפיסית והנפשית של הציבור מפני נגע הסמים. לטענתו, לאור נסיבות ביצוע העבירות, כמות הסמים הגדולה וההשקעה, הפגיעה בערכים המוגנים היא משמעותית.</w:t>
      </w:r>
    </w:p>
    <w:p w14:paraId="769A7DEB"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לטענתו, יש לקחת בחשבון את הנסיבות הבאות הקשורות בביצוע העבירות: הנאשם הקים שתי מעבדות וגידל בהן מאות שתילים בשלבי גידול שונים במשקל כולל של כ-86 ק"ג (עת/3). המדובר בכמות גדולה; הנאשם הקים שתי מעבדות, עשה שימוש בציוד רב, והשקיע זמן וממון בהקמת המעבדות; הנאשם הקים את המעבדה השנייה לאחר ששוחרר למעצר בית לצורך שיקום וחרף התנגדות התביעה. הנאשם הקים את המעבדה השנייה בעת יציאות למפגשים </w:t>
      </w:r>
      <w:r>
        <w:rPr>
          <w:rFonts w:cs="David" w:hint="cs"/>
          <w:sz w:val="24"/>
          <w:szCs w:val="24"/>
          <w:rtl/>
        </w:rPr>
        <w:lastRenderedPageBreak/>
        <w:t xml:space="preserve">בשירות המבחן ובכך מעל באמון שניתן בו; המעבדות הוקדמו תוך תכנון מוקדם ומדוקדק על ידי הנאשם; בתיק האחד, הנאשם היה המתכנן והמבצע היחיד, ובשני, היה המרכזי.   </w:t>
      </w:r>
    </w:p>
    <w:p w14:paraId="1FDD92DD"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עוד טען, כי בשל נסיבות ביצוע העבירות, מרחק הזמן בין כתב אישום אחד למשנהו, המעורבים השונים והמיקום השונה בכל אחד מהאירועים, כל כתב אישום הוא בגדר אירוע נפרד. מכאן טען, כי יש לקבוע מתחם ענישה נפרד לכל אחד מהאירועים. </w:t>
      </w:r>
    </w:p>
    <w:p w14:paraId="1257F0BE"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לטענתו, מתחם העונש ההולם ביחס לכל אחד מהאירועים, נע בין מאסר לתקופה של 24 חודשים ובין מאסר לתקופה של 38 חודשים, לצד מאסר על תנאי וקנס של עשרות אלפי שקלים.</w:t>
      </w:r>
    </w:p>
    <w:p w14:paraId="52BB754D" w14:textId="77777777" w:rsidR="0098244F" w:rsidRDefault="0098244F" w:rsidP="0098244F">
      <w:pPr>
        <w:pStyle w:val="aa"/>
        <w:bidi/>
        <w:spacing w:before="120" w:after="120"/>
        <w:ind w:left="509"/>
        <w:jc w:val="both"/>
        <w:rPr>
          <w:rFonts w:cs="David"/>
          <w:b/>
          <w:bCs/>
          <w:sz w:val="24"/>
          <w:szCs w:val="24"/>
          <w:u w:val="single"/>
        </w:rPr>
      </w:pPr>
    </w:p>
    <w:p w14:paraId="7C8FE15D"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טען, כי יש לקחת בחשבון את הנסיבות הבאות שאינן קשורות בביצוע העבירות: לנאשם עבר פלילי בלתי מבוטל, לרבות בעבירות סמים (עת/1); לנאשם עבר תעבורתי הכולל עבירות של נהיגה בשכרות (עת/2); תסקירי שירות המבחן לא באו בהמלצה טיפולית. מכאן טען, כי יש למקם את העונש ההולם בשליש העליון של מתחם העונש ההולם וזאת ביחס לכל אחד מהאירועים.</w:t>
      </w:r>
    </w:p>
    <w:p w14:paraId="36C5972F"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לטענתו, יש להרתיע את הנאשם באמצעות מאסר ממושך וקנס כספי גדול. מכאן עתר בא כוח התביעה להטיל על הנאשם עונש של מאסר לתקופה שלא תפחת מ-4 שנים, מאסר על תנאי וקנס בסכום של 50,000 ₪.</w:t>
      </w:r>
    </w:p>
    <w:p w14:paraId="5545BD37"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עוד עתר להכריז על הנאשם "סוחר סמים" לפי </w:t>
      </w:r>
      <w:hyperlink r:id="rId29"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36</w:t>
        </w:r>
        <w:r w:rsidR="00E15C89" w:rsidRPr="00E15C89">
          <w:rPr>
            <w:rFonts w:cs="David" w:hint="cs"/>
            <w:color w:val="0000FF"/>
            <w:sz w:val="24"/>
            <w:szCs w:val="24"/>
            <w:u w:val="single"/>
            <w:rtl/>
          </w:rPr>
          <w:t>א</w:t>
        </w:r>
        <w:r w:rsidR="00E15C89" w:rsidRPr="00E15C89">
          <w:rPr>
            <w:rFonts w:cs="David"/>
            <w:color w:val="0000FF"/>
            <w:sz w:val="24"/>
            <w:szCs w:val="24"/>
            <w:u w:val="single"/>
            <w:rtl/>
          </w:rPr>
          <w:t>(</w:t>
        </w:r>
        <w:r w:rsidR="00E15C89" w:rsidRPr="00E15C89">
          <w:rPr>
            <w:rFonts w:cs="David" w:hint="cs"/>
            <w:color w:val="0000FF"/>
            <w:sz w:val="24"/>
            <w:szCs w:val="24"/>
            <w:u w:val="single"/>
            <w:rtl/>
          </w:rPr>
          <w:t>ב</w:t>
        </w:r>
        <w:r w:rsidR="00E15C89" w:rsidRPr="00E15C89">
          <w:rPr>
            <w:rFonts w:cs="David"/>
            <w:color w:val="0000FF"/>
            <w:sz w:val="24"/>
            <w:szCs w:val="24"/>
            <w:u w:val="single"/>
            <w:rtl/>
          </w:rPr>
          <w:t>)</w:t>
        </w:r>
      </w:hyperlink>
      <w:r>
        <w:rPr>
          <w:rFonts w:cs="David" w:hint="cs"/>
          <w:sz w:val="24"/>
          <w:szCs w:val="24"/>
          <w:rtl/>
        </w:rPr>
        <w:t xml:space="preserve"> ל</w:t>
      </w:r>
      <w:hyperlink r:id="rId30" w:history="1">
        <w:r w:rsidR="00265F27" w:rsidRPr="00265F27">
          <w:rPr>
            <w:rFonts w:cs="David" w:hint="cs"/>
            <w:color w:val="0000FF"/>
            <w:sz w:val="24"/>
            <w:szCs w:val="24"/>
            <w:u w:val="single"/>
            <w:rtl/>
          </w:rPr>
          <w:t>פקודת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הסמים</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המסוכנים</w:t>
        </w:r>
      </w:hyperlink>
      <w:r>
        <w:rPr>
          <w:rFonts w:cs="David" w:hint="cs"/>
          <w:sz w:val="24"/>
          <w:szCs w:val="24"/>
          <w:rtl/>
        </w:rPr>
        <w:t>, להורות על חילוט הציוד שנתפס והשמדת הסמים.</w:t>
      </w:r>
    </w:p>
    <w:p w14:paraId="6F78CA55"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בא כוח הנאשם טען, לעומת זאת, כי הנאשם ביצע את העבירות על רקע הסתבכותו הכלכלית, האיומים מצד מלווים בשוק האפור ומצבו הקשה של בנו, והדבר עולה הן מחקירותיו במשטרה והן מהראיות שהוגשו לבית המשפט במסגרת הטיעון לעונש. לטענתו, הנאשם לקח אחריות על המצב, הקריב את עצמו וביצע את העבירות על מנת לסייע לבנו. עוד ציין, כי הנאשם שוחרר תחילה להליך של טיפול, שיתף פעולה זמן ממושך עם שירות המבחן, אולם לא יכול היה להחזיר את ההלוואות בשוק באפור בשל מעצר הבית שבו היה נתון. </w:t>
      </w:r>
    </w:p>
    <w:p w14:paraId="07F7198A"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לטענתו, מתחם העונש ההולם בגין כל אחד מכתבי האישום, לפי נסיבות העניין ומדיניות הפסיקה, נע בין מאסר לתקופה של 12 חודשים ובין מאסר לתקופה של 24 חודשים. </w:t>
      </w:r>
    </w:p>
    <w:p w14:paraId="2D9B83F2"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טען, כי יש לקחת בחשבון את הנסיבות שאינן קשורות לביצוע העבירות: הנאשם לקח אחריות על המיוחס לו מעת חקירתו במשטרה; הנאשם הודה גם בפני בית המשפט; הנאשם נטל חלק בהליך ממושך של טיפול, שיתף פעולה באופן מלא עם שירות המבחן, אולם ההליך נגדע בשל מצבו הכלכלי הקשה שהביא אותו לביצוע העבירות מושא התיק השני; עברו הפלילי של הנאשם בעבירות סמים זניח והנאשם החליט על עזיבת העולם העברייני, בטרם הסתבך בתיקים שכאן; הפגיעה במשפחתו של הנאשם כתוצאה מהעונש שיוטל היא קשה ביותר לאור הנסיבות האישיות של המשפחה.</w:t>
      </w:r>
    </w:p>
    <w:p w14:paraId="4221B953"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בא כוח הנאשם הוסיף גם כי קנס כספי לא ירתיע במקרה הנדון, הואיל והעבירות בוצעו מלכתחילה על רקע מצוקה כלכלית וחובות לשוק האפור.</w:t>
      </w:r>
    </w:p>
    <w:p w14:paraId="22CF79E6"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לטענתו, לאור מכלול הנסיבות, יש להטיל גם עונש כולל אחד בגין מכלול העבירות, שמיקומו בחלקו התחתון של המתחמים.</w:t>
      </w:r>
    </w:p>
    <w:p w14:paraId="0C8430BE"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בדברו האחרון מסר הנאשם כי הוא ביצע העבירות משום שלא היתה לו ברירה והוא הגיע למבוי סתום.</w:t>
      </w:r>
    </w:p>
    <w:p w14:paraId="464EA7BD" w14:textId="77777777" w:rsidR="0098244F" w:rsidRDefault="0098244F" w:rsidP="0098244F">
      <w:pPr>
        <w:spacing w:before="120" w:after="120"/>
        <w:ind w:left="-58"/>
        <w:jc w:val="both"/>
        <w:rPr>
          <w:b/>
          <w:bCs/>
          <w:u w:val="single"/>
        </w:rPr>
      </w:pPr>
    </w:p>
    <w:p w14:paraId="5285D8C6" w14:textId="77777777" w:rsidR="0098244F" w:rsidRDefault="0098244F" w:rsidP="0098244F">
      <w:pPr>
        <w:spacing w:before="120" w:after="120"/>
        <w:ind w:left="-58"/>
        <w:jc w:val="both"/>
        <w:rPr>
          <w:b/>
          <w:bCs/>
          <w:u w:val="single"/>
          <w:rtl/>
        </w:rPr>
      </w:pPr>
      <w:r>
        <w:rPr>
          <w:rFonts w:hint="cs"/>
          <w:b/>
          <w:bCs/>
          <w:u w:val="single"/>
          <w:rtl/>
        </w:rPr>
        <w:t>דיון והכרעה</w:t>
      </w:r>
    </w:p>
    <w:p w14:paraId="73D9F8F8" w14:textId="77777777" w:rsidR="0098244F" w:rsidRDefault="0098244F" w:rsidP="0098244F">
      <w:pPr>
        <w:spacing w:before="120" w:after="120"/>
        <w:ind w:left="-58"/>
        <w:jc w:val="both"/>
        <w:rPr>
          <w:u w:val="single"/>
          <w:rtl/>
        </w:rPr>
      </w:pPr>
      <w:r>
        <w:rPr>
          <w:rFonts w:hint="cs"/>
          <w:u w:val="single"/>
          <w:rtl/>
        </w:rPr>
        <w:t>קביעת מתחם הענישה</w:t>
      </w:r>
    </w:p>
    <w:p w14:paraId="0C314885" w14:textId="77777777" w:rsidR="0098244F" w:rsidRDefault="0098244F" w:rsidP="0098244F">
      <w:pPr>
        <w:pStyle w:val="aa"/>
        <w:numPr>
          <w:ilvl w:val="0"/>
          <w:numId w:val="1"/>
        </w:numPr>
        <w:bidi/>
        <w:spacing w:before="120" w:after="120"/>
        <w:ind w:left="509" w:hanging="567"/>
        <w:jc w:val="both"/>
        <w:rPr>
          <w:rFonts w:cs="David"/>
          <w:sz w:val="24"/>
          <w:szCs w:val="24"/>
          <w:rtl/>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 xml:space="preserve"> (</w:t>
      </w:r>
      <w:hyperlink r:id="rId31"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40</w:t>
        </w:r>
        <w:r w:rsidR="00E15C89" w:rsidRPr="00E15C89">
          <w:rPr>
            <w:rFonts w:cs="David" w:hint="cs"/>
            <w:color w:val="0000FF"/>
            <w:sz w:val="24"/>
            <w:szCs w:val="24"/>
            <w:u w:val="single"/>
            <w:rtl/>
          </w:rPr>
          <w:t>ג</w:t>
        </w:r>
      </w:hyperlink>
      <w:r>
        <w:rPr>
          <w:rFonts w:cs="David" w:hint="cs"/>
          <w:sz w:val="24"/>
          <w:szCs w:val="24"/>
          <w:rtl/>
        </w:rPr>
        <w:t xml:space="preserve"> ל</w:t>
      </w:r>
      <w:hyperlink r:id="rId32" w:history="1">
        <w:r w:rsidR="00265F27" w:rsidRPr="00265F27">
          <w:rPr>
            <w:rFonts w:cs="David" w:hint="cs"/>
            <w:color w:val="0000FF"/>
            <w:sz w:val="24"/>
            <w:szCs w:val="24"/>
            <w:u w:val="single"/>
            <w:rtl/>
          </w:rPr>
          <w:t>חוק</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העונשין</w:t>
        </w:r>
      </w:hyperlink>
      <w:r>
        <w:rPr>
          <w:rFonts w:cs="David" w:hint="cs"/>
          <w:sz w:val="24"/>
          <w:szCs w:val="24"/>
          <w:rtl/>
        </w:rPr>
        <w:t>).</w:t>
      </w:r>
    </w:p>
    <w:p w14:paraId="59B7C4B2"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הרשיע בית המשפט נאשם בכמה עבירות המהוות כמה אירועים, יקבע מתחם עונש הולם לכל אירוע בנפרד, ולאחר מכן רשאי הוא לגזור עונש נפרד לכל אירוע או עונש כולל לכל האירועים (</w:t>
      </w:r>
      <w:hyperlink r:id="rId33"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40</w:t>
        </w:r>
        <w:r w:rsidR="00E15C89" w:rsidRPr="00E15C89">
          <w:rPr>
            <w:rFonts w:cs="David" w:hint="cs"/>
            <w:color w:val="0000FF"/>
            <w:sz w:val="24"/>
            <w:szCs w:val="24"/>
            <w:u w:val="single"/>
            <w:rtl/>
          </w:rPr>
          <w:t>יג</w:t>
        </w:r>
      </w:hyperlink>
      <w:r>
        <w:rPr>
          <w:rFonts w:cs="David" w:hint="cs"/>
          <w:sz w:val="24"/>
          <w:szCs w:val="24"/>
          <w:rtl/>
        </w:rPr>
        <w:t xml:space="preserve"> ל</w:t>
      </w:r>
      <w:hyperlink r:id="rId34" w:history="1">
        <w:r w:rsidR="00265F27" w:rsidRPr="00265F27">
          <w:rPr>
            <w:rFonts w:cs="David" w:hint="cs"/>
            <w:color w:val="0000FF"/>
            <w:sz w:val="24"/>
            <w:szCs w:val="24"/>
            <w:u w:val="single"/>
            <w:rtl/>
          </w:rPr>
          <w:t>חוק</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העונשין</w:t>
        </w:r>
      </w:hyperlink>
      <w:r>
        <w:rPr>
          <w:rFonts w:cs="David" w:hint="cs"/>
          <w:sz w:val="24"/>
          <w:szCs w:val="24"/>
          <w:rtl/>
        </w:rPr>
        <w:t xml:space="preserve">). </w:t>
      </w:r>
    </w:p>
    <w:p w14:paraId="7A01CB35"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 xml:space="preserve">כל אחד מכתבי האישום הוא אירוע נפרד. כל אחד מכתבי האישום מתאר הקמת מעבדה עצמאית במיקום שונה. המעבדה השנייה הוקמה למעלה משנה אחרי המעבדה הראשונה. במעבדה השנייה היה מעורב נאשם נוסף. מכאן, שאין קשר הדוק בין הנסיבות המתוארות בכל אחד מכתבי האישום וכל כתב אישום מתאר אירוע עצמאי שיש לקבוע בגינו מתחם עונש הולם.  </w:t>
      </w:r>
    </w:p>
    <w:p w14:paraId="31DDBBB2"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35" w:history="1">
        <w:r w:rsidR="00265F27" w:rsidRPr="00265F27">
          <w:rPr>
            <w:rFonts w:cs="David" w:hint="cs"/>
            <w:color w:val="0000FF"/>
            <w:sz w:val="24"/>
            <w:szCs w:val="24"/>
            <w:u w:val="single"/>
            <w:rtl/>
          </w:rPr>
          <w:t>ע</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36" w:history="1">
        <w:r w:rsidR="00265F27" w:rsidRPr="00265F27">
          <w:rPr>
            <w:rFonts w:cs="David" w:hint="cs"/>
            <w:color w:val="0000FF"/>
            <w:sz w:val="24"/>
            <w:szCs w:val="24"/>
            <w:u w:val="single"/>
            <w:rtl/>
          </w:rPr>
          <w:t>ע</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6029/03 </w:t>
        </w:r>
        <w:r w:rsidR="00265F27" w:rsidRPr="00265F27">
          <w:rPr>
            <w:rFonts w:cs="David" w:hint="cs"/>
            <w:color w:val="0000FF"/>
            <w:sz w:val="24"/>
            <w:szCs w:val="24"/>
            <w:u w:val="single"/>
            <w:rtl/>
          </w:rPr>
          <w:t>מדינת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ישראל</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נ</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שמאי</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פ</w:t>
        </w:r>
        <w:r w:rsidR="00265F27" w:rsidRPr="00265F27">
          <w:rPr>
            <w:rFonts w:cs="David"/>
            <w:color w:val="0000FF"/>
            <w:sz w:val="24"/>
            <w:szCs w:val="24"/>
            <w:u w:val="single"/>
            <w:rtl/>
          </w:rPr>
          <w:t>"</w:t>
        </w:r>
        <w:r w:rsidR="00265F27" w:rsidRPr="00265F27">
          <w:rPr>
            <w:rFonts w:cs="David" w:hint="cs"/>
            <w:color w:val="0000FF"/>
            <w:sz w:val="24"/>
            <w:szCs w:val="24"/>
            <w:u w:val="single"/>
            <w:rtl/>
          </w:rPr>
          <w:t>ד</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נח</w:t>
        </w:r>
      </w:hyperlink>
      <w:r>
        <w:rPr>
          <w:rFonts w:cs="David" w:hint="cs"/>
          <w:sz w:val="24"/>
          <w:szCs w:val="24"/>
          <w:rtl/>
        </w:rPr>
        <w:t xml:space="preserve"> (2) 734 (9.2.04); </w:t>
      </w:r>
      <w:hyperlink r:id="rId37" w:history="1">
        <w:r w:rsidR="00265F27" w:rsidRPr="00265F27">
          <w:rPr>
            <w:rFonts w:cs="David" w:hint="cs"/>
            <w:color w:val="0000FF"/>
            <w:sz w:val="24"/>
            <w:szCs w:val="24"/>
            <w:u w:val="single"/>
            <w:rtl/>
          </w:rPr>
          <w:t>ע</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6021/95</w:t>
        </w:r>
      </w:hyperlink>
      <w:r>
        <w:rPr>
          <w:rFonts w:cs="David" w:hint="cs"/>
          <w:sz w:val="24"/>
          <w:szCs w:val="24"/>
          <w:rtl/>
        </w:rPr>
        <w:t xml:space="preserve">, </w:t>
      </w:r>
      <w:hyperlink r:id="rId38" w:history="1">
        <w:r w:rsidR="005E44C1" w:rsidRPr="005E44C1">
          <w:rPr>
            <w:rFonts w:cs="David"/>
            <w:color w:val="0000FF"/>
            <w:sz w:val="24"/>
            <w:szCs w:val="24"/>
            <w:u w:val="single"/>
            <w:rtl/>
          </w:rPr>
          <w:t>4998/95</w:t>
        </w:r>
      </w:hyperlink>
      <w:r>
        <w:rPr>
          <w:rFonts w:cs="David" w:hint="cs"/>
          <w:sz w:val="24"/>
          <w:szCs w:val="24"/>
          <w:rtl/>
        </w:rPr>
        <w:t xml:space="preserve">, 5267/95, 5313/95 </w:t>
      </w:r>
      <w:r>
        <w:rPr>
          <w:rFonts w:cs="David" w:hint="cs"/>
          <w:b/>
          <w:bCs/>
          <w:sz w:val="24"/>
          <w:szCs w:val="24"/>
          <w:rtl/>
        </w:rPr>
        <w:t xml:space="preserve">מדינת ישראל נ' גומז </w:t>
      </w:r>
      <w:r>
        <w:rPr>
          <w:rFonts w:cs="David" w:hint="cs"/>
          <w:sz w:val="24"/>
          <w:szCs w:val="24"/>
          <w:rtl/>
        </w:rPr>
        <w:t xml:space="preserve">(31.7.97); </w:t>
      </w:r>
      <w:hyperlink r:id="rId39" w:history="1">
        <w:r w:rsidR="00265F27" w:rsidRPr="00265F27">
          <w:rPr>
            <w:rFonts w:cs="David" w:hint="cs"/>
            <w:color w:val="0000FF"/>
            <w:sz w:val="24"/>
            <w:szCs w:val="24"/>
            <w:u w:val="single"/>
            <w:rtl/>
          </w:rPr>
          <w:t>ע</w:t>
        </w:r>
        <w:r w:rsidR="00265F27" w:rsidRPr="00265F27">
          <w:rPr>
            <w:rFonts w:cs="David"/>
            <w:color w:val="0000FF"/>
            <w:sz w:val="24"/>
            <w:szCs w:val="24"/>
            <w:u w:val="single"/>
            <w:rtl/>
          </w:rPr>
          <w:t>"</w:t>
        </w:r>
        <w:r w:rsidR="00265F27" w:rsidRPr="00265F27">
          <w:rPr>
            <w:rFonts w:cs="David" w:hint="cs"/>
            <w:color w:val="0000FF"/>
            <w:sz w:val="24"/>
            <w:szCs w:val="24"/>
            <w:u w:val="single"/>
            <w:rtl/>
          </w:rPr>
          <w:t>פ</w:t>
        </w:r>
        <w:r w:rsidR="00265F27" w:rsidRPr="00265F27">
          <w:rPr>
            <w:rFonts w:cs="David"/>
            <w:color w:val="0000FF"/>
            <w:sz w:val="24"/>
            <w:szCs w:val="24"/>
            <w:u w:val="single"/>
            <w:rtl/>
          </w:rPr>
          <w:t xml:space="preserve"> 575/88 </w:t>
        </w:r>
        <w:r w:rsidR="00265F27" w:rsidRPr="00265F27">
          <w:rPr>
            <w:rFonts w:cs="David" w:hint="cs"/>
            <w:color w:val="0000FF"/>
            <w:sz w:val="24"/>
            <w:szCs w:val="24"/>
            <w:u w:val="single"/>
            <w:rtl/>
          </w:rPr>
          <w:t>עודה</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נ</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מדינת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ישראל</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פ</w:t>
        </w:r>
        <w:r w:rsidR="00265F27" w:rsidRPr="00265F27">
          <w:rPr>
            <w:rFonts w:cs="David"/>
            <w:color w:val="0000FF"/>
            <w:sz w:val="24"/>
            <w:szCs w:val="24"/>
            <w:u w:val="single"/>
            <w:rtl/>
          </w:rPr>
          <w:t>"</w:t>
        </w:r>
        <w:r w:rsidR="00265F27" w:rsidRPr="00265F27">
          <w:rPr>
            <w:rFonts w:cs="David" w:hint="cs"/>
            <w:color w:val="0000FF"/>
            <w:sz w:val="24"/>
            <w:szCs w:val="24"/>
            <w:u w:val="single"/>
            <w:rtl/>
          </w:rPr>
          <w:t>ד</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מב</w:t>
        </w:r>
      </w:hyperlink>
      <w:r>
        <w:rPr>
          <w:rFonts w:cs="David" w:hint="cs"/>
          <w:sz w:val="24"/>
          <w:szCs w:val="24"/>
          <w:rtl/>
        </w:rPr>
        <w:t xml:space="preserve"> (4) 242 (11.12.88)).</w:t>
      </w:r>
    </w:p>
    <w:p w14:paraId="227676DB" w14:textId="77777777" w:rsidR="0098244F" w:rsidRDefault="0098244F" w:rsidP="0098244F">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מידת הפגיעה בערכים היא ברמה גבוהה, וזאת לאור נסיבות ביצוע העבירות: הנאשם הקים תחילה מעבדת סמים אחת וגידל בה 250 שתילי קנבוס במשקל 41.25 ק"ג נטו; לאחר ששוחרר ממעצר ושולב בהליך טיפול, ותוך הפרת האמון שניתן בו, הקים הנאשם מעבדת סמים נוספת וגידל בה שתילי קנבוס רבים במשקל 45.47 ק"ג נטו; המדובר במעבדות משוכללות, הכוללות ציוד רב, והושקעו בהן ממון וזמן; העבירות בוצעו תוך תכנון מוקפד.</w:t>
      </w:r>
    </w:p>
    <w:p w14:paraId="35BA6535" w14:textId="77777777" w:rsidR="0098244F" w:rsidRDefault="0098244F" w:rsidP="0098244F">
      <w:pPr>
        <w:pStyle w:val="aa"/>
        <w:bidi/>
        <w:spacing w:before="120" w:after="120"/>
        <w:ind w:left="509"/>
        <w:jc w:val="both"/>
        <w:rPr>
          <w:rFonts w:cs="David"/>
          <w:b/>
          <w:bCs/>
          <w:sz w:val="24"/>
          <w:szCs w:val="24"/>
          <w:u w:val="single"/>
        </w:rPr>
      </w:pPr>
      <w:r>
        <w:rPr>
          <w:rFonts w:cs="David" w:hint="cs"/>
          <w:sz w:val="24"/>
          <w:szCs w:val="24"/>
          <w:rtl/>
        </w:rPr>
        <w:t>בגדר הנסיבות הקשורות לביצוע העבירות לקחתי גם בחשבון את הסיבות שהביאו את הנאשם לבצע את העבירות (</w:t>
      </w:r>
      <w:hyperlink r:id="rId40"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40</w:t>
        </w:r>
        <w:r w:rsidR="00E15C89" w:rsidRPr="00E15C89">
          <w:rPr>
            <w:rFonts w:cs="David" w:hint="cs"/>
            <w:color w:val="0000FF"/>
            <w:sz w:val="24"/>
            <w:szCs w:val="24"/>
            <w:u w:val="single"/>
            <w:rtl/>
          </w:rPr>
          <w:t>ט</w:t>
        </w:r>
        <w:r w:rsidR="00E15C89" w:rsidRPr="00E15C89">
          <w:rPr>
            <w:rFonts w:cs="David"/>
            <w:color w:val="0000FF"/>
            <w:sz w:val="24"/>
            <w:szCs w:val="24"/>
            <w:u w:val="single"/>
            <w:rtl/>
          </w:rPr>
          <w:t>(5)</w:t>
        </w:r>
      </w:hyperlink>
      <w:r>
        <w:rPr>
          <w:rFonts w:cs="David" w:hint="cs"/>
          <w:sz w:val="24"/>
          <w:szCs w:val="24"/>
          <w:rtl/>
        </w:rPr>
        <w:t xml:space="preserve"> ל</w:t>
      </w:r>
      <w:hyperlink r:id="rId41" w:history="1">
        <w:r w:rsidR="00265F27" w:rsidRPr="00265F27">
          <w:rPr>
            <w:rFonts w:cs="David" w:hint="cs"/>
            <w:color w:val="0000FF"/>
            <w:sz w:val="24"/>
            <w:szCs w:val="24"/>
            <w:u w:val="single"/>
            <w:rtl/>
          </w:rPr>
          <w:t>חוק</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העונשין</w:t>
        </w:r>
      </w:hyperlink>
      <w:r>
        <w:rPr>
          <w:rFonts w:cs="David" w:hint="cs"/>
          <w:sz w:val="24"/>
          <w:szCs w:val="24"/>
          <w:rtl/>
        </w:rPr>
        <w:t xml:space="preserve">). התרשמתי מעדות אשתו של הנאשם ומהראיות שהוצגו לעונש, כי הנאשם ביצע את העבירות, בין היתר, לאור מצוקה כלכלית, חובות לשוק האפור ומצבו הרפואי של בנו. מטעם זה, הגעתי לכלל מסקנה, כי מידת הפגיעה בערכים המוגנים היא גבוהה, אולם לא גבוהה מאוד, כפי שהיתה אלמלא הנסיבות החריגות שהביאו את הנאשם לביצוע העבירות.  </w:t>
      </w:r>
    </w:p>
    <w:p w14:paraId="4AC97E31"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על מדיניות הענישה המקובלת והנוהגת בנסיבות דומות של הקמת מעבדה ליצור סמים והחזקת כמות שתילי קנבוס בהיקף דומה, ניתן ללמוד מהפסיקה שלהלן:</w:t>
      </w:r>
    </w:p>
    <w:p w14:paraId="2EFAF2C5" w14:textId="77777777" w:rsidR="0098244F" w:rsidRDefault="00265F27" w:rsidP="0098244F">
      <w:pPr>
        <w:pStyle w:val="aa"/>
        <w:numPr>
          <w:ilvl w:val="0"/>
          <w:numId w:val="2"/>
        </w:numPr>
        <w:bidi/>
        <w:spacing w:after="160"/>
        <w:ind w:left="793" w:hanging="284"/>
        <w:jc w:val="both"/>
        <w:rPr>
          <w:rFonts w:ascii="David" w:hAnsi="David" w:cs="David"/>
          <w:sz w:val="24"/>
          <w:szCs w:val="24"/>
        </w:rPr>
      </w:pPr>
      <w:hyperlink r:id="rId42" w:history="1">
        <w:r w:rsidRPr="00265F27">
          <w:rPr>
            <w:rFonts w:cs="David" w:hint="cs"/>
            <w:color w:val="0000FF"/>
            <w:sz w:val="24"/>
            <w:szCs w:val="24"/>
            <w:u w:val="single"/>
            <w:rtl/>
          </w:rPr>
          <w:t>ע</w:t>
        </w:r>
        <w:r w:rsidRPr="00265F27">
          <w:rPr>
            <w:rFonts w:cs="David"/>
            <w:color w:val="0000FF"/>
            <w:sz w:val="24"/>
            <w:szCs w:val="24"/>
            <w:u w:val="single"/>
            <w:rtl/>
          </w:rPr>
          <w:t>"</w:t>
        </w:r>
        <w:r w:rsidRPr="00265F27">
          <w:rPr>
            <w:rFonts w:cs="David" w:hint="cs"/>
            <w:color w:val="0000FF"/>
            <w:sz w:val="24"/>
            <w:szCs w:val="24"/>
            <w:u w:val="single"/>
            <w:rtl/>
          </w:rPr>
          <w:t>פ</w:t>
        </w:r>
        <w:r w:rsidRPr="00265F27">
          <w:rPr>
            <w:rFonts w:cs="David"/>
            <w:color w:val="0000FF"/>
            <w:sz w:val="24"/>
            <w:szCs w:val="24"/>
            <w:u w:val="single"/>
            <w:rtl/>
          </w:rPr>
          <w:t xml:space="preserve"> 8988/16</w:t>
        </w:r>
      </w:hyperlink>
      <w:r w:rsidR="0098244F">
        <w:rPr>
          <w:rFonts w:cs="David" w:hint="cs"/>
          <w:sz w:val="24"/>
          <w:szCs w:val="24"/>
          <w:rtl/>
        </w:rPr>
        <w:t xml:space="preserve"> </w:t>
      </w:r>
      <w:r w:rsidR="0098244F">
        <w:rPr>
          <w:rFonts w:cs="David" w:hint="cs"/>
          <w:b/>
          <w:bCs/>
          <w:sz w:val="24"/>
          <w:szCs w:val="24"/>
          <w:rtl/>
        </w:rPr>
        <w:t xml:space="preserve">מדינת ישראל נ' בן סימון </w:t>
      </w:r>
      <w:r w:rsidR="0098244F">
        <w:rPr>
          <w:rFonts w:cs="David" w:hint="cs"/>
          <w:sz w:val="24"/>
          <w:szCs w:val="24"/>
          <w:rtl/>
        </w:rPr>
        <w:t xml:space="preserve">(8.3.17) - בית המשפט המחוזי הרשיע את הנאשם, לאחר ניהול הוכחות, </w:t>
      </w:r>
      <w:r w:rsidR="0098244F">
        <w:rPr>
          <w:rFonts w:ascii="David" w:hAnsi="David" w:cs="David" w:hint="cs"/>
          <w:sz w:val="24"/>
          <w:szCs w:val="24"/>
          <w:rtl/>
        </w:rPr>
        <w:t xml:space="preserve">בעבירה של ייצור, הכנה והפקה של סם מסוכן מסוג קנבוס במעבדת סמים במשקל של </w:t>
      </w:r>
      <w:r w:rsidR="0098244F">
        <w:rPr>
          <w:rFonts w:ascii="David" w:hAnsi="David" w:cs="David" w:hint="cs"/>
          <w:b/>
          <w:bCs/>
          <w:sz w:val="24"/>
          <w:szCs w:val="24"/>
          <w:rtl/>
        </w:rPr>
        <w:t>87.25</w:t>
      </w:r>
      <w:r w:rsidR="0098244F">
        <w:rPr>
          <w:rFonts w:ascii="David" w:hAnsi="David" w:cs="David" w:hint="cs"/>
          <w:sz w:val="24"/>
          <w:szCs w:val="24"/>
          <w:rtl/>
        </w:rPr>
        <w:t xml:space="preserve"> קילוגרם נטו, וכן בעבירה של סחר והספקת סם מסוכן מסוג קנבוס במשקל של 5.43 גרם נטו. בית המשפט המחוזי קבע כי מתחם העונש ההולם כולל מאסר שנע בין </w:t>
      </w:r>
      <w:r w:rsidR="0098244F">
        <w:rPr>
          <w:rFonts w:ascii="David" w:hAnsi="David" w:cs="David" w:hint="cs"/>
          <w:b/>
          <w:bCs/>
          <w:sz w:val="24"/>
          <w:szCs w:val="24"/>
          <w:rtl/>
        </w:rPr>
        <w:t>28 - 48</w:t>
      </w:r>
      <w:r w:rsidR="0098244F">
        <w:rPr>
          <w:rFonts w:ascii="David" w:hAnsi="David" w:cs="David" w:hint="cs"/>
          <w:sz w:val="24"/>
          <w:szCs w:val="24"/>
          <w:rtl/>
        </w:rPr>
        <w:t xml:space="preserve"> חודשים, וגזר על הנאשם מאסר לתקופה של 36 חודשים וקנס בסכום של 40,000 ₪. ערעורו של הנאשם לבית המשפט העליון נדחה. </w:t>
      </w:r>
    </w:p>
    <w:p w14:paraId="6C4048A7" w14:textId="77777777" w:rsidR="0098244F" w:rsidRPr="0098244F" w:rsidRDefault="00265F27" w:rsidP="0098244F">
      <w:pPr>
        <w:pStyle w:val="aa"/>
        <w:numPr>
          <w:ilvl w:val="0"/>
          <w:numId w:val="2"/>
        </w:numPr>
        <w:bidi/>
        <w:spacing w:after="160"/>
        <w:ind w:left="793" w:hanging="284"/>
        <w:jc w:val="both"/>
        <w:rPr>
          <w:rFonts w:cs="David"/>
          <w:sz w:val="24"/>
          <w:szCs w:val="24"/>
          <w:rtl/>
        </w:rPr>
      </w:pPr>
      <w:hyperlink r:id="rId43" w:history="1">
        <w:r w:rsidRPr="00265F27">
          <w:rPr>
            <w:rFonts w:cs="David" w:hint="cs"/>
            <w:color w:val="0000FF"/>
            <w:sz w:val="24"/>
            <w:szCs w:val="24"/>
            <w:u w:val="single"/>
            <w:rtl/>
          </w:rPr>
          <w:t>ע</w:t>
        </w:r>
        <w:r w:rsidRPr="00265F27">
          <w:rPr>
            <w:rFonts w:cs="David"/>
            <w:color w:val="0000FF"/>
            <w:sz w:val="24"/>
            <w:szCs w:val="24"/>
            <w:u w:val="single"/>
            <w:rtl/>
          </w:rPr>
          <w:t>"</w:t>
        </w:r>
        <w:r w:rsidRPr="00265F27">
          <w:rPr>
            <w:rFonts w:cs="David" w:hint="cs"/>
            <w:color w:val="0000FF"/>
            <w:sz w:val="24"/>
            <w:szCs w:val="24"/>
            <w:u w:val="single"/>
            <w:rtl/>
          </w:rPr>
          <w:t>פ</w:t>
        </w:r>
        <w:r w:rsidRPr="00265F27">
          <w:rPr>
            <w:rFonts w:cs="David"/>
            <w:color w:val="0000FF"/>
            <w:sz w:val="24"/>
            <w:szCs w:val="24"/>
            <w:u w:val="single"/>
            <w:rtl/>
          </w:rPr>
          <w:t xml:space="preserve"> 2194/14</w:t>
        </w:r>
      </w:hyperlink>
      <w:r w:rsidR="0098244F">
        <w:rPr>
          <w:rFonts w:cs="David" w:hint="cs"/>
          <w:sz w:val="24"/>
          <w:szCs w:val="24"/>
          <w:rtl/>
        </w:rPr>
        <w:t xml:space="preserve"> </w:t>
      </w:r>
      <w:r w:rsidR="0098244F">
        <w:rPr>
          <w:rFonts w:cs="David" w:hint="cs"/>
          <w:b/>
          <w:bCs/>
          <w:sz w:val="24"/>
          <w:szCs w:val="24"/>
          <w:rtl/>
        </w:rPr>
        <w:t>בן שמעון נ' מדינת ישראל</w:t>
      </w:r>
      <w:r w:rsidR="0098244F">
        <w:rPr>
          <w:rFonts w:cs="David" w:hint="cs"/>
          <w:sz w:val="24"/>
          <w:szCs w:val="24"/>
          <w:rtl/>
        </w:rPr>
        <w:t xml:space="preserve"> (10.9.14) – בית המשפט המחוזי הרשיע את הנאשם, לפי הודאתו, בעבירות של גידול סם מסוכן מסוג קנבוס במשקל של </w:t>
      </w:r>
      <w:r w:rsidR="0098244F">
        <w:rPr>
          <w:rFonts w:cs="David" w:hint="cs"/>
          <w:b/>
          <w:bCs/>
          <w:sz w:val="24"/>
          <w:szCs w:val="24"/>
          <w:rtl/>
        </w:rPr>
        <w:t>33.5</w:t>
      </w:r>
      <w:r w:rsidR="0098244F">
        <w:rPr>
          <w:rFonts w:cs="David" w:hint="cs"/>
          <w:sz w:val="24"/>
          <w:szCs w:val="24"/>
          <w:rtl/>
        </w:rPr>
        <w:t xml:space="preserve"> ק"ג, והחזקת כלים המשמשים להכנת סם מסוכן. בית המשפט המחוזי קבע כי מתחם העונש  ההולם כולל מאסר הנע בין </w:t>
      </w:r>
      <w:r w:rsidR="0098244F">
        <w:rPr>
          <w:rFonts w:cs="David" w:hint="cs"/>
          <w:b/>
          <w:bCs/>
          <w:sz w:val="24"/>
          <w:szCs w:val="24"/>
          <w:rtl/>
        </w:rPr>
        <w:t>18 - 30</w:t>
      </w:r>
      <w:r w:rsidR="0098244F">
        <w:rPr>
          <w:rFonts w:cs="David" w:hint="cs"/>
          <w:sz w:val="24"/>
          <w:szCs w:val="24"/>
          <w:rtl/>
        </w:rPr>
        <w:t xml:space="preserve"> חודשים וגזר על המערער מאסר בפועל לתקופה של 27 חודשים, מאסר על תנאי וקנס בסכום של 5,000 ₪. בית המשפט העליון הפחית את עונשו של הנאשם וגזר עליו עונש של מאסר לתקופה של 20 חודשים וזאת לאור הליך שיקום שעבר הנאשם. </w:t>
      </w:r>
    </w:p>
    <w:p w14:paraId="79302DBE" w14:textId="77777777" w:rsidR="0098244F" w:rsidRDefault="00265F27" w:rsidP="0098244F">
      <w:pPr>
        <w:pStyle w:val="aa"/>
        <w:numPr>
          <w:ilvl w:val="0"/>
          <w:numId w:val="2"/>
        </w:numPr>
        <w:bidi/>
        <w:spacing w:after="160"/>
        <w:ind w:left="793" w:hanging="284"/>
        <w:jc w:val="both"/>
        <w:rPr>
          <w:rFonts w:cs="David"/>
          <w:sz w:val="24"/>
          <w:szCs w:val="24"/>
          <w:rtl/>
        </w:rPr>
      </w:pPr>
      <w:hyperlink r:id="rId44" w:history="1">
        <w:r w:rsidRPr="00265F27">
          <w:rPr>
            <w:rFonts w:cs="David" w:hint="cs"/>
            <w:color w:val="0000FF"/>
            <w:sz w:val="24"/>
            <w:szCs w:val="24"/>
            <w:u w:val="single"/>
            <w:rtl/>
          </w:rPr>
          <w:t>עפ</w:t>
        </w:r>
        <w:r w:rsidRPr="00265F27">
          <w:rPr>
            <w:rFonts w:cs="David"/>
            <w:color w:val="0000FF"/>
            <w:sz w:val="24"/>
            <w:szCs w:val="24"/>
            <w:u w:val="single"/>
            <w:rtl/>
          </w:rPr>
          <w:t>"</w:t>
        </w:r>
        <w:r w:rsidRPr="00265F27">
          <w:rPr>
            <w:rFonts w:cs="David" w:hint="cs"/>
            <w:color w:val="0000FF"/>
            <w:sz w:val="24"/>
            <w:szCs w:val="24"/>
            <w:u w:val="single"/>
            <w:rtl/>
          </w:rPr>
          <w:t>ג</w:t>
        </w:r>
        <w:r w:rsidRPr="00265F27">
          <w:rPr>
            <w:rFonts w:cs="David"/>
            <w:color w:val="0000FF"/>
            <w:sz w:val="24"/>
            <w:szCs w:val="24"/>
            <w:u w:val="single"/>
            <w:rtl/>
          </w:rPr>
          <w:t xml:space="preserve"> (</w:t>
        </w:r>
        <w:r w:rsidRPr="00265F27">
          <w:rPr>
            <w:rFonts w:cs="David" w:hint="cs"/>
            <w:color w:val="0000FF"/>
            <w:sz w:val="24"/>
            <w:szCs w:val="24"/>
            <w:u w:val="single"/>
            <w:rtl/>
          </w:rPr>
          <w:t>מרכז</w:t>
        </w:r>
        <w:r w:rsidRPr="00265F27">
          <w:rPr>
            <w:rFonts w:cs="David"/>
            <w:color w:val="0000FF"/>
            <w:sz w:val="24"/>
            <w:szCs w:val="24"/>
            <w:u w:val="single"/>
            <w:rtl/>
          </w:rPr>
          <w:t>) 34383-10-16</w:t>
        </w:r>
      </w:hyperlink>
      <w:r w:rsidR="0098244F">
        <w:rPr>
          <w:rFonts w:cs="David" w:hint="cs"/>
          <w:sz w:val="24"/>
          <w:szCs w:val="24"/>
          <w:rtl/>
        </w:rPr>
        <w:t xml:space="preserve"> </w:t>
      </w:r>
      <w:r w:rsidR="0098244F">
        <w:rPr>
          <w:rFonts w:cs="David" w:hint="cs"/>
          <w:b/>
          <w:bCs/>
          <w:sz w:val="24"/>
          <w:szCs w:val="24"/>
          <w:rtl/>
        </w:rPr>
        <w:t xml:space="preserve">מדינת ישראל נ' קדר </w:t>
      </w:r>
      <w:r w:rsidR="0098244F">
        <w:rPr>
          <w:rFonts w:cs="David" w:hint="cs"/>
          <w:sz w:val="24"/>
          <w:szCs w:val="24"/>
          <w:rtl/>
        </w:rPr>
        <w:t xml:space="preserve">(12.2.17) – בית משפט השלום הרשיע את הנאשם, לפי הודאתו, </w:t>
      </w:r>
      <w:r w:rsidR="0098244F">
        <w:rPr>
          <w:rFonts w:ascii="David" w:hAnsi="David" w:cs="David" w:hint="cs"/>
          <w:sz w:val="24"/>
          <w:szCs w:val="24"/>
          <w:rtl/>
        </w:rPr>
        <w:t xml:space="preserve">בעבירות של ייצור סם, החזקת כלים המשמשים להכנת סם והחזקת סם מסוכן שלא לצריכה עצמית בלבד, בכך שגידל שתילי סם מסוג קנבוס במשקל של </w:t>
      </w:r>
      <w:r w:rsidR="0098244F">
        <w:rPr>
          <w:rFonts w:ascii="David" w:hAnsi="David" w:cs="David" w:hint="cs"/>
          <w:b/>
          <w:bCs/>
          <w:sz w:val="24"/>
          <w:szCs w:val="24"/>
          <w:rtl/>
        </w:rPr>
        <w:t>25</w:t>
      </w:r>
      <w:r w:rsidR="0098244F">
        <w:rPr>
          <w:rFonts w:ascii="David" w:hAnsi="David" w:cs="David" w:hint="cs"/>
          <w:sz w:val="24"/>
          <w:szCs w:val="24"/>
          <w:rtl/>
        </w:rPr>
        <w:t xml:space="preserve"> ק"ג. בית המשפט השלום גזר עליו מאסר בפועל לתקופה של 6 חודשים בדרך של עבודות שירות, בחריגה מהמתחם מטעמי שיקום, מאסר על-תנאי וקנס בסכום של 7,000 ₪. בית המשפט המחוזי קבע כי מתחם העונש ההולם כולל מאסר </w:t>
      </w:r>
      <w:r w:rsidR="0098244F">
        <w:rPr>
          <w:rFonts w:cs="David" w:hint="cs"/>
          <w:sz w:val="24"/>
          <w:szCs w:val="24"/>
          <w:rtl/>
        </w:rPr>
        <w:t xml:space="preserve">הנע בין </w:t>
      </w:r>
      <w:r w:rsidR="0098244F">
        <w:rPr>
          <w:rFonts w:cs="David" w:hint="cs"/>
          <w:b/>
          <w:bCs/>
          <w:sz w:val="24"/>
          <w:szCs w:val="24"/>
          <w:rtl/>
        </w:rPr>
        <w:t>10 – 26</w:t>
      </w:r>
      <w:r w:rsidR="0098244F">
        <w:rPr>
          <w:rFonts w:cs="David" w:hint="cs"/>
          <w:sz w:val="24"/>
          <w:szCs w:val="24"/>
          <w:rtl/>
        </w:rPr>
        <w:t xml:space="preserve"> חודשים וגזר על הנאשם עונש של מאסר לתקופה של 8 חודשים בשל הליך השיקום שעבר הנאשם. </w:t>
      </w:r>
    </w:p>
    <w:p w14:paraId="4857D4A0" w14:textId="77777777" w:rsidR="0098244F" w:rsidRDefault="00265F27" w:rsidP="0098244F">
      <w:pPr>
        <w:pStyle w:val="aa"/>
        <w:numPr>
          <w:ilvl w:val="0"/>
          <w:numId w:val="2"/>
        </w:numPr>
        <w:bidi/>
        <w:spacing w:after="160"/>
        <w:ind w:left="793" w:hanging="284"/>
        <w:jc w:val="both"/>
        <w:rPr>
          <w:rFonts w:cs="David"/>
          <w:sz w:val="24"/>
          <w:szCs w:val="24"/>
          <w:rtl/>
        </w:rPr>
      </w:pPr>
      <w:hyperlink r:id="rId45" w:history="1">
        <w:r w:rsidRPr="00265F27">
          <w:rPr>
            <w:rFonts w:cs="David" w:hint="cs"/>
            <w:color w:val="0000FF"/>
            <w:sz w:val="24"/>
            <w:szCs w:val="24"/>
            <w:u w:val="single"/>
            <w:rtl/>
          </w:rPr>
          <w:t>ת</w:t>
        </w:r>
        <w:r w:rsidRPr="00265F27">
          <w:rPr>
            <w:rFonts w:cs="David"/>
            <w:color w:val="0000FF"/>
            <w:sz w:val="24"/>
            <w:szCs w:val="24"/>
            <w:u w:val="single"/>
            <w:rtl/>
          </w:rPr>
          <w:t>"</w:t>
        </w:r>
        <w:r w:rsidRPr="00265F27">
          <w:rPr>
            <w:rFonts w:cs="David" w:hint="cs"/>
            <w:color w:val="0000FF"/>
            <w:sz w:val="24"/>
            <w:szCs w:val="24"/>
            <w:u w:val="single"/>
            <w:rtl/>
          </w:rPr>
          <w:t>פ</w:t>
        </w:r>
        <w:r w:rsidRPr="00265F27">
          <w:rPr>
            <w:rFonts w:cs="David"/>
            <w:color w:val="0000FF"/>
            <w:sz w:val="24"/>
            <w:szCs w:val="24"/>
            <w:u w:val="single"/>
            <w:rtl/>
          </w:rPr>
          <w:t xml:space="preserve"> (</w:t>
        </w:r>
        <w:r w:rsidRPr="00265F27">
          <w:rPr>
            <w:rFonts w:cs="David" w:hint="cs"/>
            <w:color w:val="0000FF"/>
            <w:sz w:val="24"/>
            <w:szCs w:val="24"/>
            <w:u w:val="single"/>
            <w:rtl/>
          </w:rPr>
          <w:t>מרכז</w:t>
        </w:r>
        <w:r w:rsidRPr="00265F27">
          <w:rPr>
            <w:rFonts w:cs="David"/>
            <w:color w:val="0000FF"/>
            <w:sz w:val="24"/>
            <w:szCs w:val="24"/>
            <w:u w:val="single"/>
            <w:rtl/>
          </w:rPr>
          <w:t>) 46662-04-15</w:t>
        </w:r>
      </w:hyperlink>
      <w:r w:rsidR="0098244F">
        <w:rPr>
          <w:rFonts w:cs="David" w:hint="cs"/>
          <w:sz w:val="24"/>
          <w:szCs w:val="24"/>
          <w:rtl/>
        </w:rPr>
        <w:t xml:space="preserve"> </w:t>
      </w:r>
      <w:r w:rsidR="0098244F">
        <w:rPr>
          <w:rFonts w:cs="David" w:hint="cs"/>
          <w:b/>
          <w:bCs/>
          <w:sz w:val="24"/>
          <w:szCs w:val="24"/>
          <w:rtl/>
        </w:rPr>
        <w:t xml:space="preserve">מדינת ישראל נ' סגל </w:t>
      </w:r>
      <w:r w:rsidR="0098244F">
        <w:rPr>
          <w:rFonts w:cs="David" w:hint="cs"/>
          <w:sz w:val="24"/>
          <w:szCs w:val="24"/>
          <w:rtl/>
        </w:rPr>
        <w:t>(3.2.16) – בית המשפט הרשיע את הנאשם, לפי הודאתו, בעבירות של ייצור, הכנה והפקה של סם מסוכן, החזקת סם שלא לצריכה עצמית, והחזקת כלים המשמשים להכנת סם, בכך שהקים  מעבדה וגידל סמים מסוג קנבוס במשקל</w:t>
      </w:r>
      <w:r w:rsidR="0098244F">
        <w:rPr>
          <w:rFonts w:cs="David" w:hint="cs"/>
          <w:b/>
          <w:bCs/>
          <w:sz w:val="24"/>
          <w:szCs w:val="24"/>
          <w:rtl/>
        </w:rPr>
        <w:t xml:space="preserve"> 78.8</w:t>
      </w:r>
      <w:r w:rsidR="0098244F">
        <w:rPr>
          <w:rFonts w:cs="David" w:hint="cs"/>
          <w:sz w:val="24"/>
          <w:szCs w:val="24"/>
          <w:rtl/>
        </w:rPr>
        <w:t xml:space="preserve"> ק"ג נטו. בית המשפט קבע כי מתחם העונש ההולם כולל מאסר הנע בין </w:t>
      </w:r>
      <w:r w:rsidR="0098244F">
        <w:rPr>
          <w:rFonts w:cs="David" w:hint="cs"/>
          <w:b/>
          <w:bCs/>
          <w:sz w:val="24"/>
          <w:szCs w:val="24"/>
          <w:rtl/>
        </w:rPr>
        <w:t>24 – 48</w:t>
      </w:r>
      <w:r w:rsidR="0098244F">
        <w:rPr>
          <w:rFonts w:cs="David" w:hint="cs"/>
          <w:sz w:val="24"/>
          <w:szCs w:val="24"/>
          <w:rtl/>
        </w:rPr>
        <w:t xml:space="preserve"> חודשים וגזר על הנאשם מאסר בפועל לתקופה של 30 חודשים, מאסר על תנאי וקנס בסכום של 2000 ₪. </w:t>
      </w:r>
    </w:p>
    <w:p w14:paraId="6C84C8AD" w14:textId="77777777" w:rsidR="0098244F" w:rsidRDefault="00265F27" w:rsidP="0098244F">
      <w:pPr>
        <w:pStyle w:val="aa"/>
        <w:numPr>
          <w:ilvl w:val="0"/>
          <w:numId w:val="2"/>
        </w:numPr>
        <w:bidi/>
        <w:spacing w:after="160"/>
        <w:ind w:left="793" w:hanging="284"/>
        <w:jc w:val="both"/>
        <w:rPr>
          <w:rFonts w:ascii="David" w:hAnsi="David" w:cs="David"/>
          <w:sz w:val="24"/>
          <w:szCs w:val="24"/>
          <w:rtl/>
        </w:rPr>
      </w:pPr>
      <w:hyperlink r:id="rId46" w:history="1">
        <w:r w:rsidRPr="00265F27">
          <w:rPr>
            <w:rFonts w:cs="David" w:hint="cs"/>
            <w:color w:val="0000FF"/>
            <w:sz w:val="24"/>
            <w:szCs w:val="24"/>
            <w:u w:val="single"/>
            <w:rtl/>
          </w:rPr>
          <w:t>עפ</w:t>
        </w:r>
        <w:r w:rsidRPr="00265F27">
          <w:rPr>
            <w:rFonts w:cs="David"/>
            <w:color w:val="0000FF"/>
            <w:sz w:val="24"/>
            <w:szCs w:val="24"/>
            <w:u w:val="single"/>
            <w:rtl/>
          </w:rPr>
          <w:t>"</w:t>
        </w:r>
        <w:r w:rsidRPr="00265F27">
          <w:rPr>
            <w:rFonts w:cs="David" w:hint="cs"/>
            <w:color w:val="0000FF"/>
            <w:sz w:val="24"/>
            <w:szCs w:val="24"/>
            <w:u w:val="single"/>
            <w:rtl/>
          </w:rPr>
          <w:t>ג</w:t>
        </w:r>
        <w:r w:rsidRPr="00265F27">
          <w:rPr>
            <w:rFonts w:cs="David"/>
            <w:color w:val="0000FF"/>
            <w:sz w:val="24"/>
            <w:szCs w:val="24"/>
            <w:u w:val="single"/>
            <w:rtl/>
          </w:rPr>
          <w:t xml:space="preserve"> (</w:t>
        </w:r>
        <w:r w:rsidRPr="00265F27">
          <w:rPr>
            <w:rFonts w:cs="David" w:hint="cs"/>
            <w:color w:val="0000FF"/>
            <w:sz w:val="24"/>
            <w:szCs w:val="24"/>
            <w:u w:val="single"/>
            <w:rtl/>
          </w:rPr>
          <w:t>ת</w:t>
        </w:r>
        <w:r w:rsidRPr="00265F27">
          <w:rPr>
            <w:rFonts w:cs="David"/>
            <w:color w:val="0000FF"/>
            <w:sz w:val="24"/>
            <w:szCs w:val="24"/>
            <w:u w:val="single"/>
            <w:rtl/>
          </w:rPr>
          <w:t>"</w:t>
        </w:r>
        <w:r w:rsidRPr="00265F27">
          <w:rPr>
            <w:rFonts w:cs="David" w:hint="cs"/>
            <w:color w:val="0000FF"/>
            <w:sz w:val="24"/>
            <w:szCs w:val="24"/>
            <w:u w:val="single"/>
            <w:rtl/>
          </w:rPr>
          <w:t>א</w:t>
        </w:r>
        <w:r w:rsidRPr="00265F27">
          <w:rPr>
            <w:rFonts w:cs="David"/>
            <w:color w:val="0000FF"/>
            <w:sz w:val="24"/>
            <w:szCs w:val="24"/>
            <w:u w:val="single"/>
            <w:rtl/>
          </w:rPr>
          <w:t>) 17796-10-14</w:t>
        </w:r>
      </w:hyperlink>
      <w:r w:rsidR="0098244F">
        <w:rPr>
          <w:rFonts w:cs="David" w:hint="cs"/>
          <w:sz w:val="24"/>
          <w:szCs w:val="24"/>
          <w:rtl/>
        </w:rPr>
        <w:t xml:space="preserve"> </w:t>
      </w:r>
      <w:r w:rsidR="0098244F">
        <w:rPr>
          <w:rFonts w:cs="David" w:hint="cs"/>
          <w:b/>
          <w:bCs/>
          <w:sz w:val="24"/>
          <w:szCs w:val="24"/>
          <w:rtl/>
        </w:rPr>
        <w:t xml:space="preserve">מדינת ישראל נ' דדון </w:t>
      </w:r>
      <w:r w:rsidR="0098244F">
        <w:rPr>
          <w:rFonts w:cs="David" w:hint="cs"/>
          <w:sz w:val="24"/>
          <w:szCs w:val="24"/>
          <w:rtl/>
        </w:rPr>
        <w:t xml:space="preserve">(9.2.15) – בית המשפט השלום הרשיע את </w:t>
      </w:r>
      <w:r w:rsidR="0098244F">
        <w:rPr>
          <w:rFonts w:ascii="David" w:hAnsi="David" w:cs="David" w:hint="cs"/>
          <w:sz w:val="24"/>
          <w:szCs w:val="24"/>
          <w:rtl/>
        </w:rPr>
        <w:t>הנאשם בעבירות סמים בשני אישומים, האחד, סחר בסם והחזקת סם, והשני ייצור, הכנה והפקה של סמים במעבדת סמים שכללה שתילים מסוג קנבוס במשקל כולל של כ-</w:t>
      </w:r>
      <w:r w:rsidR="0098244F">
        <w:rPr>
          <w:rFonts w:ascii="David" w:hAnsi="David" w:cs="David" w:hint="cs"/>
          <w:b/>
          <w:bCs/>
          <w:sz w:val="24"/>
          <w:szCs w:val="24"/>
          <w:rtl/>
        </w:rPr>
        <w:t>25</w:t>
      </w:r>
      <w:r w:rsidR="0098244F">
        <w:rPr>
          <w:rFonts w:ascii="David" w:hAnsi="David" w:cs="David" w:hint="cs"/>
          <w:sz w:val="24"/>
          <w:szCs w:val="24"/>
          <w:rtl/>
        </w:rPr>
        <w:t xml:space="preserve"> ק"ג נטו. בית המשפט המחוזי קבע כי מתחם העונש ההולם את העבירות הקשורות בהקמת מעבדת הסמים, כולל מאסר הנע בין 10 - 24 חודשים, וגזר עליו מאסר לתקופה של 27 חודשים הכולל גם את עבירות הסחר בסם. בית המשפט המחוזי קיבל את ערעור המדינה וקבע כי מתחם העונש ההולם את עבירות הקשורות להקמת מעבדת הסמים כולל מאסר הנע בין </w:t>
      </w:r>
      <w:r w:rsidR="0098244F">
        <w:rPr>
          <w:rFonts w:ascii="David" w:hAnsi="David" w:cs="David" w:hint="cs"/>
          <w:b/>
          <w:bCs/>
          <w:sz w:val="24"/>
          <w:szCs w:val="24"/>
          <w:rtl/>
        </w:rPr>
        <w:t>18 – 33</w:t>
      </w:r>
      <w:r w:rsidR="0098244F">
        <w:rPr>
          <w:rFonts w:ascii="David" w:hAnsi="David" w:cs="David" w:hint="cs"/>
          <w:sz w:val="24"/>
          <w:szCs w:val="24"/>
          <w:rtl/>
        </w:rPr>
        <w:t xml:space="preserve"> חודשים, וגזר על הנאשם עונש הכולל מאסר לתקופה של 36 חודשים.</w:t>
      </w:r>
    </w:p>
    <w:p w14:paraId="3D138AC9" w14:textId="77777777" w:rsidR="0098244F" w:rsidRDefault="00265F27" w:rsidP="0098244F">
      <w:pPr>
        <w:pStyle w:val="aa"/>
        <w:numPr>
          <w:ilvl w:val="0"/>
          <w:numId w:val="2"/>
        </w:numPr>
        <w:bidi/>
        <w:spacing w:after="160"/>
        <w:ind w:left="793" w:hanging="284"/>
        <w:jc w:val="both"/>
        <w:rPr>
          <w:rFonts w:ascii="David" w:hAnsi="David" w:cs="David"/>
          <w:sz w:val="24"/>
          <w:szCs w:val="24"/>
        </w:rPr>
      </w:pPr>
      <w:hyperlink r:id="rId47" w:history="1">
        <w:r w:rsidRPr="00265F27">
          <w:rPr>
            <w:rFonts w:cs="David" w:hint="cs"/>
            <w:color w:val="0000FF"/>
            <w:sz w:val="24"/>
            <w:szCs w:val="24"/>
            <w:u w:val="single"/>
            <w:rtl/>
          </w:rPr>
          <w:t>ת</w:t>
        </w:r>
        <w:r w:rsidRPr="00265F27">
          <w:rPr>
            <w:rFonts w:cs="David"/>
            <w:color w:val="0000FF"/>
            <w:sz w:val="24"/>
            <w:szCs w:val="24"/>
            <w:u w:val="single"/>
            <w:rtl/>
          </w:rPr>
          <w:t>"</w:t>
        </w:r>
        <w:r w:rsidRPr="00265F27">
          <w:rPr>
            <w:rFonts w:cs="David" w:hint="cs"/>
            <w:color w:val="0000FF"/>
            <w:sz w:val="24"/>
            <w:szCs w:val="24"/>
            <w:u w:val="single"/>
            <w:rtl/>
          </w:rPr>
          <w:t>פ</w:t>
        </w:r>
        <w:r w:rsidRPr="00265F27">
          <w:rPr>
            <w:rFonts w:cs="David"/>
            <w:color w:val="0000FF"/>
            <w:sz w:val="24"/>
            <w:szCs w:val="24"/>
            <w:u w:val="single"/>
            <w:rtl/>
          </w:rPr>
          <w:t xml:space="preserve"> (</w:t>
        </w:r>
        <w:r w:rsidRPr="00265F27">
          <w:rPr>
            <w:rFonts w:cs="David" w:hint="cs"/>
            <w:color w:val="0000FF"/>
            <w:sz w:val="24"/>
            <w:szCs w:val="24"/>
            <w:u w:val="single"/>
            <w:rtl/>
          </w:rPr>
          <w:t>ראשל</w:t>
        </w:r>
        <w:r w:rsidRPr="00265F27">
          <w:rPr>
            <w:rFonts w:cs="David"/>
            <w:color w:val="0000FF"/>
            <w:sz w:val="24"/>
            <w:szCs w:val="24"/>
            <w:u w:val="single"/>
            <w:rtl/>
          </w:rPr>
          <w:t>"</w:t>
        </w:r>
        <w:r w:rsidRPr="00265F27">
          <w:rPr>
            <w:rFonts w:cs="David" w:hint="cs"/>
            <w:color w:val="0000FF"/>
            <w:sz w:val="24"/>
            <w:szCs w:val="24"/>
            <w:u w:val="single"/>
            <w:rtl/>
          </w:rPr>
          <w:t>צ</w:t>
        </w:r>
        <w:r w:rsidRPr="00265F27">
          <w:rPr>
            <w:rFonts w:cs="David"/>
            <w:color w:val="0000FF"/>
            <w:sz w:val="24"/>
            <w:szCs w:val="24"/>
            <w:u w:val="single"/>
            <w:rtl/>
          </w:rPr>
          <w:t>) 54373-08-16</w:t>
        </w:r>
      </w:hyperlink>
      <w:r w:rsidR="0098244F">
        <w:rPr>
          <w:rFonts w:cs="David" w:hint="cs"/>
          <w:b/>
          <w:bCs/>
          <w:sz w:val="24"/>
          <w:szCs w:val="24"/>
          <w:rtl/>
        </w:rPr>
        <w:t xml:space="preserve"> פרקליטות מחוז מרכז נ' לוי</w:t>
      </w:r>
      <w:r w:rsidR="0098244F">
        <w:rPr>
          <w:rFonts w:cs="David" w:hint="cs"/>
          <w:sz w:val="24"/>
          <w:szCs w:val="24"/>
          <w:rtl/>
        </w:rPr>
        <w:t xml:space="preserve"> (12.7.17) –</w:t>
      </w:r>
      <w:r w:rsidR="0098244F">
        <w:rPr>
          <w:rFonts w:ascii="David" w:hAnsi="David" w:cs="David" w:hint="cs"/>
          <w:sz w:val="24"/>
          <w:szCs w:val="24"/>
          <w:rtl/>
        </w:rPr>
        <w:t xml:space="preserve"> בית משפט השלום הרשיע את הנאשם, לפי הודאתו, בביצוע עבירות של ייצור סמים מסוכנים בכך שהקים מעבדה לגידול קנבוס במשקל של כ-</w:t>
      </w:r>
      <w:r w:rsidR="0098244F">
        <w:rPr>
          <w:rFonts w:ascii="David" w:hAnsi="David" w:cs="David" w:hint="cs"/>
          <w:b/>
          <w:bCs/>
          <w:sz w:val="24"/>
          <w:szCs w:val="24"/>
          <w:rtl/>
        </w:rPr>
        <w:t>30</w:t>
      </w:r>
      <w:r w:rsidR="0098244F">
        <w:rPr>
          <w:rFonts w:ascii="David" w:hAnsi="David" w:cs="David" w:hint="cs"/>
          <w:sz w:val="24"/>
          <w:szCs w:val="24"/>
          <w:rtl/>
        </w:rPr>
        <w:t xml:space="preserve"> ק"ג נטו,</w:t>
      </w:r>
      <w:r w:rsidR="0098244F">
        <w:rPr>
          <w:b/>
          <w:bCs/>
          <w:rtl/>
        </w:rPr>
        <w:t xml:space="preserve"> </w:t>
      </w:r>
      <w:r w:rsidR="0098244F">
        <w:rPr>
          <w:rFonts w:ascii="David" w:hAnsi="David" w:cs="David" w:hint="cs"/>
          <w:sz w:val="24"/>
          <w:szCs w:val="24"/>
          <w:rtl/>
        </w:rPr>
        <w:t>והחזקת סם מסוג חשיש במשקל 3.</w:t>
      </w:r>
      <w:r w:rsidR="0098244F">
        <w:rPr>
          <w:rFonts w:cs="David" w:hint="cs"/>
          <w:sz w:val="24"/>
          <w:szCs w:val="24"/>
          <w:rtl/>
        </w:rPr>
        <w:t>67</w:t>
      </w:r>
      <w:r w:rsidR="0098244F">
        <w:rPr>
          <w:rFonts w:ascii="David" w:hAnsi="David" w:cs="David" w:hint="cs"/>
          <w:sz w:val="24"/>
          <w:szCs w:val="24"/>
          <w:rtl/>
        </w:rPr>
        <w:t xml:space="preserve"> גרם נטו. בית המשפט השלום קבע כי מתחם העונש ההולם כולל מאסר הנע בין </w:t>
      </w:r>
      <w:r w:rsidR="0098244F">
        <w:rPr>
          <w:rFonts w:ascii="David" w:hAnsi="David" w:cs="David" w:hint="cs"/>
          <w:b/>
          <w:bCs/>
          <w:sz w:val="24"/>
          <w:szCs w:val="24"/>
          <w:rtl/>
        </w:rPr>
        <w:t>18 – 36</w:t>
      </w:r>
      <w:r w:rsidR="0098244F">
        <w:rPr>
          <w:rFonts w:ascii="David" w:hAnsi="David" w:cs="David" w:hint="cs"/>
          <w:sz w:val="24"/>
          <w:szCs w:val="24"/>
          <w:rtl/>
        </w:rPr>
        <w:t xml:space="preserve">  חודשים וגזר</w:t>
      </w:r>
      <w:r w:rsidR="0098244F">
        <w:rPr>
          <w:rFonts w:cs="David" w:hint="cs"/>
          <w:sz w:val="24"/>
          <w:szCs w:val="24"/>
          <w:rtl/>
        </w:rPr>
        <w:t xml:space="preserve"> על הנאשם מאסר בפועל לתקופה של 24 חודשים, לצד קנס בסכום של 7500 ₪. יש לציין כי הוגש ערעור על כך אשר טרם נידון בבית המשפט המחוזי.</w:t>
      </w:r>
      <w:r w:rsidR="0098244F">
        <w:rPr>
          <w:rFonts w:ascii="David" w:hAnsi="David" w:cs="David" w:hint="cs"/>
          <w:sz w:val="24"/>
          <w:szCs w:val="24"/>
          <w:rtl/>
        </w:rPr>
        <w:t xml:space="preserve"> </w:t>
      </w:r>
    </w:p>
    <w:p w14:paraId="31C01743" w14:textId="77777777" w:rsidR="0098244F" w:rsidRPr="0098244F" w:rsidRDefault="00265F27" w:rsidP="0098244F">
      <w:pPr>
        <w:pStyle w:val="aa"/>
        <w:numPr>
          <w:ilvl w:val="0"/>
          <w:numId w:val="2"/>
        </w:numPr>
        <w:bidi/>
        <w:spacing w:after="160"/>
        <w:ind w:left="793" w:hanging="284"/>
        <w:jc w:val="both"/>
        <w:rPr>
          <w:rFonts w:cs="David"/>
          <w:sz w:val="24"/>
          <w:szCs w:val="24"/>
          <w:rtl/>
        </w:rPr>
      </w:pPr>
      <w:hyperlink r:id="rId48" w:history="1">
        <w:r w:rsidRPr="00265F27">
          <w:rPr>
            <w:rFonts w:cs="David" w:hint="cs"/>
            <w:color w:val="0000FF"/>
            <w:sz w:val="24"/>
            <w:szCs w:val="24"/>
            <w:u w:val="single"/>
            <w:rtl/>
          </w:rPr>
          <w:t>ת</w:t>
        </w:r>
        <w:r w:rsidRPr="00265F27">
          <w:rPr>
            <w:rFonts w:cs="David"/>
            <w:color w:val="0000FF"/>
            <w:sz w:val="24"/>
            <w:szCs w:val="24"/>
            <w:u w:val="single"/>
            <w:rtl/>
          </w:rPr>
          <w:t>"</w:t>
        </w:r>
        <w:r w:rsidRPr="00265F27">
          <w:rPr>
            <w:rFonts w:cs="David" w:hint="cs"/>
            <w:color w:val="0000FF"/>
            <w:sz w:val="24"/>
            <w:szCs w:val="24"/>
            <w:u w:val="single"/>
            <w:rtl/>
          </w:rPr>
          <w:t>פ</w:t>
        </w:r>
        <w:r w:rsidRPr="00265F27">
          <w:rPr>
            <w:rFonts w:cs="David"/>
            <w:color w:val="0000FF"/>
            <w:sz w:val="24"/>
            <w:szCs w:val="24"/>
            <w:u w:val="single"/>
            <w:rtl/>
          </w:rPr>
          <w:t xml:space="preserve"> (</w:t>
        </w:r>
        <w:r w:rsidRPr="00265F27">
          <w:rPr>
            <w:rFonts w:cs="David" w:hint="cs"/>
            <w:color w:val="0000FF"/>
            <w:sz w:val="24"/>
            <w:szCs w:val="24"/>
            <w:u w:val="single"/>
            <w:rtl/>
          </w:rPr>
          <w:t>ת</w:t>
        </w:r>
        <w:r w:rsidRPr="00265F27">
          <w:rPr>
            <w:rFonts w:cs="David"/>
            <w:color w:val="0000FF"/>
            <w:sz w:val="24"/>
            <w:szCs w:val="24"/>
            <w:u w:val="single"/>
            <w:rtl/>
          </w:rPr>
          <w:t>"</w:t>
        </w:r>
        <w:r w:rsidRPr="00265F27">
          <w:rPr>
            <w:rFonts w:cs="David" w:hint="cs"/>
            <w:color w:val="0000FF"/>
            <w:sz w:val="24"/>
            <w:szCs w:val="24"/>
            <w:u w:val="single"/>
            <w:rtl/>
          </w:rPr>
          <w:t>א</w:t>
        </w:r>
        <w:r w:rsidRPr="00265F27">
          <w:rPr>
            <w:rFonts w:cs="David"/>
            <w:color w:val="0000FF"/>
            <w:sz w:val="24"/>
            <w:szCs w:val="24"/>
            <w:u w:val="single"/>
            <w:rtl/>
          </w:rPr>
          <w:t>) 44986-07-15</w:t>
        </w:r>
      </w:hyperlink>
      <w:r w:rsidR="0098244F">
        <w:rPr>
          <w:rFonts w:cs="David" w:hint="cs"/>
          <w:sz w:val="24"/>
          <w:szCs w:val="24"/>
          <w:rtl/>
        </w:rPr>
        <w:t xml:space="preserve"> </w:t>
      </w:r>
      <w:r w:rsidR="0098244F">
        <w:rPr>
          <w:rFonts w:cs="David" w:hint="cs"/>
          <w:b/>
          <w:bCs/>
          <w:sz w:val="24"/>
          <w:szCs w:val="24"/>
          <w:rtl/>
        </w:rPr>
        <w:t>פרקליטות מחוז תל אביב פלילי נ' סופר</w:t>
      </w:r>
      <w:r w:rsidR="0098244F">
        <w:rPr>
          <w:rFonts w:cs="David" w:hint="cs"/>
          <w:sz w:val="24"/>
          <w:szCs w:val="24"/>
          <w:rtl/>
        </w:rPr>
        <w:t xml:space="preserve"> (23.4.17) –</w:t>
      </w:r>
      <w:r w:rsidR="0098244F">
        <w:rPr>
          <w:rFonts w:ascii="David" w:hAnsi="David" w:cs="David" w:hint="cs"/>
          <w:sz w:val="24"/>
          <w:szCs w:val="24"/>
          <w:rtl/>
        </w:rPr>
        <w:t xml:space="preserve"> בית משפט השלום הרשיע את הנאשם, לפי הודאתו, בעבירות של גידול סם מסוכן במשקל של </w:t>
      </w:r>
      <w:r w:rsidR="0098244F">
        <w:rPr>
          <w:rFonts w:ascii="David" w:hAnsi="David" w:cs="David" w:hint="cs"/>
          <w:b/>
          <w:bCs/>
          <w:sz w:val="24"/>
          <w:szCs w:val="24"/>
          <w:rtl/>
        </w:rPr>
        <w:t>34</w:t>
      </w:r>
      <w:r w:rsidR="0098244F">
        <w:rPr>
          <w:rFonts w:ascii="David" w:hAnsi="David" w:cs="David" w:hint="cs"/>
          <w:sz w:val="24"/>
          <w:szCs w:val="24"/>
          <w:rtl/>
        </w:rPr>
        <w:t xml:space="preserve"> ק"ג נטו שכלל 250 שתילים של קנבוס והחזקת סם במשקל כולל של 34 ק"ג נטו. </w:t>
      </w:r>
      <w:r w:rsidR="0098244F">
        <w:rPr>
          <w:rFonts w:cs="David" w:hint="cs"/>
          <w:sz w:val="24"/>
          <w:szCs w:val="24"/>
          <w:rtl/>
        </w:rPr>
        <w:t xml:space="preserve">בית המשפט קבע כי מתחם העונש ההולם כולל מאסר הנע בין </w:t>
      </w:r>
      <w:r w:rsidR="0098244F">
        <w:rPr>
          <w:rFonts w:cs="David" w:hint="cs"/>
          <w:b/>
          <w:bCs/>
          <w:sz w:val="24"/>
          <w:szCs w:val="24"/>
          <w:rtl/>
        </w:rPr>
        <w:t>17 – 30</w:t>
      </w:r>
      <w:r w:rsidR="0098244F">
        <w:rPr>
          <w:rFonts w:cs="David" w:hint="cs"/>
          <w:sz w:val="24"/>
          <w:szCs w:val="24"/>
          <w:rtl/>
        </w:rPr>
        <w:t xml:space="preserve"> חודשים וגזר על הנאשם מאסר לתקופה של 14 חודשים, בחריגה מהמתחם בשל שיקום, מאסר על תנאי וקנס בסכום של 2500 ₪. </w:t>
      </w:r>
    </w:p>
    <w:p w14:paraId="314941CD" w14:textId="77777777" w:rsidR="0098244F" w:rsidRDefault="0098244F" w:rsidP="0098244F">
      <w:pPr>
        <w:pStyle w:val="aa"/>
        <w:numPr>
          <w:ilvl w:val="0"/>
          <w:numId w:val="1"/>
        </w:numPr>
        <w:bidi/>
        <w:spacing w:before="120" w:after="120"/>
        <w:ind w:left="509" w:hanging="567"/>
        <w:jc w:val="both"/>
        <w:rPr>
          <w:rFonts w:cs="David"/>
          <w:sz w:val="24"/>
          <w:szCs w:val="24"/>
          <w:rtl/>
        </w:rPr>
      </w:pPr>
      <w:r>
        <w:rPr>
          <w:rFonts w:cs="David" w:hint="cs"/>
          <w:sz w:val="24"/>
          <w:szCs w:val="24"/>
          <w:rtl/>
        </w:rPr>
        <w:t xml:space="preserve">מטבע הדברים, כל פסק דין כולל היקף שונה של גידול סמים. היקף גידול הסמים משקף את פוטנציאל הנזק שעשוי היה להיגרם אלמלא נתפס הנאשם. מתחם העונש ההולם מושפע בין היתר מהיקף הנזק, משמע מכמות הסמים שגידל והחזיק הנאשם. </w:t>
      </w:r>
    </w:p>
    <w:p w14:paraId="626E34DB"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 xml:space="preserve">בשקלול מדיניות הענישה בפסיקה, ונסיבות ביצוע העבירות, הגעתי למסקנה כי מתחם העונש ההולם את כל אחד מהאירועים של הקמת מעבדה לגידול סמים מסוג קנבוס והחזקת שתילים במשקל העולה על 40 ק"ג כולל מאסר הנע בין 22 – 40 חודשים, מאסר על תנאי וקנס. בשל הנסיבות הייחודיות שהביאו את הנאשם שלפניי לבצע את העבירות, מצאתי מקום להפחית מעט מכל אחד מהמתחמים ולהעמידם על מאסר הנע בין 18 – 36 חודשים, מאסר על תנאי וקנס הנע בין 2,000 – 10,000 ₪. בקביעת מתחם הקנס לקחתי בחשבון את מצבו הכלכלי של הנאשם.   </w:t>
      </w:r>
    </w:p>
    <w:p w14:paraId="38EE982A" w14:textId="77777777" w:rsidR="0098244F" w:rsidRDefault="0098244F" w:rsidP="0098244F">
      <w:pPr>
        <w:spacing w:before="120" w:after="120"/>
        <w:jc w:val="both"/>
      </w:pPr>
      <w:r>
        <w:rPr>
          <w:rFonts w:hint="cs"/>
          <w:u w:val="single"/>
          <w:rtl/>
        </w:rPr>
        <w:t>העונש ההולם בתוך המתחם</w:t>
      </w:r>
      <w:r>
        <w:rPr>
          <w:rFonts w:hint="cs"/>
          <w:rtl/>
        </w:rPr>
        <w:t xml:space="preserve"> </w:t>
      </w:r>
    </w:p>
    <w:p w14:paraId="34505E99"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לקחתי בחשבון את</w:t>
      </w:r>
      <w:r>
        <w:rPr>
          <w:rFonts w:cs="David" w:hint="cs"/>
          <w:b/>
          <w:bCs/>
          <w:sz w:val="24"/>
          <w:szCs w:val="24"/>
          <w:rtl/>
        </w:rPr>
        <w:t xml:space="preserve"> הנסיבות הבאות אשר אינן קשורות בביצוע העבירות</w:t>
      </w:r>
      <w:r>
        <w:rPr>
          <w:rFonts w:cs="David" w:hint="cs"/>
          <w:sz w:val="24"/>
          <w:szCs w:val="24"/>
          <w:rtl/>
        </w:rPr>
        <w:t xml:space="preserve">: </w:t>
      </w:r>
    </w:p>
    <w:p w14:paraId="0A49D72C" w14:textId="77777777" w:rsidR="0098244F" w:rsidRDefault="0098244F" w:rsidP="0098244F">
      <w:pPr>
        <w:pStyle w:val="aa"/>
        <w:bidi/>
        <w:spacing w:before="120" w:after="120"/>
        <w:ind w:left="509"/>
        <w:jc w:val="both"/>
        <w:rPr>
          <w:rFonts w:cs="David"/>
          <w:sz w:val="24"/>
          <w:szCs w:val="24"/>
        </w:rPr>
      </w:pPr>
      <w:r>
        <w:rPr>
          <w:rFonts w:cs="David" w:hint="cs"/>
          <w:sz w:val="24"/>
          <w:szCs w:val="24"/>
          <w:rtl/>
        </w:rPr>
        <w:t>לחובתו של הנאשם יש לציין בעיקר את עברו הפלילי, הכולל עבירות אלימות חמורות, עבירת רכוש ועבירה אחת של החזקת סמים שלא לצריכה עצמית. עם זאת, עבירת הסמים היא ישנה ובוצעה במהלך שירותו הצבאי.</w:t>
      </w:r>
    </w:p>
    <w:p w14:paraId="4DD06051" w14:textId="77777777" w:rsidR="0098244F" w:rsidRDefault="0098244F" w:rsidP="0098244F">
      <w:pPr>
        <w:pStyle w:val="aa"/>
        <w:bidi/>
        <w:spacing w:before="120" w:after="120"/>
        <w:ind w:left="509"/>
        <w:jc w:val="both"/>
        <w:rPr>
          <w:rFonts w:cs="David"/>
          <w:sz w:val="24"/>
          <w:szCs w:val="24"/>
          <w:rtl/>
        </w:rPr>
      </w:pPr>
      <w:r>
        <w:rPr>
          <w:rFonts w:cs="David" w:hint="cs"/>
          <w:sz w:val="24"/>
          <w:szCs w:val="24"/>
          <w:rtl/>
        </w:rPr>
        <w:t>לזכותו של הנאשם עומדת הודאתו במיוחס לו, נטילת אחריות, נסיבות חייו הקשות של הנאשם, לרבות מצבו הרפואי של בנו, והחובות הגדולים שצבר. כן זקפתי לזכותו של הנאשם, את הפגיעה הצפויה במשפחתו של הנאשם כתוצאה מהעונש שיוטל עליו, בהינתן מצבם הקשה של אשת הנאשם וילדיו לאור החובות הרבים שעודם מוטלים על כתפיהם, והמצב הרפואי הקשה של הבן שעמו נאלצת אשת הנאשם להתמודד (</w:t>
      </w:r>
      <w:hyperlink r:id="rId49" w:history="1">
        <w:r w:rsidR="00E15C89" w:rsidRPr="00E15C89">
          <w:rPr>
            <w:rFonts w:cs="David" w:hint="cs"/>
            <w:color w:val="0000FF"/>
            <w:sz w:val="24"/>
            <w:szCs w:val="24"/>
            <w:u w:val="single"/>
            <w:rtl/>
          </w:rPr>
          <w:t>סעיף</w:t>
        </w:r>
        <w:r w:rsidR="00E15C89" w:rsidRPr="00E15C89">
          <w:rPr>
            <w:rFonts w:cs="David"/>
            <w:color w:val="0000FF"/>
            <w:sz w:val="24"/>
            <w:szCs w:val="24"/>
            <w:u w:val="single"/>
            <w:rtl/>
          </w:rPr>
          <w:t xml:space="preserve"> 40</w:t>
        </w:r>
        <w:r w:rsidR="00E15C89" w:rsidRPr="00E15C89">
          <w:rPr>
            <w:rFonts w:cs="David" w:hint="cs"/>
            <w:color w:val="0000FF"/>
            <w:sz w:val="24"/>
            <w:szCs w:val="24"/>
            <w:u w:val="single"/>
            <w:rtl/>
          </w:rPr>
          <w:t>יא</w:t>
        </w:r>
        <w:r w:rsidR="00E15C89" w:rsidRPr="00E15C89">
          <w:rPr>
            <w:rFonts w:cs="David"/>
            <w:color w:val="0000FF"/>
            <w:sz w:val="24"/>
            <w:szCs w:val="24"/>
            <w:u w:val="single"/>
            <w:rtl/>
          </w:rPr>
          <w:t>(2)</w:t>
        </w:r>
      </w:hyperlink>
      <w:r>
        <w:rPr>
          <w:rFonts w:cs="David" w:hint="cs"/>
          <w:sz w:val="24"/>
          <w:szCs w:val="24"/>
          <w:rtl/>
        </w:rPr>
        <w:t xml:space="preserve"> ל</w:t>
      </w:r>
      <w:hyperlink r:id="rId50" w:history="1">
        <w:r w:rsidR="00265F27" w:rsidRPr="00265F27">
          <w:rPr>
            <w:rFonts w:cs="David" w:hint="cs"/>
            <w:color w:val="0000FF"/>
            <w:sz w:val="24"/>
            <w:szCs w:val="24"/>
            <w:u w:val="single"/>
            <w:rtl/>
          </w:rPr>
          <w:t>חוק</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העונשין</w:t>
        </w:r>
      </w:hyperlink>
      <w:r>
        <w:rPr>
          <w:rFonts w:cs="David" w:hint="cs"/>
          <w:sz w:val="24"/>
          <w:szCs w:val="24"/>
          <w:rtl/>
        </w:rPr>
        <w:t xml:space="preserve">).  </w:t>
      </w:r>
    </w:p>
    <w:p w14:paraId="4E0BD925"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מכאן, כי העונש הראוי בתוך כל מתחם ומתחם מצוי מעט מתחת למחצית מתחם העונש ההולם, והוא כולל תקופת מאסר בלתי מבוטלת. בשל המאסר הממושך ומצבה הכלכלי הקשה של משפחת הנאשם, והערכתי כי לא יהיה בידי המשפחה לשלם את הקנס, לא מצאתי מקום להטיל קנס על הנאשם. לצד זאת, לאור עבירות הסמים והעבר התעבורתי של הנאשם, מצאתי מקום להורות על פסילה בפועל ועל תנאי.</w:t>
      </w:r>
    </w:p>
    <w:p w14:paraId="3796327D"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 xml:space="preserve">ערה אני לכך, כי בהטלת מאסר ממושך על הנאשם יש כדי להביא לפגיעה נוספת באשתו של הנאשם ובילדיהם המשותפים, אשר יישאו במשך תקופה ארוכה בנטל חייהם הקשים לבד. במובן זה, אין במשפט הפלילי כל מזור או פתרון למצוקותיהם הקשות של בני המשפחה אשר נקלעו לעניין על לא עוול בכפם. סביר גם להניח, כי עול החובות הרובץ על כתפיהם ימשיך לעמוד על תלו גם לאחר שחרורו של הנאשם. מנגד, גם לא ניתן להתעלם מהעבירות החמורות שביצע הנאשם, שהיו עשויות, אלמלא נתפס, להביא להפצת סמים בכמויות בלתי מבוטלות ולגרימת נזקים נוספים וקשים.  </w:t>
      </w:r>
    </w:p>
    <w:p w14:paraId="181BBB48"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עם זאת, בשל מכלול הנסיבות הקשה שבו מצויה המשפחה, מצאתי לנכון להטיל על הנאשם עונש כולל אחד בגין כל העבירות, תוך שלקחתי בחשבון את מספר העבירות, הקשר ביניהן, ושמירה על היחס ההולם בין חומרת מכלול המעשים ומידת אשמו של הנאשם ובין סוג העונש ותקופת המאסר שעל הנאשם לשאת.</w:t>
      </w:r>
    </w:p>
    <w:p w14:paraId="7AEC72C6" w14:textId="77777777" w:rsidR="0098244F" w:rsidRDefault="0098244F" w:rsidP="0098244F">
      <w:pPr>
        <w:spacing w:before="120" w:after="120"/>
        <w:ind w:left="-58"/>
        <w:jc w:val="both"/>
        <w:rPr>
          <w:b/>
          <w:bCs/>
          <w:u w:val="single"/>
        </w:rPr>
      </w:pPr>
    </w:p>
    <w:p w14:paraId="5BFC09EB" w14:textId="77777777" w:rsidR="0098244F" w:rsidRDefault="0098244F" w:rsidP="0098244F">
      <w:pPr>
        <w:spacing w:before="120" w:after="120"/>
        <w:ind w:left="-58"/>
        <w:jc w:val="both"/>
        <w:rPr>
          <w:rtl/>
        </w:rPr>
      </w:pPr>
      <w:r>
        <w:rPr>
          <w:rFonts w:hint="cs"/>
          <w:b/>
          <w:bCs/>
          <w:u w:val="single"/>
          <w:rtl/>
        </w:rPr>
        <w:t>סוף דבר</w:t>
      </w:r>
      <w:r>
        <w:rPr>
          <w:rFonts w:hint="cs"/>
          <w:rtl/>
        </w:rPr>
        <w:t xml:space="preserve"> </w:t>
      </w:r>
    </w:p>
    <w:p w14:paraId="6F155D1A" w14:textId="77777777" w:rsidR="0098244F" w:rsidRDefault="0098244F" w:rsidP="0098244F">
      <w:pPr>
        <w:pStyle w:val="aa"/>
        <w:numPr>
          <w:ilvl w:val="0"/>
          <w:numId w:val="1"/>
        </w:numPr>
        <w:bidi/>
        <w:spacing w:before="120" w:after="120"/>
        <w:ind w:left="509" w:hanging="567"/>
        <w:jc w:val="both"/>
        <w:rPr>
          <w:rFonts w:cs="David"/>
          <w:sz w:val="24"/>
          <w:szCs w:val="24"/>
        </w:rPr>
      </w:pPr>
      <w:r>
        <w:rPr>
          <w:rFonts w:cs="David" w:hint="cs"/>
          <w:sz w:val="24"/>
          <w:szCs w:val="24"/>
          <w:rtl/>
        </w:rPr>
        <w:t>לפיכך, אני גוזרת על הנאשם את העונשים הבאים:</w:t>
      </w:r>
    </w:p>
    <w:p w14:paraId="21A19B65" w14:textId="77777777" w:rsidR="0098244F" w:rsidRDefault="0098244F" w:rsidP="0098244F">
      <w:pPr>
        <w:pStyle w:val="aa"/>
        <w:numPr>
          <w:ilvl w:val="0"/>
          <w:numId w:val="3"/>
        </w:numPr>
        <w:bidi/>
        <w:spacing w:before="120" w:after="120"/>
        <w:jc w:val="both"/>
        <w:rPr>
          <w:rFonts w:cs="David"/>
          <w:sz w:val="24"/>
          <w:szCs w:val="24"/>
        </w:rPr>
      </w:pPr>
      <w:r>
        <w:rPr>
          <w:rFonts w:cs="David" w:hint="cs"/>
          <w:sz w:val="24"/>
          <w:szCs w:val="24"/>
          <w:rtl/>
        </w:rPr>
        <w:t>מאסר בפועל לתקופה של 30 חודשים, בניכוי ימי מעצרו מיום 21.1.16 ועד 2.3.16 ומיום 24.5.17 ועד היום;</w:t>
      </w:r>
    </w:p>
    <w:p w14:paraId="4FD3295D" w14:textId="77777777" w:rsidR="0098244F" w:rsidRDefault="0098244F" w:rsidP="0098244F">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10 חודשים, והתנאי הוא שבמשך 3 שנים מיום שחרורו לא יעבור כל עבירה מסוג פשע לפי </w:t>
      </w:r>
      <w:hyperlink r:id="rId51" w:history="1">
        <w:r w:rsidR="00265F27" w:rsidRPr="00265F27">
          <w:rPr>
            <w:rFonts w:cs="David" w:hint="cs"/>
            <w:color w:val="0000FF"/>
            <w:sz w:val="24"/>
            <w:szCs w:val="24"/>
            <w:u w:val="single"/>
            <w:rtl/>
          </w:rPr>
          <w:t>פקודת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הסמים</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המסוכנים</w:t>
        </w:r>
      </w:hyperlink>
      <w:r>
        <w:rPr>
          <w:rFonts w:cs="David" w:hint="cs"/>
          <w:sz w:val="24"/>
          <w:szCs w:val="24"/>
          <w:rtl/>
        </w:rPr>
        <w:t>;</w:t>
      </w:r>
    </w:p>
    <w:p w14:paraId="72E6AD0C" w14:textId="77777777" w:rsidR="0098244F" w:rsidRDefault="0098244F" w:rsidP="0098244F">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5 חודשים, והתנאי הוא שבמשך 3 שנים מיום שחרורו לא יעבור כל עבירה מסוג עוון לפי </w:t>
      </w:r>
      <w:hyperlink r:id="rId52" w:history="1">
        <w:r w:rsidR="00265F27" w:rsidRPr="00265F27">
          <w:rPr>
            <w:rFonts w:cs="David" w:hint="cs"/>
            <w:color w:val="0000FF"/>
            <w:sz w:val="24"/>
            <w:szCs w:val="24"/>
            <w:u w:val="single"/>
            <w:rtl/>
          </w:rPr>
          <w:t>פקודת</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הסמים</w:t>
        </w:r>
        <w:r w:rsidR="00265F27" w:rsidRPr="00265F27">
          <w:rPr>
            <w:rFonts w:cs="David"/>
            <w:color w:val="0000FF"/>
            <w:sz w:val="24"/>
            <w:szCs w:val="24"/>
            <w:u w:val="single"/>
            <w:rtl/>
          </w:rPr>
          <w:t xml:space="preserve"> </w:t>
        </w:r>
        <w:r w:rsidR="00265F27" w:rsidRPr="00265F27">
          <w:rPr>
            <w:rFonts w:cs="David" w:hint="cs"/>
            <w:color w:val="0000FF"/>
            <w:sz w:val="24"/>
            <w:szCs w:val="24"/>
            <w:u w:val="single"/>
            <w:rtl/>
          </w:rPr>
          <w:t>המסוכנים</w:t>
        </w:r>
      </w:hyperlink>
      <w:r>
        <w:rPr>
          <w:rFonts w:cs="David" w:hint="cs"/>
          <w:sz w:val="24"/>
          <w:szCs w:val="24"/>
          <w:rtl/>
        </w:rPr>
        <w:t>;</w:t>
      </w:r>
    </w:p>
    <w:p w14:paraId="1689A484" w14:textId="77777777" w:rsidR="0098244F" w:rsidRDefault="0098244F" w:rsidP="0098244F">
      <w:pPr>
        <w:pStyle w:val="aa"/>
        <w:numPr>
          <w:ilvl w:val="0"/>
          <w:numId w:val="3"/>
        </w:numPr>
        <w:bidi/>
        <w:spacing w:before="120" w:after="120"/>
        <w:jc w:val="both"/>
        <w:rPr>
          <w:rFonts w:cs="David"/>
          <w:sz w:val="24"/>
          <w:szCs w:val="24"/>
        </w:rPr>
      </w:pPr>
      <w:r>
        <w:rPr>
          <w:rFonts w:cs="David" w:hint="cs"/>
          <w:sz w:val="24"/>
          <w:szCs w:val="24"/>
          <w:rtl/>
        </w:rPr>
        <w:t>אני פוסלת את הנאשם מלקבל או מלהחזיק רישיון נהיגה, למשך 6 חודשים מיום שחרורו.</w:t>
      </w:r>
    </w:p>
    <w:p w14:paraId="397918DF" w14:textId="77777777" w:rsidR="0098244F" w:rsidRDefault="0098244F" w:rsidP="0098244F">
      <w:pPr>
        <w:pStyle w:val="aa"/>
        <w:numPr>
          <w:ilvl w:val="0"/>
          <w:numId w:val="3"/>
        </w:numPr>
        <w:bidi/>
        <w:spacing w:before="120" w:after="120"/>
        <w:jc w:val="both"/>
        <w:rPr>
          <w:rFonts w:cs="David"/>
          <w:sz w:val="24"/>
          <w:szCs w:val="24"/>
        </w:rPr>
      </w:pPr>
      <w:r>
        <w:rPr>
          <w:rFonts w:cs="David" w:hint="cs"/>
          <w:sz w:val="24"/>
          <w:szCs w:val="24"/>
          <w:rtl/>
        </w:rPr>
        <w:t>כמו כן, אני פוסלת את הנאשם מלקבל או מלהחזיק רישיון נהיגה לתקופה של 6 חודשים, אם בתוך תקופה בת שלוש שנים מתום תקופת הפסילה בפועל יעבור עבירה מהסוג בה הורשע בתיק זה.</w:t>
      </w:r>
    </w:p>
    <w:p w14:paraId="75BBF056" w14:textId="77777777" w:rsidR="0098244F" w:rsidRDefault="0098244F" w:rsidP="0098244F">
      <w:pPr>
        <w:pStyle w:val="12"/>
        <w:spacing w:line="360" w:lineRule="auto"/>
        <w:ind w:left="869"/>
        <w:rPr>
          <w:b w:val="0"/>
          <w:bCs w:val="0"/>
          <w:u w:val="none"/>
          <w:rtl/>
        </w:rPr>
      </w:pPr>
      <w:r>
        <w:rPr>
          <w:rFonts w:hint="cs"/>
          <w:b w:val="0"/>
          <w:bCs w:val="0"/>
          <w:u w:val="none"/>
          <w:rtl/>
        </w:rPr>
        <w:t xml:space="preserve">רשמתי לפניי את הודעת ב"כ הנאשם, כי אין בידי הנאשם רישיון נהיגה. </w:t>
      </w:r>
    </w:p>
    <w:p w14:paraId="45FFFE77" w14:textId="77777777" w:rsidR="0098244F" w:rsidRDefault="0098244F" w:rsidP="0098244F">
      <w:pPr>
        <w:spacing w:before="120" w:after="120"/>
        <w:ind w:left="509" w:hanging="567"/>
        <w:contextualSpacing/>
        <w:jc w:val="both"/>
        <w:rPr>
          <w:b/>
          <w:bCs/>
          <w:rtl/>
        </w:rPr>
      </w:pPr>
    </w:p>
    <w:p w14:paraId="08D1F260" w14:textId="77777777" w:rsidR="0098244F" w:rsidRDefault="0098244F" w:rsidP="0098244F">
      <w:pPr>
        <w:spacing w:before="120" w:after="120"/>
        <w:ind w:left="509" w:hanging="567"/>
        <w:contextualSpacing/>
        <w:jc w:val="both"/>
        <w:rPr>
          <w:b/>
          <w:bCs/>
          <w:rtl/>
        </w:rPr>
      </w:pPr>
      <w:r>
        <w:rPr>
          <w:rFonts w:hint="cs"/>
          <w:b/>
          <w:bCs/>
          <w:rtl/>
        </w:rPr>
        <w:t xml:space="preserve">הסמים יושמדו; הציוד המפורט בכתבי האישום </w:t>
      </w:r>
      <w:r>
        <w:rPr>
          <w:b/>
          <w:bCs/>
          <w:rtl/>
        </w:rPr>
        <w:t>–</w:t>
      </w:r>
      <w:r>
        <w:rPr>
          <w:rFonts w:hint="cs"/>
          <w:b/>
          <w:bCs/>
          <w:rtl/>
        </w:rPr>
        <w:t xml:space="preserve"> יחולט. </w:t>
      </w:r>
    </w:p>
    <w:p w14:paraId="794C09DD" w14:textId="77777777" w:rsidR="0098244F" w:rsidRDefault="0098244F" w:rsidP="0098244F">
      <w:pPr>
        <w:spacing w:before="120" w:after="120"/>
        <w:ind w:left="509" w:hanging="567"/>
        <w:contextualSpacing/>
        <w:jc w:val="both"/>
        <w:rPr>
          <w:b/>
          <w:bCs/>
          <w:rtl/>
        </w:rPr>
      </w:pPr>
      <w:r>
        <w:rPr>
          <w:rFonts w:hint="cs"/>
          <w:b/>
          <w:bCs/>
          <w:rtl/>
        </w:rPr>
        <w:t>ההשמדה והחילוט בתום תקופה של 45 ימים מהיום ובכפוף לכל דין.</w:t>
      </w:r>
    </w:p>
    <w:p w14:paraId="75235DF1" w14:textId="77777777" w:rsidR="0098244F" w:rsidRDefault="0098244F" w:rsidP="0098244F">
      <w:pPr>
        <w:spacing w:before="120" w:after="120"/>
        <w:ind w:left="509" w:hanging="567"/>
        <w:contextualSpacing/>
        <w:jc w:val="both"/>
        <w:rPr>
          <w:b/>
          <w:bCs/>
          <w:rtl/>
        </w:rPr>
      </w:pPr>
    </w:p>
    <w:p w14:paraId="68D7CDBA" w14:textId="77777777" w:rsidR="0098244F" w:rsidRDefault="0098244F" w:rsidP="0098244F">
      <w:pPr>
        <w:spacing w:before="120" w:after="120"/>
        <w:ind w:left="509" w:hanging="567"/>
        <w:contextualSpacing/>
        <w:jc w:val="both"/>
        <w:rPr>
          <w:b/>
          <w:bCs/>
          <w:rtl/>
        </w:rPr>
      </w:pPr>
      <w:r>
        <w:rPr>
          <w:rFonts w:hint="cs"/>
          <w:b/>
          <w:bCs/>
          <w:rtl/>
        </w:rPr>
        <w:t>הנאשם יוכרז כסוחר סמים.</w:t>
      </w:r>
    </w:p>
    <w:p w14:paraId="39FC370E" w14:textId="77777777" w:rsidR="0098244F" w:rsidRDefault="0098244F" w:rsidP="0098244F">
      <w:pPr>
        <w:spacing w:before="120" w:after="120"/>
        <w:ind w:left="509" w:hanging="567"/>
        <w:contextualSpacing/>
        <w:jc w:val="both"/>
        <w:rPr>
          <w:b/>
          <w:bCs/>
          <w:rtl/>
        </w:rPr>
      </w:pPr>
    </w:p>
    <w:p w14:paraId="1BD8EFCD" w14:textId="77777777" w:rsidR="0098244F" w:rsidRDefault="0098244F" w:rsidP="0098244F">
      <w:pPr>
        <w:spacing w:before="120" w:after="120"/>
        <w:ind w:left="509" w:hanging="567"/>
        <w:contextualSpacing/>
        <w:jc w:val="both"/>
        <w:rPr>
          <w:b/>
          <w:bCs/>
          <w:rtl/>
        </w:rPr>
      </w:pPr>
      <w:r>
        <w:rPr>
          <w:rFonts w:hint="cs"/>
          <w:b/>
          <w:bCs/>
          <w:rtl/>
        </w:rPr>
        <w:t xml:space="preserve">זכות ערעור לביהמ"ש המחוזי בתוך 45 יום. </w:t>
      </w:r>
    </w:p>
    <w:p w14:paraId="6C744B89" w14:textId="77777777" w:rsidR="0098244F" w:rsidRPr="00B05847" w:rsidRDefault="0098244F" w:rsidP="0098244F">
      <w:pPr>
        <w:rPr>
          <w:rFonts w:ascii="Arial" w:hAnsi="Arial"/>
          <w:rtl/>
        </w:rPr>
      </w:pPr>
    </w:p>
    <w:p w14:paraId="4482AC39" w14:textId="77777777" w:rsidR="0098244F" w:rsidRPr="00B05847" w:rsidRDefault="0098244F" w:rsidP="0098244F">
      <w:pPr>
        <w:rPr>
          <w:rtl/>
        </w:rPr>
      </w:pPr>
    </w:p>
    <w:p w14:paraId="6415DE72" w14:textId="77777777" w:rsidR="0098244F" w:rsidRPr="00B05847" w:rsidRDefault="0098244F" w:rsidP="0098244F">
      <w:pPr>
        <w:rPr>
          <w:rtl/>
        </w:rPr>
      </w:pPr>
    </w:p>
    <w:p w14:paraId="3603B027" w14:textId="77777777" w:rsidR="0098244F" w:rsidRPr="00265F27" w:rsidRDefault="00265F27" w:rsidP="0098244F">
      <w:pPr>
        <w:rPr>
          <w:color w:val="FFFFFF"/>
          <w:sz w:val="2"/>
          <w:szCs w:val="2"/>
          <w:rtl/>
        </w:rPr>
      </w:pPr>
      <w:r w:rsidRPr="00265F27">
        <w:rPr>
          <w:color w:val="FFFFFF"/>
          <w:sz w:val="2"/>
          <w:szCs w:val="2"/>
          <w:rtl/>
        </w:rPr>
        <w:t>5129371</w:t>
      </w:r>
    </w:p>
    <w:p w14:paraId="4689A1DB" w14:textId="77777777" w:rsidR="0098244F" w:rsidRDefault="00265F27" w:rsidP="0098244F">
      <w:pPr>
        <w:rPr>
          <w:rFonts w:cs="FrankRuehl"/>
          <w:sz w:val="28"/>
          <w:szCs w:val="28"/>
          <w:rtl/>
        </w:rPr>
      </w:pPr>
      <w:r w:rsidRPr="00265F27">
        <w:rPr>
          <w:rFonts w:ascii="Arial" w:hAnsi="Arial"/>
          <w:color w:val="FFFFFF"/>
          <w:sz w:val="2"/>
          <w:szCs w:val="2"/>
          <w:rtl/>
        </w:rPr>
        <w:t>54678313</w:t>
      </w:r>
      <w:r>
        <w:rPr>
          <w:rFonts w:ascii="Arial" w:hAnsi="Arial"/>
          <w:rtl/>
        </w:rPr>
        <w:t xml:space="preserve">ניתן היום,  כ"ג חשוון תשע"ח, 12 נובמבר 2017, בהעדר הצדדים. </w:t>
      </w:r>
    </w:p>
    <w:p w14:paraId="291338A9" w14:textId="77777777" w:rsidR="0098244F" w:rsidRDefault="0098244F" w:rsidP="0098244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17166A9" w14:textId="77777777" w:rsidR="0098244F" w:rsidRDefault="0098244F" w:rsidP="0098244F">
      <w:pPr>
        <w:jc w:val="center"/>
        <w:rPr>
          <w:rFonts w:ascii="Arial" w:hAnsi="Arial" w:cs="FrankRuehl"/>
          <w:sz w:val="28"/>
          <w:szCs w:val="28"/>
          <w:rtl/>
        </w:rPr>
      </w:pPr>
    </w:p>
    <w:p w14:paraId="567C553C" w14:textId="77777777" w:rsidR="00265F27" w:rsidRDefault="00265F27" w:rsidP="00265F27">
      <w:pPr>
        <w:rPr>
          <w:rtl/>
        </w:rPr>
      </w:pPr>
    </w:p>
    <w:p w14:paraId="7ADEB197" w14:textId="77777777" w:rsidR="00265F27" w:rsidRDefault="00265F27" w:rsidP="00265F27">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r w:rsidR="005E44C1">
        <w:rPr>
          <w:rFonts w:hint="cs"/>
          <w:color w:val="0000FF"/>
          <w:u w:val="single"/>
          <w:rtl/>
        </w:rPr>
        <w:t xml:space="preserve"> </w:t>
      </w:r>
    </w:p>
    <w:p w14:paraId="4C4FE30B" w14:textId="77777777" w:rsidR="00E15C89" w:rsidRPr="00E15C89" w:rsidRDefault="00E15C89" w:rsidP="00E15C89">
      <w:pPr>
        <w:keepNext/>
        <w:rPr>
          <w:rFonts w:ascii="David" w:hAnsi="David"/>
          <w:color w:val="000000"/>
          <w:sz w:val="22"/>
          <w:szCs w:val="22"/>
          <w:rtl/>
        </w:rPr>
      </w:pPr>
    </w:p>
    <w:p w14:paraId="2FC5FA22" w14:textId="77777777" w:rsidR="00E15C89" w:rsidRPr="00E15C89" w:rsidRDefault="00E15C89" w:rsidP="00E15C89">
      <w:pPr>
        <w:keepNext/>
        <w:rPr>
          <w:rFonts w:ascii="David" w:hAnsi="David"/>
          <w:color w:val="000000"/>
          <w:sz w:val="22"/>
          <w:szCs w:val="22"/>
          <w:rtl/>
        </w:rPr>
      </w:pPr>
      <w:r w:rsidRPr="00E15C89">
        <w:rPr>
          <w:rFonts w:ascii="David" w:hAnsi="David"/>
          <w:color w:val="000000"/>
          <w:sz w:val="22"/>
          <w:szCs w:val="22"/>
          <w:rtl/>
        </w:rPr>
        <w:t>אפרת פינק 54678313-/</w:t>
      </w:r>
    </w:p>
    <w:p w14:paraId="5919BBB9" w14:textId="77777777" w:rsidR="00265F27" w:rsidRPr="00265F27" w:rsidRDefault="00E15C89" w:rsidP="00E15C89">
      <w:pPr>
        <w:rPr>
          <w:color w:val="0000FF"/>
          <w:u w:val="single"/>
        </w:rPr>
      </w:pPr>
      <w:r w:rsidRPr="00E15C89">
        <w:rPr>
          <w:color w:val="000000"/>
          <w:u w:val="single"/>
          <w:rtl/>
        </w:rPr>
        <w:t>נוסח מסמך זה כפוף לשינויי ניסוח ועריכה</w:t>
      </w:r>
    </w:p>
    <w:sectPr w:rsidR="00265F27" w:rsidRPr="00265F27" w:rsidSect="00E15C89">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19977" w14:textId="77777777" w:rsidR="0037074C" w:rsidRDefault="0037074C" w:rsidP="00AA7520">
      <w:r>
        <w:separator/>
      </w:r>
    </w:p>
  </w:endnote>
  <w:endnote w:type="continuationSeparator" w:id="0">
    <w:p w14:paraId="1E70E775" w14:textId="77777777" w:rsidR="0037074C" w:rsidRDefault="0037074C" w:rsidP="00AA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8DC35" w14:textId="77777777" w:rsidR="00150458" w:rsidRDefault="00150458" w:rsidP="00E15C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249C6C" w14:textId="77777777" w:rsidR="00150458" w:rsidRPr="00E15C89" w:rsidRDefault="00150458" w:rsidP="00E15C89">
    <w:pPr>
      <w:pStyle w:val="a5"/>
      <w:pBdr>
        <w:top w:val="single" w:sz="4" w:space="1" w:color="auto"/>
        <w:between w:val="single" w:sz="4" w:space="0" w:color="auto"/>
      </w:pBdr>
      <w:spacing w:after="60"/>
      <w:jc w:val="center"/>
      <w:rPr>
        <w:rFonts w:ascii="FrankRuehl" w:hAnsi="FrankRuehl" w:cs="FrankRuehl"/>
        <w:color w:val="000000"/>
      </w:rPr>
    </w:pPr>
    <w:r w:rsidRPr="00E15C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C5A4" w14:textId="77777777" w:rsidR="00150458" w:rsidRDefault="00150458" w:rsidP="00E15C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0401">
      <w:rPr>
        <w:rFonts w:ascii="FrankRuehl" w:hAnsi="FrankRuehl" w:cs="FrankRuehl"/>
        <w:noProof/>
        <w:rtl/>
      </w:rPr>
      <w:t>1</w:t>
    </w:r>
    <w:r>
      <w:rPr>
        <w:rFonts w:ascii="FrankRuehl" w:hAnsi="FrankRuehl" w:cs="FrankRuehl"/>
        <w:rtl/>
      </w:rPr>
      <w:fldChar w:fldCharType="end"/>
    </w:r>
  </w:p>
  <w:p w14:paraId="049806E3" w14:textId="77777777" w:rsidR="00150458" w:rsidRPr="00E15C89" w:rsidRDefault="00150458" w:rsidP="00E15C89">
    <w:pPr>
      <w:pStyle w:val="a5"/>
      <w:pBdr>
        <w:top w:val="single" w:sz="4" w:space="1" w:color="auto"/>
        <w:between w:val="single" w:sz="4" w:space="0" w:color="auto"/>
      </w:pBdr>
      <w:spacing w:after="60"/>
      <w:jc w:val="center"/>
      <w:rPr>
        <w:rFonts w:ascii="FrankRuehl" w:hAnsi="FrankRuehl" w:cs="FrankRuehl"/>
        <w:color w:val="000000"/>
      </w:rPr>
    </w:pPr>
    <w:r w:rsidRPr="00E15C89">
      <w:rPr>
        <w:rFonts w:ascii="FrankRuehl" w:hAnsi="FrankRuehl" w:cs="FrankRuehl"/>
        <w:color w:val="000000"/>
      </w:rPr>
      <w:pict w14:anchorId="56C932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206B3" w14:textId="77777777" w:rsidR="0037074C" w:rsidRDefault="0037074C" w:rsidP="00AA7520">
      <w:r>
        <w:separator/>
      </w:r>
    </w:p>
  </w:footnote>
  <w:footnote w:type="continuationSeparator" w:id="0">
    <w:p w14:paraId="05EE2116" w14:textId="77777777" w:rsidR="0037074C" w:rsidRDefault="0037074C" w:rsidP="00AA7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49C45" w14:textId="77777777" w:rsidR="00150458" w:rsidRPr="00E15C89" w:rsidRDefault="00150458" w:rsidP="00E15C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5726-02-16</w:t>
    </w:r>
    <w:r>
      <w:rPr>
        <w:rFonts w:ascii="David" w:hAnsi="David"/>
        <w:color w:val="000000"/>
        <w:sz w:val="22"/>
        <w:szCs w:val="22"/>
        <w:rtl/>
      </w:rPr>
      <w:tab/>
      <w:t xml:space="preserve"> פרקליטות מחוז מרכז נ' יוסי מישלי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C958" w14:textId="77777777" w:rsidR="00150458" w:rsidRPr="00E15C89" w:rsidRDefault="00150458" w:rsidP="00E15C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5726-02-16</w:t>
    </w:r>
    <w:r>
      <w:rPr>
        <w:rFonts w:ascii="David" w:hAnsi="David"/>
        <w:color w:val="000000"/>
        <w:sz w:val="22"/>
        <w:szCs w:val="22"/>
        <w:rtl/>
      </w:rPr>
      <w:tab/>
      <w:t xml:space="preserve"> פרקליטות מחוז מרכז נ' יוסי מישלי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4C860177"/>
    <w:multiLevelType w:val="hybridMultilevel"/>
    <w:tmpl w:val="CD002040"/>
    <w:lvl w:ilvl="0" w:tplc="0374DF86">
      <w:numFmt w:val="bullet"/>
      <w:lvlText w:val="-"/>
      <w:lvlJc w:val="left"/>
      <w:pPr>
        <w:ind w:left="720" w:hanging="360"/>
      </w:pPr>
      <w:rPr>
        <w:rFonts w:ascii="David" w:eastAsia="Calibri" w:hAnsi="David" w:cs="David" w:hint="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9455D5"/>
    <w:multiLevelType w:val="hybridMultilevel"/>
    <w:tmpl w:val="CE8E9AEE"/>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823594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0398207">
    <w:abstractNumId w:val="1"/>
  </w:num>
  <w:num w:numId="3" w16cid:durableId="1407916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244F"/>
    <w:rsid w:val="00150458"/>
    <w:rsid w:val="0025735E"/>
    <w:rsid w:val="00265F27"/>
    <w:rsid w:val="002A1455"/>
    <w:rsid w:val="002D7B2F"/>
    <w:rsid w:val="0037074C"/>
    <w:rsid w:val="004206BA"/>
    <w:rsid w:val="00544DBD"/>
    <w:rsid w:val="005E44C1"/>
    <w:rsid w:val="00920401"/>
    <w:rsid w:val="0098244F"/>
    <w:rsid w:val="00AA7520"/>
    <w:rsid w:val="00BA16A0"/>
    <w:rsid w:val="00D6480A"/>
    <w:rsid w:val="00E15C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C69A7E"/>
  <w15:chartTrackingRefBased/>
  <w15:docId w15:val="{0BD9E631-7885-4D6F-9E85-4937D5D9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24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244F"/>
    <w:pPr>
      <w:tabs>
        <w:tab w:val="center" w:pos="4153"/>
        <w:tab w:val="right" w:pos="8306"/>
      </w:tabs>
    </w:pPr>
  </w:style>
  <w:style w:type="character" w:customStyle="1" w:styleId="a4">
    <w:name w:val="כותרת עליונה תו"/>
    <w:link w:val="a3"/>
    <w:rsid w:val="0098244F"/>
    <w:rPr>
      <w:rFonts w:ascii="Times New Roman" w:eastAsia="Times New Roman" w:hAnsi="Times New Roman" w:cs="David"/>
      <w:sz w:val="24"/>
      <w:szCs w:val="24"/>
    </w:rPr>
  </w:style>
  <w:style w:type="paragraph" w:styleId="a5">
    <w:name w:val="footer"/>
    <w:basedOn w:val="a"/>
    <w:link w:val="a6"/>
    <w:rsid w:val="0098244F"/>
    <w:pPr>
      <w:tabs>
        <w:tab w:val="center" w:pos="4153"/>
        <w:tab w:val="right" w:pos="8306"/>
      </w:tabs>
    </w:pPr>
  </w:style>
  <w:style w:type="character" w:customStyle="1" w:styleId="a6">
    <w:name w:val="כותרת תחתונה תו"/>
    <w:link w:val="a5"/>
    <w:rsid w:val="0098244F"/>
    <w:rPr>
      <w:rFonts w:ascii="Times New Roman" w:eastAsia="Times New Roman" w:hAnsi="Times New Roman" w:cs="David"/>
      <w:sz w:val="24"/>
      <w:szCs w:val="24"/>
    </w:rPr>
  </w:style>
  <w:style w:type="table" w:styleId="a7">
    <w:name w:val="Table Grid"/>
    <w:basedOn w:val="a1"/>
    <w:rsid w:val="009824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244F"/>
  </w:style>
  <w:style w:type="character" w:customStyle="1" w:styleId="a9">
    <w:name w:val="פיסקת רשימה תו"/>
    <w:link w:val="aa"/>
    <w:locked/>
    <w:rsid w:val="0098244F"/>
  </w:style>
  <w:style w:type="paragraph" w:styleId="aa">
    <w:name w:val="List Paragraph"/>
    <w:basedOn w:val="a"/>
    <w:link w:val="a9"/>
    <w:qFormat/>
    <w:rsid w:val="0098244F"/>
    <w:pPr>
      <w:bidi w:val="0"/>
      <w:spacing w:line="360"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98244F"/>
    <w:rPr>
      <w:b/>
      <w:bCs/>
      <w:u w:val="single"/>
    </w:rPr>
  </w:style>
  <w:style w:type="character" w:styleId="Hyperlink">
    <w:name w:val="Hyperlink"/>
    <w:rsid w:val="00265F27"/>
    <w:rPr>
      <w:color w:val="0563C1"/>
      <w:u w:val="single"/>
    </w:rPr>
  </w:style>
  <w:style w:type="character" w:styleId="ab">
    <w:name w:val="Unresolved Mention"/>
    <w:rsid w:val="00265F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930962" TargetMode="External"/><Relationship Id="rId26" Type="http://schemas.openxmlformats.org/officeDocument/2006/relationships/hyperlink" Target="http://www.nevo.co.il/law/4216/7.a" TargetMode="External"/><Relationship Id="rId39" Type="http://schemas.openxmlformats.org/officeDocument/2006/relationships/hyperlink" Target="http://www.nevo.co.il/case/17939812"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1644133" TargetMode="External"/><Relationship Id="rId47" Type="http://schemas.openxmlformats.org/officeDocument/2006/relationships/hyperlink" Target="http://www.nevo.co.il/case/22045884"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2" TargetMode="External"/><Relationship Id="rId29" Type="http://schemas.openxmlformats.org/officeDocument/2006/relationships/hyperlink" Target="http://www.nevo.co.il/law/4216/36a.b"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045416" TargetMode="External"/><Relationship Id="rId40" Type="http://schemas.openxmlformats.org/officeDocument/2006/relationships/hyperlink" Target="http://www.nevo.co.il/law/70301/40i.5" TargetMode="External"/><Relationship Id="rId45" Type="http://schemas.openxmlformats.org/officeDocument/2006/relationships/hyperlink" Target="http://www.nevo.co.il/case/2023519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22705514"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4216" TargetMode="External"/><Relationship Id="rId35" Type="http://schemas.openxmlformats.org/officeDocument/2006/relationships/hyperlink" Target="http://www.nevo.co.il/case/5738608" TargetMode="External"/><Relationship Id="rId43" Type="http://schemas.openxmlformats.org/officeDocument/2006/relationships/hyperlink" Target="http://www.nevo.co.il/case/13070717" TargetMode="External"/><Relationship Id="rId48" Type="http://schemas.openxmlformats.org/officeDocument/2006/relationships/hyperlink" Target="http://www.nevo.co.il/case/20456248" TargetMode="External"/><Relationship Id="rId56"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case/5988308" TargetMode="External"/><Relationship Id="rId46" Type="http://schemas.openxmlformats.org/officeDocument/2006/relationships/hyperlink" Target="http://www.nevo.co.il/case/18090154" TargetMode="External"/><Relationship Id="rId59" Type="http://schemas.openxmlformats.org/officeDocument/2006/relationships/theme" Target="theme/theme1.xml"/><Relationship Id="rId20" Type="http://schemas.openxmlformats.org/officeDocument/2006/relationships/hyperlink" Target="http://www.nevo.co.il/law/4216/6"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5"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10" TargetMode="External"/><Relationship Id="rId36" Type="http://schemas.openxmlformats.org/officeDocument/2006/relationships/hyperlink" Target="http://www.nevo.co.il/case/5786821" TargetMode="External"/><Relationship Id="rId49" Type="http://schemas.openxmlformats.org/officeDocument/2006/relationships/hyperlink" Target="http://www.nevo.co.il/law/70301/40ja.2"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law/70301/40c" TargetMode="External"/><Relationship Id="rId44" Type="http://schemas.openxmlformats.org/officeDocument/2006/relationships/hyperlink" Target="http://www.nevo.co.il/case/22087107"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14358</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17195</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3538981</vt:i4>
      </vt:variant>
      <vt:variant>
        <vt:i4>126</vt:i4>
      </vt:variant>
      <vt:variant>
        <vt:i4>0</vt:i4>
      </vt:variant>
      <vt:variant>
        <vt:i4>5</vt:i4>
      </vt:variant>
      <vt:variant>
        <vt:lpwstr>http://www.nevo.co.il/law/70301/40ja.2</vt:lpwstr>
      </vt:variant>
      <vt:variant>
        <vt:lpwstr/>
      </vt:variant>
      <vt:variant>
        <vt:i4>3407987</vt:i4>
      </vt:variant>
      <vt:variant>
        <vt:i4>123</vt:i4>
      </vt:variant>
      <vt:variant>
        <vt:i4>0</vt:i4>
      </vt:variant>
      <vt:variant>
        <vt:i4>5</vt:i4>
      </vt:variant>
      <vt:variant>
        <vt:lpwstr>http://www.nevo.co.il/case/20456248</vt:lpwstr>
      </vt:variant>
      <vt:variant>
        <vt:lpwstr/>
      </vt:variant>
      <vt:variant>
        <vt:i4>4128890</vt:i4>
      </vt:variant>
      <vt:variant>
        <vt:i4>120</vt:i4>
      </vt:variant>
      <vt:variant>
        <vt:i4>0</vt:i4>
      </vt:variant>
      <vt:variant>
        <vt:i4>5</vt:i4>
      </vt:variant>
      <vt:variant>
        <vt:lpwstr>http://www.nevo.co.il/case/22045884</vt:lpwstr>
      </vt:variant>
      <vt:variant>
        <vt:lpwstr/>
      </vt:variant>
      <vt:variant>
        <vt:i4>3407988</vt:i4>
      </vt:variant>
      <vt:variant>
        <vt:i4>117</vt:i4>
      </vt:variant>
      <vt:variant>
        <vt:i4>0</vt:i4>
      </vt:variant>
      <vt:variant>
        <vt:i4>5</vt:i4>
      </vt:variant>
      <vt:variant>
        <vt:lpwstr>http://www.nevo.co.il/case/18090154</vt:lpwstr>
      </vt:variant>
      <vt:variant>
        <vt:lpwstr/>
      </vt:variant>
      <vt:variant>
        <vt:i4>3932278</vt:i4>
      </vt:variant>
      <vt:variant>
        <vt:i4>114</vt:i4>
      </vt:variant>
      <vt:variant>
        <vt:i4>0</vt:i4>
      </vt:variant>
      <vt:variant>
        <vt:i4>5</vt:i4>
      </vt:variant>
      <vt:variant>
        <vt:lpwstr>http://www.nevo.co.il/case/20235191</vt:lpwstr>
      </vt:variant>
      <vt:variant>
        <vt:lpwstr/>
      </vt:variant>
      <vt:variant>
        <vt:i4>3473535</vt:i4>
      </vt:variant>
      <vt:variant>
        <vt:i4>111</vt:i4>
      </vt:variant>
      <vt:variant>
        <vt:i4>0</vt:i4>
      </vt:variant>
      <vt:variant>
        <vt:i4>5</vt:i4>
      </vt:variant>
      <vt:variant>
        <vt:lpwstr>http://www.nevo.co.il/case/22087107</vt:lpwstr>
      </vt:variant>
      <vt:variant>
        <vt:lpwstr/>
      </vt:variant>
      <vt:variant>
        <vt:i4>3145847</vt:i4>
      </vt:variant>
      <vt:variant>
        <vt:i4>108</vt:i4>
      </vt:variant>
      <vt:variant>
        <vt:i4>0</vt:i4>
      </vt:variant>
      <vt:variant>
        <vt:i4>5</vt:i4>
      </vt:variant>
      <vt:variant>
        <vt:lpwstr>http://www.nevo.co.il/case/13070717</vt:lpwstr>
      </vt:variant>
      <vt:variant>
        <vt:lpwstr/>
      </vt:variant>
      <vt:variant>
        <vt:i4>3342448</vt:i4>
      </vt:variant>
      <vt:variant>
        <vt:i4>105</vt:i4>
      </vt:variant>
      <vt:variant>
        <vt:i4>0</vt:i4>
      </vt:variant>
      <vt:variant>
        <vt:i4>5</vt:i4>
      </vt:variant>
      <vt:variant>
        <vt:lpwstr>http://www.nevo.co.il/case/21644133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4915208</vt:i4>
      </vt:variant>
      <vt:variant>
        <vt:i4>99</vt:i4>
      </vt:variant>
      <vt:variant>
        <vt:i4>0</vt:i4>
      </vt:variant>
      <vt:variant>
        <vt:i4>5</vt:i4>
      </vt:variant>
      <vt:variant>
        <vt:lpwstr>http://www.nevo.co.il/law/70301/40i.5</vt:lpwstr>
      </vt:variant>
      <vt:variant>
        <vt:lpwstr/>
      </vt:variant>
      <vt:variant>
        <vt:i4>3145848</vt:i4>
      </vt:variant>
      <vt:variant>
        <vt:i4>96</vt:i4>
      </vt:variant>
      <vt:variant>
        <vt:i4>0</vt:i4>
      </vt:variant>
      <vt:variant>
        <vt:i4>5</vt:i4>
      </vt:variant>
      <vt:variant>
        <vt:lpwstr>http://www.nevo.co.il/case/17939812</vt:lpwstr>
      </vt:variant>
      <vt:variant>
        <vt:lpwstr/>
      </vt:variant>
      <vt:variant>
        <vt:i4>3539061</vt:i4>
      </vt:variant>
      <vt:variant>
        <vt:i4>93</vt:i4>
      </vt:variant>
      <vt:variant>
        <vt:i4>0</vt:i4>
      </vt:variant>
      <vt:variant>
        <vt:i4>5</vt:i4>
      </vt:variant>
      <vt:variant>
        <vt:lpwstr>http://www.nevo.co.il/case/5988308</vt:lpwstr>
      </vt:variant>
      <vt:variant>
        <vt:lpwstr/>
      </vt:variant>
      <vt:variant>
        <vt:i4>3145840</vt:i4>
      </vt:variant>
      <vt:variant>
        <vt:i4>90</vt:i4>
      </vt:variant>
      <vt:variant>
        <vt:i4>0</vt:i4>
      </vt:variant>
      <vt:variant>
        <vt:i4>5</vt:i4>
      </vt:variant>
      <vt:variant>
        <vt:lpwstr>http://www.nevo.co.il/case/6045416</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3670139</vt:i4>
      </vt:variant>
      <vt:variant>
        <vt:i4>84</vt:i4>
      </vt:variant>
      <vt:variant>
        <vt:i4>0</vt:i4>
      </vt:variant>
      <vt:variant>
        <vt:i4>5</vt:i4>
      </vt:variant>
      <vt:variant>
        <vt:lpwstr>http://www.nevo.co.il/case/5738608</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8257637</vt:i4>
      </vt:variant>
      <vt:variant>
        <vt:i4>69</vt:i4>
      </vt:variant>
      <vt:variant>
        <vt:i4>0</vt:i4>
      </vt:variant>
      <vt:variant>
        <vt:i4>5</vt:i4>
      </vt:variant>
      <vt:variant>
        <vt:lpwstr>http://www.nevo.co.il/law/4216</vt:lpwstr>
      </vt:variant>
      <vt:variant>
        <vt:lpwstr/>
      </vt:variant>
      <vt:variant>
        <vt:i4>5111890</vt:i4>
      </vt:variant>
      <vt:variant>
        <vt:i4>66</vt:i4>
      </vt:variant>
      <vt:variant>
        <vt:i4>0</vt:i4>
      </vt:variant>
      <vt:variant>
        <vt:i4>5</vt:i4>
      </vt:variant>
      <vt:variant>
        <vt:lpwstr>http://www.nevo.co.il/law/4216/36a.b</vt:lpwstr>
      </vt:variant>
      <vt:variant>
        <vt:lpwstr/>
      </vt:variant>
      <vt:variant>
        <vt:i4>5177418</vt:i4>
      </vt:variant>
      <vt:variant>
        <vt:i4>63</vt:i4>
      </vt:variant>
      <vt:variant>
        <vt:i4>0</vt:i4>
      </vt:variant>
      <vt:variant>
        <vt:i4>5</vt:i4>
      </vt:variant>
      <vt:variant>
        <vt:lpwstr>http://www.nevo.co.il/law/4216/10</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3211379</vt:i4>
      </vt:variant>
      <vt:variant>
        <vt:i4>36</vt:i4>
      </vt:variant>
      <vt:variant>
        <vt:i4>0</vt:i4>
      </vt:variant>
      <vt:variant>
        <vt:i4>5</vt:i4>
      </vt:variant>
      <vt:variant>
        <vt:lpwstr>http://www.nevo.co.il/case/22705514</vt:lpwstr>
      </vt:variant>
      <vt:variant>
        <vt:lpwstr/>
      </vt:variant>
      <vt:variant>
        <vt:i4>3997822</vt:i4>
      </vt:variant>
      <vt:variant>
        <vt:i4>33</vt:i4>
      </vt:variant>
      <vt:variant>
        <vt:i4>0</vt:i4>
      </vt:variant>
      <vt:variant>
        <vt:i4>5</vt:i4>
      </vt:variant>
      <vt:variant>
        <vt:lpwstr>http://www.nevo.co.il/case/20930962</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3538981</vt:i4>
      </vt:variant>
      <vt:variant>
        <vt:i4>27</vt:i4>
      </vt:variant>
      <vt:variant>
        <vt:i4>0</vt:i4>
      </vt:variant>
      <vt:variant>
        <vt:i4>5</vt:i4>
      </vt:variant>
      <vt:variant>
        <vt:lpwstr>http://www.nevo.co.il/law/70301/40ja.2</vt:lpwstr>
      </vt:variant>
      <vt:variant>
        <vt:lpwstr/>
      </vt:variant>
      <vt:variant>
        <vt:i4>4915208</vt:i4>
      </vt:variant>
      <vt:variant>
        <vt:i4>24</vt:i4>
      </vt:variant>
      <vt:variant>
        <vt:i4>0</vt:i4>
      </vt:variant>
      <vt:variant>
        <vt:i4>5</vt:i4>
      </vt:variant>
      <vt:variant>
        <vt:lpwstr>http://www.nevo.co.il/law/70301/40i.5</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5726;7585</vt:lpwstr>
  </property>
  <property fmtid="{D5CDD505-2E9C-101B-9397-08002B2CF9AE}" pid="6" name="NEWPARTB">
    <vt:lpwstr>02;06</vt:lpwstr>
  </property>
  <property fmtid="{D5CDD505-2E9C-101B-9397-08002B2CF9AE}" pid="7" name="NEWPARTC">
    <vt:lpwstr>16;17</vt:lpwstr>
  </property>
  <property fmtid="{D5CDD505-2E9C-101B-9397-08002B2CF9AE}" pid="8" name="APPELLANT">
    <vt:lpwstr>פרקליטות מחוז מרכז</vt:lpwstr>
  </property>
  <property fmtid="{D5CDD505-2E9C-101B-9397-08002B2CF9AE}" pid="9" name="APPELLEE">
    <vt:lpwstr>יוסי מישלי</vt:lpwstr>
  </property>
  <property fmtid="{D5CDD505-2E9C-101B-9397-08002B2CF9AE}" pid="10" name="LAWYER">
    <vt:lpwstr>עומר סגל רוזנבוים;רזי בטחיש;קרינה אבאל </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20171112</vt:lpwstr>
  </property>
  <property fmtid="{D5CDD505-2E9C-101B-9397-08002B2CF9AE}" pid="14" name="TYPE_N_DATE">
    <vt:lpwstr>38020171112</vt:lpwstr>
  </property>
  <property fmtid="{D5CDD505-2E9C-101B-9397-08002B2CF9AE}" pid="15" name="WORDNUMPAGES">
    <vt:lpwstr>8</vt:lpwstr>
  </property>
  <property fmtid="{D5CDD505-2E9C-101B-9397-08002B2CF9AE}" pid="16" name="TYPE_ABS_DATE">
    <vt:lpwstr>380020171112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20930962;22705514;5738608;5786821;6045416;5988308;17939812;21644133;13070717;22087107;20235191;18090154;22045884;20456248</vt:lpwstr>
  </property>
  <property fmtid="{D5CDD505-2E9C-101B-9397-08002B2CF9AE}" pid="36" name="LAWLISTTMP1">
    <vt:lpwstr>4216/006:2;007.a:2;007.c:2;010;036a.b</vt:lpwstr>
  </property>
  <property fmtid="{D5CDD505-2E9C-101B-9397-08002B2CF9AE}" pid="37" name="LAWLISTTMP2">
    <vt:lpwstr>70301/040c;40jc;040i.5;40ja.2</vt:lpwstr>
  </property>
</Properties>
</file>