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806D40" w:rsidRPr="005A46BC" w14:paraId="4CF9571B" w14:textId="77777777">
        <w:trPr>
          <w:trHeight w:hRule="exact" w:val="704"/>
          <w:jc w:val="center"/>
        </w:trPr>
        <w:tc>
          <w:tcPr>
            <w:tcW w:w="8721" w:type="dxa"/>
            <w:gridSpan w:val="2"/>
          </w:tcPr>
          <w:p w14:paraId="54AEB241" w14:textId="77777777" w:rsidR="00806D40" w:rsidRPr="005A46BC" w:rsidRDefault="005A46BC">
            <w:pPr>
              <w:pStyle w:val="a4"/>
              <w:jc w:val="center"/>
              <w:rPr>
                <w:rFonts w:ascii="Tahoma" w:hAnsi="Tahoma" w:cs="Tahoma"/>
                <w:color w:val="000080"/>
                <w:rtl/>
              </w:rPr>
            </w:pPr>
            <w:bookmarkStart w:id="0" w:name="LastJudge"/>
            <w:r w:rsidRPr="005A46BC">
              <w:rPr>
                <w:rFonts w:ascii="Tahoma" w:hAnsi="Tahoma" w:cs="Tahoma"/>
                <w:b/>
                <w:bCs/>
                <w:color w:val="000080"/>
                <w:rtl/>
              </w:rPr>
              <w:t>בית משפט השלום בנצרת</w:t>
            </w:r>
          </w:p>
        </w:tc>
      </w:tr>
      <w:tr w:rsidR="00806D40" w:rsidRPr="005A46BC" w14:paraId="2DF0AD77" w14:textId="77777777">
        <w:trPr>
          <w:trHeight w:val="337"/>
          <w:jc w:val="center"/>
        </w:trPr>
        <w:tc>
          <w:tcPr>
            <w:tcW w:w="5047" w:type="dxa"/>
          </w:tcPr>
          <w:p w14:paraId="148F8B71" w14:textId="77777777" w:rsidR="00806D40" w:rsidRPr="005A46BC" w:rsidRDefault="00806D40">
            <w:pPr>
              <w:rPr>
                <w:b/>
                <w:bCs/>
                <w:sz w:val="26"/>
                <w:szCs w:val="26"/>
                <w:rtl/>
              </w:rPr>
            </w:pPr>
          </w:p>
        </w:tc>
        <w:tc>
          <w:tcPr>
            <w:tcW w:w="3674" w:type="dxa"/>
          </w:tcPr>
          <w:p w14:paraId="61E51F5A" w14:textId="77777777" w:rsidR="00806D40" w:rsidRPr="005A46BC" w:rsidRDefault="00806D40">
            <w:pPr>
              <w:pStyle w:val="a4"/>
              <w:jc w:val="right"/>
              <w:rPr>
                <w:b/>
                <w:bCs/>
                <w:sz w:val="26"/>
                <w:szCs w:val="26"/>
                <w:rtl/>
              </w:rPr>
            </w:pPr>
          </w:p>
        </w:tc>
      </w:tr>
      <w:tr w:rsidR="00806D40" w:rsidRPr="005A46BC" w14:paraId="743A39F2" w14:textId="77777777">
        <w:trPr>
          <w:trHeight w:val="337"/>
          <w:jc w:val="center"/>
        </w:trPr>
        <w:tc>
          <w:tcPr>
            <w:tcW w:w="8721" w:type="dxa"/>
            <w:gridSpan w:val="2"/>
          </w:tcPr>
          <w:p w14:paraId="053B8C0B" w14:textId="77777777" w:rsidR="00806D40" w:rsidRPr="005A46BC" w:rsidRDefault="005A46BC">
            <w:pPr>
              <w:rPr>
                <w:b/>
                <w:bCs/>
                <w:sz w:val="26"/>
                <w:szCs w:val="26"/>
                <w:rtl/>
              </w:rPr>
            </w:pPr>
            <w:r w:rsidRPr="005A46BC">
              <w:rPr>
                <w:b/>
                <w:bCs/>
                <w:sz w:val="26"/>
                <w:szCs w:val="26"/>
                <w:rtl/>
              </w:rPr>
              <w:t>ת"פ 1509-03-16 מדינת ישראל נ' אדרי</w:t>
            </w:r>
          </w:p>
          <w:p w14:paraId="5878455B" w14:textId="77777777" w:rsidR="00806D40" w:rsidRPr="005A46BC" w:rsidRDefault="00806D40">
            <w:pPr>
              <w:rPr>
                <w:b/>
                <w:bCs/>
                <w:sz w:val="2"/>
                <w:szCs w:val="2"/>
                <w:rtl/>
              </w:rPr>
            </w:pPr>
          </w:p>
          <w:p w14:paraId="19099937" w14:textId="77777777" w:rsidR="00806D40" w:rsidRPr="005A46BC" w:rsidRDefault="005A46BC">
            <w:pPr>
              <w:rPr>
                <w:sz w:val="20"/>
                <w:szCs w:val="20"/>
                <w:rtl/>
              </w:rPr>
            </w:pPr>
            <w:r w:rsidRPr="005A46BC">
              <w:rPr>
                <w:rFonts w:hint="cs"/>
                <w:rtl/>
              </w:rPr>
              <w:t xml:space="preserve">                           </w:t>
            </w:r>
            <w:r w:rsidRPr="005A46BC">
              <w:rPr>
                <w:rFonts w:hint="cs"/>
                <w:sz w:val="20"/>
                <w:szCs w:val="20"/>
                <w:rtl/>
              </w:rPr>
              <w:t xml:space="preserve">                                       </w:t>
            </w:r>
          </w:p>
          <w:p w14:paraId="20478EB3" w14:textId="77777777" w:rsidR="00806D40" w:rsidRPr="005A46BC" w:rsidRDefault="005A46BC">
            <w:pPr>
              <w:rPr>
                <w:sz w:val="20"/>
                <w:szCs w:val="20"/>
                <w:rtl/>
              </w:rPr>
            </w:pPr>
            <w:r w:rsidRPr="005A46BC">
              <w:rPr>
                <w:rFonts w:hint="cs"/>
                <w:sz w:val="20"/>
                <w:szCs w:val="20"/>
                <w:rtl/>
              </w:rPr>
              <w:t xml:space="preserve">תיק חיצוני: </w:t>
            </w:r>
            <w:r w:rsidRPr="005A46BC">
              <w:rPr>
                <w:rFonts w:hint="eastAsia"/>
                <w:sz w:val="20"/>
                <w:szCs w:val="20"/>
              </w:rPr>
              <w:t>389657/2015</w:t>
            </w:r>
            <w:r w:rsidRPr="005A46BC">
              <w:rPr>
                <w:rFonts w:hint="cs"/>
                <w:sz w:val="20"/>
                <w:szCs w:val="20"/>
                <w:rtl/>
              </w:rPr>
              <w:t xml:space="preserve"> </w:t>
            </w:r>
            <w:r w:rsidRPr="005A46BC">
              <w:rPr>
                <w:sz w:val="20"/>
                <w:szCs w:val="20"/>
                <w:rtl/>
              </w:rPr>
              <w:t xml:space="preserve">  </w:t>
            </w:r>
          </w:p>
        </w:tc>
      </w:tr>
    </w:tbl>
    <w:p w14:paraId="78CDFFB5" w14:textId="77777777" w:rsidR="00806D40" w:rsidRPr="005A46BC" w:rsidRDefault="005A46BC">
      <w:pPr>
        <w:pStyle w:val="a4"/>
        <w:rPr>
          <w:rtl/>
        </w:rPr>
      </w:pPr>
      <w:r w:rsidRPr="005A46BC">
        <w:rPr>
          <w:rtl/>
        </w:rPr>
        <w:t xml:space="preserve"> </w:t>
      </w:r>
    </w:p>
    <w:p w14:paraId="11D7BA45" w14:textId="77777777" w:rsidR="00806D40" w:rsidRPr="005A46BC" w:rsidRDefault="005A46BC">
      <w:pPr>
        <w:rPr>
          <w:rtl/>
        </w:rPr>
      </w:pPr>
      <w:r w:rsidRPr="005A46BC">
        <w:rPr>
          <w:rtl/>
        </w:rPr>
        <w:t xml:space="preserve"> </w:t>
      </w:r>
    </w:p>
    <w:tbl>
      <w:tblPr>
        <w:bidiVisual/>
        <w:tblW w:w="8820" w:type="dxa"/>
        <w:jc w:val="center"/>
        <w:tblLook w:val="01E0" w:firstRow="1" w:lastRow="1" w:firstColumn="1" w:lastColumn="1" w:noHBand="0" w:noVBand="0"/>
      </w:tblPr>
      <w:tblGrid>
        <w:gridCol w:w="743"/>
        <w:gridCol w:w="2506"/>
        <w:gridCol w:w="5571"/>
      </w:tblGrid>
      <w:tr w:rsidR="00806D40" w:rsidRPr="005A46BC" w14:paraId="5475C51E" w14:textId="77777777">
        <w:trPr>
          <w:jc w:val="center"/>
        </w:trPr>
        <w:tc>
          <w:tcPr>
            <w:tcW w:w="743" w:type="dxa"/>
            <w:shd w:val="clear" w:color="auto" w:fill="auto"/>
          </w:tcPr>
          <w:p w14:paraId="1C1191C1" w14:textId="77777777" w:rsidR="00806D40" w:rsidRPr="005A46BC" w:rsidRDefault="005A46BC">
            <w:pPr>
              <w:jc w:val="both"/>
              <w:rPr>
                <w:rFonts w:ascii="Arial" w:hAnsi="Arial"/>
                <w:b/>
                <w:bCs/>
                <w:rtl/>
              </w:rPr>
            </w:pPr>
            <w:r w:rsidRPr="005A46BC">
              <w:rPr>
                <w:rFonts w:ascii="Arial" w:hAnsi="Arial" w:hint="cs"/>
                <w:b/>
                <w:bCs/>
                <w:rtl/>
              </w:rPr>
              <w:t>ב</w:t>
            </w:r>
            <w:r w:rsidRPr="005A46BC">
              <w:rPr>
                <w:rFonts w:ascii="Arial" w:hAnsi="Arial"/>
                <w:b/>
                <w:bCs/>
                <w:rtl/>
              </w:rPr>
              <w:t xml:space="preserve">פני </w:t>
            </w:r>
          </w:p>
        </w:tc>
        <w:tc>
          <w:tcPr>
            <w:tcW w:w="8077" w:type="dxa"/>
            <w:gridSpan w:val="2"/>
            <w:shd w:val="clear" w:color="auto" w:fill="auto"/>
          </w:tcPr>
          <w:p w14:paraId="691164CA" w14:textId="77777777" w:rsidR="00806D40" w:rsidRPr="005A46BC" w:rsidRDefault="005A46BC">
            <w:pPr>
              <w:rPr>
                <w:rFonts w:ascii="Arial" w:hAnsi="Arial"/>
                <w:b/>
                <w:bCs/>
                <w:rtl/>
              </w:rPr>
            </w:pPr>
            <w:r w:rsidRPr="005A46BC">
              <w:rPr>
                <w:rFonts w:ascii="Arial" w:hAnsi="Arial" w:hint="cs"/>
                <w:b/>
                <w:bCs/>
                <w:rtl/>
              </w:rPr>
              <w:t>כבוד ה</w:t>
            </w:r>
            <w:r w:rsidRPr="005A46BC">
              <w:rPr>
                <w:rFonts w:hint="cs"/>
                <w:rtl/>
              </w:rPr>
              <w:t>שופטת</w:t>
            </w:r>
            <w:r w:rsidRPr="005A46BC">
              <w:rPr>
                <w:rFonts w:ascii="Arial" w:hAnsi="Arial" w:hint="cs"/>
                <w:b/>
                <w:bCs/>
                <w:rtl/>
              </w:rPr>
              <w:t xml:space="preserve">  </w:t>
            </w:r>
            <w:r w:rsidRPr="005A46BC">
              <w:rPr>
                <w:rFonts w:hint="cs"/>
                <w:rtl/>
              </w:rPr>
              <w:t>דלית שרון-גרין</w:t>
            </w:r>
          </w:p>
          <w:p w14:paraId="5B5484C1" w14:textId="77777777" w:rsidR="00806D40" w:rsidRPr="005A46BC" w:rsidRDefault="00806D40">
            <w:pPr>
              <w:rPr>
                <w:rFonts w:ascii="Arial" w:hAnsi="Arial" w:cs="FrankRuehl"/>
                <w:sz w:val="28"/>
                <w:szCs w:val="28"/>
                <w:highlight w:val="yellow"/>
              </w:rPr>
            </w:pPr>
          </w:p>
        </w:tc>
      </w:tr>
      <w:tr w:rsidR="00806D40" w:rsidRPr="005A46BC" w14:paraId="7E453CF4" w14:textId="77777777">
        <w:trPr>
          <w:jc w:val="center"/>
        </w:trPr>
        <w:tc>
          <w:tcPr>
            <w:tcW w:w="3249" w:type="dxa"/>
            <w:gridSpan w:val="2"/>
            <w:shd w:val="clear" w:color="auto" w:fill="auto"/>
          </w:tcPr>
          <w:p w14:paraId="4517E40B" w14:textId="77777777" w:rsidR="00806D40" w:rsidRPr="005A46BC" w:rsidRDefault="00806D40">
            <w:pPr>
              <w:rPr>
                <w:rFonts w:ascii="Arial" w:hAnsi="Arial"/>
                <w:b/>
                <w:bCs/>
                <w:sz w:val="26"/>
                <w:szCs w:val="26"/>
              </w:rPr>
            </w:pPr>
            <w:bookmarkStart w:id="1" w:name="FirstAppellant"/>
          </w:p>
          <w:p w14:paraId="40945329" w14:textId="77777777" w:rsidR="00806D40" w:rsidRPr="005A46BC" w:rsidRDefault="005A46BC">
            <w:pPr>
              <w:rPr>
                <w:rFonts w:ascii="Arial" w:hAnsi="Arial"/>
                <w:b/>
                <w:bCs/>
                <w:sz w:val="26"/>
                <w:szCs w:val="26"/>
                <w:rtl/>
              </w:rPr>
            </w:pPr>
            <w:r w:rsidRPr="005A46BC">
              <w:rPr>
                <w:rFonts w:hint="cs"/>
                <w:rtl/>
              </w:rPr>
              <w:t>מאשימה</w:t>
            </w:r>
          </w:p>
        </w:tc>
        <w:tc>
          <w:tcPr>
            <w:tcW w:w="5571" w:type="dxa"/>
            <w:shd w:val="clear" w:color="auto" w:fill="auto"/>
          </w:tcPr>
          <w:p w14:paraId="15472B95" w14:textId="77777777" w:rsidR="00806D40" w:rsidRPr="005A46BC" w:rsidRDefault="00806D40">
            <w:pPr>
              <w:rPr>
                <w:rFonts w:ascii="Arial" w:hAnsi="Arial"/>
                <w:b/>
                <w:bCs/>
                <w:sz w:val="26"/>
                <w:szCs w:val="26"/>
                <w:rtl/>
              </w:rPr>
            </w:pPr>
          </w:p>
          <w:p w14:paraId="665FA4E1" w14:textId="77777777" w:rsidR="00806D40" w:rsidRPr="005A46BC" w:rsidRDefault="005A46BC">
            <w:pPr>
              <w:rPr>
                <w:b/>
                <w:bCs/>
                <w:sz w:val="26"/>
                <w:szCs w:val="26"/>
              </w:rPr>
            </w:pPr>
            <w:r w:rsidRPr="005A46BC">
              <w:rPr>
                <w:rFonts w:hint="cs"/>
                <w:rtl/>
              </w:rPr>
              <w:t>מדינת ישראל</w:t>
            </w:r>
          </w:p>
        </w:tc>
      </w:tr>
      <w:bookmarkEnd w:id="1"/>
      <w:tr w:rsidR="00806D40" w:rsidRPr="005A46BC" w14:paraId="40E6167F" w14:textId="77777777">
        <w:trPr>
          <w:jc w:val="center"/>
        </w:trPr>
        <w:tc>
          <w:tcPr>
            <w:tcW w:w="8820" w:type="dxa"/>
            <w:gridSpan w:val="3"/>
            <w:shd w:val="clear" w:color="auto" w:fill="auto"/>
          </w:tcPr>
          <w:p w14:paraId="41404817" w14:textId="77777777" w:rsidR="00806D40" w:rsidRPr="005A46BC" w:rsidRDefault="00806D40">
            <w:pPr>
              <w:rPr>
                <w:rFonts w:ascii="Arial" w:hAnsi="Arial"/>
                <w:b/>
                <w:bCs/>
                <w:sz w:val="26"/>
                <w:szCs w:val="26"/>
                <w:rtl/>
              </w:rPr>
            </w:pPr>
          </w:p>
          <w:p w14:paraId="5A1A601D" w14:textId="77777777" w:rsidR="00806D40" w:rsidRPr="005A46BC" w:rsidRDefault="005A46BC">
            <w:pPr>
              <w:jc w:val="center"/>
              <w:rPr>
                <w:rFonts w:ascii="Arial" w:hAnsi="Arial"/>
                <w:b/>
                <w:bCs/>
                <w:sz w:val="26"/>
                <w:szCs w:val="26"/>
              </w:rPr>
            </w:pPr>
            <w:r w:rsidRPr="005A46BC">
              <w:rPr>
                <w:rFonts w:ascii="Arial" w:hAnsi="Arial"/>
                <w:b/>
                <w:bCs/>
                <w:sz w:val="26"/>
                <w:szCs w:val="26"/>
                <w:rtl/>
              </w:rPr>
              <w:t>נגד</w:t>
            </w:r>
          </w:p>
        </w:tc>
      </w:tr>
      <w:tr w:rsidR="00806D40" w:rsidRPr="005A46BC" w14:paraId="5314B79B" w14:textId="77777777">
        <w:trPr>
          <w:jc w:val="center"/>
        </w:trPr>
        <w:tc>
          <w:tcPr>
            <w:tcW w:w="3249" w:type="dxa"/>
            <w:gridSpan w:val="2"/>
            <w:shd w:val="clear" w:color="auto" w:fill="auto"/>
          </w:tcPr>
          <w:p w14:paraId="55F9D76F" w14:textId="77777777" w:rsidR="00806D40" w:rsidRPr="005A46BC" w:rsidRDefault="00806D40">
            <w:pPr>
              <w:rPr>
                <w:rFonts w:ascii="Arial" w:hAnsi="Arial" w:hint="cs"/>
                <w:b/>
                <w:bCs/>
                <w:sz w:val="26"/>
                <w:szCs w:val="26"/>
                <w:rtl/>
              </w:rPr>
            </w:pPr>
          </w:p>
          <w:p w14:paraId="6CCA9A3C" w14:textId="77777777" w:rsidR="00806D40" w:rsidRPr="005A46BC" w:rsidRDefault="005A46BC">
            <w:pPr>
              <w:rPr>
                <w:rFonts w:ascii="Arial" w:hAnsi="Arial"/>
                <w:b/>
                <w:bCs/>
                <w:sz w:val="26"/>
                <w:szCs w:val="26"/>
              </w:rPr>
            </w:pPr>
            <w:r w:rsidRPr="005A46BC">
              <w:rPr>
                <w:rFonts w:hint="cs"/>
                <w:rtl/>
              </w:rPr>
              <w:t>נאשם</w:t>
            </w:r>
          </w:p>
        </w:tc>
        <w:tc>
          <w:tcPr>
            <w:tcW w:w="5571" w:type="dxa"/>
            <w:shd w:val="clear" w:color="auto" w:fill="auto"/>
          </w:tcPr>
          <w:p w14:paraId="338BD2A1" w14:textId="77777777" w:rsidR="00806D40" w:rsidRPr="005A46BC" w:rsidRDefault="00806D40">
            <w:pPr>
              <w:rPr>
                <w:rFonts w:ascii="Arial" w:hAnsi="Arial"/>
                <w:b/>
                <w:bCs/>
                <w:sz w:val="26"/>
                <w:szCs w:val="26"/>
                <w:rtl/>
              </w:rPr>
            </w:pPr>
          </w:p>
          <w:p w14:paraId="161C3472" w14:textId="77777777" w:rsidR="00806D40" w:rsidRPr="005A46BC" w:rsidRDefault="005A46BC">
            <w:pPr>
              <w:rPr>
                <w:b/>
                <w:bCs/>
                <w:sz w:val="26"/>
                <w:szCs w:val="26"/>
                <w:rtl/>
              </w:rPr>
            </w:pPr>
            <w:r w:rsidRPr="005A46BC">
              <w:rPr>
                <w:rFonts w:hint="cs"/>
                <w:rtl/>
              </w:rPr>
              <w:t>אלי אלדד אדרי</w:t>
            </w:r>
          </w:p>
        </w:tc>
      </w:tr>
      <w:tr w:rsidR="00806D40" w:rsidRPr="005A46BC" w14:paraId="6025C641" w14:textId="77777777">
        <w:trPr>
          <w:jc w:val="center"/>
        </w:trPr>
        <w:tc>
          <w:tcPr>
            <w:tcW w:w="8820" w:type="dxa"/>
            <w:gridSpan w:val="3"/>
            <w:shd w:val="clear" w:color="auto" w:fill="auto"/>
          </w:tcPr>
          <w:p w14:paraId="5CD48601" w14:textId="77777777" w:rsidR="00806D40" w:rsidRPr="005A46BC" w:rsidRDefault="00806D40">
            <w:pPr>
              <w:rPr>
                <w:rFonts w:ascii="Arial" w:hAnsi="Arial"/>
                <w:b/>
                <w:bCs/>
                <w:sz w:val="26"/>
                <w:szCs w:val="26"/>
                <w:rtl/>
              </w:rPr>
            </w:pPr>
          </w:p>
        </w:tc>
      </w:tr>
    </w:tbl>
    <w:p w14:paraId="2433890D" w14:textId="77777777" w:rsidR="00806D40" w:rsidRPr="005A46BC" w:rsidRDefault="00806D40">
      <w:pPr>
        <w:rPr>
          <w:rtl/>
        </w:rPr>
      </w:pPr>
    </w:p>
    <w:p w14:paraId="681D7E9A" w14:textId="77777777" w:rsidR="00806D40" w:rsidRPr="005A46BC" w:rsidRDefault="005A46BC">
      <w:pPr>
        <w:rPr>
          <w:rtl/>
        </w:rPr>
      </w:pPr>
      <w:r w:rsidRPr="005A46BC">
        <w:rPr>
          <w:rFonts w:hint="cs"/>
          <w:rtl/>
        </w:rPr>
        <w:t>נוכחים:</w:t>
      </w:r>
    </w:p>
    <w:p w14:paraId="4E8ED3B4" w14:textId="77777777" w:rsidR="00806D40" w:rsidRPr="005A46BC" w:rsidRDefault="005A46BC">
      <w:pPr>
        <w:rPr>
          <w:rtl/>
        </w:rPr>
      </w:pPr>
      <w:bookmarkStart w:id="2" w:name="FirstLawyer"/>
      <w:r w:rsidRPr="005A46BC">
        <w:rPr>
          <w:rFonts w:hint="cs"/>
          <w:rtl/>
        </w:rPr>
        <w:t>מטעם</w:t>
      </w:r>
      <w:bookmarkEnd w:id="2"/>
      <w:r w:rsidRPr="005A46BC">
        <w:rPr>
          <w:rFonts w:hint="cs"/>
          <w:rtl/>
        </w:rPr>
        <w:t xml:space="preserve"> המאשימה: עו"ד אוחיון</w:t>
      </w:r>
    </w:p>
    <w:p w14:paraId="585C8099" w14:textId="77777777" w:rsidR="00806D40" w:rsidRPr="005A46BC" w:rsidRDefault="005A46BC">
      <w:pPr>
        <w:rPr>
          <w:rtl/>
        </w:rPr>
      </w:pPr>
      <w:r w:rsidRPr="005A46BC">
        <w:rPr>
          <w:rFonts w:hint="cs"/>
          <w:rtl/>
        </w:rPr>
        <w:t>הנאשם: בעצמו</w:t>
      </w:r>
    </w:p>
    <w:p w14:paraId="6FBE501C" w14:textId="77777777" w:rsidR="00C20D8B" w:rsidRDefault="00C20D8B">
      <w:pPr>
        <w:rPr>
          <w:rtl/>
        </w:rPr>
      </w:pPr>
      <w:bookmarkStart w:id="3" w:name="LawTable"/>
      <w:bookmarkEnd w:id="3"/>
    </w:p>
    <w:p w14:paraId="73143CE7" w14:textId="77777777" w:rsidR="00C20D8B" w:rsidRPr="00C20D8B" w:rsidRDefault="00C20D8B" w:rsidP="00C20D8B">
      <w:pPr>
        <w:spacing w:after="120" w:line="240" w:lineRule="exact"/>
        <w:ind w:left="283" w:hanging="283"/>
        <w:jc w:val="both"/>
        <w:rPr>
          <w:rFonts w:ascii="FrankRuehl" w:hAnsi="FrankRuehl" w:cs="FrankRuehl"/>
          <w:rtl/>
        </w:rPr>
      </w:pPr>
    </w:p>
    <w:p w14:paraId="6A715823" w14:textId="77777777" w:rsidR="00C20D8B" w:rsidRPr="00C20D8B" w:rsidRDefault="00C20D8B" w:rsidP="00C20D8B">
      <w:pPr>
        <w:spacing w:after="120" w:line="240" w:lineRule="exact"/>
        <w:ind w:left="283" w:hanging="283"/>
        <w:jc w:val="both"/>
        <w:rPr>
          <w:rFonts w:ascii="FrankRuehl" w:hAnsi="FrankRuehl" w:cs="FrankRuehl"/>
          <w:rtl/>
        </w:rPr>
      </w:pPr>
      <w:r w:rsidRPr="00C20D8B">
        <w:rPr>
          <w:rFonts w:ascii="FrankRuehl" w:hAnsi="FrankRuehl" w:cs="FrankRuehl"/>
          <w:rtl/>
        </w:rPr>
        <w:t xml:space="preserve">חקיקה שאוזכרה: </w:t>
      </w:r>
    </w:p>
    <w:p w14:paraId="194F180D" w14:textId="77777777" w:rsidR="00C20D8B" w:rsidRPr="00C20D8B" w:rsidRDefault="00C20D8B" w:rsidP="00C20D8B">
      <w:pPr>
        <w:spacing w:after="120" w:line="240" w:lineRule="exact"/>
        <w:ind w:left="283" w:hanging="283"/>
        <w:jc w:val="both"/>
        <w:rPr>
          <w:rFonts w:ascii="FrankRuehl" w:hAnsi="FrankRuehl" w:cs="FrankRuehl"/>
          <w:rtl/>
        </w:rPr>
      </w:pPr>
      <w:hyperlink r:id="rId7" w:history="1">
        <w:r w:rsidRPr="00C20D8B">
          <w:rPr>
            <w:rFonts w:ascii="FrankRuehl" w:hAnsi="FrankRuehl" w:cs="FrankRuehl"/>
            <w:color w:val="0000FF"/>
            <w:u w:val="single"/>
            <w:rtl/>
          </w:rPr>
          <w:t>פקודת הסמים המסוכנים [נוסח חדש], תשל"ג-1973</w:t>
        </w:r>
      </w:hyperlink>
    </w:p>
    <w:p w14:paraId="0A5A5C54" w14:textId="77777777" w:rsidR="00C20D8B" w:rsidRPr="00C20D8B" w:rsidRDefault="00C20D8B" w:rsidP="00C20D8B">
      <w:pPr>
        <w:spacing w:after="120" w:line="240" w:lineRule="exact"/>
        <w:ind w:left="283" w:hanging="283"/>
        <w:jc w:val="both"/>
        <w:rPr>
          <w:rFonts w:ascii="FrankRuehl" w:hAnsi="FrankRuehl" w:cs="FrankRuehl"/>
          <w:rtl/>
        </w:rPr>
      </w:pPr>
      <w:hyperlink r:id="rId8" w:history="1">
        <w:r w:rsidRPr="00C20D8B">
          <w:rPr>
            <w:rFonts w:ascii="FrankRuehl" w:hAnsi="FrankRuehl" w:cs="FrankRuehl"/>
            <w:color w:val="0000FF"/>
            <w:u w:val="single"/>
            <w:rtl/>
          </w:rPr>
          <w:t>פקודת התעבורה [נוסח חדש]</w:t>
        </w:r>
      </w:hyperlink>
    </w:p>
    <w:p w14:paraId="4794BF6F" w14:textId="77777777" w:rsidR="00C20D8B" w:rsidRPr="00C20D8B" w:rsidRDefault="00C20D8B" w:rsidP="00C20D8B">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806D40" w14:paraId="722CB31B" w14:textId="77777777">
        <w:trPr>
          <w:jc w:val="center"/>
        </w:trPr>
        <w:tc>
          <w:tcPr>
            <w:tcW w:w="8820" w:type="dxa"/>
            <w:shd w:val="clear" w:color="auto" w:fill="auto"/>
          </w:tcPr>
          <w:p w14:paraId="3080D2A7" w14:textId="77777777" w:rsidR="005A46BC" w:rsidRPr="005A46BC" w:rsidRDefault="005A46BC" w:rsidP="005A46BC">
            <w:pPr>
              <w:bidi w:val="0"/>
              <w:jc w:val="center"/>
              <w:rPr>
                <w:rFonts w:ascii="Arial" w:hAnsi="Arial"/>
                <w:b/>
                <w:bCs/>
                <w:sz w:val="28"/>
                <w:szCs w:val="28"/>
                <w:u w:val="single"/>
                <w:rtl/>
              </w:rPr>
            </w:pPr>
            <w:bookmarkStart w:id="4" w:name="LawTable_End"/>
            <w:bookmarkStart w:id="5" w:name="PsakDin" w:colFirst="0" w:colLast="0"/>
            <w:bookmarkEnd w:id="0"/>
            <w:bookmarkEnd w:id="4"/>
            <w:r w:rsidRPr="005A46BC">
              <w:rPr>
                <w:rFonts w:ascii="Arial" w:hAnsi="Arial"/>
                <w:b/>
                <w:bCs/>
                <w:sz w:val="28"/>
                <w:szCs w:val="28"/>
                <w:u w:val="single"/>
                <w:rtl/>
              </w:rPr>
              <w:t>גזר דין</w:t>
            </w:r>
          </w:p>
          <w:p w14:paraId="591E1587" w14:textId="77777777" w:rsidR="00806D40" w:rsidRPr="005A46BC" w:rsidRDefault="00806D40" w:rsidP="005A46BC">
            <w:pPr>
              <w:bidi w:val="0"/>
              <w:jc w:val="center"/>
              <w:rPr>
                <w:rFonts w:ascii="Arial" w:hAnsi="Arial"/>
                <w:b/>
                <w:bCs/>
                <w:sz w:val="28"/>
                <w:szCs w:val="28"/>
                <w:u w:val="single"/>
              </w:rPr>
            </w:pPr>
          </w:p>
        </w:tc>
      </w:tr>
    </w:tbl>
    <w:bookmarkEnd w:id="5"/>
    <w:p w14:paraId="37E0158F" w14:textId="77777777" w:rsidR="00806D40" w:rsidRDefault="005A46BC">
      <w:pPr>
        <w:spacing w:line="360" w:lineRule="auto"/>
        <w:jc w:val="both"/>
        <w:rPr>
          <w:rFonts w:ascii="Arial" w:hAnsi="Arial"/>
          <w:b/>
          <w:bCs/>
          <w:u w:val="single"/>
          <w:rtl/>
        </w:rPr>
      </w:pPr>
      <w:r>
        <w:rPr>
          <w:rFonts w:ascii="Arial" w:hAnsi="Arial" w:hint="cs"/>
          <w:b/>
          <w:bCs/>
          <w:u w:val="single"/>
          <w:rtl/>
        </w:rPr>
        <w:t>מבוא</w:t>
      </w:r>
    </w:p>
    <w:p w14:paraId="2AA7E771" w14:textId="77777777" w:rsidR="00806D40" w:rsidRDefault="005A46BC">
      <w:pPr>
        <w:pStyle w:val="ListParagraph"/>
        <w:numPr>
          <w:ilvl w:val="0"/>
          <w:numId w:val="1"/>
        </w:numPr>
        <w:spacing w:line="360" w:lineRule="auto"/>
        <w:ind w:left="360"/>
        <w:jc w:val="both"/>
        <w:rPr>
          <w:rFonts w:ascii="Arial" w:hAnsi="Arial"/>
          <w:rtl/>
        </w:rPr>
      </w:pPr>
      <w:bookmarkStart w:id="6" w:name="NGCSBookmark"/>
      <w:bookmarkStart w:id="7" w:name="ABSTRACT_START"/>
      <w:bookmarkEnd w:id="6"/>
      <w:bookmarkEnd w:id="7"/>
      <w:r>
        <w:rPr>
          <w:rFonts w:ascii="Arial" w:hAnsi="Arial" w:hint="cs"/>
          <w:rtl/>
        </w:rPr>
        <w:t>הנאשם הורשע עפ"י הודאתו בעבירה של החזקת סמים מסוג חשיש במשקל 0.42 גרם נטו, לאחר שהסמים נתפסו ברכב בו נהג סמוך לחצות הלילה.</w:t>
      </w:r>
    </w:p>
    <w:p w14:paraId="0666A163" w14:textId="77777777" w:rsidR="00806D40" w:rsidRDefault="00806D40">
      <w:pPr>
        <w:spacing w:line="360" w:lineRule="auto"/>
        <w:jc w:val="both"/>
        <w:rPr>
          <w:rFonts w:ascii="Arial" w:hAnsi="Arial"/>
          <w:rtl/>
        </w:rPr>
      </w:pPr>
      <w:bookmarkStart w:id="8" w:name="ABSTRACT_END"/>
      <w:bookmarkEnd w:id="8"/>
    </w:p>
    <w:p w14:paraId="2A4A0372" w14:textId="77777777" w:rsidR="00806D40" w:rsidRDefault="005A46BC">
      <w:pPr>
        <w:spacing w:line="360" w:lineRule="auto"/>
        <w:jc w:val="both"/>
        <w:rPr>
          <w:rFonts w:ascii="Arial" w:hAnsi="Arial"/>
          <w:b/>
          <w:bCs/>
          <w:u w:val="single"/>
          <w:rtl/>
        </w:rPr>
      </w:pPr>
      <w:r>
        <w:rPr>
          <w:rFonts w:ascii="Arial" w:hAnsi="Arial" w:hint="cs"/>
          <w:b/>
          <w:bCs/>
          <w:u w:val="single"/>
          <w:rtl/>
        </w:rPr>
        <w:t>טיעוני הצדדים</w:t>
      </w:r>
    </w:p>
    <w:p w14:paraId="7472F3E5" w14:textId="77777777" w:rsidR="00806D40" w:rsidRDefault="005A46BC">
      <w:pPr>
        <w:pStyle w:val="ListParagraph"/>
        <w:numPr>
          <w:ilvl w:val="0"/>
          <w:numId w:val="1"/>
        </w:numPr>
        <w:spacing w:line="360" w:lineRule="auto"/>
        <w:ind w:left="360"/>
        <w:jc w:val="both"/>
        <w:rPr>
          <w:rFonts w:ascii="Arial" w:hAnsi="Arial"/>
          <w:rtl/>
        </w:rPr>
      </w:pPr>
      <w:r>
        <w:rPr>
          <w:rFonts w:ascii="Arial" w:hAnsi="Arial" w:hint="cs"/>
          <w:b/>
          <w:bCs/>
          <w:rtl/>
        </w:rPr>
        <w:t>התובע</w:t>
      </w:r>
      <w:r>
        <w:rPr>
          <w:rFonts w:ascii="Arial" w:hAnsi="Arial" w:hint="cs"/>
          <w:rtl/>
        </w:rPr>
        <w:t xml:space="preserve"> הגיש את גליון הרשעותיו הקודמות של הנאשם, והתייחס לעובדות כתב האישום. התובע בקש להטיל על הנאשם מאסר מותנה מרתיע, פסילת רשיון נהיגה בפועל נוכח הסיכון הפוטנציאלי ומשיקולי הרתעה וקנס כמסר הרתעתי וגמולי. </w:t>
      </w:r>
    </w:p>
    <w:p w14:paraId="79037CF8" w14:textId="77777777" w:rsidR="00806D40" w:rsidRDefault="00806D40">
      <w:pPr>
        <w:spacing w:line="360" w:lineRule="auto"/>
        <w:jc w:val="both"/>
        <w:rPr>
          <w:rFonts w:ascii="Arial" w:hAnsi="Arial"/>
          <w:rtl/>
        </w:rPr>
      </w:pPr>
    </w:p>
    <w:p w14:paraId="15DE1BC6" w14:textId="77777777" w:rsidR="00806D40" w:rsidRDefault="005A46BC">
      <w:pPr>
        <w:pStyle w:val="ListParagraph"/>
        <w:numPr>
          <w:ilvl w:val="0"/>
          <w:numId w:val="1"/>
        </w:numPr>
        <w:spacing w:line="360" w:lineRule="auto"/>
        <w:ind w:left="360"/>
        <w:jc w:val="both"/>
        <w:rPr>
          <w:rFonts w:ascii="Arial" w:hAnsi="Arial"/>
          <w:rtl/>
        </w:rPr>
      </w:pPr>
      <w:r>
        <w:rPr>
          <w:rFonts w:ascii="Arial" w:hAnsi="Arial" w:hint="cs"/>
          <w:b/>
          <w:bCs/>
          <w:rtl/>
        </w:rPr>
        <w:t>הסניגור</w:t>
      </w:r>
      <w:r>
        <w:rPr>
          <w:rFonts w:ascii="Arial" w:hAnsi="Arial" w:hint="cs"/>
          <w:rtl/>
        </w:rPr>
        <w:t xml:space="preserve"> טען שמעשי הנאשם גובלים בזוטי דברים, כי עברו התיישן ואין לתת לו משקל וכי כמות הסם קטנה מאד. לפני חודש נולדה לו בת, ומשאין חובת פסילה בקש להמנע מכך. עוד בקש להסתפק בקנס ובהתחייבות, ומכל מקום שכל עונש שייגזר יהלום את הכמות המזערית של הסם. </w:t>
      </w:r>
    </w:p>
    <w:p w14:paraId="04DC4124" w14:textId="77777777" w:rsidR="00806D40" w:rsidRDefault="00806D40">
      <w:pPr>
        <w:spacing w:line="360" w:lineRule="auto"/>
        <w:jc w:val="both"/>
        <w:rPr>
          <w:rFonts w:ascii="Arial" w:hAnsi="Arial"/>
          <w:rtl/>
        </w:rPr>
      </w:pPr>
    </w:p>
    <w:p w14:paraId="10BBBD20" w14:textId="77777777" w:rsidR="00806D40" w:rsidRDefault="005A46BC">
      <w:pPr>
        <w:spacing w:line="360" w:lineRule="auto"/>
        <w:jc w:val="both"/>
        <w:rPr>
          <w:rFonts w:ascii="Arial" w:hAnsi="Arial"/>
          <w:b/>
          <w:bCs/>
          <w:u w:val="single"/>
          <w:rtl/>
        </w:rPr>
      </w:pPr>
      <w:r>
        <w:rPr>
          <w:rFonts w:ascii="Arial" w:hAnsi="Arial" w:hint="cs"/>
          <w:b/>
          <w:bCs/>
          <w:u w:val="single"/>
          <w:rtl/>
        </w:rPr>
        <w:lastRenderedPageBreak/>
        <w:t>דיון והכרעה</w:t>
      </w:r>
    </w:p>
    <w:p w14:paraId="0D532D33" w14:textId="77777777" w:rsidR="00806D40" w:rsidRDefault="005A46BC">
      <w:pPr>
        <w:pStyle w:val="ListParagraph"/>
        <w:numPr>
          <w:ilvl w:val="0"/>
          <w:numId w:val="1"/>
        </w:numPr>
        <w:spacing w:line="360" w:lineRule="auto"/>
        <w:ind w:left="360"/>
        <w:jc w:val="both"/>
        <w:rPr>
          <w:rFonts w:ascii="Arial" w:hAnsi="Arial"/>
          <w:rtl/>
        </w:rPr>
      </w:pPr>
      <w:r>
        <w:rPr>
          <w:rFonts w:ascii="Arial" w:hAnsi="Arial" w:hint="cs"/>
          <w:rtl/>
        </w:rPr>
        <w:t xml:space="preserve">לא אוכל להסכים עם טענת הסניגור כי מעשי הנאשם גובלים בזוטי דברים. נסיעה בשעת לילה מאוחרת בכביש בינעירוני תוך החזקת סמים ברכב, איננה הולמת את הגדרת הסניגור.  </w:t>
      </w:r>
    </w:p>
    <w:p w14:paraId="4AF9B653" w14:textId="77777777" w:rsidR="00806D40" w:rsidRDefault="00806D40">
      <w:pPr>
        <w:spacing w:line="360" w:lineRule="auto"/>
        <w:jc w:val="both"/>
        <w:rPr>
          <w:rFonts w:ascii="Arial" w:hAnsi="Arial"/>
          <w:rtl/>
        </w:rPr>
      </w:pPr>
    </w:p>
    <w:p w14:paraId="68D45BDA" w14:textId="77777777" w:rsidR="00806D40" w:rsidRDefault="005A46BC">
      <w:pPr>
        <w:pStyle w:val="ListParagraph"/>
        <w:spacing w:line="360" w:lineRule="auto"/>
        <w:ind w:left="360"/>
        <w:jc w:val="both"/>
        <w:rPr>
          <w:rFonts w:ascii="Arial" w:hAnsi="Arial"/>
          <w:rtl/>
        </w:rPr>
      </w:pPr>
      <w:r>
        <w:rPr>
          <w:rFonts w:ascii="Arial" w:hAnsi="Arial" w:hint="cs"/>
          <w:rtl/>
        </w:rPr>
        <w:t xml:space="preserve">הסמים הם נגע שפשה בחברתנו, על כל המשמעויות של הפגיעה בערכים החברתיים הנלוות לכך, וכך יש להתייחס אליו. יחד עם זאת, אקח בחשבון בעת קביעת מתחם הענישה את כמות הסם הקטנה ואת סוגו. </w:t>
      </w:r>
    </w:p>
    <w:p w14:paraId="35D4A1E6" w14:textId="77777777" w:rsidR="00806D40" w:rsidRDefault="00806D40">
      <w:pPr>
        <w:spacing w:line="360" w:lineRule="auto"/>
        <w:jc w:val="both"/>
        <w:rPr>
          <w:rtl/>
        </w:rPr>
      </w:pPr>
    </w:p>
    <w:p w14:paraId="3953B704" w14:textId="77777777" w:rsidR="00806D40" w:rsidRDefault="005A46BC">
      <w:pPr>
        <w:pStyle w:val="ListParagraph"/>
        <w:numPr>
          <w:ilvl w:val="0"/>
          <w:numId w:val="1"/>
        </w:numPr>
        <w:spacing w:line="360" w:lineRule="auto"/>
        <w:ind w:left="360"/>
        <w:jc w:val="both"/>
        <w:rPr>
          <w:rtl/>
        </w:rPr>
      </w:pPr>
      <w:r>
        <w:rPr>
          <w:rFonts w:hint="cs"/>
          <w:rtl/>
        </w:rPr>
        <w:t xml:space="preserve">בהתחשב בחומרת המעשה, בנסיבותיו החזקת כמות קטנה של חשיש ברכב בו נהג הנאשם בשעת לילה מאוחרת, במידת אשמו של הנאשם, בערך החברתי שנפגע, במידת הפגיעה בו ובמדיניות הענישה הנוהגת, מתחם העונש ההולם למעשה העבירה שביצע הנאשם יכלול פסילה בפועל  לתקופה שבין אי הטלת פסילה כלל לבין 10 חודשי פסילה וקנס שינוע בין 500 ₪ לבין 3,000 ₪. </w:t>
      </w:r>
    </w:p>
    <w:p w14:paraId="5BA0F2B6" w14:textId="77777777" w:rsidR="00806D40" w:rsidRDefault="00806D40">
      <w:pPr>
        <w:jc w:val="both"/>
        <w:rPr>
          <w:rtl/>
        </w:rPr>
      </w:pPr>
    </w:p>
    <w:p w14:paraId="488C1D4A" w14:textId="77777777" w:rsidR="00806D40" w:rsidRDefault="005A46BC">
      <w:pPr>
        <w:pStyle w:val="ListParagraph"/>
        <w:numPr>
          <w:ilvl w:val="0"/>
          <w:numId w:val="1"/>
        </w:numPr>
        <w:spacing w:line="360" w:lineRule="auto"/>
        <w:ind w:left="360"/>
        <w:jc w:val="both"/>
        <w:rPr>
          <w:rtl/>
        </w:rPr>
      </w:pPr>
      <w:r>
        <w:rPr>
          <w:rFonts w:hint="cs"/>
          <w:rtl/>
        </w:rPr>
        <w:t>לקחתי בחשבון את העובדה שהרשעותיו הקודמות של הנאשם בפליליים התיישנו, ועל כן משקלן אפסי. הרשעות קודמות בתעבורה לא הוגשו לעיוני, ועל כן אניח כי אין כאלה. עוד התחשבתי בהודאתו המגלמת חסכון בזמן שיפוטי לצד נטילת אחריות ובנסיבותיו האישיות.</w:t>
      </w:r>
    </w:p>
    <w:p w14:paraId="424C6C4F" w14:textId="77777777" w:rsidR="00806D40" w:rsidRDefault="00806D40">
      <w:pPr>
        <w:spacing w:line="360" w:lineRule="auto"/>
        <w:jc w:val="both"/>
        <w:rPr>
          <w:rtl/>
        </w:rPr>
      </w:pPr>
    </w:p>
    <w:p w14:paraId="08E3F708" w14:textId="77777777" w:rsidR="00806D40" w:rsidRDefault="005A46BC">
      <w:pPr>
        <w:pStyle w:val="ListParagraph"/>
        <w:numPr>
          <w:ilvl w:val="0"/>
          <w:numId w:val="1"/>
        </w:numPr>
        <w:spacing w:line="360" w:lineRule="auto"/>
        <w:ind w:left="360"/>
        <w:jc w:val="both"/>
        <w:rPr>
          <w:rtl/>
        </w:rPr>
      </w:pPr>
      <w:r>
        <w:rPr>
          <w:rFonts w:hint="cs"/>
          <w:rtl/>
        </w:rPr>
        <w:t>בשקלול כלל האינטרסים, אני סבורה שניתן להסתפק בענייננו בענישה צופה פני עתיד וקנס בשליש התחתון של המתחם.</w:t>
      </w:r>
    </w:p>
    <w:p w14:paraId="2C88A9B3" w14:textId="77777777" w:rsidR="00806D40" w:rsidRDefault="00806D40">
      <w:pPr>
        <w:spacing w:line="360" w:lineRule="auto"/>
        <w:jc w:val="both"/>
        <w:rPr>
          <w:rtl/>
        </w:rPr>
      </w:pPr>
    </w:p>
    <w:p w14:paraId="11E30FEC" w14:textId="77777777" w:rsidR="00806D40" w:rsidRDefault="005A46BC">
      <w:pPr>
        <w:pStyle w:val="ListParagraph"/>
        <w:numPr>
          <w:ilvl w:val="0"/>
          <w:numId w:val="1"/>
        </w:numPr>
        <w:spacing w:line="360" w:lineRule="auto"/>
        <w:ind w:left="360"/>
        <w:jc w:val="both"/>
      </w:pPr>
      <w:r>
        <w:rPr>
          <w:rFonts w:hint="cs"/>
          <w:rtl/>
        </w:rPr>
        <w:t>לאחר ששקלתי את נסיבות המקרה ואת טיעוני הצדדים אני מטילה בזה על הנאשם את העונשים הבאים:</w:t>
      </w:r>
    </w:p>
    <w:p w14:paraId="4EE686AF" w14:textId="77777777" w:rsidR="00806D40" w:rsidRDefault="005A46BC">
      <w:pPr>
        <w:spacing w:line="360" w:lineRule="auto"/>
        <w:jc w:val="both"/>
      </w:pPr>
      <w:r>
        <w:rPr>
          <w:rFonts w:hint="cs"/>
          <w:rtl/>
        </w:rPr>
        <w:t xml:space="preserve"> </w:t>
      </w:r>
    </w:p>
    <w:p w14:paraId="7CC9B905" w14:textId="77777777" w:rsidR="00806D40" w:rsidRDefault="005A46BC">
      <w:pPr>
        <w:pStyle w:val="ListParagraph"/>
        <w:numPr>
          <w:ilvl w:val="0"/>
          <w:numId w:val="2"/>
        </w:numPr>
        <w:spacing w:line="360" w:lineRule="auto"/>
        <w:jc w:val="both"/>
      </w:pPr>
      <w:r>
        <w:rPr>
          <w:rFonts w:hint="cs"/>
          <w:rtl/>
        </w:rPr>
        <w:t xml:space="preserve">אני גוזרת על הנאשם 4 חודשי מאסר על תנאי למשך שנתיים והתנאי הוא שלא יעבור כל עבירה על </w:t>
      </w:r>
      <w:hyperlink r:id="rId9" w:history="1">
        <w:r w:rsidRPr="005A46BC">
          <w:rPr>
            <w:color w:val="0000FF"/>
            <w:u w:val="single"/>
            <w:rtl/>
          </w:rPr>
          <w:t>פקודת הסמים המסוכנים</w:t>
        </w:r>
      </w:hyperlink>
      <w:r>
        <w:rPr>
          <w:rFonts w:hint="cs"/>
          <w:rtl/>
        </w:rPr>
        <w:t>.</w:t>
      </w:r>
    </w:p>
    <w:p w14:paraId="61CBDFAA" w14:textId="77777777" w:rsidR="00806D40" w:rsidRDefault="00806D40">
      <w:pPr>
        <w:spacing w:line="360" w:lineRule="auto"/>
        <w:jc w:val="both"/>
        <w:rPr>
          <w:rtl/>
        </w:rPr>
      </w:pPr>
    </w:p>
    <w:p w14:paraId="6550577E" w14:textId="77777777" w:rsidR="00806D40" w:rsidRDefault="005A46BC">
      <w:pPr>
        <w:pStyle w:val="ListParagraph"/>
        <w:numPr>
          <w:ilvl w:val="0"/>
          <w:numId w:val="2"/>
        </w:numPr>
        <w:spacing w:line="360" w:lineRule="auto"/>
        <w:jc w:val="both"/>
      </w:pPr>
      <w:r>
        <w:rPr>
          <w:rFonts w:hint="cs"/>
          <w:rtl/>
        </w:rPr>
        <w:t>אני פוסלת את הנאשם מלקבל או מלהחזיק רישיון נהיגה על תנאי לתקופה של 3 חודשים למשך  שנתיים, התנאי יחול על כל עבירה מפקודת הסמים או על עבירה מהתוספת הראשונה או השנייה ל</w:t>
      </w:r>
      <w:hyperlink r:id="rId10" w:history="1">
        <w:r w:rsidRPr="005A46BC">
          <w:rPr>
            <w:color w:val="0000FF"/>
            <w:u w:val="single"/>
            <w:rtl/>
          </w:rPr>
          <w:t>פקודת התעבורה</w:t>
        </w:r>
      </w:hyperlink>
      <w:r>
        <w:rPr>
          <w:rFonts w:hint="cs"/>
          <w:rtl/>
        </w:rPr>
        <w:t xml:space="preserve">. </w:t>
      </w:r>
    </w:p>
    <w:p w14:paraId="56397BB3" w14:textId="77777777" w:rsidR="00806D40" w:rsidRDefault="00806D40">
      <w:pPr>
        <w:spacing w:line="360" w:lineRule="auto"/>
        <w:jc w:val="both"/>
        <w:rPr>
          <w:rtl/>
        </w:rPr>
      </w:pPr>
    </w:p>
    <w:p w14:paraId="764B76B0" w14:textId="77777777" w:rsidR="00806D40" w:rsidRDefault="005A46BC">
      <w:pPr>
        <w:pStyle w:val="ListParagraph"/>
        <w:numPr>
          <w:ilvl w:val="0"/>
          <w:numId w:val="2"/>
        </w:numPr>
        <w:spacing w:line="360" w:lineRule="auto"/>
        <w:jc w:val="both"/>
        <w:rPr>
          <w:rtl/>
        </w:rPr>
      </w:pPr>
      <w:r>
        <w:rPr>
          <w:rFonts w:hint="cs"/>
          <w:rtl/>
        </w:rPr>
        <w:t xml:space="preserve">אני דנה את הנאשם לתשלום קנס בסך 1,000  ₪  או 10 ימי מאסר שישא  בנוסף לכל מאסר אחר שהוטל עליו. </w:t>
      </w:r>
    </w:p>
    <w:p w14:paraId="48153705" w14:textId="77777777" w:rsidR="00806D40" w:rsidRDefault="005A46BC">
      <w:pPr>
        <w:pStyle w:val="ListParagraph"/>
        <w:numPr>
          <w:ilvl w:val="0"/>
          <w:numId w:val="2"/>
        </w:numPr>
        <w:spacing w:line="360" w:lineRule="auto"/>
        <w:jc w:val="both"/>
        <w:rPr>
          <w:rtl/>
        </w:rPr>
      </w:pPr>
      <w:r>
        <w:rPr>
          <w:rFonts w:hint="cs"/>
          <w:rtl/>
        </w:rPr>
        <w:t xml:space="preserve">הקנס ישולם ב-2 תשלומים שווים ורצופים החל מיום 15.8.16 ואילך. איחור בתשלום אחד יעמיד את הקרן לפירעון מידי. </w:t>
      </w:r>
    </w:p>
    <w:p w14:paraId="70ECA909" w14:textId="77777777" w:rsidR="00806D40" w:rsidRDefault="005A46BC">
      <w:pPr>
        <w:spacing w:line="360" w:lineRule="auto"/>
        <w:jc w:val="both"/>
        <w:rPr>
          <w:rtl/>
        </w:rPr>
      </w:pPr>
      <w:r>
        <w:rPr>
          <w:rFonts w:hint="cs"/>
          <w:rtl/>
        </w:rPr>
        <w:t xml:space="preserve"> </w:t>
      </w:r>
    </w:p>
    <w:p w14:paraId="421D9F87" w14:textId="77777777" w:rsidR="00806D40" w:rsidRDefault="005A46BC">
      <w:pPr>
        <w:spacing w:line="360" w:lineRule="auto"/>
        <w:jc w:val="both"/>
        <w:rPr>
          <w:rtl/>
        </w:rPr>
      </w:pPr>
      <w:r>
        <w:rPr>
          <w:rFonts w:hint="cs"/>
          <w:rtl/>
        </w:rPr>
        <w:t xml:space="preserve">המוצג הכולל סמים </w:t>
      </w:r>
      <w:r>
        <w:rPr>
          <w:rtl/>
        </w:rPr>
        <w:t>–</w:t>
      </w:r>
      <w:r>
        <w:rPr>
          <w:rFonts w:hint="cs"/>
          <w:rtl/>
        </w:rPr>
        <w:t xml:space="preserve"> יושמד.</w:t>
      </w:r>
    </w:p>
    <w:p w14:paraId="057DCF32" w14:textId="77777777" w:rsidR="00806D40" w:rsidRPr="005A46BC" w:rsidRDefault="005A46BC">
      <w:pPr>
        <w:spacing w:line="360" w:lineRule="auto"/>
        <w:jc w:val="both"/>
        <w:rPr>
          <w:color w:val="FFFFFF"/>
          <w:sz w:val="2"/>
          <w:szCs w:val="2"/>
          <w:rtl/>
        </w:rPr>
      </w:pPr>
      <w:r w:rsidRPr="005A46BC">
        <w:rPr>
          <w:color w:val="FFFFFF"/>
          <w:sz w:val="2"/>
          <w:szCs w:val="2"/>
          <w:rtl/>
        </w:rPr>
        <w:lastRenderedPageBreak/>
        <w:t>5129371</w:t>
      </w:r>
    </w:p>
    <w:p w14:paraId="468259C6" w14:textId="77777777" w:rsidR="00806D40" w:rsidRDefault="005A46BC">
      <w:pPr>
        <w:spacing w:line="360" w:lineRule="auto"/>
        <w:jc w:val="both"/>
        <w:rPr>
          <w:b/>
          <w:bCs/>
          <w:u w:val="single"/>
          <w:rtl/>
        </w:rPr>
      </w:pPr>
      <w:r w:rsidRPr="005A46BC">
        <w:rPr>
          <w:b/>
          <w:bCs/>
          <w:color w:val="FFFFFF"/>
          <w:sz w:val="2"/>
          <w:szCs w:val="2"/>
          <w:u w:val="single"/>
          <w:rtl/>
        </w:rPr>
        <w:t>54678313</w:t>
      </w:r>
      <w:r>
        <w:rPr>
          <w:rFonts w:hint="cs"/>
          <w:b/>
          <w:bCs/>
          <w:u w:val="single"/>
          <w:rtl/>
        </w:rPr>
        <w:t xml:space="preserve">זכות ערעור בבית משפט המחוזי בנצרת תוך 45 יום מהיום. </w:t>
      </w:r>
    </w:p>
    <w:p w14:paraId="11BAEC01" w14:textId="77777777" w:rsidR="00806D40" w:rsidRDefault="00806D40">
      <w:pPr>
        <w:spacing w:line="360" w:lineRule="auto"/>
        <w:jc w:val="both"/>
        <w:rPr>
          <w:rFonts w:ascii="Arial" w:hAnsi="Arial"/>
          <w:rtl/>
        </w:rPr>
      </w:pPr>
    </w:p>
    <w:p w14:paraId="4AFCAB7E" w14:textId="77777777" w:rsidR="00806D40" w:rsidRDefault="005A46BC">
      <w:pPr>
        <w:tabs>
          <w:tab w:val="left" w:pos="2553"/>
        </w:tabs>
        <w:ind w:left="5040"/>
        <w:rPr>
          <w:rtl/>
        </w:rPr>
      </w:pPr>
      <w:r>
        <w:rPr>
          <w:rFonts w:ascii="Arial" w:hAnsi="Arial"/>
          <w:rtl/>
        </w:rPr>
        <w:t xml:space="preserve">ניתנה היום, י"ג תמוז תשע"ו, 19 יולי 2016, בהעדר הצדדים. </w:t>
      </w:r>
      <w:r>
        <w:rPr>
          <w:rFonts w:hint="cs"/>
          <w:rtl/>
        </w:rPr>
        <w:t xml:space="preserve">     </w:t>
      </w:r>
    </w:p>
    <w:p w14:paraId="5A4BE567" w14:textId="77777777" w:rsidR="00806D40" w:rsidRDefault="005A46BC">
      <w:pPr>
        <w:tabs>
          <w:tab w:val="left" w:pos="2553"/>
        </w:tabs>
      </w:pPr>
      <w:r>
        <w:rPr>
          <w:rFonts w:hint="cs"/>
          <w:rtl/>
        </w:rPr>
        <w:tab/>
      </w:r>
      <w:r>
        <w:rPr>
          <w:rFonts w:hint="cs"/>
          <w:rtl/>
        </w:rPr>
        <w:tab/>
      </w:r>
      <w:r>
        <w:rPr>
          <w:rFonts w:hint="cs"/>
          <w:rtl/>
        </w:rPr>
        <w:tab/>
      </w:r>
      <w:r>
        <w:rPr>
          <w:rFonts w:hint="cs"/>
          <w:rtl/>
        </w:rPr>
        <w:tab/>
        <w:t xml:space="preserve">        </w:t>
      </w:r>
    </w:p>
    <w:p w14:paraId="2CAC7816" w14:textId="77777777" w:rsidR="00806D40" w:rsidRDefault="00806D40">
      <w:pPr>
        <w:tabs>
          <w:tab w:val="left" w:pos="2553"/>
        </w:tabs>
        <w:rPr>
          <w:rFonts w:ascii="Arial" w:hAnsi="Arial"/>
          <w:rtl/>
        </w:rPr>
      </w:pPr>
    </w:p>
    <w:p w14:paraId="6F87AB65" w14:textId="77777777" w:rsidR="005A46BC" w:rsidRPr="005A46BC" w:rsidRDefault="005A46BC" w:rsidP="005A46BC">
      <w:pPr>
        <w:keepNext/>
        <w:rPr>
          <w:rFonts w:ascii="David" w:hAnsi="David"/>
          <w:color w:val="000000"/>
          <w:sz w:val="22"/>
          <w:szCs w:val="22"/>
          <w:rtl/>
        </w:rPr>
      </w:pPr>
    </w:p>
    <w:p w14:paraId="42C745DD" w14:textId="77777777" w:rsidR="005A46BC" w:rsidRPr="005A46BC" w:rsidRDefault="005A46BC" w:rsidP="005A46BC">
      <w:pPr>
        <w:keepNext/>
        <w:rPr>
          <w:rFonts w:ascii="David" w:hAnsi="David"/>
          <w:color w:val="000000"/>
          <w:sz w:val="22"/>
          <w:szCs w:val="22"/>
          <w:rtl/>
        </w:rPr>
      </w:pPr>
      <w:r w:rsidRPr="005A46BC">
        <w:rPr>
          <w:rFonts w:ascii="David" w:hAnsi="David"/>
          <w:color w:val="000000"/>
          <w:sz w:val="22"/>
          <w:szCs w:val="22"/>
          <w:rtl/>
        </w:rPr>
        <w:t>דלית שרון גרין 54678313</w:t>
      </w:r>
    </w:p>
    <w:p w14:paraId="71D01902" w14:textId="77777777" w:rsidR="005A46BC" w:rsidRDefault="005A46BC" w:rsidP="005A46BC">
      <w:r w:rsidRPr="005A46BC">
        <w:rPr>
          <w:color w:val="000000"/>
          <w:rtl/>
        </w:rPr>
        <w:t>נוסח מסמך זה כפוף לשינויי ניסוח ועריכה</w:t>
      </w:r>
    </w:p>
    <w:p w14:paraId="575C46E1" w14:textId="77777777" w:rsidR="005A46BC" w:rsidRDefault="005A46BC" w:rsidP="005A46BC">
      <w:pPr>
        <w:rPr>
          <w:rtl/>
        </w:rPr>
      </w:pPr>
    </w:p>
    <w:p w14:paraId="0A1807F9" w14:textId="77777777" w:rsidR="005A46BC" w:rsidRDefault="005A46BC" w:rsidP="005A46BC">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56F693F4" w14:textId="77777777" w:rsidR="00806D40" w:rsidRPr="005A46BC" w:rsidRDefault="00806D40" w:rsidP="005A46BC">
      <w:pPr>
        <w:jc w:val="center"/>
        <w:rPr>
          <w:color w:val="0000FF"/>
          <w:u w:val="single"/>
        </w:rPr>
      </w:pPr>
    </w:p>
    <w:sectPr w:rsidR="00806D40" w:rsidRPr="005A46BC" w:rsidSect="005A46BC">
      <w:headerReference w:type="even" r:id="rId12"/>
      <w:headerReference w:type="default" r:id="rId13"/>
      <w:footerReference w:type="even" r:id="rId14"/>
      <w:footerReference w:type="default" r:id="rId15"/>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277EF" w14:textId="77777777" w:rsidR="002F24C8" w:rsidRDefault="002F24C8">
      <w:r>
        <w:separator/>
      </w:r>
    </w:p>
  </w:endnote>
  <w:endnote w:type="continuationSeparator" w:id="0">
    <w:p w14:paraId="2A1B7530" w14:textId="77777777" w:rsidR="002F24C8" w:rsidRDefault="002F2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7444" w14:textId="77777777" w:rsidR="002F24C8" w:rsidRDefault="002F24C8" w:rsidP="005A46B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791810" w14:textId="77777777" w:rsidR="002F24C8" w:rsidRPr="005A46BC" w:rsidRDefault="002F24C8" w:rsidP="005A46BC">
    <w:pPr>
      <w:pStyle w:val="a5"/>
      <w:pBdr>
        <w:top w:val="single" w:sz="4" w:space="1" w:color="auto"/>
        <w:between w:val="single" w:sz="4" w:space="0" w:color="auto"/>
      </w:pBdr>
      <w:spacing w:after="60"/>
      <w:jc w:val="center"/>
      <w:rPr>
        <w:rFonts w:ascii="FrankRuehl" w:hAnsi="FrankRuehl" w:cs="FrankRuehl"/>
        <w:color w:val="000000"/>
      </w:rPr>
    </w:pPr>
    <w:r w:rsidRPr="005A46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79FCF" w14:textId="77777777" w:rsidR="002F24C8" w:rsidRDefault="002F24C8" w:rsidP="005A46BC">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C928C6">
      <w:rPr>
        <w:rStyle w:val="a6"/>
        <w:rFonts w:ascii="FrankRuehl" w:hAnsi="FrankRuehl" w:cs="FrankRuehl"/>
        <w:noProof/>
        <w:rtl/>
      </w:rPr>
      <w:t>1</w:t>
    </w:r>
    <w:r>
      <w:rPr>
        <w:rStyle w:val="a6"/>
        <w:rFonts w:ascii="FrankRuehl" w:hAnsi="FrankRuehl" w:cs="FrankRuehl"/>
        <w:rtl/>
      </w:rPr>
      <w:fldChar w:fldCharType="end"/>
    </w:r>
  </w:p>
  <w:p w14:paraId="430ABF7C" w14:textId="77777777" w:rsidR="002F24C8" w:rsidRPr="005A46BC" w:rsidRDefault="002F24C8" w:rsidP="005A46BC">
    <w:pPr>
      <w:pStyle w:val="a5"/>
      <w:pBdr>
        <w:top w:val="single" w:sz="4" w:space="1" w:color="auto"/>
        <w:between w:val="single" w:sz="4" w:space="0" w:color="auto"/>
      </w:pBdr>
      <w:spacing w:after="60"/>
      <w:jc w:val="center"/>
      <w:rPr>
        <w:rStyle w:val="a6"/>
        <w:rFonts w:ascii="FrankRuehl" w:hAnsi="FrankRuehl" w:cs="FrankRuehl" w:hint="cs"/>
        <w:color w:val="000000"/>
      </w:rPr>
    </w:pPr>
    <w:r w:rsidRPr="005A46BC">
      <w:rPr>
        <w:rStyle w:val="a6"/>
        <w:rFonts w:ascii="FrankRuehl" w:hAnsi="FrankRuehl" w:cs="FrankRuehl" w:hint="cs"/>
        <w:color w:val="000000"/>
      </w:rPr>
      <w:pict w14:anchorId="0A5F5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FF033" w14:textId="77777777" w:rsidR="002F24C8" w:rsidRDefault="002F24C8">
      <w:r>
        <w:separator/>
      </w:r>
    </w:p>
  </w:footnote>
  <w:footnote w:type="continuationSeparator" w:id="0">
    <w:p w14:paraId="4C99868B" w14:textId="77777777" w:rsidR="002F24C8" w:rsidRDefault="002F2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D305" w14:textId="77777777" w:rsidR="002F24C8" w:rsidRPr="005A46BC" w:rsidRDefault="002F24C8" w:rsidP="005A46B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1509-03-16</w:t>
    </w:r>
    <w:r>
      <w:rPr>
        <w:rFonts w:ascii="David" w:hAnsi="David"/>
        <w:color w:val="000000"/>
        <w:sz w:val="22"/>
        <w:szCs w:val="22"/>
        <w:rtl/>
      </w:rPr>
      <w:tab/>
      <w:t xml:space="preserve"> מדינת ישראל נ' אלי אלדד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56E4C" w14:textId="77777777" w:rsidR="002F24C8" w:rsidRPr="005A46BC" w:rsidRDefault="002F24C8" w:rsidP="005A46B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1509-03-16</w:t>
    </w:r>
    <w:r>
      <w:rPr>
        <w:rFonts w:ascii="David" w:hAnsi="David"/>
        <w:color w:val="000000"/>
        <w:sz w:val="22"/>
        <w:szCs w:val="22"/>
        <w:rtl/>
      </w:rPr>
      <w:tab/>
      <w:t xml:space="preserve"> מדינת ישראל נ' אלי אלדד אדרי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80463"/>
    <w:multiLevelType w:val="hybridMultilevel"/>
    <w:tmpl w:val="FD10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F6A09"/>
    <w:multiLevelType w:val="hybridMultilevel"/>
    <w:tmpl w:val="4D38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347941">
    <w:abstractNumId w:val="1"/>
  </w:num>
  <w:num w:numId="2" w16cid:durableId="33098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6D40"/>
    <w:rsid w:val="002B0CDD"/>
    <w:rsid w:val="002F24C8"/>
    <w:rsid w:val="005A46BC"/>
    <w:rsid w:val="006824D2"/>
    <w:rsid w:val="00806D40"/>
    <w:rsid w:val="009D0F14"/>
    <w:rsid w:val="00C20D8B"/>
    <w:rsid w:val="00C928C6"/>
    <w:rsid w:val="00F135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FC067F"/>
  <w15:chartTrackingRefBased/>
  <w15:docId w15:val="{17EA8F17-FE64-4339-8BDB-EF3B4BE8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6D4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06D40"/>
  </w:style>
  <w:style w:type="paragraph" w:styleId="a4">
    <w:name w:val="header"/>
    <w:basedOn w:val="a"/>
    <w:rsid w:val="00806D40"/>
    <w:pPr>
      <w:tabs>
        <w:tab w:val="center" w:pos="4153"/>
        <w:tab w:val="right" w:pos="8306"/>
      </w:tabs>
    </w:pPr>
  </w:style>
  <w:style w:type="paragraph" w:styleId="a5">
    <w:name w:val="footer"/>
    <w:basedOn w:val="a"/>
    <w:rsid w:val="00806D40"/>
    <w:pPr>
      <w:tabs>
        <w:tab w:val="center" w:pos="4153"/>
        <w:tab w:val="right" w:pos="8306"/>
      </w:tabs>
    </w:pPr>
  </w:style>
  <w:style w:type="character" w:styleId="a6">
    <w:name w:val="page number"/>
    <w:rsid w:val="00806D40"/>
    <w:rPr>
      <w:noProof w:val="0"/>
    </w:rPr>
  </w:style>
  <w:style w:type="paragraph" w:customStyle="1" w:styleId="ListParagraph">
    <w:name w:val="List Paragraph"/>
    <w:basedOn w:val="a"/>
    <w:rsid w:val="00806D40"/>
    <w:pPr>
      <w:ind w:left="720"/>
      <w:contextualSpacing/>
    </w:pPr>
  </w:style>
  <w:style w:type="character" w:styleId="Hyperlink">
    <w:name w:val="Hyperlink"/>
    <w:basedOn w:val="a0"/>
    <w:rsid w:val="005A4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5227"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5227"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3135</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8323175</vt:i4>
      </vt:variant>
      <vt:variant>
        <vt:i4>9</vt:i4>
      </vt:variant>
      <vt:variant>
        <vt:i4>0</vt:i4>
      </vt:variant>
      <vt:variant>
        <vt:i4>5</vt:i4>
      </vt:variant>
      <vt:variant>
        <vt:lpwstr>http://www.nevo.co.il/law/5227</vt:lpwstr>
      </vt:variant>
      <vt:variant>
        <vt:lpwstr/>
      </vt:variant>
      <vt:variant>
        <vt:i4>8257637</vt:i4>
      </vt:variant>
      <vt:variant>
        <vt:i4>6</vt:i4>
      </vt:variant>
      <vt:variant>
        <vt:i4>0</vt:i4>
      </vt:variant>
      <vt:variant>
        <vt:i4>5</vt:i4>
      </vt:variant>
      <vt:variant>
        <vt:lpwstr>http://www.nevo.co.il/law/4216</vt:lpwstr>
      </vt:variant>
      <vt:variant>
        <vt:lpwstr/>
      </vt:variant>
      <vt:variant>
        <vt:i4>8323175</vt:i4>
      </vt:variant>
      <vt:variant>
        <vt:i4>3</vt:i4>
      </vt:variant>
      <vt:variant>
        <vt:i4>0</vt:i4>
      </vt:variant>
      <vt:variant>
        <vt:i4>5</vt:i4>
      </vt:variant>
      <vt:variant>
        <vt:lpwstr>http://www.nevo.co.il/law/5227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2025-04-22T23:00:00Z</dcterms:created>
  <dcterms:modified xsi:type="dcterms:W3CDTF">2025-04-22T23:00:00Z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1509</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אלי אלדד אדרי</vt:lpwstr>
  </property>
  <property fmtid="{D5CDD505-2E9C-101B-9397-08002B2CF9AE}" pid="10" name="LAWYER">
    <vt:lpwstr>אוחיון</vt:lpwstr>
  </property>
  <property fmtid="{D5CDD505-2E9C-101B-9397-08002B2CF9AE}" pid="11" name="JUDGE">
    <vt:lpwstr>דלית שרון גרין</vt:lpwstr>
  </property>
  <property fmtid="{D5CDD505-2E9C-101B-9397-08002B2CF9AE}" pid="12" name="CITY">
    <vt:lpwstr>נצ'</vt:lpwstr>
  </property>
  <property fmtid="{D5CDD505-2E9C-101B-9397-08002B2CF9AE}" pid="13" name="DATE">
    <vt:lpwstr>20160719</vt:lpwstr>
  </property>
  <property fmtid="{D5CDD505-2E9C-101B-9397-08002B2CF9AE}" pid="14" name="TYPE_N_DATE">
    <vt:lpwstr>38020160719</vt:lpwstr>
  </property>
  <property fmtid="{D5CDD505-2E9C-101B-9397-08002B2CF9AE}" pid="15" name="WORDNUMPAGES">
    <vt:lpwstr>3</vt:lpwstr>
  </property>
  <property fmtid="{D5CDD505-2E9C-101B-9397-08002B2CF9AE}" pid="16" name="TYPE_ABS_DATE">
    <vt:lpwstr>380020160719</vt:lpwstr>
  </property>
  <property fmtid="{D5CDD505-2E9C-101B-9397-08002B2CF9AE}" pid="17" name="ISABSTRACT">
    <vt:lpwstr>Y</vt:lpwstr>
  </property>
  <property fmtid="{D5CDD505-2E9C-101B-9397-08002B2CF9AE}" pid="18" name="LAWLISTTMP1">
    <vt:lpwstr>4216</vt:lpwstr>
  </property>
  <property fmtid="{D5CDD505-2E9C-101B-9397-08002B2CF9AE}" pid="19" name="LAWLISTTMP2">
    <vt:lpwstr>5227</vt:lpwstr>
  </property>
</Properties>
</file>