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8161C" w:rsidRPr="0053089A" w14:paraId="633F820B" w14:textId="77777777" w:rsidTr="00DF3B73">
        <w:trPr>
          <w:trHeight w:hRule="exact" w:val="418"/>
          <w:jc w:val="center"/>
        </w:trPr>
        <w:tc>
          <w:tcPr>
            <w:tcW w:w="8721" w:type="dxa"/>
            <w:gridSpan w:val="2"/>
          </w:tcPr>
          <w:p w14:paraId="6098DC12" w14:textId="77777777" w:rsidR="0098161C" w:rsidRPr="0053089A" w:rsidRDefault="0098161C" w:rsidP="00F66BB4">
            <w:pPr>
              <w:pStyle w:val="a3"/>
              <w:jc w:val="center"/>
              <w:rPr>
                <w:rFonts w:ascii="Tahoma" w:hAnsi="Tahoma" w:cs="Tahoma"/>
                <w:color w:val="000080"/>
                <w:rtl/>
              </w:rPr>
            </w:pPr>
            <w:bookmarkStart w:id="0" w:name="LastJudge"/>
            <w:r w:rsidRPr="0053089A">
              <w:rPr>
                <w:rFonts w:ascii="Tahoma" w:hAnsi="Tahoma" w:cs="Tahoma"/>
                <w:b/>
                <w:bCs/>
                <w:color w:val="000080"/>
                <w:rtl/>
              </w:rPr>
              <w:t>בית משפט השלום בירושלים</w:t>
            </w:r>
          </w:p>
        </w:tc>
      </w:tr>
      <w:tr w:rsidR="0098161C" w:rsidRPr="0053089A" w14:paraId="5C41237D" w14:textId="77777777" w:rsidTr="00DF3B73">
        <w:trPr>
          <w:trHeight w:val="337"/>
          <w:jc w:val="center"/>
        </w:trPr>
        <w:tc>
          <w:tcPr>
            <w:tcW w:w="5058" w:type="dxa"/>
          </w:tcPr>
          <w:p w14:paraId="166CC23B" w14:textId="77777777" w:rsidR="0098161C" w:rsidRPr="0053089A" w:rsidRDefault="0098161C" w:rsidP="00F66BB4">
            <w:pPr>
              <w:rPr>
                <w:rFonts w:cs="FrankRuehl"/>
                <w:sz w:val="28"/>
                <w:szCs w:val="28"/>
                <w:rtl/>
              </w:rPr>
            </w:pPr>
            <w:r w:rsidRPr="0053089A">
              <w:rPr>
                <w:rFonts w:cs="FrankRuehl"/>
                <w:sz w:val="28"/>
                <w:szCs w:val="28"/>
                <w:rtl/>
              </w:rPr>
              <w:t>ת"פ</w:t>
            </w:r>
            <w:r w:rsidRPr="0053089A">
              <w:rPr>
                <w:rFonts w:cs="FrankRuehl" w:hint="cs"/>
                <w:sz w:val="28"/>
                <w:szCs w:val="28"/>
                <w:rtl/>
              </w:rPr>
              <w:t xml:space="preserve"> </w:t>
            </w:r>
            <w:r w:rsidRPr="0053089A">
              <w:rPr>
                <w:rFonts w:cs="FrankRuehl"/>
                <w:sz w:val="28"/>
                <w:szCs w:val="28"/>
                <w:rtl/>
              </w:rPr>
              <w:t>27917-03-16</w:t>
            </w:r>
            <w:r w:rsidRPr="0053089A">
              <w:rPr>
                <w:rFonts w:cs="FrankRuehl" w:hint="cs"/>
                <w:sz w:val="28"/>
                <w:szCs w:val="28"/>
                <w:rtl/>
              </w:rPr>
              <w:t xml:space="preserve"> </w:t>
            </w:r>
            <w:r w:rsidRPr="0053089A">
              <w:rPr>
                <w:rFonts w:cs="FrankRuehl"/>
                <w:sz w:val="28"/>
                <w:szCs w:val="28"/>
                <w:rtl/>
              </w:rPr>
              <w:t>מדינת ישראל נ' סרויה(עציר)</w:t>
            </w:r>
          </w:p>
          <w:p w14:paraId="656409ED" w14:textId="77777777" w:rsidR="0098161C" w:rsidRPr="0053089A" w:rsidRDefault="0098161C" w:rsidP="00F66BB4">
            <w:pPr>
              <w:pStyle w:val="a3"/>
              <w:rPr>
                <w:rFonts w:cs="FrankRuehl"/>
                <w:sz w:val="28"/>
                <w:szCs w:val="28"/>
                <w:rtl/>
              </w:rPr>
            </w:pPr>
          </w:p>
        </w:tc>
        <w:tc>
          <w:tcPr>
            <w:tcW w:w="3663" w:type="dxa"/>
          </w:tcPr>
          <w:p w14:paraId="49DDC7A7" w14:textId="77777777" w:rsidR="0098161C" w:rsidRPr="0053089A" w:rsidRDefault="0098161C" w:rsidP="00F66BB4">
            <w:pPr>
              <w:pStyle w:val="a3"/>
              <w:jc w:val="right"/>
              <w:rPr>
                <w:rFonts w:cs="FrankRuehl"/>
                <w:sz w:val="28"/>
                <w:szCs w:val="28"/>
                <w:rtl/>
              </w:rPr>
            </w:pPr>
          </w:p>
        </w:tc>
      </w:tr>
    </w:tbl>
    <w:p w14:paraId="49FB59BC" w14:textId="77777777" w:rsidR="0098161C" w:rsidRPr="0053089A" w:rsidRDefault="0098161C" w:rsidP="0098161C">
      <w:pPr>
        <w:pStyle w:val="a3"/>
        <w:rPr>
          <w:rtl/>
        </w:rPr>
      </w:pPr>
      <w:r w:rsidRPr="0053089A">
        <w:rPr>
          <w:rFonts w:hint="cs"/>
          <w:rtl/>
        </w:rPr>
        <w:t xml:space="preserve"> </w:t>
      </w:r>
    </w:p>
    <w:p w14:paraId="4AAE6DA5" w14:textId="77777777" w:rsidR="0098161C" w:rsidRPr="0053089A" w:rsidRDefault="0098161C" w:rsidP="0098161C">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8161C" w:rsidRPr="0053089A" w14:paraId="1F20848F" w14:textId="77777777" w:rsidTr="0098161C">
        <w:trPr>
          <w:trHeight w:val="295"/>
          <w:jc w:val="center"/>
        </w:trPr>
        <w:tc>
          <w:tcPr>
            <w:tcW w:w="923" w:type="dxa"/>
            <w:tcBorders>
              <w:top w:val="nil"/>
              <w:left w:val="nil"/>
              <w:bottom w:val="nil"/>
              <w:right w:val="nil"/>
            </w:tcBorders>
            <w:shd w:val="clear" w:color="auto" w:fill="auto"/>
          </w:tcPr>
          <w:p w14:paraId="20B11F72" w14:textId="77777777" w:rsidR="0098161C" w:rsidRPr="0053089A" w:rsidRDefault="0098161C" w:rsidP="0098161C">
            <w:pPr>
              <w:spacing w:line="360" w:lineRule="auto"/>
              <w:jc w:val="both"/>
              <w:rPr>
                <w:rFonts w:ascii="Arial" w:hAnsi="Arial" w:cs="FrankRuehl"/>
                <w:sz w:val="28"/>
                <w:szCs w:val="28"/>
                <w:rtl/>
              </w:rPr>
            </w:pPr>
            <w:r w:rsidRPr="0053089A">
              <w:rPr>
                <w:rFonts w:ascii="Arial" w:hAnsi="Arial" w:cs="FrankRuehl" w:hint="cs"/>
                <w:sz w:val="28"/>
                <w:szCs w:val="28"/>
                <w:rtl/>
              </w:rPr>
              <w:t>ב</w:t>
            </w:r>
            <w:r w:rsidRPr="0053089A">
              <w:rPr>
                <w:rFonts w:ascii="Arial" w:hAnsi="Arial" w:cs="FrankRuehl"/>
                <w:sz w:val="28"/>
                <w:szCs w:val="28"/>
                <w:rtl/>
              </w:rPr>
              <w:t xml:space="preserve">פני </w:t>
            </w:r>
          </w:p>
          <w:p w14:paraId="46101D59" w14:textId="77777777" w:rsidR="0098161C" w:rsidRPr="0053089A" w:rsidRDefault="0098161C" w:rsidP="0098161C">
            <w:pPr>
              <w:spacing w:line="360" w:lineRule="auto"/>
              <w:jc w:val="both"/>
              <w:rPr>
                <w:rFonts w:ascii="Arial" w:hAnsi="Arial" w:cs="FrankRuehl"/>
                <w:sz w:val="28"/>
                <w:szCs w:val="28"/>
                <w:rtl/>
              </w:rPr>
            </w:pPr>
          </w:p>
          <w:p w14:paraId="7342BD5D" w14:textId="77777777" w:rsidR="0098161C" w:rsidRPr="0053089A" w:rsidRDefault="0098161C" w:rsidP="0098161C">
            <w:pPr>
              <w:spacing w:line="360" w:lineRule="auto"/>
              <w:jc w:val="both"/>
              <w:rPr>
                <w:rFonts w:ascii="Arial" w:hAnsi="Arial" w:cs="FrankRuehl"/>
                <w:sz w:val="28"/>
                <w:szCs w:val="28"/>
              </w:rPr>
            </w:pPr>
          </w:p>
        </w:tc>
        <w:tc>
          <w:tcPr>
            <w:tcW w:w="7897" w:type="dxa"/>
            <w:gridSpan w:val="2"/>
            <w:tcBorders>
              <w:top w:val="nil"/>
              <w:left w:val="nil"/>
              <w:bottom w:val="nil"/>
              <w:right w:val="nil"/>
            </w:tcBorders>
            <w:shd w:val="clear" w:color="auto" w:fill="auto"/>
          </w:tcPr>
          <w:p w14:paraId="6267976A" w14:textId="77777777" w:rsidR="0098161C" w:rsidRPr="0053089A" w:rsidRDefault="0098161C" w:rsidP="0098161C">
            <w:pPr>
              <w:spacing w:line="360" w:lineRule="auto"/>
              <w:rPr>
                <w:rtl/>
              </w:rPr>
            </w:pPr>
            <w:r w:rsidRPr="0053089A">
              <w:rPr>
                <w:rFonts w:ascii="Arial" w:hAnsi="Arial" w:hint="cs"/>
                <w:b/>
                <w:bCs/>
                <w:rtl/>
              </w:rPr>
              <w:t>כבוד ה</w:t>
            </w:r>
            <w:r w:rsidRPr="0053089A">
              <w:rPr>
                <w:rFonts w:ascii="Arial" w:hAnsi="Arial"/>
                <w:b/>
                <w:bCs/>
                <w:rtl/>
              </w:rPr>
              <w:t>שופטת</w:t>
            </w:r>
            <w:r w:rsidRPr="0053089A">
              <w:rPr>
                <w:rFonts w:ascii="Arial" w:hAnsi="Arial" w:hint="cs"/>
                <w:b/>
                <w:bCs/>
                <w:rtl/>
              </w:rPr>
              <w:t xml:space="preserve">  </w:t>
            </w:r>
            <w:r w:rsidRPr="0053089A">
              <w:rPr>
                <w:rFonts w:ascii="Arial" w:hAnsi="Arial"/>
                <w:b/>
                <w:bCs/>
                <w:rtl/>
              </w:rPr>
              <w:t>ג'ויה סקפה שפירא</w:t>
            </w:r>
          </w:p>
          <w:p w14:paraId="3B289673" w14:textId="77777777" w:rsidR="0098161C" w:rsidRPr="0053089A" w:rsidRDefault="0098161C" w:rsidP="0098161C">
            <w:pPr>
              <w:spacing w:line="360" w:lineRule="auto"/>
              <w:jc w:val="both"/>
              <w:rPr>
                <w:rFonts w:ascii="Arial" w:hAnsi="Arial" w:cs="FrankRuehl"/>
                <w:sz w:val="28"/>
                <w:szCs w:val="28"/>
              </w:rPr>
            </w:pPr>
          </w:p>
        </w:tc>
      </w:tr>
      <w:tr w:rsidR="0098161C" w:rsidRPr="0053089A" w14:paraId="03C84B9A" w14:textId="77777777" w:rsidTr="0098161C">
        <w:trPr>
          <w:trHeight w:val="355"/>
          <w:jc w:val="center"/>
        </w:trPr>
        <w:tc>
          <w:tcPr>
            <w:tcW w:w="923" w:type="dxa"/>
            <w:tcBorders>
              <w:top w:val="nil"/>
              <w:left w:val="nil"/>
              <w:bottom w:val="nil"/>
              <w:right w:val="nil"/>
            </w:tcBorders>
            <w:shd w:val="clear" w:color="auto" w:fill="auto"/>
          </w:tcPr>
          <w:p w14:paraId="3D8A2011" w14:textId="77777777" w:rsidR="0098161C" w:rsidRPr="0053089A" w:rsidRDefault="0098161C" w:rsidP="0098161C">
            <w:pPr>
              <w:spacing w:line="360" w:lineRule="auto"/>
              <w:jc w:val="both"/>
              <w:rPr>
                <w:rFonts w:ascii="Arial" w:hAnsi="Arial" w:cs="FrankRuehl"/>
                <w:sz w:val="28"/>
                <w:szCs w:val="28"/>
              </w:rPr>
            </w:pPr>
            <w:bookmarkStart w:id="1" w:name="FirstAppellant"/>
            <w:r w:rsidRPr="0053089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6FCF5E7" w14:textId="77777777" w:rsidR="0098161C" w:rsidRPr="0053089A" w:rsidRDefault="0098161C" w:rsidP="0098161C">
            <w:pPr>
              <w:spacing w:line="360" w:lineRule="auto"/>
            </w:pPr>
            <w:r w:rsidRPr="0053089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17294EE" w14:textId="77777777" w:rsidR="0098161C" w:rsidRPr="0053089A" w:rsidRDefault="0098161C" w:rsidP="0098161C">
            <w:pPr>
              <w:spacing w:line="360" w:lineRule="auto"/>
              <w:jc w:val="both"/>
              <w:rPr>
                <w:rFonts w:ascii="Arial" w:hAnsi="Arial" w:cs="FrankRuehl"/>
                <w:sz w:val="28"/>
                <w:szCs w:val="28"/>
              </w:rPr>
            </w:pPr>
          </w:p>
        </w:tc>
      </w:tr>
      <w:bookmarkEnd w:id="1"/>
      <w:tr w:rsidR="0098161C" w:rsidRPr="0053089A" w14:paraId="15C8F02D" w14:textId="77777777" w:rsidTr="0098161C">
        <w:trPr>
          <w:trHeight w:val="355"/>
          <w:jc w:val="center"/>
        </w:trPr>
        <w:tc>
          <w:tcPr>
            <w:tcW w:w="923" w:type="dxa"/>
            <w:tcBorders>
              <w:top w:val="nil"/>
              <w:left w:val="nil"/>
              <w:bottom w:val="nil"/>
              <w:right w:val="nil"/>
            </w:tcBorders>
            <w:shd w:val="clear" w:color="auto" w:fill="auto"/>
          </w:tcPr>
          <w:p w14:paraId="3608FDF5" w14:textId="77777777" w:rsidR="0098161C" w:rsidRPr="0053089A" w:rsidRDefault="0098161C" w:rsidP="0098161C">
            <w:pPr>
              <w:spacing w:line="360" w:lineRule="auto"/>
              <w:jc w:val="both"/>
              <w:rPr>
                <w:rFonts w:ascii="Arial" w:hAnsi="Arial" w:cs="FrankRuehl"/>
                <w:sz w:val="28"/>
                <w:szCs w:val="28"/>
                <w:rtl/>
              </w:rPr>
            </w:pPr>
          </w:p>
          <w:p w14:paraId="12035D86" w14:textId="77777777" w:rsidR="0098161C" w:rsidRPr="0053089A" w:rsidRDefault="0098161C" w:rsidP="0098161C">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26279607" w14:textId="77777777" w:rsidR="0098161C" w:rsidRPr="0053089A" w:rsidRDefault="0098161C" w:rsidP="0098161C">
            <w:pPr>
              <w:spacing w:line="360" w:lineRule="auto"/>
              <w:jc w:val="both"/>
              <w:rPr>
                <w:rtl/>
              </w:rPr>
            </w:pPr>
          </w:p>
        </w:tc>
        <w:tc>
          <w:tcPr>
            <w:tcW w:w="3771" w:type="dxa"/>
            <w:tcBorders>
              <w:top w:val="nil"/>
              <w:left w:val="nil"/>
              <w:bottom w:val="nil"/>
              <w:right w:val="nil"/>
            </w:tcBorders>
            <w:shd w:val="clear" w:color="auto" w:fill="auto"/>
          </w:tcPr>
          <w:p w14:paraId="57B354CC" w14:textId="77777777" w:rsidR="0098161C" w:rsidRPr="0053089A" w:rsidRDefault="0098161C" w:rsidP="0098161C">
            <w:pPr>
              <w:spacing w:line="360" w:lineRule="auto"/>
              <w:jc w:val="right"/>
              <w:rPr>
                <w:rFonts w:ascii="Arial" w:hAnsi="Arial" w:cs="FrankRuehl"/>
                <w:sz w:val="28"/>
                <w:szCs w:val="28"/>
                <w:rtl/>
              </w:rPr>
            </w:pPr>
            <w:r w:rsidRPr="0053089A">
              <w:rPr>
                <w:rFonts w:ascii="Arial" w:hAnsi="Arial" w:cs="FrankRuehl" w:hint="cs"/>
                <w:sz w:val="28"/>
                <w:szCs w:val="28"/>
                <w:rtl/>
              </w:rPr>
              <w:t>ה</w:t>
            </w:r>
            <w:r w:rsidRPr="0053089A">
              <w:rPr>
                <w:rFonts w:ascii="Arial" w:hAnsi="Arial" w:cs="FrankRuehl"/>
                <w:sz w:val="28"/>
                <w:szCs w:val="28"/>
                <w:rtl/>
              </w:rPr>
              <w:t>מאשימה</w:t>
            </w:r>
          </w:p>
        </w:tc>
      </w:tr>
      <w:tr w:rsidR="0098161C" w:rsidRPr="0053089A" w14:paraId="3BF555D7" w14:textId="77777777" w:rsidTr="0098161C">
        <w:trPr>
          <w:trHeight w:val="355"/>
          <w:jc w:val="center"/>
        </w:trPr>
        <w:tc>
          <w:tcPr>
            <w:tcW w:w="923" w:type="dxa"/>
            <w:tcBorders>
              <w:top w:val="nil"/>
              <w:left w:val="nil"/>
              <w:bottom w:val="nil"/>
              <w:right w:val="nil"/>
            </w:tcBorders>
            <w:shd w:val="clear" w:color="auto" w:fill="auto"/>
          </w:tcPr>
          <w:p w14:paraId="58B2AE8F" w14:textId="77777777" w:rsidR="0098161C" w:rsidRPr="0053089A" w:rsidRDefault="0098161C" w:rsidP="0098161C">
            <w:pPr>
              <w:spacing w:line="360" w:lineRule="auto"/>
              <w:jc w:val="both"/>
              <w:rPr>
                <w:rFonts w:ascii="Arial" w:hAnsi="Arial" w:cs="FrankRuehl"/>
                <w:sz w:val="28"/>
                <w:szCs w:val="28"/>
                <w:rtl/>
              </w:rPr>
            </w:pPr>
          </w:p>
          <w:p w14:paraId="59DF9756" w14:textId="77777777" w:rsidR="0098161C" w:rsidRPr="0053089A" w:rsidRDefault="0098161C" w:rsidP="0098161C">
            <w:pPr>
              <w:spacing w:line="360" w:lineRule="auto"/>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1BDB3F4" w14:textId="77777777" w:rsidR="0098161C" w:rsidRPr="0053089A" w:rsidRDefault="0098161C" w:rsidP="0098161C">
            <w:pPr>
              <w:spacing w:line="360" w:lineRule="auto"/>
              <w:jc w:val="center"/>
              <w:rPr>
                <w:rFonts w:ascii="Arial" w:hAnsi="Arial" w:cs="FrankRuehl"/>
                <w:b/>
                <w:bCs/>
                <w:sz w:val="28"/>
                <w:szCs w:val="28"/>
                <w:rtl/>
              </w:rPr>
            </w:pPr>
            <w:r w:rsidRPr="0053089A">
              <w:rPr>
                <w:rFonts w:ascii="Arial" w:hAnsi="Arial" w:cs="FrankRuehl"/>
                <w:b/>
                <w:bCs/>
                <w:sz w:val="28"/>
                <w:szCs w:val="28"/>
                <w:rtl/>
              </w:rPr>
              <w:t>נגד</w:t>
            </w:r>
          </w:p>
          <w:p w14:paraId="15AD7F32" w14:textId="77777777" w:rsidR="0098161C" w:rsidRPr="0053089A" w:rsidRDefault="0098161C" w:rsidP="0098161C">
            <w:pPr>
              <w:spacing w:line="360" w:lineRule="auto"/>
              <w:jc w:val="both"/>
              <w:rPr>
                <w:rFonts w:ascii="Arial" w:hAnsi="Arial" w:cs="FrankRuehl"/>
                <w:sz w:val="28"/>
                <w:szCs w:val="28"/>
              </w:rPr>
            </w:pPr>
          </w:p>
        </w:tc>
      </w:tr>
      <w:tr w:rsidR="0098161C" w:rsidRPr="0053089A" w14:paraId="7939DA7D" w14:textId="77777777" w:rsidTr="0098161C">
        <w:trPr>
          <w:trHeight w:val="355"/>
          <w:jc w:val="center"/>
        </w:trPr>
        <w:tc>
          <w:tcPr>
            <w:tcW w:w="923" w:type="dxa"/>
            <w:tcBorders>
              <w:top w:val="nil"/>
              <w:left w:val="nil"/>
              <w:bottom w:val="nil"/>
              <w:right w:val="nil"/>
            </w:tcBorders>
            <w:shd w:val="clear" w:color="auto" w:fill="auto"/>
          </w:tcPr>
          <w:p w14:paraId="4DEAE72E" w14:textId="77777777" w:rsidR="0098161C" w:rsidRPr="0053089A" w:rsidRDefault="0098161C" w:rsidP="0098161C">
            <w:pPr>
              <w:spacing w:line="360" w:lineRule="auto"/>
              <w:rPr>
                <w:rFonts w:ascii="Arial" w:hAnsi="Arial" w:cs="FrankRuehl"/>
                <w:sz w:val="28"/>
                <w:szCs w:val="28"/>
                <w:rtl/>
              </w:rPr>
            </w:pPr>
          </w:p>
        </w:tc>
        <w:tc>
          <w:tcPr>
            <w:tcW w:w="4126" w:type="dxa"/>
            <w:tcBorders>
              <w:top w:val="nil"/>
              <w:left w:val="nil"/>
              <w:bottom w:val="nil"/>
              <w:right w:val="nil"/>
            </w:tcBorders>
            <w:shd w:val="clear" w:color="auto" w:fill="auto"/>
          </w:tcPr>
          <w:p w14:paraId="47B3B3E4" w14:textId="77777777" w:rsidR="0098161C" w:rsidRPr="0053089A" w:rsidRDefault="0098161C" w:rsidP="0098161C">
            <w:pPr>
              <w:spacing w:line="360" w:lineRule="auto"/>
              <w:rPr>
                <w:rtl/>
              </w:rPr>
            </w:pPr>
            <w:r w:rsidRPr="0053089A">
              <w:rPr>
                <w:rFonts w:ascii="Arial" w:hAnsi="Arial" w:cs="FrankRuehl"/>
                <w:sz w:val="28"/>
                <w:szCs w:val="28"/>
                <w:rtl/>
              </w:rPr>
              <w:t>שמעון ישראל סרויה (עציר)</w:t>
            </w:r>
          </w:p>
        </w:tc>
        <w:tc>
          <w:tcPr>
            <w:tcW w:w="3771" w:type="dxa"/>
            <w:tcBorders>
              <w:top w:val="nil"/>
              <w:left w:val="nil"/>
              <w:bottom w:val="nil"/>
              <w:right w:val="nil"/>
            </w:tcBorders>
            <w:shd w:val="clear" w:color="auto" w:fill="auto"/>
          </w:tcPr>
          <w:p w14:paraId="5409060C" w14:textId="77777777" w:rsidR="0098161C" w:rsidRPr="0053089A" w:rsidRDefault="0098161C" w:rsidP="0098161C">
            <w:pPr>
              <w:spacing w:line="360" w:lineRule="auto"/>
              <w:jc w:val="right"/>
              <w:rPr>
                <w:rFonts w:ascii="Arial" w:hAnsi="Arial" w:cs="FrankRuehl"/>
                <w:sz w:val="28"/>
                <w:szCs w:val="28"/>
              </w:rPr>
            </w:pPr>
          </w:p>
        </w:tc>
      </w:tr>
      <w:tr w:rsidR="0098161C" w:rsidRPr="0053089A" w14:paraId="058B70C5" w14:textId="77777777" w:rsidTr="0098161C">
        <w:trPr>
          <w:trHeight w:val="355"/>
          <w:jc w:val="center"/>
        </w:trPr>
        <w:tc>
          <w:tcPr>
            <w:tcW w:w="923" w:type="dxa"/>
            <w:tcBorders>
              <w:top w:val="nil"/>
              <w:left w:val="nil"/>
              <w:bottom w:val="nil"/>
              <w:right w:val="nil"/>
            </w:tcBorders>
            <w:shd w:val="clear" w:color="auto" w:fill="auto"/>
          </w:tcPr>
          <w:p w14:paraId="3B7FEF56" w14:textId="77777777" w:rsidR="0098161C" w:rsidRPr="0053089A" w:rsidRDefault="0098161C" w:rsidP="0098161C">
            <w:pPr>
              <w:spacing w:line="360" w:lineRule="auto"/>
              <w:jc w:val="both"/>
              <w:rPr>
                <w:rFonts w:ascii="Arial" w:hAnsi="Arial" w:cs="FrankRuehl"/>
                <w:sz w:val="28"/>
                <w:szCs w:val="28"/>
                <w:rtl/>
              </w:rPr>
            </w:pPr>
          </w:p>
          <w:p w14:paraId="360D8EE2" w14:textId="77777777" w:rsidR="0098161C" w:rsidRPr="0053089A" w:rsidRDefault="0098161C" w:rsidP="0098161C">
            <w:pPr>
              <w:spacing w:line="360" w:lineRule="auto"/>
              <w:jc w:val="both"/>
              <w:rPr>
                <w:rFonts w:ascii="Arial" w:hAnsi="Arial" w:cs="FrankRuehl"/>
                <w:sz w:val="28"/>
                <w:szCs w:val="28"/>
                <w:rtl/>
              </w:rPr>
            </w:pPr>
          </w:p>
        </w:tc>
        <w:tc>
          <w:tcPr>
            <w:tcW w:w="4126" w:type="dxa"/>
            <w:tcBorders>
              <w:top w:val="nil"/>
              <w:left w:val="nil"/>
              <w:bottom w:val="nil"/>
              <w:right w:val="nil"/>
            </w:tcBorders>
            <w:shd w:val="clear" w:color="auto" w:fill="auto"/>
          </w:tcPr>
          <w:p w14:paraId="412F495F" w14:textId="77777777" w:rsidR="0098161C" w:rsidRPr="0053089A" w:rsidRDefault="0098161C" w:rsidP="0098161C">
            <w:pPr>
              <w:spacing w:line="360" w:lineRule="auto"/>
              <w:jc w:val="both"/>
              <w:rPr>
                <w:rtl/>
              </w:rPr>
            </w:pPr>
          </w:p>
        </w:tc>
        <w:tc>
          <w:tcPr>
            <w:tcW w:w="3771" w:type="dxa"/>
            <w:tcBorders>
              <w:top w:val="nil"/>
              <w:left w:val="nil"/>
              <w:bottom w:val="nil"/>
              <w:right w:val="nil"/>
            </w:tcBorders>
            <w:shd w:val="clear" w:color="auto" w:fill="auto"/>
          </w:tcPr>
          <w:p w14:paraId="4E1E901C" w14:textId="77777777" w:rsidR="0098161C" w:rsidRPr="0053089A" w:rsidRDefault="0098161C" w:rsidP="0098161C">
            <w:pPr>
              <w:spacing w:line="360" w:lineRule="auto"/>
              <w:jc w:val="right"/>
              <w:rPr>
                <w:rFonts w:ascii="Arial" w:hAnsi="Arial" w:cs="FrankRuehl"/>
                <w:sz w:val="28"/>
                <w:szCs w:val="28"/>
              </w:rPr>
            </w:pPr>
            <w:r w:rsidRPr="0053089A">
              <w:rPr>
                <w:rFonts w:ascii="Arial" w:hAnsi="Arial" w:cs="FrankRuehl" w:hint="cs"/>
                <w:sz w:val="28"/>
                <w:szCs w:val="28"/>
                <w:rtl/>
              </w:rPr>
              <w:t>ה</w:t>
            </w:r>
            <w:r w:rsidRPr="0053089A">
              <w:rPr>
                <w:rFonts w:ascii="Arial" w:hAnsi="Arial" w:cs="FrankRuehl"/>
                <w:sz w:val="28"/>
                <w:szCs w:val="28"/>
                <w:rtl/>
              </w:rPr>
              <w:t>נאשם</w:t>
            </w:r>
          </w:p>
        </w:tc>
      </w:tr>
    </w:tbl>
    <w:p w14:paraId="5171ECF0" w14:textId="77777777" w:rsidR="0098161C" w:rsidRPr="0053089A" w:rsidRDefault="0098161C" w:rsidP="0098161C">
      <w:pPr>
        <w:spacing w:line="360" w:lineRule="auto"/>
        <w:rPr>
          <w:b/>
          <w:bCs/>
          <w:sz w:val="22"/>
          <w:szCs w:val="22"/>
          <w:rtl/>
        </w:rPr>
      </w:pPr>
    </w:p>
    <w:p w14:paraId="1A9B95F2" w14:textId="77777777" w:rsidR="0098161C" w:rsidRPr="0053089A" w:rsidRDefault="0098161C" w:rsidP="0098161C">
      <w:pPr>
        <w:spacing w:line="360" w:lineRule="auto"/>
        <w:rPr>
          <w:b/>
          <w:bCs/>
          <w:sz w:val="22"/>
          <w:szCs w:val="22"/>
          <w:rtl/>
        </w:rPr>
      </w:pPr>
      <w:bookmarkStart w:id="2" w:name="FirstLawyer"/>
      <w:r w:rsidRPr="0053089A">
        <w:rPr>
          <w:rFonts w:hint="cs"/>
          <w:b/>
          <w:bCs/>
          <w:sz w:val="22"/>
          <w:szCs w:val="22"/>
          <w:rtl/>
        </w:rPr>
        <w:t>ב"כ</w:t>
      </w:r>
      <w:bookmarkEnd w:id="2"/>
      <w:r w:rsidRPr="0053089A">
        <w:rPr>
          <w:rFonts w:hint="cs"/>
          <w:b/>
          <w:bCs/>
          <w:sz w:val="22"/>
          <w:szCs w:val="22"/>
          <w:rtl/>
        </w:rPr>
        <w:t xml:space="preserve"> המאשימה: מר שמעון מור- יוסף, מתמחה</w:t>
      </w:r>
    </w:p>
    <w:p w14:paraId="5DD427D3" w14:textId="77777777" w:rsidR="00DF3B73" w:rsidRDefault="0098161C" w:rsidP="0098161C">
      <w:pPr>
        <w:spacing w:line="360" w:lineRule="auto"/>
        <w:rPr>
          <w:sz w:val="22"/>
          <w:szCs w:val="22"/>
          <w:rtl/>
        </w:rPr>
      </w:pPr>
      <w:r w:rsidRPr="0053089A">
        <w:rPr>
          <w:rFonts w:hint="cs"/>
          <w:b/>
          <w:bCs/>
          <w:sz w:val="22"/>
          <w:szCs w:val="22"/>
          <w:rtl/>
        </w:rPr>
        <w:t>ב"כ הנאשם: עו"ד מיכאל עירונ</w:t>
      </w:r>
      <w:bookmarkStart w:id="3" w:name="LawTable"/>
      <w:bookmarkEnd w:id="3"/>
    </w:p>
    <w:p w14:paraId="2F08AB5C" w14:textId="77777777" w:rsidR="00DF3B73" w:rsidRPr="00DF3B73" w:rsidRDefault="00DF3B73" w:rsidP="00DF3B73">
      <w:pPr>
        <w:spacing w:after="120" w:line="240" w:lineRule="exact"/>
        <w:ind w:left="283" w:hanging="283"/>
        <w:jc w:val="both"/>
        <w:rPr>
          <w:rFonts w:ascii="FrankRuehl" w:hAnsi="FrankRuehl" w:cs="FrankRuehl"/>
          <w:rtl/>
        </w:rPr>
      </w:pPr>
    </w:p>
    <w:p w14:paraId="7AA2BCDD" w14:textId="77777777" w:rsidR="00DF3B73" w:rsidRPr="00DF3B73" w:rsidRDefault="00DF3B73" w:rsidP="00DF3B73">
      <w:pPr>
        <w:spacing w:after="120" w:line="240" w:lineRule="exact"/>
        <w:ind w:left="283" w:hanging="283"/>
        <w:jc w:val="both"/>
        <w:rPr>
          <w:rFonts w:ascii="FrankRuehl" w:hAnsi="FrankRuehl" w:cs="FrankRuehl"/>
          <w:rtl/>
        </w:rPr>
      </w:pPr>
      <w:r w:rsidRPr="00DF3B73">
        <w:rPr>
          <w:rFonts w:ascii="FrankRuehl" w:hAnsi="FrankRuehl" w:cs="FrankRuehl"/>
          <w:rtl/>
        </w:rPr>
        <w:t xml:space="preserve">חקיקה שאוזכרה: </w:t>
      </w:r>
    </w:p>
    <w:p w14:paraId="50345F53" w14:textId="77777777" w:rsidR="00DF3B73" w:rsidRPr="00DF3B73" w:rsidRDefault="00DF3B73" w:rsidP="00DF3B73">
      <w:pPr>
        <w:spacing w:after="120" w:line="240" w:lineRule="exact"/>
        <w:ind w:left="283" w:hanging="283"/>
        <w:jc w:val="both"/>
        <w:rPr>
          <w:rFonts w:ascii="FrankRuehl" w:hAnsi="FrankRuehl" w:cs="FrankRuehl"/>
          <w:rtl/>
        </w:rPr>
      </w:pPr>
      <w:hyperlink r:id="rId7" w:history="1">
        <w:r w:rsidRPr="00DF3B73">
          <w:rPr>
            <w:rFonts w:ascii="FrankRuehl" w:hAnsi="FrankRuehl" w:cs="FrankRuehl"/>
            <w:color w:val="0000FF"/>
            <w:u w:val="single"/>
            <w:rtl/>
          </w:rPr>
          <w:t>אכרזת דרכי ענישה (תסקיר של קצין מבחן), תשכ"ד-1964</w:t>
        </w:r>
      </w:hyperlink>
      <w:r w:rsidRPr="00DF3B73">
        <w:rPr>
          <w:rFonts w:ascii="FrankRuehl" w:hAnsi="FrankRuehl" w:cs="FrankRuehl"/>
          <w:rtl/>
        </w:rPr>
        <w:t xml:space="preserve">: סע'  </w:t>
      </w:r>
      <w:hyperlink r:id="rId8" w:history="1">
        <w:r w:rsidRPr="00DF3B73">
          <w:rPr>
            <w:rFonts w:ascii="FrankRuehl" w:hAnsi="FrankRuehl" w:cs="FrankRuehl"/>
            <w:color w:val="0000FF"/>
            <w:u w:val="single"/>
            <w:rtl/>
          </w:rPr>
          <w:t>1(3)</w:t>
        </w:r>
      </w:hyperlink>
    </w:p>
    <w:p w14:paraId="0439C281" w14:textId="77777777" w:rsidR="00DF3B73" w:rsidRPr="00DF3B73" w:rsidRDefault="00DF3B73" w:rsidP="00DF3B73">
      <w:pPr>
        <w:spacing w:after="120" w:line="240" w:lineRule="exact"/>
        <w:ind w:left="283" w:hanging="283"/>
        <w:jc w:val="both"/>
        <w:rPr>
          <w:rFonts w:ascii="FrankRuehl" w:hAnsi="FrankRuehl" w:cs="FrankRuehl"/>
          <w:rtl/>
        </w:rPr>
      </w:pPr>
      <w:hyperlink r:id="rId9" w:history="1">
        <w:r w:rsidRPr="00DF3B73">
          <w:rPr>
            <w:rFonts w:ascii="FrankRuehl" w:hAnsi="FrankRuehl" w:cs="FrankRuehl"/>
            <w:color w:val="0000FF"/>
            <w:u w:val="single"/>
            <w:rtl/>
          </w:rPr>
          <w:t>חוק העונשין, תשל"ז-1977</w:t>
        </w:r>
      </w:hyperlink>
      <w:r w:rsidRPr="00DF3B73">
        <w:rPr>
          <w:rFonts w:ascii="FrankRuehl" w:hAnsi="FrankRuehl" w:cs="FrankRuehl"/>
          <w:rtl/>
        </w:rPr>
        <w:t xml:space="preserve">: סע'  </w:t>
      </w:r>
      <w:hyperlink r:id="rId10" w:history="1">
        <w:r w:rsidRPr="00DF3B73">
          <w:rPr>
            <w:rFonts w:ascii="FrankRuehl" w:hAnsi="FrankRuehl" w:cs="FrankRuehl"/>
            <w:color w:val="0000FF"/>
            <w:u w:val="single"/>
            <w:rtl/>
          </w:rPr>
          <w:t>40ה</w:t>
        </w:r>
      </w:hyperlink>
      <w:r w:rsidRPr="00DF3B73">
        <w:rPr>
          <w:rFonts w:ascii="FrankRuehl" w:hAnsi="FrankRuehl" w:cs="FrankRuehl"/>
          <w:rtl/>
        </w:rPr>
        <w:t xml:space="preserve">, </w:t>
      </w:r>
      <w:hyperlink r:id="rId11" w:history="1">
        <w:r w:rsidRPr="00DF3B73">
          <w:rPr>
            <w:rFonts w:ascii="FrankRuehl" w:hAnsi="FrankRuehl" w:cs="FrankRuehl"/>
            <w:color w:val="0000FF"/>
            <w:u w:val="single"/>
            <w:rtl/>
          </w:rPr>
          <w:t>40ח</w:t>
        </w:r>
      </w:hyperlink>
      <w:r w:rsidRPr="00DF3B73">
        <w:rPr>
          <w:rFonts w:ascii="FrankRuehl" w:hAnsi="FrankRuehl" w:cs="FrankRuehl"/>
          <w:rtl/>
        </w:rPr>
        <w:t xml:space="preserve">, </w:t>
      </w:r>
      <w:hyperlink r:id="rId12" w:history="1">
        <w:r w:rsidRPr="00DF3B73">
          <w:rPr>
            <w:rFonts w:ascii="FrankRuehl" w:hAnsi="FrankRuehl" w:cs="FrankRuehl"/>
            <w:color w:val="0000FF"/>
            <w:u w:val="single"/>
            <w:rtl/>
          </w:rPr>
          <w:t>45(ב)</w:t>
        </w:r>
      </w:hyperlink>
      <w:r w:rsidRPr="00DF3B73">
        <w:rPr>
          <w:rFonts w:ascii="FrankRuehl" w:hAnsi="FrankRuehl" w:cs="FrankRuehl"/>
          <w:rtl/>
        </w:rPr>
        <w:t xml:space="preserve">, </w:t>
      </w:r>
      <w:hyperlink r:id="rId13" w:history="1">
        <w:r w:rsidRPr="00DF3B73">
          <w:rPr>
            <w:rFonts w:ascii="FrankRuehl" w:hAnsi="FrankRuehl" w:cs="FrankRuehl"/>
            <w:color w:val="0000FF"/>
            <w:u w:val="single"/>
            <w:rtl/>
          </w:rPr>
          <w:t>52</w:t>
        </w:r>
      </w:hyperlink>
      <w:r w:rsidRPr="00DF3B73">
        <w:rPr>
          <w:rFonts w:ascii="FrankRuehl" w:hAnsi="FrankRuehl" w:cs="FrankRuehl"/>
          <w:rtl/>
        </w:rPr>
        <w:t xml:space="preserve">, </w:t>
      </w:r>
      <w:hyperlink r:id="rId14" w:history="1">
        <w:r w:rsidRPr="00DF3B73">
          <w:rPr>
            <w:rFonts w:ascii="FrankRuehl" w:hAnsi="FrankRuehl" w:cs="FrankRuehl"/>
            <w:color w:val="0000FF"/>
            <w:u w:val="single"/>
            <w:rtl/>
          </w:rPr>
          <w:t>40יא(9)</w:t>
        </w:r>
      </w:hyperlink>
    </w:p>
    <w:p w14:paraId="36E7900D" w14:textId="77777777" w:rsidR="00DF3B73" w:rsidRPr="00DF3B73" w:rsidRDefault="00DF3B73" w:rsidP="00DF3B73">
      <w:pPr>
        <w:spacing w:after="120" w:line="240" w:lineRule="exact"/>
        <w:ind w:left="283" w:hanging="283"/>
        <w:jc w:val="both"/>
        <w:rPr>
          <w:rFonts w:ascii="FrankRuehl" w:hAnsi="FrankRuehl" w:cs="FrankRuehl"/>
          <w:rtl/>
        </w:rPr>
      </w:pPr>
      <w:hyperlink r:id="rId15" w:history="1">
        <w:r w:rsidRPr="00DF3B73">
          <w:rPr>
            <w:rFonts w:ascii="FrankRuehl" w:hAnsi="FrankRuehl" w:cs="FrankRuehl"/>
            <w:color w:val="0000FF"/>
            <w:u w:val="single"/>
            <w:rtl/>
          </w:rPr>
          <w:t>פקודת הסמים המסוכנים [נוסח חדש], תשל"ג-1973</w:t>
        </w:r>
      </w:hyperlink>
      <w:r w:rsidRPr="00DF3B73">
        <w:rPr>
          <w:rFonts w:ascii="FrankRuehl" w:hAnsi="FrankRuehl" w:cs="FrankRuehl"/>
          <w:rtl/>
        </w:rPr>
        <w:t xml:space="preserve">: סע'  </w:t>
      </w:r>
      <w:hyperlink r:id="rId16" w:history="1">
        <w:r w:rsidRPr="00DF3B73">
          <w:rPr>
            <w:rFonts w:ascii="FrankRuehl" w:hAnsi="FrankRuehl" w:cs="FrankRuehl"/>
            <w:color w:val="0000FF"/>
            <w:u w:val="single"/>
            <w:rtl/>
          </w:rPr>
          <w:t>36א(א)(1)</w:t>
        </w:r>
      </w:hyperlink>
    </w:p>
    <w:p w14:paraId="6C8E1D9C" w14:textId="77777777" w:rsidR="00DF3B73" w:rsidRPr="00DF3B73" w:rsidRDefault="00DF3B73" w:rsidP="00DF3B73">
      <w:pPr>
        <w:spacing w:after="120" w:line="240" w:lineRule="exact"/>
        <w:ind w:left="283" w:hanging="283"/>
        <w:jc w:val="both"/>
        <w:rPr>
          <w:rFonts w:ascii="FrankRuehl" w:hAnsi="FrankRuehl" w:cs="FrankRuehl"/>
          <w:rtl/>
        </w:rPr>
      </w:pPr>
    </w:p>
    <w:p w14:paraId="2312D02D" w14:textId="77777777" w:rsidR="0053089A" w:rsidRDefault="0053089A" w:rsidP="0098161C">
      <w:pPr>
        <w:spacing w:line="360" w:lineRule="auto"/>
        <w:rPr>
          <w:rFonts w:hint="cs"/>
          <w:rtl/>
        </w:rPr>
      </w:pPr>
      <w:bookmarkStart w:id="4" w:name="LawTable_End"/>
      <w:bookmarkEnd w:id="4"/>
    </w:p>
    <w:p w14:paraId="23C91468" w14:textId="77777777" w:rsidR="00DF3B73" w:rsidRDefault="00DF3B73" w:rsidP="0098161C">
      <w:pPr>
        <w:spacing w:line="360" w:lineRule="auto"/>
        <w:rPr>
          <w:rFonts w:hint="cs"/>
          <w:rtl/>
        </w:rPr>
      </w:pPr>
    </w:p>
    <w:p w14:paraId="7420AD40" w14:textId="77777777" w:rsidR="00DF3B73" w:rsidRDefault="00DF3B73" w:rsidP="0098161C">
      <w:pPr>
        <w:spacing w:line="360" w:lineRule="auto"/>
        <w:rPr>
          <w:rFonts w:hint="cs"/>
          <w:rtl/>
        </w:rPr>
      </w:pPr>
    </w:p>
    <w:p w14:paraId="24A3576E" w14:textId="77777777" w:rsidR="00DF3B73" w:rsidRDefault="00DF3B73" w:rsidP="0098161C">
      <w:pPr>
        <w:spacing w:line="360" w:lineRule="auto"/>
        <w:rPr>
          <w:rFonts w:hint="cs"/>
          <w:rtl/>
        </w:rPr>
      </w:pPr>
    </w:p>
    <w:p w14:paraId="295DCF15" w14:textId="77777777" w:rsidR="00DF3B73" w:rsidRDefault="00DF3B73" w:rsidP="0098161C">
      <w:pPr>
        <w:spacing w:line="360" w:lineRule="auto"/>
        <w:rPr>
          <w:rFonts w:hint="cs"/>
          <w:rtl/>
        </w:rPr>
      </w:pPr>
    </w:p>
    <w:p w14:paraId="0EDE3458" w14:textId="77777777" w:rsidR="00DF3B73" w:rsidRPr="0053089A" w:rsidRDefault="00DF3B73" w:rsidP="0098161C">
      <w:pPr>
        <w:spacing w:line="360" w:lineRule="auto"/>
        <w:rPr>
          <w:rFonts w:hint="cs"/>
        </w:rPr>
      </w:pPr>
    </w:p>
    <w:p w14:paraId="7D8AD407" w14:textId="77777777" w:rsidR="0053089A" w:rsidRPr="0053089A" w:rsidRDefault="0053089A" w:rsidP="0098161C">
      <w:pPr>
        <w:spacing w:line="360" w:lineRule="auto"/>
        <w:rPr>
          <w:b/>
          <w:bCs/>
        </w:rPr>
      </w:pPr>
    </w:p>
    <w:p w14:paraId="51F51C5C" w14:textId="77777777" w:rsidR="0098161C" w:rsidRPr="0053089A" w:rsidRDefault="0098161C" w:rsidP="0098161C">
      <w:pPr>
        <w:spacing w:line="360" w:lineRule="auto"/>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8161C" w14:paraId="023A2A8B" w14:textId="77777777" w:rsidTr="0098161C">
        <w:trPr>
          <w:trHeight w:val="355"/>
          <w:jc w:val="center"/>
        </w:trPr>
        <w:tc>
          <w:tcPr>
            <w:tcW w:w="8820" w:type="dxa"/>
            <w:tcBorders>
              <w:top w:val="nil"/>
              <w:left w:val="nil"/>
              <w:bottom w:val="nil"/>
              <w:right w:val="nil"/>
            </w:tcBorders>
            <w:shd w:val="clear" w:color="auto" w:fill="auto"/>
          </w:tcPr>
          <w:p w14:paraId="434DCD2A" w14:textId="77777777" w:rsidR="0053089A" w:rsidRPr="0053089A" w:rsidRDefault="0053089A" w:rsidP="0053089A">
            <w:pPr>
              <w:spacing w:line="360" w:lineRule="auto"/>
              <w:jc w:val="center"/>
              <w:rPr>
                <w:rFonts w:ascii="Arial" w:hAnsi="Arial" w:cs="FrankRuehl"/>
                <w:b/>
                <w:bCs/>
                <w:sz w:val="32"/>
                <w:szCs w:val="32"/>
                <w:u w:val="single"/>
                <w:rtl/>
              </w:rPr>
            </w:pPr>
            <w:bookmarkStart w:id="5" w:name="PsakDin" w:colFirst="0" w:colLast="0"/>
            <w:bookmarkEnd w:id="0"/>
            <w:r w:rsidRPr="0053089A">
              <w:rPr>
                <w:rFonts w:ascii="Arial" w:hAnsi="Arial" w:cs="FrankRuehl"/>
                <w:b/>
                <w:bCs/>
                <w:sz w:val="32"/>
                <w:szCs w:val="32"/>
                <w:u w:val="single"/>
                <w:rtl/>
              </w:rPr>
              <w:lastRenderedPageBreak/>
              <w:t>גזר דין</w:t>
            </w:r>
          </w:p>
          <w:p w14:paraId="1AC492A3" w14:textId="77777777" w:rsidR="0098161C" w:rsidRPr="0053089A" w:rsidRDefault="0098161C" w:rsidP="0053089A">
            <w:pPr>
              <w:spacing w:line="360" w:lineRule="auto"/>
              <w:jc w:val="center"/>
              <w:rPr>
                <w:rFonts w:ascii="Arial" w:hAnsi="Arial" w:cs="FrankRuehl"/>
                <w:bCs/>
                <w:sz w:val="32"/>
                <w:szCs w:val="32"/>
                <w:u w:val="single"/>
                <w:rtl/>
              </w:rPr>
            </w:pPr>
          </w:p>
        </w:tc>
      </w:tr>
      <w:bookmarkEnd w:id="5"/>
    </w:tbl>
    <w:p w14:paraId="0C7EDA3C" w14:textId="77777777" w:rsidR="00DF3B73" w:rsidRDefault="00DF3B73" w:rsidP="0098161C">
      <w:pPr>
        <w:spacing w:line="360" w:lineRule="auto"/>
        <w:jc w:val="both"/>
        <w:rPr>
          <w:rFonts w:ascii="Arial" w:hAnsi="Arial" w:hint="cs"/>
          <w:b/>
          <w:bCs/>
          <w:u w:val="single"/>
          <w:rtl/>
        </w:rPr>
      </w:pPr>
    </w:p>
    <w:p w14:paraId="7986EB10" w14:textId="77777777" w:rsidR="00DF3B73" w:rsidRDefault="00DF3B73" w:rsidP="0098161C">
      <w:pPr>
        <w:spacing w:line="360" w:lineRule="auto"/>
        <w:jc w:val="both"/>
        <w:rPr>
          <w:rFonts w:ascii="Arial" w:hAnsi="Arial" w:hint="cs"/>
          <w:b/>
          <w:bCs/>
          <w:u w:val="single"/>
          <w:rtl/>
        </w:rPr>
      </w:pPr>
    </w:p>
    <w:p w14:paraId="47F4CFA5" w14:textId="77777777" w:rsidR="00DF3B73" w:rsidRDefault="00DF3B73" w:rsidP="0098161C">
      <w:pPr>
        <w:spacing w:line="360" w:lineRule="auto"/>
        <w:jc w:val="both"/>
        <w:rPr>
          <w:rFonts w:ascii="Arial" w:hAnsi="Arial" w:hint="cs"/>
          <w:b/>
          <w:bCs/>
          <w:u w:val="single"/>
          <w:rtl/>
        </w:rPr>
      </w:pPr>
    </w:p>
    <w:p w14:paraId="15CECDD4" w14:textId="77777777" w:rsidR="0098161C" w:rsidRPr="00D3498C" w:rsidRDefault="0098161C" w:rsidP="0098161C">
      <w:pPr>
        <w:spacing w:line="360" w:lineRule="auto"/>
        <w:jc w:val="both"/>
        <w:rPr>
          <w:rFonts w:ascii="Arial" w:hAnsi="Arial"/>
          <w:b/>
          <w:bCs/>
          <w:u w:val="single"/>
          <w:rtl/>
        </w:rPr>
      </w:pPr>
      <w:r>
        <w:rPr>
          <w:rFonts w:ascii="Arial" w:hAnsi="Arial" w:hint="cs"/>
          <w:b/>
          <w:bCs/>
          <w:u w:val="single"/>
          <w:rtl/>
        </w:rPr>
        <w:t>כללי</w:t>
      </w:r>
    </w:p>
    <w:p w14:paraId="39BAEC2C" w14:textId="77777777" w:rsidR="0098161C" w:rsidRDefault="0098161C" w:rsidP="0098161C">
      <w:pPr>
        <w:pStyle w:val="a9"/>
        <w:numPr>
          <w:ilvl w:val="0"/>
          <w:numId w:val="1"/>
        </w:numPr>
        <w:spacing w:line="360" w:lineRule="auto"/>
        <w:jc w:val="both"/>
      </w:pPr>
      <w:bookmarkStart w:id="6" w:name="ABSTRACT_START"/>
      <w:bookmarkEnd w:id="6"/>
      <w:r>
        <w:rPr>
          <w:rFonts w:hint="cs"/>
          <w:rtl/>
        </w:rPr>
        <w:t xml:space="preserve">נגד הנאשם הוגש כתב אישום שייחס לו שני אישומים- באחד יוחסה לנאשם עבירת סחר בסם. באישום השני יוחסה לו עבירת הפרת הוראה חוקית. הנאשם הורשע בשתי העבירות, לאחר שמיעת ראיות ביחס לאישום הראשון ובעקבות הודאתו באישום השני. </w:t>
      </w:r>
    </w:p>
    <w:p w14:paraId="530329A0" w14:textId="77777777" w:rsidR="0098161C" w:rsidRDefault="0098161C" w:rsidP="0098161C">
      <w:pPr>
        <w:pStyle w:val="a9"/>
        <w:spacing w:line="360" w:lineRule="auto"/>
        <w:jc w:val="both"/>
      </w:pPr>
      <w:bookmarkStart w:id="7" w:name="ABSTRACT_END"/>
      <w:bookmarkEnd w:id="7"/>
    </w:p>
    <w:p w14:paraId="3B60D091" w14:textId="77777777" w:rsidR="0098161C" w:rsidRDefault="0098161C" w:rsidP="0098161C">
      <w:pPr>
        <w:pStyle w:val="a9"/>
        <w:numPr>
          <w:ilvl w:val="0"/>
          <w:numId w:val="1"/>
        </w:numPr>
        <w:spacing w:line="360" w:lineRule="auto"/>
        <w:jc w:val="both"/>
      </w:pPr>
      <w:r>
        <w:rPr>
          <w:rFonts w:hint="cs"/>
          <w:rtl/>
        </w:rPr>
        <w:t xml:space="preserve">הנאשם היה נתון במעצר בית בעיר בית- שמש שהוטל עליו ביום 1.2.16, והפר אותו ארבע פעמים בין התאריכים 15.2.16- 2.3.16. בשתי ההזדמנויות הראשונות יצא ממקום מעצר הבית והלך או נסע למקום אחר בעיר בית שמש. בהזדמנות השלישית, ביום 1.3.16, בשעות הערב המאוחרות, יצא ממקום מעצר הבית, נפגש ברחוב עם אלירן לוי, ומכר לו סם מסוכן מסוג קוקאין במשקל 0.3543 גרם, ובפעם הרביעית, ביום 2.3.16, מעט לאחר חצות יצא ממקום מעצר הבית, נפגש ברחוב, סמוך לביתו, עם אדם אחר, ואז נעצר. </w:t>
      </w:r>
    </w:p>
    <w:p w14:paraId="0C2E24AB" w14:textId="77777777" w:rsidR="0098161C" w:rsidRPr="00687A37" w:rsidRDefault="0098161C" w:rsidP="0098161C">
      <w:pPr>
        <w:pStyle w:val="a9"/>
        <w:spacing w:line="360" w:lineRule="auto"/>
        <w:jc w:val="both"/>
      </w:pPr>
    </w:p>
    <w:p w14:paraId="61416D5D" w14:textId="77777777" w:rsidR="0098161C" w:rsidRDefault="0098161C" w:rsidP="0098161C">
      <w:pPr>
        <w:pStyle w:val="a9"/>
        <w:numPr>
          <w:ilvl w:val="0"/>
          <w:numId w:val="1"/>
        </w:numPr>
        <w:spacing w:line="360" w:lineRule="auto"/>
        <w:jc w:val="both"/>
      </w:pPr>
      <w:r>
        <w:rPr>
          <w:rFonts w:hint="cs"/>
          <w:rtl/>
        </w:rPr>
        <w:t xml:space="preserve">בקשתה של ההגנה כי יוכן תסקיר מבחן בעניינו של הנאשם נדחתה על ידי. עם זאת, בהתאם להוראת </w:t>
      </w:r>
      <w:hyperlink r:id="rId17" w:history="1">
        <w:r w:rsidR="00DF3B73" w:rsidRPr="00DF3B73">
          <w:rPr>
            <w:color w:val="0000FF"/>
            <w:u w:val="single"/>
            <w:rtl/>
          </w:rPr>
          <w:t>סעיף 1(3)</w:t>
        </w:r>
      </w:hyperlink>
      <w:r>
        <w:rPr>
          <w:rFonts w:hint="cs"/>
          <w:rtl/>
        </w:rPr>
        <w:t xml:space="preserve"> ל</w:t>
      </w:r>
      <w:hyperlink r:id="rId18" w:history="1">
        <w:r w:rsidR="0053089A" w:rsidRPr="0053089A">
          <w:rPr>
            <w:color w:val="0000FF"/>
            <w:u w:val="single"/>
            <w:rtl/>
          </w:rPr>
          <w:t>אכרזת דרכי ענישה (תסקיר של קצין מבחן)</w:t>
        </w:r>
      </w:hyperlink>
      <w:r>
        <w:rPr>
          <w:rFonts w:hint="cs"/>
          <w:rtl/>
        </w:rPr>
        <w:t xml:space="preserve"> תשכ"ד- 1964, אפשרתי להגנה להגיש תסקירי קצין מבחן שהוכנו בעניינו של הנאשם בתיק אחר בתוך שנים- עשר החודשים שקדמו לגזר דין זה. </w:t>
      </w:r>
    </w:p>
    <w:p w14:paraId="260D804C" w14:textId="77777777" w:rsidR="0098161C" w:rsidRDefault="0098161C" w:rsidP="0098161C">
      <w:pPr>
        <w:pStyle w:val="a9"/>
        <w:spacing w:line="360" w:lineRule="auto"/>
        <w:jc w:val="both"/>
      </w:pPr>
    </w:p>
    <w:p w14:paraId="6EFFB295" w14:textId="77777777" w:rsidR="0098161C" w:rsidRDefault="0098161C" w:rsidP="0098161C">
      <w:pPr>
        <w:pStyle w:val="a9"/>
        <w:numPr>
          <w:ilvl w:val="0"/>
          <w:numId w:val="1"/>
        </w:numPr>
        <w:spacing w:line="360" w:lineRule="auto"/>
        <w:jc w:val="both"/>
      </w:pPr>
      <w:r>
        <w:rPr>
          <w:rFonts w:hint="cs"/>
          <w:rtl/>
        </w:rPr>
        <w:t xml:space="preserve">תסקיר שהוגש ביום 1.11.16 במסגרת </w:t>
      </w:r>
      <w:hyperlink r:id="rId19" w:history="1">
        <w:r w:rsidR="0053089A" w:rsidRPr="0053089A">
          <w:rPr>
            <w:color w:val="0000FF"/>
            <w:u w:val="single"/>
            <w:rtl/>
          </w:rPr>
          <w:t>ת"פ (שלום ירושלים) 28198-01-16</w:t>
        </w:r>
      </w:hyperlink>
      <w:r>
        <w:rPr>
          <w:rFonts w:hint="cs"/>
          <w:rtl/>
        </w:rPr>
        <w:t xml:space="preserve"> מלמד כי הנאשם נשוי בשנית ואב לחמישה ילדים בגילאי חמש עד אחת- עשרה שנים. התסקיר עומד על מורכבות נסיבות חייו של הנאשם, ומתאר כי לאחר שעבר מסגרות שונות בשנות ילדותו, חלקן חוץ ביתיות, חזר לגור בשכונת מגוריו והתחבר לחברה שולית. הנאשם לא גויס לצה"ל על רקע מעורבותו בפלילים והחל לצרוך אלכוהול בגיל 15 ולהשתמש בסמים בגיל 16. לאורך השנים צריכת הסמים העמיקה והתרחבה גם לסמים "קשים", וניסיונות גמילה שעבר כשלו. לאורך השנים עבד הנאשם לפרקים בעבודות שונות. שירות המבחן התרשם כי אצל הנאשם קיימים דפוסי התנהגות עברייניים מושרשים, שהתפתחו כתגובה הישרדותית על רקע תנאי גדילתו. עוד התרשם שירות המבחן מקיומם של קווי אישיות מניפולטיביים, נטייה להתנהגות אימפולסיבית וקושי בוויסות דחפים. כל אלה הובילו את הנאשם למעורבות חוזרת בפלילים בגינה ריצה מספר עונשי מאסר בפועל. עם זאת, לנוכח הרצון המילולי שהביע הנאשם לערוך שינוי בחייו וקבלת אחריות מצדו לעבירה באותו התיק, </w:t>
      </w:r>
      <w:r>
        <w:rPr>
          <w:rFonts w:hint="cs"/>
          <w:rtl/>
        </w:rPr>
        <w:lastRenderedPageBreak/>
        <w:t xml:space="preserve">המליץ שירות המבחן, לא בלי התלבטות, על בחינת אפשרות שילובו של הנאשם במסגרת "מרכז יום" לגמילה מסמים. </w:t>
      </w:r>
    </w:p>
    <w:p w14:paraId="6272E933" w14:textId="77777777" w:rsidR="0098161C" w:rsidRDefault="0098161C" w:rsidP="0098161C">
      <w:pPr>
        <w:pStyle w:val="a9"/>
        <w:spacing w:line="360" w:lineRule="auto"/>
        <w:jc w:val="both"/>
      </w:pPr>
    </w:p>
    <w:p w14:paraId="6D693918" w14:textId="77777777" w:rsidR="0098161C" w:rsidRDefault="0098161C" w:rsidP="0098161C">
      <w:pPr>
        <w:pStyle w:val="a9"/>
        <w:numPr>
          <w:ilvl w:val="0"/>
          <w:numId w:val="1"/>
        </w:numPr>
        <w:spacing w:line="360" w:lineRule="auto"/>
        <w:jc w:val="both"/>
      </w:pPr>
      <w:r>
        <w:rPr>
          <w:rFonts w:hint="cs"/>
          <w:rtl/>
        </w:rPr>
        <w:t xml:space="preserve">תסקיר נוסף שהוגש ביום 28.11.16 באותו התיק מלמד, כי בתקופה שחלפה מאז התסקיר הקודם, הנאשם מסר בדיקות שתן נקיות והגיע למפגשים בשירות המבחן, ועל רקע הרצון שביטא לערוך שינוי בחייו, הומלץ על שילובו בטיפול ארוך טווח במרכז יום. </w:t>
      </w:r>
    </w:p>
    <w:p w14:paraId="78C03950" w14:textId="77777777" w:rsidR="0098161C" w:rsidRDefault="0098161C" w:rsidP="0098161C">
      <w:pPr>
        <w:pStyle w:val="a9"/>
        <w:spacing w:line="360" w:lineRule="auto"/>
        <w:jc w:val="both"/>
      </w:pPr>
      <w:r>
        <w:rPr>
          <w:rFonts w:hint="cs"/>
          <w:rtl/>
        </w:rPr>
        <w:t xml:space="preserve">ב"כ הנאשם הוסיף, למען השלמת התמונה, כי ההליך הטיפולי נקטע מאחר והנאשם כשל בו. </w:t>
      </w:r>
    </w:p>
    <w:p w14:paraId="0163ABFA" w14:textId="77777777" w:rsidR="0098161C" w:rsidRPr="00EA501F" w:rsidRDefault="0098161C" w:rsidP="0098161C">
      <w:pPr>
        <w:pStyle w:val="a9"/>
        <w:spacing w:line="360" w:lineRule="auto"/>
        <w:jc w:val="both"/>
      </w:pPr>
    </w:p>
    <w:p w14:paraId="67C93750" w14:textId="77777777" w:rsidR="0098161C" w:rsidRDefault="0098161C" w:rsidP="0098161C">
      <w:pPr>
        <w:pStyle w:val="a9"/>
        <w:numPr>
          <w:ilvl w:val="0"/>
          <w:numId w:val="1"/>
        </w:numPr>
        <w:spacing w:line="360" w:lineRule="auto"/>
        <w:jc w:val="both"/>
      </w:pPr>
      <w:r>
        <w:rPr>
          <w:rFonts w:hint="cs"/>
          <w:rtl/>
        </w:rPr>
        <w:t xml:space="preserve">המאשימה ביקשה לקבוע בעניינו של הנאשם מתחם עונש הולם נפרד לכל אחד מהאישומים והדגישה את מידת הפגיעה בערכים המוגנים על ידי כל אחת מהעבירות ואת עברו הפלילי המכביד של הנאשם. ביחס לאישום הראשון ביקשה המאשימה לקבוע מתחם עונש הולם שבין שמונה לשמונה- עשר חודשי מאסר בפועל. ביחס לאישום השני ביקשה לקבוע מתחם עונש הולם שבין שישה לארבעה- עשר חודשי מאסר בפועל. המאשימה ביקשה לגזור על הנאשם עונש אחד של עשרים וארבעה חודשי מאסר בפועל במצטבר לעונש המאסר שאותו מרצה הנאשם כעת, מאסר מותנה וקנס, וכן ביקשה לחלט שני מכשירי טלפון שנתפסו- האחד על גופו של הנאשם והשני בביתו. </w:t>
      </w:r>
    </w:p>
    <w:p w14:paraId="2D5BD952" w14:textId="77777777" w:rsidR="0098161C" w:rsidRDefault="0098161C" w:rsidP="0098161C">
      <w:pPr>
        <w:pStyle w:val="a9"/>
        <w:spacing w:line="360" w:lineRule="auto"/>
        <w:jc w:val="both"/>
      </w:pPr>
    </w:p>
    <w:p w14:paraId="37ACFB40" w14:textId="77777777" w:rsidR="0098161C" w:rsidRDefault="0098161C" w:rsidP="0098161C">
      <w:pPr>
        <w:pStyle w:val="a9"/>
        <w:numPr>
          <w:ilvl w:val="0"/>
          <w:numId w:val="1"/>
        </w:numPr>
        <w:spacing w:line="360" w:lineRule="auto"/>
        <w:jc w:val="both"/>
      </w:pPr>
      <w:r>
        <w:rPr>
          <w:rFonts w:hint="cs"/>
          <w:rtl/>
        </w:rPr>
        <w:t xml:space="preserve">ב"כ הנאשם הדגיש את ההליך הטיפולי שעבר הנאשם בשנה האחרונה במסגרת התיק הפלילי הקודם, ואת מאמציו של הנאשם בהקשר זה, הגם שבסופו של יום לא עלו יפה. ב"כ הנאשם הוסיף, כי לנאשם רצון עז לערוך שינוי בחייו וביקש לא להחמיר עמו. עוד ביקש ב"כ הנאשם לשקול את העובדה כי בהליך שבו הוטלו תנאי השחרור שהופרו, חולטה ערבות בסך של 10,000 ₪. </w:t>
      </w:r>
    </w:p>
    <w:p w14:paraId="022FA5A3" w14:textId="77777777" w:rsidR="0098161C" w:rsidRDefault="0098161C" w:rsidP="0098161C">
      <w:pPr>
        <w:pStyle w:val="a9"/>
        <w:spacing w:line="360" w:lineRule="auto"/>
        <w:jc w:val="both"/>
      </w:pPr>
    </w:p>
    <w:p w14:paraId="78F21A74" w14:textId="77777777" w:rsidR="0098161C" w:rsidRPr="00D3498C" w:rsidRDefault="0098161C" w:rsidP="0098161C">
      <w:pPr>
        <w:spacing w:line="360" w:lineRule="auto"/>
        <w:jc w:val="both"/>
        <w:rPr>
          <w:b/>
          <w:bCs/>
          <w:u w:val="single"/>
        </w:rPr>
      </w:pPr>
      <w:r>
        <w:rPr>
          <w:rFonts w:hint="cs"/>
          <w:b/>
          <w:bCs/>
          <w:u w:val="single"/>
          <w:rtl/>
        </w:rPr>
        <w:t>דיון והכרעה</w:t>
      </w:r>
    </w:p>
    <w:p w14:paraId="7AEDD5D7" w14:textId="77777777" w:rsidR="0098161C" w:rsidRDefault="0098161C" w:rsidP="0098161C">
      <w:pPr>
        <w:pStyle w:val="a9"/>
        <w:numPr>
          <w:ilvl w:val="0"/>
          <w:numId w:val="1"/>
        </w:numPr>
        <w:spacing w:line="360" w:lineRule="auto"/>
        <w:jc w:val="both"/>
      </w:pPr>
      <w:r>
        <w:rPr>
          <w:rFonts w:hint="cs"/>
          <w:rtl/>
        </w:rPr>
        <w:t xml:space="preserve">המאשימה התייחסה לכל הפרות מעצר הבית כאל מעשה אחד, שבגינו אף האשימה את הנאשם בעבירה אחת של הפרת הוראה חוקית, ועל כן הוא הורשע בעבירה אחת בלבד. עבירת הסחר בסמים בוצעה במהלכה של אחת מהפרות מעצר הבית. מדובר באותה תכנית עבריינית ובטווח קצר מאד של זמנים. בשל כך אני קובעת, כי יש להתייחס לשתי העבירות שבהן הורשע  הנאשם כאל 'אירוע אחד', בגינו יש לקבוע מתחם עונש הולם אחד. </w:t>
      </w:r>
    </w:p>
    <w:p w14:paraId="11319A0F" w14:textId="77777777" w:rsidR="0098161C" w:rsidRDefault="0098161C" w:rsidP="0098161C">
      <w:pPr>
        <w:pStyle w:val="a9"/>
        <w:spacing w:line="360" w:lineRule="auto"/>
        <w:jc w:val="both"/>
      </w:pPr>
    </w:p>
    <w:p w14:paraId="36EFFC27" w14:textId="77777777" w:rsidR="0098161C" w:rsidRDefault="0098161C" w:rsidP="0098161C">
      <w:pPr>
        <w:pStyle w:val="a9"/>
        <w:numPr>
          <w:ilvl w:val="0"/>
          <w:numId w:val="1"/>
        </w:numPr>
        <w:spacing w:line="360" w:lineRule="auto"/>
        <w:jc w:val="both"/>
      </w:pPr>
      <w:r>
        <w:rPr>
          <w:rFonts w:hint="cs"/>
          <w:rtl/>
        </w:rPr>
        <w:t xml:space="preserve">עבירת הפרת הוראה חוקית פוגעת בסדרי השלטון והמשפט, פוגעת במעמדם של בית המשפט ושל החלטותיו, ומשעה שמדובר בהפרת צו שיפוטי שתכליתו הייתה להגן על הציבור מפני סכנתו של הנאשם, פגעה העבירה גם בהגנה על הציבור מפני המסוכנות שנשקפה מהנאשם. </w:t>
      </w:r>
    </w:p>
    <w:p w14:paraId="2FA941AE" w14:textId="77777777" w:rsidR="0098161C" w:rsidRPr="00D3498C" w:rsidRDefault="0098161C" w:rsidP="0098161C">
      <w:pPr>
        <w:pStyle w:val="a9"/>
        <w:spacing w:line="360" w:lineRule="auto"/>
        <w:jc w:val="both"/>
      </w:pPr>
    </w:p>
    <w:p w14:paraId="0B497E11" w14:textId="77777777" w:rsidR="0098161C" w:rsidRDefault="0098161C" w:rsidP="0098161C">
      <w:pPr>
        <w:pStyle w:val="a9"/>
        <w:numPr>
          <w:ilvl w:val="0"/>
          <w:numId w:val="1"/>
        </w:numPr>
        <w:spacing w:line="360" w:lineRule="auto"/>
        <w:jc w:val="both"/>
      </w:pPr>
      <w:r>
        <w:rPr>
          <w:rFonts w:hint="cs"/>
          <w:rtl/>
        </w:rPr>
        <w:t xml:space="preserve">הנאשם החל בהפרת תנאי השחרור שהוטלו עליו זמן קצר מאוד, כשבועיים ימים, לאחר שאלה הוטלו. מדובר בסדרה של הפרות שבוצעו בתוך פרק זמן קצר של כשבועיים ימים, באחת מהן נסע מביתו במונית והסתובב לבדו או בחברת אחרים, אך ללא מי מהמפקחים, ובמקרה אחר הפר את תנאי השחרור כדי לבצע עבירה עצמאית של סחר בסמים. </w:t>
      </w:r>
    </w:p>
    <w:p w14:paraId="1D75FB17" w14:textId="77777777" w:rsidR="0098161C" w:rsidRDefault="0098161C" w:rsidP="0098161C">
      <w:pPr>
        <w:pStyle w:val="a9"/>
        <w:spacing w:line="360" w:lineRule="auto"/>
        <w:jc w:val="both"/>
      </w:pPr>
    </w:p>
    <w:p w14:paraId="522E5B93" w14:textId="77777777" w:rsidR="0098161C" w:rsidRDefault="0098161C" w:rsidP="0098161C">
      <w:pPr>
        <w:pStyle w:val="a9"/>
        <w:numPr>
          <w:ilvl w:val="0"/>
          <w:numId w:val="1"/>
        </w:numPr>
        <w:spacing w:line="360" w:lineRule="auto"/>
        <w:jc w:val="both"/>
      </w:pPr>
      <w:r>
        <w:rPr>
          <w:rFonts w:hint="cs"/>
          <w:rtl/>
        </w:rPr>
        <w:t xml:space="preserve">בשל אלה, מידת הפגיעה של עבירת הפרת ההוראה החוקית שביצע הנאשם בערכים המוגנים היא בינונית. </w:t>
      </w:r>
    </w:p>
    <w:p w14:paraId="577BF569" w14:textId="77777777" w:rsidR="0098161C" w:rsidRDefault="0098161C" w:rsidP="0098161C">
      <w:pPr>
        <w:pStyle w:val="a9"/>
        <w:spacing w:line="360" w:lineRule="auto"/>
        <w:jc w:val="both"/>
      </w:pPr>
    </w:p>
    <w:p w14:paraId="4982A346" w14:textId="77777777" w:rsidR="0098161C" w:rsidRDefault="0098161C" w:rsidP="0098161C">
      <w:pPr>
        <w:pStyle w:val="a9"/>
        <w:numPr>
          <w:ilvl w:val="0"/>
          <w:numId w:val="1"/>
        </w:numPr>
        <w:spacing w:line="360" w:lineRule="auto"/>
        <w:jc w:val="both"/>
      </w:pPr>
      <w:r>
        <w:rPr>
          <w:rFonts w:hint="cs"/>
          <w:rtl/>
        </w:rPr>
        <w:t>עבירות הסמים פוגעות בבריאותם ובגופם של צרכני הסמים וגורמות אף נזקים חברתיים עקיפים, ובכלל זה עבירות רכוש שנולדות כדי לממן את צריכת הסמים.</w:t>
      </w:r>
      <w:r>
        <w:rPr>
          <w:rFonts w:hint="cs"/>
        </w:rPr>
        <w:t xml:space="preserve"> </w:t>
      </w:r>
      <w:r>
        <w:rPr>
          <w:rFonts w:hint="cs"/>
          <w:rtl/>
        </w:rPr>
        <w:t xml:space="preserve">הנאשם שלח ידו בהפצת סמים, אך למרבה המזל אלה נתפסו בסופו של יום על ידי המשטרה. הסם שמכר הנאשם נחשב כ"סם קשה" וממכר, אך מדובר בכמות קטנה, כמנה אחת. </w:t>
      </w:r>
    </w:p>
    <w:p w14:paraId="33BE7E03" w14:textId="77777777" w:rsidR="0098161C" w:rsidRDefault="0098161C" w:rsidP="0098161C">
      <w:pPr>
        <w:pStyle w:val="a9"/>
        <w:spacing w:line="360" w:lineRule="auto"/>
        <w:jc w:val="both"/>
      </w:pPr>
    </w:p>
    <w:p w14:paraId="2DF4FACE" w14:textId="77777777" w:rsidR="0098161C" w:rsidRDefault="0098161C" w:rsidP="0098161C">
      <w:pPr>
        <w:pStyle w:val="a9"/>
        <w:numPr>
          <w:ilvl w:val="0"/>
          <w:numId w:val="1"/>
        </w:numPr>
        <w:spacing w:line="360" w:lineRule="auto"/>
        <w:jc w:val="both"/>
      </w:pPr>
      <w:r>
        <w:rPr>
          <w:rFonts w:hint="cs"/>
          <w:rtl/>
        </w:rPr>
        <w:t xml:space="preserve">בהכרעת הדין נקבע, כי עבירת הסמים תוכננה מראש, והנאשם ורוכש הסמים ניהלו ביניהם תקשורת ערה עד למפגש שבו נמסרו הסמים לקונה. במסגרת נסיבות ביצוע העבירה יש לשקול גם את העובדה כי לנאשם הייתה נגישות לסם "קשה" לצורך מכירתו זמן קצר מאד לאחר שהשתחרר ממאסר ארוך וממעצר. </w:t>
      </w:r>
    </w:p>
    <w:p w14:paraId="2A466FC7" w14:textId="77777777" w:rsidR="0098161C" w:rsidRDefault="0098161C" w:rsidP="0098161C">
      <w:pPr>
        <w:pStyle w:val="a9"/>
        <w:spacing w:line="360" w:lineRule="auto"/>
        <w:jc w:val="both"/>
      </w:pPr>
    </w:p>
    <w:p w14:paraId="6B3AEEF2" w14:textId="77777777" w:rsidR="0098161C" w:rsidRDefault="0098161C" w:rsidP="0098161C">
      <w:pPr>
        <w:pStyle w:val="a9"/>
        <w:numPr>
          <w:ilvl w:val="0"/>
          <w:numId w:val="1"/>
        </w:numPr>
        <w:spacing w:line="360" w:lineRule="auto"/>
        <w:jc w:val="both"/>
      </w:pPr>
      <w:r>
        <w:rPr>
          <w:rFonts w:hint="cs"/>
          <w:rtl/>
        </w:rPr>
        <w:t xml:space="preserve">בשל אלה , מידת הפגיעה של עבירת הסחר בסמים שביצע הנאשם בערכים המוגנים, אף היא בינונית. </w:t>
      </w:r>
    </w:p>
    <w:p w14:paraId="4EEDA8F5" w14:textId="77777777" w:rsidR="0098161C" w:rsidRDefault="0098161C" w:rsidP="0098161C">
      <w:pPr>
        <w:pStyle w:val="a9"/>
        <w:spacing w:line="360" w:lineRule="auto"/>
        <w:jc w:val="both"/>
      </w:pPr>
    </w:p>
    <w:p w14:paraId="0E77A057" w14:textId="77777777" w:rsidR="0098161C" w:rsidRDefault="0098161C" w:rsidP="0098161C">
      <w:pPr>
        <w:pStyle w:val="a9"/>
        <w:numPr>
          <w:ilvl w:val="0"/>
          <w:numId w:val="1"/>
        </w:numPr>
        <w:spacing w:line="360" w:lineRule="auto"/>
        <w:jc w:val="both"/>
      </w:pPr>
      <w:r>
        <w:rPr>
          <w:rFonts w:hint="cs"/>
          <w:rtl/>
        </w:rPr>
        <w:t>פסיקת בתי המשפט חזרה על כך שמי ששולח ידו בסחר בסמים, לא כל שכן בסמים המוגדרים כ"קשים", ראוי לעונש של מאסר מאחורי סורג ובריח. דברים אלה נכונים ביתר שאת, שעה שהעבירה מבוצעת תוך כדי הפרת תנאי שחרור שנקבעו בגין עבירה דומה, ועל רקע הפרות נוספות של תנאי השחרור, אף אם לא בוצעו במהלכן עבירות;</w:t>
      </w:r>
    </w:p>
    <w:p w14:paraId="1E4EDB36" w14:textId="77777777" w:rsidR="0098161C" w:rsidRDefault="0098161C" w:rsidP="0098161C">
      <w:pPr>
        <w:pStyle w:val="a9"/>
        <w:spacing w:line="360" w:lineRule="auto"/>
        <w:jc w:val="both"/>
        <w:rPr>
          <w:rtl/>
        </w:rPr>
      </w:pPr>
      <w:r>
        <w:rPr>
          <w:rFonts w:hint="cs"/>
          <w:rtl/>
        </w:rPr>
        <w:t>ב</w:t>
      </w:r>
      <w:hyperlink r:id="rId20" w:history="1">
        <w:r w:rsidR="0053089A" w:rsidRPr="0053089A">
          <w:rPr>
            <w:color w:val="0000FF"/>
            <w:u w:val="single"/>
            <w:rtl/>
          </w:rPr>
          <w:t>רע"פ 65/15</w:t>
        </w:r>
      </w:hyperlink>
      <w:r>
        <w:rPr>
          <w:rFonts w:hint="cs"/>
          <w:rtl/>
        </w:rPr>
        <w:t xml:space="preserve"> </w:t>
      </w:r>
      <w:r w:rsidRPr="0036383C">
        <w:rPr>
          <w:rFonts w:hint="cs"/>
          <w:b/>
          <w:bCs/>
          <w:rtl/>
        </w:rPr>
        <w:t xml:space="preserve">גמאל מסראווה נ' מדינת ישראל </w:t>
      </w:r>
      <w:r>
        <w:rPr>
          <w:rFonts w:hint="cs"/>
          <w:rtl/>
        </w:rPr>
        <w:t xml:space="preserve">(13.1.15) דחה בית המשפט העליון בקשת רשות ערעור של מי שהורשע על פי הודאתו בשתי עבירות של סחר בקוקאין תמורת 200 ₪ בכל פעם, ונדון לשישה חודשי מאסר בעבודות שירות ועונשים נלווים, תוך שנקבע כי מדובר בעונש מקל וראוי בשל התהליך השיקומי המוצלח שעבר הנאשם. </w:t>
      </w:r>
    </w:p>
    <w:p w14:paraId="523C6388" w14:textId="77777777" w:rsidR="0098161C" w:rsidRDefault="0098161C" w:rsidP="0098161C">
      <w:pPr>
        <w:pStyle w:val="a9"/>
        <w:spacing w:line="360" w:lineRule="auto"/>
        <w:jc w:val="both"/>
        <w:rPr>
          <w:rtl/>
        </w:rPr>
      </w:pPr>
      <w:r>
        <w:rPr>
          <w:rFonts w:hint="cs"/>
          <w:rtl/>
        </w:rPr>
        <w:t>ב</w:t>
      </w:r>
      <w:hyperlink r:id="rId21" w:history="1">
        <w:r w:rsidR="0053089A" w:rsidRPr="0053089A">
          <w:rPr>
            <w:color w:val="0000FF"/>
            <w:u w:val="single"/>
            <w:rtl/>
          </w:rPr>
          <w:t>עפ"ג (ב"ש) 16388-04-10</w:t>
        </w:r>
      </w:hyperlink>
      <w:r>
        <w:rPr>
          <w:rFonts w:hint="cs"/>
          <w:rtl/>
        </w:rPr>
        <w:t xml:space="preserve"> </w:t>
      </w:r>
      <w:r>
        <w:rPr>
          <w:rFonts w:hint="cs"/>
          <w:b/>
          <w:bCs/>
          <w:rtl/>
        </w:rPr>
        <w:t xml:space="preserve">מייזיד חמזה נ' מדינת ישראל </w:t>
      </w:r>
      <w:r>
        <w:rPr>
          <w:rFonts w:hint="cs"/>
          <w:rtl/>
        </w:rPr>
        <w:t xml:space="preserve">(27.12.10) נגזרו על מי שהורשע על פי הודאתו במכירת מנה אחת של הירואין, החזקת סמים לצריכה עצמית והפרת הוראה חוקית שנים-עשר חודשי מאסר בפועל ועונשים נלווים. </w:t>
      </w:r>
    </w:p>
    <w:p w14:paraId="71C34C18" w14:textId="77777777" w:rsidR="0098161C" w:rsidRPr="007D4B72" w:rsidRDefault="0098161C" w:rsidP="0098161C">
      <w:pPr>
        <w:pStyle w:val="a9"/>
        <w:spacing w:line="360" w:lineRule="auto"/>
        <w:jc w:val="both"/>
        <w:rPr>
          <w:rtl/>
        </w:rPr>
      </w:pPr>
      <w:r w:rsidRPr="007D4B72">
        <w:rPr>
          <w:rtl/>
        </w:rPr>
        <w:t>ב</w:t>
      </w:r>
      <w:hyperlink r:id="rId22" w:history="1">
        <w:r w:rsidR="0053089A" w:rsidRPr="0053089A">
          <w:rPr>
            <w:color w:val="0000FF"/>
            <w:u w:val="single"/>
            <w:rtl/>
          </w:rPr>
          <w:t>עפ"ג (מרכז) 568-09-10</w:t>
        </w:r>
      </w:hyperlink>
      <w:r>
        <w:rPr>
          <w:rFonts w:hint="cs"/>
          <w:rtl/>
        </w:rPr>
        <w:t xml:space="preserve"> </w:t>
      </w:r>
      <w:r w:rsidRPr="00284835">
        <w:rPr>
          <w:rFonts w:hint="cs"/>
          <w:b/>
          <w:bCs/>
          <w:rtl/>
        </w:rPr>
        <w:t>ס</w:t>
      </w:r>
      <w:r w:rsidRPr="00284835">
        <w:rPr>
          <w:b/>
          <w:bCs/>
          <w:rtl/>
        </w:rPr>
        <w:t>ימון</w:t>
      </w:r>
      <w:r w:rsidRPr="00284835">
        <w:rPr>
          <w:b/>
          <w:bCs/>
        </w:rPr>
        <w:t xml:space="preserve"> </w:t>
      </w:r>
      <w:r w:rsidRPr="00284835">
        <w:rPr>
          <w:b/>
          <w:bCs/>
          <w:rtl/>
        </w:rPr>
        <w:t>ביטון</w:t>
      </w:r>
      <w:r w:rsidRPr="00284835">
        <w:rPr>
          <w:b/>
          <w:bCs/>
        </w:rPr>
        <w:t xml:space="preserve"> </w:t>
      </w:r>
      <w:r w:rsidRPr="00284835">
        <w:rPr>
          <w:b/>
          <w:bCs/>
          <w:rtl/>
        </w:rPr>
        <w:t>נ</w:t>
      </w:r>
      <w:r w:rsidRPr="00284835">
        <w:rPr>
          <w:rFonts w:hint="cs"/>
          <w:b/>
          <w:bCs/>
          <w:rtl/>
        </w:rPr>
        <w:t xml:space="preserve">' </w:t>
      </w:r>
      <w:r w:rsidRPr="00284835">
        <w:rPr>
          <w:b/>
          <w:bCs/>
          <w:rtl/>
        </w:rPr>
        <w:t>מדינת</w:t>
      </w:r>
      <w:r w:rsidRPr="00284835">
        <w:rPr>
          <w:b/>
          <w:bCs/>
        </w:rPr>
        <w:t xml:space="preserve"> </w:t>
      </w:r>
      <w:r w:rsidRPr="00284835">
        <w:rPr>
          <w:b/>
          <w:bCs/>
          <w:rtl/>
        </w:rPr>
        <w:t>ישראל</w:t>
      </w:r>
      <w:r>
        <w:rPr>
          <w:rFonts w:hint="cs"/>
          <w:b/>
          <w:bCs/>
          <w:rtl/>
        </w:rPr>
        <w:t xml:space="preserve"> </w:t>
      </w:r>
      <w:r>
        <w:rPr>
          <w:rFonts w:hint="cs"/>
          <w:rtl/>
        </w:rPr>
        <w:t xml:space="preserve">(10.11.10) </w:t>
      </w:r>
      <w:r>
        <w:rPr>
          <w:rtl/>
        </w:rPr>
        <w:t>התקב</w:t>
      </w:r>
      <w:r>
        <w:rPr>
          <w:rFonts w:hint="cs"/>
          <w:rtl/>
        </w:rPr>
        <w:t xml:space="preserve">ל באופן חלקי </w:t>
      </w:r>
      <w:r w:rsidRPr="007D4B72">
        <w:rPr>
          <w:rtl/>
        </w:rPr>
        <w:t>ערעור</w:t>
      </w:r>
      <w:r w:rsidRPr="007D4B72">
        <w:t xml:space="preserve"> </w:t>
      </w:r>
      <w:r w:rsidRPr="007D4B72">
        <w:rPr>
          <w:rtl/>
        </w:rPr>
        <w:t>של</w:t>
      </w:r>
      <w:r>
        <w:rPr>
          <w:rFonts w:hint="cs"/>
          <w:rtl/>
        </w:rPr>
        <w:t xml:space="preserve"> מי ש</w:t>
      </w:r>
      <w:r w:rsidRPr="007D4B72">
        <w:rPr>
          <w:rtl/>
        </w:rPr>
        <w:t>הורשע</w:t>
      </w:r>
      <w:r w:rsidRPr="007D4B72">
        <w:t xml:space="preserve"> </w:t>
      </w:r>
      <w:r w:rsidRPr="007D4B72">
        <w:rPr>
          <w:rtl/>
        </w:rPr>
        <w:t>על</w:t>
      </w:r>
      <w:r w:rsidRPr="007D4B72">
        <w:t xml:space="preserve"> </w:t>
      </w:r>
      <w:r w:rsidRPr="007D4B72">
        <w:rPr>
          <w:rtl/>
        </w:rPr>
        <w:t>יסוד</w:t>
      </w:r>
      <w:r w:rsidRPr="007D4B72">
        <w:t xml:space="preserve"> </w:t>
      </w:r>
      <w:r w:rsidRPr="007D4B72">
        <w:rPr>
          <w:rtl/>
        </w:rPr>
        <w:t>הודאתו</w:t>
      </w:r>
      <w:r w:rsidRPr="007D4B72">
        <w:t xml:space="preserve"> </w:t>
      </w:r>
      <w:r w:rsidRPr="007D4B72">
        <w:rPr>
          <w:rtl/>
        </w:rPr>
        <w:t>בביצוע</w:t>
      </w:r>
      <w:r w:rsidRPr="007D4B72">
        <w:t xml:space="preserve"> </w:t>
      </w:r>
      <w:r w:rsidRPr="007D4B72">
        <w:rPr>
          <w:rtl/>
        </w:rPr>
        <w:t>עבירות</w:t>
      </w:r>
      <w:r w:rsidRPr="007D4B72">
        <w:t xml:space="preserve"> </w:t>
      </w:r>
      <w:r w:rsidRPr="007D4B72">
        <w:rPr>
          <w:rtl/>
        </w:rPr>
        <w:t>של</w:t>
      </w:r>
      <w:r w:rsidRPr="007D4B72">
        <w:t xml:space="preserve"> </w:t>
      </w:r>
      <w:r w:rsidRPr="007D4B72">
        <w:rPr>
          <w:rtl/>
        </w:rPr>
        <w:t>הפרת</w:t>
      </w:r>
      <w:r w:rsidRPr="007D4B72">
        <w:t xml:space="preserve"> </w:t>
      </w:r>
      <w:r w:rsidRPr="007D4B72">
        <w:rPr>
          <w:rtl/>
        </w:rPr>
        <w:t>הוראה</w:t>
      </w:r>
      <w:r w:rsidRPr="007D4B72">
        <w:t xml:space="preserve"> </w:t>
      </w:r>
      <w:r w:rsidRPr="007D4B72">
        <w:rPr>
          <w:rtl/>
        </w:rPr>
        <w:t>חוקית</w:t>
      </w:r>
      <w:r w:rsidRPr="007D4B72">
        <w:t xml:space="preserve"> </w:t>
      </w:r>
      <w:r w:rsidRPr="007D4B72">
        <w:rPr>
          <w:rtl/>
        </w:rPr>
        <w:t>והחזקת</w:t>
      </w:r>
      <w:r w:rsidRPr="007D4B72">
        <w:t xml:space="preserve"> </w:t>
      </w:r>
      <w:r w:rsidRPr="007D4B72">
        <w:rPr>
          <w:rtl/>
        </w:rPr>
        <w:t>סמים</w:t>
      </w:r>
      <w:r w:rsidRPr="007D4B72">
        <w:t xml:space="preserve"> </w:t>
      </w:r>
      <w:r w:rsidRPr="007D4B72">
        <w:rPr>
          <w:rtl/>
        </w:rPr>
        <w:t>לצריכה</w:t>
      </w:r>
      <w:r w:rsidRPr="007D4B72">
        <w:t xml:space="preserve"> </w:t>
      </w:r>
      <w:r>
        <w:rPr>
          <w:rtl/>
        </w:rPr>
        <w:t>עצמי</w:t>
      </w:r>
      <w:r>
        <w:rPr>
          <w:rFonts w:hint="cs"/>
          <w:rtl/>
        </w:rPr>
        <w:t xml:space="preserve">ת בכל הנוגע לחפיפה של העונש שנגזר עליו לעונש מאסר אחר שאותו ריצה. </w:t>
      </w:r>
      <w:r w:rsidRPr="007D4B72">
        <w:rPr>
          <w:rtl/>
        </w:rPr>
        <w:t>על</w:t>
      </w:r>
      <w:r w:rsidRPr="007D4B72">
        <w:t xml:space="preserve"> </w:t>
      </w:r>
      <w:r w:rsidRPr="007D4B72">
        <w:rPr>
          <w:rtl/>
        </w:rPr>
        <w:t>הנאשם</w:t>
      </w:r>
      <w:r>
        <w:rPr>
          <w:rFonts w:hint="cs"/>
          <w:rtl/>
        </w:rPr>
        <w:t xml:space="preserve">, </w:t>
      </w:r>
      <w:r w:rsidRPr="007D4B72">
        <w:rPr>
          <w:rtl/>
        </w:rPr>
        <w:t>בעל</w:t>
      </w:r>
      <w:r w:rsidRPr="007D4B72">
        <w:t xml:space="preserve"> </w:t>
      </w:r>
      <w:r w:rsidRPr="007D4B72">
        <w:rPr>
          <w:rtl/>
        </w:rPr>
        <w:t>עבר</w:t>
      </w:r>
      <w:r w:rsidRPr="007D4B72">
        <w:t xml:space="preserve"> </w:t>
      </w:r>
      <w:r w:rsidRPr="007D4B72">
        <w:rPr>
          <w:rtl/>
        </w:rPr>
        <w:t>פלילי</w:t>
      </w:r>
      <w:r>
        <w:rPr>
          <w:rFonts w:hint="cs"/>
          <w:rtl/>
        </w:rPr>
        <w:t xml:space="preserve">, </w:t>
      </w:r>
      <w:r w:rsidRPr="007D4B72">
        <w:rPr>
          <w:rtl/>
        </w:rPr>
        <w:t>הוטלו</w:t>
      </w:r>
      <w:r w:rsidRPr="007D4B72">
        <w:t xml:space="preserve"> 6 </w:t>
      </w:r>
      <w:r w:rsidRPr="007D4B72">
        <w:rPr>
          <w:rtl/>
        </w:rPr>
        <w:t>חודשי</w:t>
      </w:r>
      <w:r w:rsidRPr="007D4B72">
        <w:t xml:space="preserve"> </w:t>
      </w:r>
      <w:r w:rsidRPr="007D4B72">
        <w:rPr>
          <w:rtl/>
        </w:rPr>
        <w:t>מאסר</w:t>
      </w:r>
      <w:r w:rsidRPr="007D4B72">
        <w:t xml:space="preserve"> </w:t>
      </w:r>
      <w:r w:rsidRPr="007D4B72">
        <w:rPr>
          <w:rtl/>
        </w:rPr>
        <w:t>בפועל</w:t>
      </w:r>
      <w:r w:rsidRPr="007D4B72">
        <w:t xml:space="preserve"> </w:t>
      </w:r>
      <w:r w:rsidRPr="007D4B72">
        <w:rPr>
          <w:rtl/>
        </w:rPr>
        <w:t>לצד</w:t>
      </w:r>
      <w:r w:rsidRPr="007D4B72">
        <w:t xml:space="preserve"> </w:t>
      </w:r>
      <w:r w:rsidRPr="007D4B72">
        <w:rPr>
          <w:rtl/>
        </w:rPr>
        <w:t>הפעלת</w:t>
      </w:r>
      <w:r w:rsidRPr="007D4B72">
        <w:t xml:space="preserve"> </w:t>
      </w:r>
      <w:r w:rsidRPr="007D4B72">
        <w:rPr>
          <w:rtl/>
        </w:rPr>
        <w:t>מאסר</w:t>
      </w:r>
      <w:r w:rsidRPr="007D4B72">
        <w:t xml:space="preserve"> </w:t>
      </w:r>
      <w:r w:rsidRPr="007D4B72">
        <w:rPr>
          <w:rtl/>
        </w:rPr>
        <w:t>מותנה</w:t>
      </w:r>
      <w:r>
        <w:rPr>
          <w:rFonts w:hint="cs"/>
          <w:rtl/>
        </w:rPr>
        <w:t xml:space="preserve">, </w:t>
      </w:r>
      <w:r w:rsidRPr="007D4B72">
        <w:rPr>
          <w:rtl/>
        </w:rPr>
        <w:t>חלקו</w:t>
      </w:r>
      <w:r w:rsidRPr="007D4B72">
        <w:t xml:space="preserve"> </w:t>
      </w:r>
      <w:r w:rsidRPr="007D4B72">
        <w:rPr>
          <w:rtl/>
        </w:rPr>
        <w:t>במצטבר</w:t>
      </w:r>
      <w:r>
        <w:rPr>
          <w:rFonts w:hint="cs"/>
          <w:rtl/>
        </w:rPr>
        <w:t xml:space="preserve">, </w:t>
      </w:r>
      <w:r w:rsidRPr="007D4B72">
        <w:rPr>
          <w:rtl/>
        </w:rPr>
        <w:t>ומאסר</w:t>
      </w:r>
      <w:r w:rsidRPr="007D4B72">
        <w:t xml:space="preserve"> </w:t>
      </w:r>
      <w:r w:rsidRPr="007D4B72">
        <w:rPr>
          <w:rtl/>
        </w:rPr>
        <w:t>מותנה</w:t>
      </w:r>
      <w:r w:rsidRPr="007D4B72">
        <w:t>.</w:t>
      </w:r>
    </w:p>
    <w:p w14:paraId="6C4B1FF0" w14:textId="77777777" w:rsidR="0098161C" w:rsidRPr="007D4B72" w:rsidRDefault="0098161C" w:rsidP="0098161C">
      <w:pPr>
        <w:pStyle w:val="a9"/>
        <w:spacing w:line="360" w:lineRule="auto"/>
        <w:jc w:val="both"/>
        <w:rPr>
          <w:rtl/>
        </w:rPr>
      </w:pPr>
    </w:p>
    <w:p w14:paraId="191537B2" w14:textId="77777777" w:rsidR="0098161C" w:rsidRDefault="0098161C" w:rsidP="0098161C">
      <w:pPr>
        <w:pStyle w:val="a9"/>
        <w:numPr>
          <w:ilvl w:val="0"/>
          <w:numId w:val="1"/>
        </w:numPr>
        <w:spacing w:line="360" w:lineRule="auto"/>
        <w:jc w:val="both"/>
      </w:pPr>
      <w:r>
        <w:rPr>
          <w:rFonts w:hint="cs"/>
          <w:rtl/>
        </w:rPr>
        <w:t xml:space="preserve">לנוכח האמור לעיל, אני קובעת כי מתחם העונש ההולם את שתי העבירות שבהן הורשע הנאשם מתחיל מתשעה חודשי מאסר בפועל ומגיע עד לעשרים חודשי מאסר בפועל, ולצדם עונשים נלווים של מאסר מותנה וקנס. </w:t>
      </w:r>
    </w:p>
    <w:p w14:paraId="5E0664BB" w14:textId="77777777" w:rsidR="0098161C" w:rsidRDefault="0098161C" w:rsidP="0098161C">
      <w:pPr>
        <w:pStyle w:val="a9"/>
        <w:spacing w:line="360" w:lineRule="auto"/>
        <w:jc w:val="both"/>
      </w:pPr>
      <w:r>
        <w:rPr>
          <w:rFonts w:hint="cs"/>
          <w:rtl/>
        </w:rPr>
        <w:t xml:space="preserve">להטלת עונש בעל היבט כלכלי ישנה חשיבות, שעה שעבירות הסחר בסם מבוצעות מתוך בצע כסף. עם זאת, בקביעת גובה הקנס אתחשב, כמצוות </w:t>
      </w:r>
      <w:hyperlink r:id="rId23" w:history="1">
        <w:r w:rsidR="00DF3B73" w:rsidRPr="00DF3B73">
          <w:rPr>
            <w:color w:val="0000FF"/>
            <w:u w:val="single"/>
            <w:rtl/>
          </w:rPr>
          <w:t>סעיף 40ח</w:t>
        </w:r>
      </w:hyperlink>
      <w:r>
        <w:rPr>
          <w:rFonts w:hint="cs"/>
          <w:rtl/>
        </w:rPr>
        <w:t xml:space="preserve"> ל</w:t>
      </w:r>
      <w:hyperlink r:id="rId24" w:history="1">
        <w:r w:rsidR="0053089A" w:rsidRPr="0053089A">
          <w:rPr>
            <w:color w:val="0000FF"/>
            <w:u w:val="single"/>
            <w:rtl/>
          </w:rPr>
          <w:t>חוק העונשין</w:t>
        </w:r>
      </w:hyperlink>
      <w:r>
        <w:rPr>
          <w:rFonts w:hint="cs"/>
          <w:rtl/>
        </w:rPr>
        <w:t xml:space="preserve"> התשל"ז- 1977 (להלן: "</w:t>
      </w:r>
      <w:hyperlink r:id="rId25" w:history="1">
        <w:r w:rsidR="0053089A" w:rsidRPr="0053089A">
          <w:rPr>
            <w:color w:val="0000FF"/>
            <w:u w:val="single"/>
            <w:rtl/>
          </w:rPr>
          <w:t>חוק העונשין</w:t>
        </w:r>
      </w:hyperlink>
      <w:r>
        <w:rPr>
          <w:rFonts w:hint="cs"/>
          <w:rtl/>
        </w:rPr>
        <w:t xml:space="preserve">"), במצבו הכלכלי של הנאשם כפי שמשתקף מתוך תסקירי שירות המבחן. </w:t>
      </w:r>
    </w:p>
    <w:p w14:paraId="36533532" w14:textId="77777777" w:rsidR="0098161C" w:rsidRDefault="0098161C" w:rsidP="0098161C">
      <w:pPr>
        <w:pStyle w:val="a9"/>
        <w:spacing w:line="360" w:lineRule="auto"/>
        <w:jc w:val="both"/>
      </w:pPr>
    </w:p>
    <w:p w14:paraId="312CA225" w14:textId="77777777" w:rsidR="0098161C" w:rsidRDefault="0098161C" w:rsidP="0098161C">
      <w:pPr>
        <w:pStyle w:val="a9"/>
        <w:numPr>
          <w:ilvl w:val="0"/>
          <w:numId w:val="1"/>
        </w:numPr>
        <w:spacing w:line="360" w:lineRule="auto"/>
        <w:jc w:val="both"/>
      </w:pPr>
      <w:r>
        <w:rPr>
          <w:rFonts w:hint="cs"/>
          <w:rtl/>
        </w:rPr>
        <w:t>הנאשם בן 31. לחובתו עבר פלילי מכביד, הכולל עשר הרשעות קודמות בעבירות רכוש, אלימות,  סמים, הפרת הוראה חוקית והונאה. גיליון הרישום הפלילי מלמד, כי לאורך חייו ריצה הנאשם מספר עונשי מאסר, חלקם לתקופות ממושכות. גזר הדין האחרון בעניינו של הנאשם ניתן ב</w:t>
      </w:r>
      <w:hyperlink r:id="rId26" w:history="1">
        <w:r w:rsidR="0053089A" w:rsidRPr="0053089A">
          <w:rPr>
            <w:color w:val="0000FF"/>
            <w:u w:val="single"/>
            <w:rtl/>
          </w:rPr>
          <w:t>ת"פ 28198-01-16</w:t>
        </w:r>
      </w:hyperlink>
      <w:r>
        <w:rPr>
          <w:rFonts w:hint="cs"/>
          <w:rtl/>
        </w:rPr>
        <w:t xml:space="preserve"> הנ"ל, ביום 15.2.17, ובו נגזרו על הנאשם שישה חודשי מאסר בפועל אותם הוא מרצה כעת, ועונשי מאסר מותנים. </w:t>
      </w:r>
    </w:p>
    <w:p w14:paraId="18553D43" w14:textId="77777777" w:rsidR="0098161C" w:rsidRDefault="0098161C" w:rsidP="0098161C">
      <w:pPr>
        <w:pStyle w:val="a9"/>
        <w:spacing w:line="360" w:lineRule="auto"/>
        <w:jc w:val="both"/>
      </w:pPr>
    </w:p>
    <w:p w14:paraId="191BE253" w14:textId="77777777" w:rsidR="0098161C" w:rsidRDefault="0098161C" w:rsidP="0098161C">
      <w:pPr>
        <w:pStyle w:val="a9"/>
        <w:numPr>
          <w:ilvl w:val="0"/>
          <w:numId w:val="1"/>
        </w:numPr>
        <w:spacing w:line="360" w:lineRule="auto"/>
        <w:jc w:val="both"/>
      </w:pPr>
      <w:r>
        <w:rPr>
          <w:rFonts w:hint="cs"/>
          <w:rtl/>
        </w:rPr>
        <w:t xml:space="preserve">במהלך שמיעת הטיעונים לעונש, ולנוכח גיליון הרישום הפלילי של הנאשם, התברר כי לנאשם עונש מאסר מותנה שהוטל עליו במסגרת ת"פ (שלום בית- שמש) 1016/07. מאחר ובידי התביעה לא היה באותה עת כל מידע הנוגע לשאלת תחולתו של המאסר המותנה, ולנוכח לשונו של </w:t>
      </w:r>
      <w:hyperlink r:id="rId27" w:history="1">
        <w:r w:rsidR="00DF3B73" w:rsidRPr="00DF3B73">
          <w:rPr>
            <w:color w:val="0000FF"/>
            <w:u w:val="single"/>
            <w:rtl/>
          </w:rPr>
          <w:t>סעיף 52</w:t>
        </w:r>
      </w:hyperlink>
      <w:r>
        <w:rPr>
          <w:rFonts w:hint="cs"/>
          <w:rtl/>
        </w:rPr>
        <w:t xml:space="preserve"> ל</w:t>
      </w:r>
      <w:hyperlink r:id="rId28" w:history="1">
        <w:r w:rsidR="0053089A" w:rsidRPr="0053089A">
          <w:rPr>
            <w:color w:val="0000FF"/>
            <w:u w:val="single"/>
            <w:rtl/>
          </w:rPr>
          <w:t>חוק העונשין</w:t>
        </w:r>
      </w:hyperlink>
      <w:r>
        <w:rPr>
          <w:rFonts w:hint="cs"/>
          <w:rtl/>
        </w:rPr>
        <w:t xml:space="preserve">, אשר אינה מאפשרת, לטעמי, לבית המשפט להתעלם מעונש מאסר מותנה שנודע לו על קיומו, אפשרתי לצדדים להשלים טענותיהם בכתב בעניין זה. המאשימה הגישה בקשה להפעלת עונש המאסר המותנה, שלוותה בהעתק גזר הדין ורישום המעצרים והמאסרים של הנאשם בשירות בתי הסוהר. מתוך גזר הדין שהוגש עולה, כי ביום 31.12.12 נגזרו על הנאשם במסגרת ת"פ 1016/07 הנ"ל, בין היתר, שישה חודשי מאסר על תנאי למשך שלוש שנים מיום שחרורו ממאסר, שלא יעבור עבירות "אלימות, סמים או רכוש שהן פשע או עבירה של החזקת סכין". </w:t>
      </w:r>
    </w:p>
    <w:p w14:paraId="5DC6395B" w14:textId="77777777" w:rsidR="0098161C" w:rsidRDefault="0098161C" w:rsidP="0098161C">
      <w:pPr>
        <w:pStyle w:val="a9"/>
        <w:spacing w:line="360" w:lineRule="auto"/>
        <w:jc w:val="both"/>
      </w:pPr>
      <w:r>
        <w:rPr>
          <w:rFonts w:hint="cs"/>
          <w:rtl/>
        </w:rPr>
        <w:t xml:space="preserve">עבירת הסחר בסמים בתיק הנוכחי בוצעה ביום 1.3.16, לכאורה בחלוף למעלה משלוש שנים ממועד גזר הדין. דא עקא, שמתוך פלט הכניסות והיציאות של הנאשם לשב"ס עולה, כי  הנאשם שהה במעצר או במאסר מיום 9.10.12 ועד יום 29.11.15, וכן מיום 31.12.15 ועד יום 1.2.16. מאז גזר הדין שבו הוטל המאסר המותנה ועד לביצוע העבירה בתיק הנוכחי, הספיק הנאשם להיות משוחרר מבית הסוהר תקופה מצטברת של כחודש וחצי בלבד, ומכאן שעונש המאסר המותנה הוא בר הפעלה. </w:t>
      </w:r>
    </w:p>
    <w:p w14:paraId="18934289" w14:textId="77777777" w:rsidR="0098161C" w:rsidRDefault="0098161C" w:rsidP="0098161C">
      <w:pPr>
        <w:pStyle w:val="a9"/>
        <w:spacing w:line="360" w:lineRule="auto"/>
        <w:jc w:val="both"/>
      </w:pPr>
    </w:p>
    <w:p w14:paraId="646C3984" w14:textId="77777777" w:rsidR="0098161C" w:rsidRDefault="0098161C" w:rsidP="0098161C">
      <w:pPr>
        <w:pStyle w:val="a9"/>
        <w:numPr>
          <w:ilvl w:val="0"/>
          <w:numId w:val="1"/>
        </w:numPr>
        <w:spacing w:line="360" w:lineRule="auto"/>
        <w:jc w:val="both"/>
      </w:pPr>
      <w:r>
        <w:rPr>
          <w:rFonts w:hint="cs"/>
          <w:rtl/>
        </w:rPr>
        <w:t xml:space="preserve">הנאשם החל בתהליך שיקום במסגרת תיק אחר. כפי שעולה מתוך תסקירי המבחן שהוגשו, אין מדובר בניסיון שיקום ראשון של הנאשם, וחרף ההזדמנות הנוספת שניתנה לו וחרב המאסר שהתהפכה מעל ראשו, הנאשם כשל גם בהליך זה. עובדה זו וודאי שאינה מצדיקה חריגה ממתחם העונש ההולם מטעמי שיקום, והיא אף מחייבת שקילת שיקולים של הרתעה אישית, שכן לנוכח קיומם של דפוסים עברייניים מושרשים שלא טופלו, ועל רקע עברו הפלילי, קיים חשש ממשי כי  הנאשם ישוב לסורו. בהתאם להוראת </w:t>
      </w:r>
      <w:hyperlink r:id="rId29" w:history="1">
        <w:r w:rsidR="00DF3B73" w:rsidRPr="00DF3B73">
          <w:rPr>
            <w:color w:val="0000FF"/>
            <w:u w:val="single"/>
            <w:rtl/>
          </w:rPr>
          <w:t>סעיף 40ה</w:t>
        </w:r>
      </w:hyperlink>
      <w:r>
        <w:rPr>
          <w:rFonts w:hint="cs"/>
          <w:rtl/>
        </w:rPr>
        <w:t xml:space="preserve"> ל</w:t>
      </w:r>
      <w:hyperlink r:id="rId30" w:history="1">
        <w:r w:rsidR="0053089A" w:rsidRPr="0053089A">
          <w:rPr>
            <w:color w:val="0000FF"/>
            <w:u w:val="single"/>
            <w:rtl/>
          </w:rPr>
          <w:t>חוק העונשין</w:t>
        </w:r>
      </w:hyperlink>
      <w:r>
        <w:rPr>
          <w:rFonts w:hint="cs"/>
          <w:rtl/>
        </w:rPr>
        <w:t xml:space="preserve">, שיקולים אלה יקבלו ביטוי בתוך מתחם העונש ההולם. </w:t>
      </w:r>
    </w:p>
    <w:p w14:paraId="26E75C30" w14:textId="77777777" w:rsidR="0098161C" w:rsidRDefault="0098161C" w:rsidP="0098161C">
      <w:pPr>
        <w:pStyle w:val="a9"/>
        <w:spacing w:line="360" w:lineRule="auto"/>
        <w:jc w:val="both"/>
      </w:pPr>
    </w:p>
    <w:p w14:paraId="14C8721C" w14:textId="77777777" w:rsidR="0098161C" w:rsidRDefault="0098161C" w:rsidP="0098161C">
      <w:pPr>
        <w:pStyle w:val="a9"/>
        <w:numPr>
          <w:ilvl w:val="0"/>
          <w:numId w:val="1"/>
        </w:numPr>
        <w:spacing w:line="360" w:lineRule="auto"/>
        <w:jc w:val="both"/>
      </w:pPr>
      <w:r>
        <w:rPr>
          <w:rFonts w:hint="cs"/>
          <w:rtl/>
        </w:rPr>
        <w:t>שקלתי לקולא את הודאתו של הנאשם באישום השני.</w:t>
      </w:r>
    </w:p>
    <w:p w14:paraId="68CE5963" w14:textId="77777777" w:rsidR="0098161C" w:rsidRDefault="0098161C" w:rsidP="0098161C">
      <w:pPr>
        <w:pStyle w:val="a9"/>
        <w:spacing w:line="360" w:lineRule="auto"/>
        <w:jc w:val="both"/>
        <w:rPr>
          <w:rtl/>
        </w:rPr>
      </w:pPr>
      <w:r>
        <w:rPr>
          <w:rFonts w:hint="cs"/>
          <w:rtl/>
        </w:rPr>
        <w:t xml:space="preserve">מובן כי לא ניתן לשקול לחובתו של הנאשם את עמידתו על כך שתובאנה ראיות להוכחת האישום הראשון, בפרט שעה שניהול ההגנה נעשה בדרך עניינית ויעילה. לדאבון הלב, קשה לומר דברים דומים על התנהלותה של המאשימה. הדברים באו לביטוי בהחלטתי מיום 23.2.17 שנגעה לעובדה כי המאשימה לא הגישה במועד שנקבע את תיק המוצגים המוסכמים, באופן שמנע מבית המשפט להכיר את הראיות המוסכמות עוד טרם תחילת הדיון; הדברים באו לביטוי בצורה המרושלת שבה הוגש תיק המוצגים לאחר שניתנה ארכה לכך, כפי שנכתב בפסקה הראשונה של סעיף 4 להכרעת הדין; הדברים באו לביטוי בכל הנוגע להתנהלות התביעה ביחס לעד אלירן לוי, כפי שפורט בסעיף 20 להכרעת הדין ולבסוף באו הדברים לביטוי בהתנהלות המאשימה במועד שמיעת הטיעונים לעונש - אי הכרותה את דבר קיומו של מאסר מותנה העומד לחובת הנאשם. בהתאם להוראות </w:t>
      </w:r>
      <w:hyperlink r:id="rId31" w:history="1">
        <w:r w:rsidR="00DF3B73" w:rsidRPr="00DF3B73">
          <w:rPr>
            <w:color w:val="0000FF"/>
            <w:u w:val="single"/>
            <w:rtl/>
          </w:rPr>
          <w:t>סעיף 40יא(9)</w:t>
        </w:r>
      </w:hyperlink>
      <w:r>
        <w:rPr>
          <w:rFonts w:hint="cs"/>
          <w:rtl/>
        </w:rPr>
        <w:t xml:space="preserve"> ל</w:t>
      </w:r>
      <w:hyperlink r:id="rId32" w:history="1">
        <w:r w:rsidR="0053089A" w:rsidRPr="0053089A">
          <w:rPr>
            <w:color w:val="0000FF"/>
            <w:u w:val="single"/>
            <w:rtl/>
          </w:rPr>
          <w:t>חוק העונשין</w:t>
        </w:r>
      </w:hyperlink>
      <w:r>
        <w:rPr>
          <w:rFonts w:hint="cs"/>
          <w:rtl/>
        </w:rPr>
        <w:t xml:space="preserve">, אשקול גם התנהלות זו של המאשימה בעת קביעת העונש ההולם. </w:t>
      </w:r>
    </w:p>
    <w:p w14:paraId="4F48142A" w14:textId="77777777" w:rsidR="0098161C" w:rsidRDefault="0098161C" w:rsidP="0098161C">
      <w:pPr>
        <w:spacing w:line="360" w:lineRule="auto"/>
        <w:jc w:val="both"/>
      </w:pPr>
    </w:p>
    <w:p w14:paraId="1B3A6A00" w14:textId="77777777" w:rsidR="0098161C" w:rsidRDefault="0098161C" w:rsidP="0098161C">
      <w:pPr>
        <w:pStyle w:val="a9"/>
        <w:numPr>
          <w:ilvl w:val="0"/>
          <w:numId w:val="1"/>
        </w:numPr>
        <w:spacing w:line="360" w:lineRule="auto"/>
        <w:jc w:val="both"/>
      </w:pPr>
      <w:r>
        <w:rPr>
          <w:rFonts w:hint="cs"/>
          <w:rtl/>
        </w:rPr>
        <w:t xml:space="preserve">מכלול השיקולים שפורטו לעיל מביאני למסקנה כי יש לגזור את עונשו של הנאשם בשליש העליון של מתחם העונש ההולם, אם כי לא בראש המתחם. </w:t>
      </w:r>
    </w:p>
    <w:p w14:paraId="2B013434" w14:textId="77777777" w:rsidR="0098161C" w:rsidRPr="00A515DC" w:rsidRDefault="0098161C" w:rsidP="0098161C">
      <w:pPr>
        <w:pStyle w:val="a9"/>
        <w:spacing w:line="360" w:lineRule="auto"/>
        <w:jc w:val="both"/>
      </w:pPr>
    </w:p>
    <w:p w14:paraId="683C7D30" w14:textId="77777777" w:rsidR="0098161C" w:rsidRDefault="0098161C" w:rsidP="0098161C">
      <w:pPr>
        <w:pStyle w:val="a9"/>
        <w:numPr>
          <w:ilvl w:val="0"/>
          <w:numId w:val="1"/>
        </w:numPr>
        <w:spacing w:line="360" w:lineRule="auto"/>
        <w:jc w:val="both"/>
      </w:pPr>
      <w:r>
        <w:rPr>
          <w:rFonts w:hint="cs"/>
          <w:rtl/>
        </w:rPr>
        <w:t xml:space="preserve">הנאשם מרצה כעת עונש מאסר בתיק אחר. על פי הוראת </w:t>
      </w:r>
      <w:hyperlink r:id="rId33" w:history="1">
        <w:r w:rsidR="00DF3B73" w:rsidRPr="00DF3B73">
          <w:rPr>
            <w:color w:val="0000FF"/>
            <w:u w:val="single"/>
            <w:rtl/>
          </w:rPr>
          <w:t>סעיף 45(ב)</w:t>
        </w:r>
      </w:hyperlink>
      <w:r>
        <w:rPr>
          <w:rFonts w:hint="cs"/>
          <w:rtl/>
        </w:rPr>
        <w:t xml:space="preserve"> ל</w:t>
      </w:r>
      <w:hyperlink r:id="rId34" w:history="1">
        <w:r w:rsidR="0053089A" w:rsidRPr="0053089A">
          <w:rPr>
            <w:color w:val="0000FF"/>
            <w:u w:val="single"/>
            <w:rtl/>
          </w:rPr>
          <w:t>חוק העונשין</w:t>
        </w:r>
      </w:hyperlink>
      <w:r>
        <w:rPr>
          <w:rFonts w:hint="cs"/>
          <w:rtl/>
        </w:rPr>
        <w:t xml:space="preserve">, ברירת המחדל היא כי העונשים ירוצו באופן חופף זה לזה. במקרה דנן מצאתי כי יש לקבוע שהנאשם ירצה את העונש שייגזר עליו בתיק הנוכחי במצטבר לעונש שאותו מרצה, בשל כך שהנאשם ביצע את העבירות בתיק הנוכחי, תוך הפרת תנאי שחרור שהוטלו עליו במסגרת התיק האחר, וראוי שמעשים אלה יקבלו ביטוי עונשי נפרד. </w:t>
      </w:r>
    </w:p>
    <w:p w14:paraId="739B9385" w14:textId="77777777" w:rsidR="0098161C" w:rsidRPr="00FE3D7A" w:rsidRDefault="0098161C" w:rsidP="0098161C">
      <w:pPr>
        <w:pStyle w:val="a9"/>
        <w:spacing w:line="360" w:lineRule="auto"/>
        <w:jc w:val="both"/>
      </w:pPr>
    </w:p>
    <w:p w14:paraId="32774389" w14:textId="77777777" w:rsidR="0098161C" w:rsidRDefault="0098161C" w:rsidP="0098161C">
      <w:pPr>
        <w:pStyle w:val="a9"/>
        <w:numPr>
          <w:ilvl w:val="0"/>
          <w:numId w:val="1"/>
        </w:numPr>
        <w:spacing w:line="360" w:lineRule="auto"/>
        <w:jc w:val="both"/>
      </w:pPr>
      <w:r>
        <w:rPr>
          <w:rFonts w:hint="cs"/>
          <w:rtl/>
        </w:rPr>
        <w:t xml:space="preserve">אשר לאופן הפעלת המאסר המותנה, שקלתי מחד גיסא את העובדה כי הנאשם אמנם ביצע את העבירה בתיק הנוכחי למעלה משלוש שנים לאחר הטלת התנאי, אך כחודש וחצי בלבד לאחר ששוחרר ממאסר, שרק אז הייתה לו אפשרות לבצע עבירות מסוג זה. מאידך גיסא שקלתי את התנהלות המאשימה בכל הנוגע למאסר המותנה כפי שפורטה לעיל, ומצאתי כי יש להפעיל את עונש המאסר המותנה, כך שחלק הארי שלו ירוצה בחופף לעונש שנגזר על הנאשם בתיק זה.    </w:t>
      </w:r>
    </w:p>
    <w:p w14:paraId="2466C01A" w14:textId="77777777" w:rsidR="0098161C" w:rsidRDefault="0098161C" w:rsidP="0098161C">
      <w:pPr>
        <w:pStyle w:val="a9"/>
        <w:spacing w:line="360" w:lineRule="auto"/>
        <w:jc w:val="both"/>
      </w:pPr>
    </w:p>
    <w:p w14:paraId="14E47D6A" w14:textId="77777777" w:rsidR="0098161C" w:rsidRPr="0094646C" w:rsidRDefault="0098161C" w:rsidP="0098161C">
      <w:pPr>
        <w:pStyle w:val="a9"/>
        <w:numPr>
          <w:ilvl w:val="0"/>
          <w:numId w:val="1"/>
        </w:numPr>
        <w:spacing w:line="360" w:lineRule="auto"/>
        <w:jc w:val="both"/>
        <w:rPr>
          <w:b/>
          <w:bCs/>
          <w:u w:val="single"/>
        </w:rPr>
      </w:pPr>
      <w:r>
        <w:rPr>
          <w:rFonts w:hint="cs"/>
          <w:rtl/>
        </w:rPr>
        <w:t xml:space="preserve">אשר לניכוי ימי מעצר של הנאשם, המאשימה טענה כי הנאשם שהה במעצר בגין תיק זה מיום 2.3.16 ועד יום 13.3.16. מאחר וב"כ הנאשם חלק על כך במהלך הדיון, אפשרתי לו להגיש הודעה משלימה מטעמו בנוגע לחישוב ימי המעצר, ואולם הודעה כאמור לא הוגשה.  </w:t>
      </w:r>
    </w:p>
    <w:p w14:paraId="1CAC086D" w14:textId="77777777" w:rsidR="0098161C" w:rsidRPr="0094646C" w:rsidRDefault="0098161C" w:rsidP="0098161C">
      <w:pPr>
        <w:pStyle w:val="a9"/>
        <w:spacing w:line="360" w:lineRule="auto"/>
        <w:jc w:val="both"/>
      </w:pPr>
    </w:p>
    <w:p w14:paraId="0ECC0AED" w14:textId="77777777" w:rsidR="0098161C" w:rsidRDefault="0098161C" w:rsidP="0098161C">
      <w:pPr>
        <w:pStyle w:val="a9"/>
        <w:numPr>
          <w:ilvl w:val="0"/>
          <w:numId w:val="1"/>
        </w:numPr>
        <w:spacing w:line="360" w:lineRule="auto"/>
        <w:jc w:val="both"/>
      </w:pPr>
      <w:r>
        <w:rPr>
          <w:rFonts w:hint="cs"/>
          <w:rtl/>
        </w:rPr>
        <w:t xml:space="preserve">בכל הנוגע לגובה הקנס, שקלתי את העובדה כי לאחר הפרת תנאי השחרור חולטה לנאשם ערבות בסך 10,000 ₪. </w:t>
      </w:r>
    </w:p>
    <w:p w14:paraId="44CBEAF5" w14:textId="77777777" w:rsidR="0098161C" w:rsidRDefault="0098161C" w:rsidP="0098161C">
      <w:pPr>
        <w:pStyle w:val="a9"/>
        <w:spacing w:line="360" w:lineRule="auto"/>
        <w:jc w:val="both"/>
      </w:pPr>
    </w:p>
    <w:p w14:paraId="5E019012" w14:textId="77777777" w:rsidR="0098161C" w:rsidRDefault="0098161C" w:rsidP="0098161C">
      <w:pPr>
        <w:pStyle w:val="a9"/>
        <w:numPr>
          <w:ilvl w:val="0"/>
          <w:numId w:val="1"/>
        </w:numPr>
        <w:spacing w:line="360" w:lineRule="auto"/>
        <w:jc w:val="both"/>
      </w:pPr>
      <w:r>
        <w:rPr>
          <w:rFonts w:hint="cs"/>
          <w:rtl/>
        </w:rPr>
        <w:t>לנוכח האמור לעיל אני גוזרת על הנאשם את העונשים הבאים:</w:t>
      </w:r>
    </w:p>
    <w:p w14:paraId="7D00DEEC" w14:textId="77777777" w:rsidR="0098161C" w:rsidRDefault="0098161C" w:rsidP="0098161C">
      <w:pPr>
        <w:pStyle w:val="a9"/>
        <w:numPr>
          <w:ilvl w:val="0"/>
          <w:numId w:val="2"/>
        </w:numPr>
        <w:spacing w:line="360" w:lineRule="auto"/>
        <w:jc w:val="both"/>
      </w:pPr>
      <w:r>
        <w:rPr>
          <w:rFonts w:hint="cs"/>
          <w:rtl/>
        </w:rPr>
        <w:t xml:space="preserve">שבעה- עשר חודשי מאסר בפועל בניכוי ימי מעצרו מיום 2.3.16 ועד יום 13.3.16. </w:t>
      </w:r>
    </w:p>
    <w:p w14:paraId="25750284" w14:textId="77777777" w:rsidR="0098161C" w:rsidRPr="00F83C67" w:rsidRDefault="0098161C" w:rsidP="0098161C">
      <w:pPr>
        <w:pStyle w:val="a9"/>
        <w:spacing w:line="360" w:lineRule="auto"/>
        <w:ind w:left="1500"/>
        <w:jc w:val="both"/>
      </w:pPr>
    </w:p>
    <w:p w14:paraId="14EE4252" w14:textId="77777777" w:rsidR="0098161C" w:rsidRDefault="0098161C" w:rsidP="0098161C">
      <w:pPr>
        <w:pStyle w:val="a9"/>
        <w:numPr>
          <w:ilvl w:val="0"/>
          <w:numId w:val="2"/>
        </w:numPr>
        <w:spacing w:line="360" w:lineRule="auto"/>
        <w:jc w:val="both"/>
      </w:pPr>
      <w:r>
        <w:rPr>
          <w:rFonts w:hint="cs"/>
          <w:rtl/>
        </w:rPr>
        <w:t xml:space="preserve">עונש המאסר המותנה בן 6 חודשים שנגזר על הנאשם בת"פ 1016/07  של בית משפט השלום בבית שמש יופעל כך שארבעה חודשים ממנו ירוצו בחופף לעונש שנגזר על הנאשם וחודשיים במצטבר לו. </w:t>
      </w:r>
    </w:p>
    <w:p w14:paraId="1372F864" w14:textId="77777777" w:rsidR="0098161C" w:rsidRDefault="0098161C" w:rsidP="0098161C">
      <w:pPr>
        <w:pStyle w:val="a9"/>
        <w:spacing w:line="360" w:lineRule="auto"/>
        <w:ind w:left="1500"/>
        <w:jc w:val="both"/>
        <w:rPr>
          <w:b/>
          <w:bCs/>
          <w:u w:val="single"/>
          <w:rtl/>
        </w:rPr>
      </w:pPr>
    </w:p>
    <w:p w14:paraId="3CAFDB70" w14:textId="77777777" w:rsidR="0098161C" w:rsidRDefault="0098161C" w:rsidP="0098161C">
      <w:pPr>
        <w:pStyle w:val="a9"/>
        <w:spacing w:line="360" w:lineRule="auto"/>
        <w:ind w:left="1500"/>
        <w:jc w:val="both"/>
        <w:rPr>
          <w:rtl/>
        </w:rPr>
      </w:pPr>
      <w:r>
        <w:rPr>
          <w:rFonts w:hint="cs"/>
          <w:b/>
          <w:bCs/>
          <w:u w:val="single"/>
          <w:rtl/>
        </w:rPr>
        <w:t xml:space="preserve">בסך הכל ירצה הנאשם תשעה- עשר חודשי מאסר בפועל, במצטבר לעונש המאסר שאותו הוא מרצה כעת. </w:t>
      </w:r>
    </w:p>
    <w:p w14:paraId="418219A0" w14:textId="77777777" w:rsidR="0098161C" w:rsidRDefault="0098161C" w:rsidP="0098161C">
      <w:pPr>
        <w:pStyle w:val="a9"/>
        <w:spacing w:line="360" w:lineRule="auto"/>
        <w:ind w:left="1500"/>
        <w:jc w:val="both"/>
      </w:pPr>
    </w:p>
    <w:p w14:paraId="371DE2F8" w14:textId="77777777" w:rsidR="0098161C" w:rsidRDefault="0098161C" w:rsidP="0098161C">
      <w:pPr>
        <w:pStyle w:val="a9"/>
        <w:numPr>
          <w:ilvl w:val="0"/>
          <w:numId w:val="2"/>
        </w:numPr>
        <w:spacing w:line="360" w:lineRule="auto"/>
        <w:jc w:val="both"/>
      </w:pPr>
      <w:r>
        <w:rPr>
          <w:rFonts w:hint="cs"/>
          <w:rtl/>
        </w:rPr>
        <w:t xml:space="preserve">שישה חודשי מאסר על תנאי למשך שלוש שנים מיום שחרורו ממאסר שלא יעבור עבירה לפי </w:t>
      </w:r>
      <w:hyperlink r:id="rId35" w:history="1">
        <w:r w:rsidR="0053089A" w:rsidRPr="0053089A">
          <w:rPr>
            <w:color w:val="0000FF"/>
            <w:u w:val="single"/>
            <w:rtl/>
          </w:rPr>
          <w:t>פקודת הסמים המסוכנים</w:t>
        </w:r>
      </w:hyperlink>
      <w:r>
        <w:rPr>
          <w:rFonts w:hint="cs"/>
          <w:rtl/>
        </w:rPr>
        <w:t xml:space="preserve"> למעט החזקת סמים לצריכה עצמית וכלים. </w:t>
      </w:r>
    </w:p>
    <w:p w14:paraId="109927C0" w14:textId="77777777" w:rsidR="0098161C" w:rsidRDefault="0098161C" w:rsidP="0098161C">
      <w:pPr>
        <w:pStyle w:val="a9"/>
        <w:spacing w:line="360" w:lineRule="auto"/>
        <w:ind w:left="1500"/>
        <w:jc w:val="both"/>
      </w:pPr>
    </w:p>
    <w:p w14:paraId="5E96BA8E" w14:textId="77777777" w:rsidR="0098161C" w:rsidRDefault="0098161C" w:rsidP="0098161C">
      <w:pPr>
        <w:pStyle w:val="a9"/>
        <w:numPr>
          <w:ilvl w:val="0"/>
          <w:numId w:val="2"/>
        </w:numPr>
        <w:spacing w:line="360" w:lineRule="auto"/>
        <w:jc w:val="both"/>
      </w:pPr>
      <w:r>
        <w:rPr>
          <w:rFonts w:hint="cs"/>
          <w:rtl/>
        </w:rPr>
        <w:t xml:space="preserve">שלושה חודשי מאסר על תנאי למשך שלוש שנים מיום שחרורו ממאסר, שלא יעבור עבירת הפרת הוראה חוקית. </w:t>
      </w:r>
    </w:p>
    <w:p w14:paraId="577FB034" w14:textId="77777777" w:rsidR="0098161C" w:rsidRDefault="0098161C" w:rsidP="0098161C">
      <w:pPr>
        <w:pStyle w:val="a9"/>
        <w:spacing w:line="360" w:lineRule="auto"/>
        <w:ind w:left="1500"/>
        <w:jc w:val="both"/>
      </w:pPr>
    </w:p>
    <w:p w14:paraId="589793D4" w14:textId="77777777" w:rsidR="0098161C" w:rsidRDefault="0098161C" w:rsidP="0098161C">
      <w:pPr>
        <w:pStyle w:val="a9"/>
        <w:numPr>
          <w:ilvl w:val="0"/>
          <w:numId w:val="2"/>
        </w:numPr>
        <w:spacing w:line="360" w:lineRule="auto"/>
        <w:jc w:val="both"/>
      </w:pPr>
      <w:r>
        <w:rPr>
          <w:rFonts w:hint="cs"/>
          <w:rtl/>
        </w:rPr>
        <w:t xml:space="preserve">חודש מאסר על תנאי למשך שלוש שנים מיום שחרורו ממאסר שלא יעבור עבירה של החזקת סמים לצריכה עצמית או כלים, לפי </w:t>
      </w:r>
      <w:hyperlink r:id="rId36" w:history="1">
        <w:r w:rsidR="0053089A" w:rsidRPr="0053089A">
          <w:rPr>
            <w:color w:val="0000FF"/>
            <w:u w:val="single"/>
            <w:rtl/>
          </w:rPr>
          <w:t>פקודת הסמים המסוכנים</w:t>
        </w:r>
      </w:hyperlink>
      <w:r>
        <w:rPr>
          <w:rFonts w:hint="cs"/>
          <w:rtl/>
        </w:rPr>
        <w:t xml:space="preserve">. </w:t>
      </w:r>
    </w:p>
    <w:p w14:paraId="4A0F1D28" w14:textId="77777777" w:rsidR="0098161C" w:rsidRPr="00442773" w:rsidRDefault="0098161C" w:rsidP="0098161C">
      <w:pPr>
        <w:pStyle w:val="a9"/>
        <w:spacing w:line="360" w:lineRule="auto"/>
        <w:ind w:left="1500"/>
        <w:jc w:val="both"/>
      </w:pPr>
    </w:p>
    <w:p w14:paraId="40DE6C03" w14:textId="77777777" w:rsidR="0098161C" w:rsidRDefault="0098161C" w:rsidP="0098161C">
      <w:pPr>
        <w:pStyle w:val="a9"/>
        <w:numPr>
          <w:ilvl w:val="0"/>
          <w:numId w:val="2"/>
        </w:numPr>
        <w:spacing w:line="360" w:lineRule="auto"/>
        <w:jc w:val="both"/>
        <w:rPr>
          <w:rtl/>
        </w:rPr>
      </w:pPr>
      <w:r>
        <w:rPr>
          <w:rFonts w:hint="cs"/>
          <w:rtl/>
        </w:rPr>
        <w:t xml:space="preserve">קנס בסך 2,000 ש"ח או 20 ימי מאסר תמורתו. הקנס ישולם עד ליום 1.10.18. </w:t>
      </w:r>
    </w:p>
    <w:p w14:paraId="2FE278D2" w14:textId="77777777" w:rsidR="0098161C" w:rsidRPr="00CF4ABE" w:rsidRDefault="0098161C" w:rsidP="0098161C">
      <w:pPr>
        <w:pStyle w:val="a9"/>
        <w:spacing w:line="360" w:lineRule="auto"/>
        <w:jc w:val="both"/>
      </w:pPr>
    </w:p>
    <w:p w14:paraId="1E41DFF1" w14:textId="77777777" w:rsidR="0098161C" w:rsidRPr="009B2827" w:rsidRDefault="0098161C" w:rsidP="0098161C">
      <w:pPr>
        <w:pStyle w:val="a9"/>
        <w:numPr>
          <w:ilvl w:val="0"/>
          <w:numId w:val="1"/>
        </w:numPr>
        <w:spacing w:line="360" w:lineRule="auto"/>
        <w:jc w:val="both"/>
        <w:rPr>
          <w:b/>
          <w:bCs/>
        </w:rPr>
      </w:pPr>
      <w:r>
        <w:rPr>
          <w:rFonts w:hint="cs"/>
          <w:rtl/>
        </w:rPr>
        <w:t xml:space="preserve">בהתאם להוראות </w:t>
      </w:r>
      <w:hyperlink r:id="rId37" w:history="1">
        <w:r w:rsidR="00DF3B73" w:rsidRPr="00DF3B73">
          <w:rPr>
            <w:color w:val="0000FF"/>
            <w:u w:val="single"/>
            <w:rtl/>
          </w:rPr>
          <w:t>סעיף 36א(א)(1)</w:t>
        </w:r>
      </w:hyperlink>
      <w:r>
        <w:rPr>
          <w:rFonts w:hint="cs"/>
          <w:rtl/>
        </w:rPr>
        <w:t xml:space="preserve"> ל</w:t>
      </w:r>
      <w:hyperlink r:id="rId38" w:history="1">
        <w:r w:rsidR="0053089A" w:rsidRPr="0053089A">
          <w:rPr>
            <w:color w:val="0000FF"/>
            <w:u w:val="single"/>
            <w:rtl/>
          </w:rPr>
          <w:t>פקודת הסמים המסוכנים</w:t>
        </w:r>
      </w:hyperlink>
      <w:r>
        <w:rPr>
          <w:rFonts w:hint="cs"/>
          <w:rtl/>
        </w:rPr>
        <w:t xml:space="preserve"> [נוסח חדש] התשל"ג- 1973, ומשעה שהנאשם אמור היה להפיק רווח מעסקת הסמים, אני מורה על חילוט מכשיר הטלפון ששימש את הנאשם לביצוע העבירה, כמפורט בסעיף 1 לבקשת החילוט שבכתב האישום המתוקן. </w:t>
      </w:r>
    </w:p>
    <w:p w14:paraId="6038D73F" w14:textId="77777777" w:rsidR="0098161C" w:rsidRPr="009B2827" w:rsidRDefault="0098161C" w:rsidP="0098161C">
      <w:pPr>
        <w:pStyle w:val="a9"/>
        <w:spacing w:line="360" w:lineRule="auto"/>
        <w:jc w:val="both"/>
        <w:rPr>
          <w:b/>
          <w:bCs/>
        </w:rPr>
      </w:pPr>
    </w:p>
    <w:p w14:paraId="7FA67CA6" w14:textId="77777777" w:rsidR="0098161C" w:rsidRPr="009B2827" w:rsidRDefault="0098161C" w:rsidP="0098161C">
      <w:pPr>
        <w:pStyle w:val="a9"/>
        <w:numPr>
          <w:ilvl w:val="0"/>
          <w:numId w:val="1"/>
        </w:numPr>
        <w:spacing w:line="360" w:lineRule="auto"/>
        <w:jc w:val="both"/>
      </w:pPr>
      <w:r w:rsidRPr="009B2827">
        <w:rPr>
          <w:rFonts w:hint="cs"/>
          <w:rtl/>
        </w:rPr>
        <w:t xml:space="preserve">משעה שלא נקבע בהכרעת </w:t>
      </w:r>
      <w:r>
        <w:rPr>
          <w:rFonts w:hint="cs"/>
          <w:rtl/>
        </w:rPr>
        <w:t xml:space="preserve">הדין כי הנאשם הוא "סוחר סמים", לא מצאתי להורות על חילוט מכשיר הטלפון הנוסף שנתפס בביתו של הנאשם כמתואר בסעיף 2 לבקשת החילוט שבכתב האישום המתוקן, ואני מורה על החזרתו לידי הנאשם. </w:t>
      </w:r>
    </w:p>
    <w:p w14:paraId="3108FAAB" w14:textId="77777777" w:rsidR="0098161C" w:rsidRPr="009B2827" w:rsidRDefault="0098161C" w:rsidP="0098161C">
      <w:pPr>
        <w:pStyle w:val="a9"/>
        <w:spacing w:line="360" w:lineRule="auto"/>
        <w:jc w:val="both"/>
        <w:rPr>
          <w:b/>
          <w:bCs/>
        </w:rPr>
      </w:pPr>
    </w:p>
    <w:p w14:paraId="40855075" w14:textId="77777777" w:rsidR="0098161C" w:rsidRPr="009B2827" w:rsidRDefault="0098161C" w:rsidP="0098161C">
      <w:pPr>
        <w:pStyle w:val="a9"/>
        <w:numPr>
          <w:ilvl w:val="0"/>
          <w:numId w:val="1"/>
        </w:numPr>
        <w:spacing w:line="360" w:lineRule="auto"/>
        <w:jc w:val="both"/>
        <w:rPr>
          <w:b/>
          <w:bCs/>
        </w:rPr>
      </w:pPr>
      <w:r>
        <w:rPr>
          <w:rFonts w:hint="cs"/>
          <w:rtl/>
        </w:rPr>
        <w:t xml:space="preserve">המזכירות תעביר העתק גזר הדין לשירות המבחן. </w:t>
      </w:r>
    </w:p>
    <w:p w14:paraId="556C6647" w14:textId="77777777" w:rsidR="0098161C" w:rsidRPr="00C4471D" w:rsidRDefault="0098161C" w:rsidP="0098161C">
      <w:pPr>
        <w:pStyle w:val="a9"/>
        <w:spacing w:line="360" w:lineRule="auto"/>
        <w:jc w:val="both"/>
        <w:rPr>
          <w:b/>
          <w:bCs/>
        </w:rPr>
      </w:pPr>
    </w:p>
    <w:p w14:paraId="3A9CA076" w14:textId="77777777" w:rsidR="0098161C" w:rsidRPr="00391BAA" w:rsidRDefault="0098161C" w:rsidP="0098161C">
      <w:pPr>
        <w:pStyle w:val="a9"/>
        <w:numPr>
          <w:ilvl w:val="0"/>
          <w:numId w:val="1"/>
        </w:numPr>
        <w:spacing w:line="360" w:lineRule="auto"/>
        <w:jc w:val="both"/>
        <w:rPr>
          <w:b/>
          <w:bCs/>
          <w:rtl/>
        </w:rPr>
      </w:pPr>
      <w:r>
        <w:rPr>
          <w:rFonts w:hint="cs"/>
          <w:rtl/>
        </w:rPr>
        <w:t xml:space="preserve">זכות ערעור לבית המשפט המחוזי בתוך 45 ימים מהיום. </w:t>
      </w:r>
    </w:p>
    <w:p w14:paraId="25C4B393" w14:textId="77777777" w:rsidR="0098161C" w:rsidRPr="00B05847" w:rsidRDefault="0098161C" w:rsidP="0098161C">
      <w:pPr>
        <w:spacing w:line="360" w:lineRule="auto"/>
        <w:rPr>
          <w:rtl/>
        </w:rPr>
      </w:pPr>
    </w:p>
    <w:p w14:paraId="0629C6AD" w14:textId="77777777" w:rsidR="0098161C" w:rsidRPr="0053089A" w:rsidRDefault="0053089A" w:rsidP="0098161C">
      <w:pPr>
        <w:spacing w:line="360" w:lineRule="auto"/>
        <w:rPr>
          <w:color w:val="FFFFFF"/>
          <w:sz w:val="2"/>
          <w:szCs w:val="2"/>
          <w:rtl/>
        </w:rPr>
      </w:pPr>
      <w:r w:rsidRPr="0053089A">
        <w:rPr>
          <w:color w:val="FFFFFF"/>
          <w:sz w:val="2"/>
          <w:szCs w:val="2"/>
          <w:rtl/>
        </w:rPr>
        <w:t>5129371</w:t>
      </w:r>
    </w:p>
    <w:p w14:paraId="0BB79E23" w14:textId="77777777" w:rsidR="0098161C" w:rsidRDefault="0053089A" w:rsidP="0098161C">
      <w:pPr>
        <w:spacing w:line="360" w:lineRule="auto"/>
        <w:rPr>
          <w:rFonts w:cs="FrankRuehl"/>
          <w:sz w:val="28"/>
          <w:szCs w:val="28"/>
          <w:rtl/>
        </w:rPr>
      </w:pPr>
      <w:r w:rsidRPr="0053089A">
        <w:rPr>
          <w:rFonts w:ascii="Arial" w:hAnsi="Arial"/>
          <w:color w:val="FFFFFF"/>
          <w:sz w:val="2"/>
          <w:szCs w:val="2"/>
          <w:rtl/>
        </w:rPr>
        <w:t>54678313</w:t>
      </w:r>
      <w:r>
        <w:rPr>
          <w:rFonts w:ascii="Arial" w:hAnsi="Arial"/>
          <w:rtl/>
        </w:rPr>
        <w:t xml:space="preserve">ניתן היום,  כ"ד תמוז תשע"ז, 18 יולי 2017, בנוכחות הצדדים. </w:t>
      </w:r>
    </w:p>
    <w:p w14:paraId="1E3A5C8A" w14:textId="77777777" w:rsidR="0098161C" w:rsidRDefault="0098161C" w:rsidP="0098161C">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FFCD9F9" w14:textId="77777777" w:rsidR="0098161C" w:rsidRDefault="0098161C" w:rsidP="0098161C">
      <w:pPr>
        <w:spacing w:line="360" w:lineRule="auto"/>
        <w:jc w:val="center"/>
        <w:rPr>
          <w:rFonts w:ascii="Arial" w:hAnsi="Arial" w:cs="FrankRuehl"/>
          <w:sz w:val="28"/>
          <w:szCs w:val="28"/>
          <w:rtl/>
        </w:rPr>
      </w:pPr>
    </w:p>
    <w:p w14:paraId="6242F601" w14:textId="77777777" w:rsidR="0098161C" w:rsidRDefault="0098161C" w:rsidP="0098161C">
      <w:pPr>
        <w:spacing w:line="360" w:lineRule="auto"/>
        <w:rPr>
          <w:rFonts w:cs="FrankRuehl"/>
          <w:sz w:val="28"/>
          <w:szCs w:val="28"/>
          <w:rtl/>
        </w:rPr>
      </w:pPr>
    </w:p>
    <w:p w14:paraId="3DE46851" w14:textId="77777777" w:rsidR="0098161C" w:rsidRPr="00DF3B73" w:rsidRDefault="00DF3B73" w:rsidP="0098161C">
      <w:pPr>
        <w:pStyle w:val="a3"/>
        <w:spacing w:line="360" w:lineRule="auto"/>
        <w:jc w:val="center"/>
        <w:rPr>
          <w:color w:val="FFFFFF"/>
          <w:sz w:val="2"/>
          <w:szCs w:val="2"/>
          <w:rtl/>
        </w:rPr>
      </w:pPr>
      <w:r w:rsidRPr="00DF3B73">
        <w:rPr>
          <w:color w:val="FFFFFF"/>
          <w:sz w:val="2"/>
          <w:szCs w:val="2"/>
          <w:rtl/>
        </w:rPr>
        <w:t>5129371</w:t>
      </w:r>
    </w:p>
    <w:p w14:paraId="7E82D11A" w14:textId="77777777" w:rsidR="002D7B2F" w:rsidRPr="00DF3B73" w:rsidRDefault="00DF3B73" w:rsidP="0053089A">
      <w:pPr>
        <w:keepNext/>
        <w:rPr>
          <w:rFonts w:ascii="David" w:hAnsi="David"/>
          <w:color w:val="FFFFFF"/>
          <w:sz w:val="2"/>
          <w:szCs w:val="2"/>
          <w:rtl/>
        </w:rPr>
      </w:pPr>
      <w:r w:rsidRPr="00DF3B73">
        <w:rPr>
          <w:rFonts w:ascii="David" w:hAnsi="David"/>
          <w:color w:val="FFFFFF"/>
          <w:sz w:val="2"/>
          <w:szCs w:val="2"/>
          <w:rtl/>
        </w:rPr>
        <w:t>54678313</w:t>
      </w:r>
    </w:p>
    <w:p w14:paraId="7B9CBEF0" w14:textId="77777777" w:rsidR="0053089A" w:rsidRPr="0053089A" w:rsidRDefault="0053089A" w:rsidP="0053089A">
      <w:pPr>
        <w:keepNext/>
        <w:rPr>
          <w:rFonts w:ascii="David" w:hAnsi="David"/>
          <w:color w:val="000000"/>
          <w:sz w:val="22"/>
          <w:szCs w:val="22"/>
          <w:rtl/>
        </w:rPr>
      </w:pPr>
      <w:r w:rsidRPr="0053089A">
        <w:rPr>
          <w:rFonts w:ascii="David" w:hAnsi="David"/>
          <w:color w:val="000000"/>
          <w:sz w:val="22"/>
          <w:szCs w:val="22"/>
          <w:rtl/>
        </w:rPr>
        <w:t>ג'ויה סקפה שפירא 54678313</w:t>
      </w:r>
    </w:p>
    <w:p w14:paraId="4755FDFD" w14:textId="77777777" w:rsidR="0053089A" w:rsidRDefault="0053089A" w:rsidP="0053089A">
      <w:r w:rsidRPr="0053089A">
        <w:rPr>
          <w:color w:val="000000"/>
          <w:rtl/>
        </w:rPr>
        <w:t>נוסח מסמך זה כפוף לשינויי ניסוח ועריכה</w:t>
      </w:r>
    </w:p>
    <w:p w14:paraId="48FDB60A" w14:textId="77777777" w:rsidR="0053089A" w:rsidRDefault="0053089A" w:rsidP="0053089A">
      <w:pPr>
        <w:rPr>
          <w:rtl/>
        </w:rPr>
      </w:pPr>
    </w:p>
    <w:p w14:paraId="483D8363" w14:textId="77777777" w:rsidR="0053089A" w:rsidRDefault="0053089A" w:rsidP="0053089A">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7AE63A10" w14:textId="77777777" w:rsidR="00DF3B73" w:rsidRPr="00DF3B73" w:rsidRDefault="00DF3B73" w:rsidP="00DF3B73">
      <w:pPr>
        <w:keepNext/>
        <w:rPr>
          <w:rFonts w:ascii="David" w:hAnsi="David"/>
          <w:color w:val="000000"/>
          <w:sz w:val="22"/>
          <w:szCs w:val="22"/>
          <w:rtl/>
        </w:rPr>
      </w:pPr>
    </w:p>
    <w:sectPr w:rsidR="00DF3B73" w:rsidRPr="00DF3B73" w:rsidSect="00DF3B73">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B5211" w14:textId="77777777" w:rsidR="008A6367" w:rsidRDefault="008A6367" w:rsidP="009B5E33">
      <w:r>
        <w:separator/>
      </w:r>
    </w:p>
  </w:endnote>
  <w:endnote w:type="continuationSeparator" w:id="0">
    <w:p w14:paraId="38DBECE7" w14:textId="77777777" w:rsidR="008A6367" w:rsidRDefault="008A6367" w:rsidP="009B5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0CC3B" w14:textId="77777777" w:rsidR="008A6367" w:rsidRDefault="008A6367" w:rsidP="00DF3B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C7C95F" w14:textId="77777777" w:rsidR="008A6367" w:rsidRPr="00DF3B73" w:rsidRDefault="008A6367" w:rsidP="00DF3B73">
    <w:pPr>
      <w:pStyle w:val="a5"/>
      <w:pBdr>
        <w:top w:val="single" w:sz="4" w:space="1" w:color="auto"/>
        <w:between w:val="single" w:sz="4" w:space="0" w:color="auto"/>
      </w:pBdr>
      <w:spacing w:after="60"/>
      <w:jc w:val="center"/>
      <w:rPr>
        <w:rFonts w:ascii="FrankRuehl" w:hAnsi="FrankRuehl" w:cs="FrankRuehl"/>
        <w:color w:val="000000"/>
      </w:rPr>
    </w:pPr>
    <w:r w:rsidRPr="00DF3B7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DE4AC" w14:textId="77777777" w:rsidR="008A6367" w:rsidRDefault="008A6367" w:rsidP="00DF3B7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0737">
      <w:rPr>
        <w:rFonts w:ascii="FrankRuehl" w:hAnsi="FrankRuehl" w:cs="FrankRuehl"/>
        <w:noProof/>
        <w:rtl/>
      </w:rPr>
      <w:t>1</w:t>
    </w:r>
    <w:r>
      <w:rPr>
        <w:rFonts w:ascii="FrankRuehl" w:hAnsi="FrankRuehl" w:cs="FrankRuehl"/>
        <w:rtl/>
      </w:rPr>
      <w:fldChar w:fldCharType="end"/>
    </w:r>
  </w:p>
  <w:p w14:paraId="30AA633E" w14:textId="77777777" w:rsidR="008A6367" w:rsidRPr="00DF3B73" w:rsidRDefault="008A6367" w:rsidP="00DF3B73">
    <w:pPr>
      <w:pStyle w:val="a5"/>
      <w:pBdr>
        <w:top w:val="single" w:sz="4" w:space="1" w:color="auto"/>
        <w:between w:val="single" w:sz="4" w:space="0" w:color="auto"/>
      </w:pBdr>
      <w:spacing w:after="60"/>
      <w:jc w:val="center"/>
      <w:rPr>
        <w:rFonts w:ascii="FrankRuehl" w:hAnsi="FrankRuehl" w:cs="FrankRuehl"/>
        <w:color w:val="000000"/>
      </w:rPr>
    </w:pPr>
    <w:r w:rsidRPr="00DF3B73">
      <w:rPr>
        <w:rFonts w:ascii="FrankRuehl" w:hAnsi="FrankRuehl" w:cs="FrankRuehl"/>
        <w:color w:val="000000"/>
      </w:rPr>
      <w:pict w14:anchorId="48D3EA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7E933" w14:textId="77777777" w:rsidR="008A6367" w:rsidRDefault="008A6367" w:rsidP="009B5E33">
      <w:r>
        <w:separator/>
      </w:r>
    </w:p>
  </w:footnote>
  <w:footnote w:type="continuationSeparator" w:id="0">
    <w:p w14:paraId="46C4DA18" w14:textId="77777777" w:rsidR="008A6367" w:rsidRDefault="008A6367" w:rsidP="009B5E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3DE29" w14:textId="77777777" w:rsidR="008A6367" w:rsidRPr="00DF3B73" w:rsidRDefault="008A6367" w:rsidP="00DF3B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27917-03-16</w:t>
    </w:r>
    <w:r>
      <w:rPr>
        <w:rFonts w:ascii="David" w:hAnsi="David"/>
        <w:color w:val="000000"/>
        <w:sz w:val="22"/>
        <w:szCs w:val="22"/>
        <w:rtl/>
      </w:rPr>
      <w:tab/>
      <w:t xml:space="preserve"> מדינת ישראל נ' שמעון ישראל סרויה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DC095" w14:textId="77777777" w:rsidR="008A6367" w:rsidRPr="00DF3B73" w:rsidRDefault="008A6367" w:rsidP="00DF3B7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27917-03-16</w:t>
    </w:r>
    <w:r>
      <w:rPr>
        <w:rFonts w:ascii="David" w:hAnsi="David"/>
        <w:color w:val="000000"/>
        <w:sz w:val="22"/>
        <w:szCs w:val="22"/>
        <w:rtl/>
      </w:rPr>
      <w:tab/>
      <w:t xml:space="preserve"> מדינת ישראל נ' שמעון ישראל סרויה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A2BC5"/>
    <w:multiLevelType w:val="hybridMultilevel"/>
    <w:tmpl w:val="729C4248"/>
    <w:lvl w:ilvl="0" w:tplc="4BEC109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E7D2A"/>
    <w:multiLevelType w:val="hybridMultilevel"/>
    <w:tmpl w:val="04DA787C"/>
    <w:lvl w:ilvl="0" w:tplc="9924913E">
      <w:start w:val="1"/>
      <w:numFmt w:val="hebrew1"/>
      <w:lvlText w:val="%1."/>
      <w:lvlJc w:val="center"/>
      <w:pPr>
        <w:ind w:left="1500" w:hanging="360"/>
      </w:pPr>
      <w:rPr>
        <w:lang w:val="en-US"/>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16cid:durableId="432288839">
    <w:abstractNumId w:val="0"/>
  </w:num>
  <w:num w:numId="2" w16cid:durableId="882866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8161C"/>
    <w:rsid w:val="001B2A27"/>
    <w:rsid w:val="002D7B2F"/>
    <w:rsid w:val="003D0CD9"/>
    <w:rsid w:val="0053089A"/>
    <w:rsid w:val="005647F7"/>
    <w:rsid w:val="00600737"/>
    <w:rsid w:val="00610750"/>
    <w:rsid w:val="008A6367"/>
    <w:rsid w:val="0098161C"/>
    <w:rsid w:val="009B5E33"/>
    <w:rsid w:val="00BA16A0"/>
    <w:rsid w:val="00CD0C8B"/>
    <w:rsid w:val="00DF3B73"/>
    <w:rsid w:val="00F66B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ED032D"/>
  <w15:chartTrackingRefBased/>
  <w15:docId w15:val="{57005627-EC20-43E0-A39A-B35C3A29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816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8161C"/>
    <w:pPr>
      <w:tabs>
        <w:tab w:val="center" w:pos="4153"/>
        <w:tab w:val="right" w:pos="8306"/>
      </w:tabs>
    </w:pPr>
  </w:style>
  <w:style w:type="character" w:customStyle="1" w:styleId="a4">
    <w:name w:val="כותרת עליונה תו"/>
    <w:link w:val="a3"/>
    <w:rsid w:val="0098161C"/>
    <w:rPr>
      <w:rFonts w:ascii="Times New Roman" w:eastAsia="Times New Roman" w:hAnsi="Times New Roman" w:cs="David"/>
      <w:sz w:val="24"/>
      <w:szCs w:val="24"/>
    </w:rPr>
  </w:style>
  <w:style w:type="paragraph" w:styleId="a5">
    <w:name w:val="footer"/>
    <w:basedOn w:val="a"/>
    <w:link w:val="a6"/>
    <w:rsid w:val="0098161C"/>
    <w:pPr>
      <w:tabs>
        <w:tab w:val="center" w:pos="4153"/>
        <w:tab w:val="right" w:pos="8306"/>
      </w:tabs>
    </w:pPr>
  </w:style>
  <w:style w:type="character" w:customStyle="1" w:styleId="a6">
    <w:name w:val="כותרת תחתונה תו"/>
    <w:link w:val="a5"/>
    <w:rsid w:val="0098161C"/>
    <w:rPr>
      <w:rFonts w:ascii="Times New Roman" w:eastAsia="Times New Roman" w:hAnsi="Times New Roman" w:cs="David"/>
      <w:sz w:val="24"/>
      <w:szCs w:val="24"/>
    </w:rPr>
  </w:style>
  <w:style w:type="table" w:styleId="a7">
    <w:name w:val="Table Grid"/>
    <w:basedOn w:val="a1"/>
    <w:rsid w:val="009816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8161C"/>
  </w:style>
  <w:style w:type="paragraph" w:styleId="a9">
    <w:name w:val="List Paragraph"/>
    <w:basedOn w:val="a"/>
    <w:qFormat/>
    <w:rsid w:val="0098161C"/>
    <w:pPr>
      <w:ind w:left="720"/>
      <w:contextualSpacing/>
    </w:pPr>
  </w:style>
  <w:style w:type="character" w:styleId="Hyperlink">
    <w:name w:val="Hyperlink"/>
    <w:rsid w:val="0053089A"/>
    <w:rPr>
      <w:color w:val="0563C1"/>
      <w:u w:val="single"/>
    </w:rPr>
  </w:style>
  <w:style w:type="character" w:styleId="aa">
    <w:name w:val="Unresolved Mention"/>
    <w:rsid w:val="005308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52" TargetMode="External"/><Relationship Id="rId18" Type="http://schemas.openxmlformats.org/officeDocument/2006/relationships/hyperlink" Target="http://www.nevo.co.il/law/71557" TargetMode="External"/><Relationship Id="rId26" Type="http://schemas.openxmlformats.org/officeDocument/2006/relationships/hyperlink" Target="http://www.nevo.co.il/case/20882846"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3816318"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71557" TargetMode="External"/><Relationship Id="rId2" Type="http://schemas.openxmlformats.org/officeDocument/2006/relationships/styles" Target="styles.xml"/><Relationship Id="rId16" Type="http://schemas.openxmlformats.org/officeDocument/2006/relationships/hyperlink" Target="http://www.nevo.co.il/law/4216/36a.a.1" TargetMode="External"/><Relationship Id="rId29" Type="http://schemas.openxmlformats.org/officeDocument/2006/relationships/hyperlink" Target="http://www.nevo.co.il/law/70301/40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h"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36a.a.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40h"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40e" TargetMode="External"/><Relationship Id="rId19" Type="http://schemas.openxmlformats.org/officeDocument/2006/relationships/hyperlink" Target="http://www.nevo.co.il/case/20882846" TargetMode="External"/><Relationship Id="rId31" Type="http://schemas.openxmlformats.org/officeDocument/2006/relationships/hyperlink" Target="http://www.nevo.co.il/law/70301/40ja.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ja.9" TargetMode="External"/><Relationship Id="rId22" Type="http://schemas.openxmlformats.org/officeDocument/2006/relationships/hyperlink" Target="http://www.nevo.co.il/case/5097859" TargetMode="External"/><Relationship Id="rId27" Type="http://schemas.openxmlformats.org/officeDocument/2006/relationships/hyperlink" Target="http://www.nevo.co.il/law/70301/52" TargetMode="External"/><Relationship Id="rId30" Type="http://schemas.openxmlformats.org/officeDocument/2006/relationships/hyperlink" Target="http://www.nevo.co.il/law/70301" TargetMode="External"/><Relationship Id="rId35" Type="http://schemas.openxmlformats.org/officeDocument/2006/relationships/hyperlink" Target="http://www.nevo.co.il/law/4216" TargetMode="External"/><Relationship Id="rId43" Type="http://schemas.openxmlformats.org/officeDocument/2006/relationships/footer" Target="footer2.xml"/><Relationship Id="rId8" Type="http://schemas.openxmlformats.org/officeDocument/2006/relationships/hyperlink" Target="http://www.nevo.co.il/law/71557/1.3" TargetMode="External"/><Relationship Id="rId3" Type="http://schemas.openxmlformats.org/officeDocument/2006/relationships/settings" Target="settings.xml"/><Relationship Id="rId12" Type="http://schemas.openxmlformats.org/officeDocument/2006/relationships/hyperlink" Target="http://www.nevo.co.il/law/70301/45.b" TargetMode="External"/><Relationship Id="rId17" Type="http://schemas.openxmlformats.org/officeDocument/2006/relationships/hyperlink" Target="http://www.nevo.co.il/law/71557/1.3"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5.b" TargetMode="External"/><Relationship Id="rId38" Type="http://schemas.openxmlformats.org/officeDocument/2006/relationships/hyperlink" Target="http://www.nevo.co.il/law/4216" TargetMode="External"/><Relationship Id="rId20" Type="http://schemas.openxmlformats.org/officeDocument/2006/relationships/hyperlink" Target="http://www.nevo.co.il/case/18784698"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2357</Words>
  <Characters>11789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14118</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8126588</vt:i4>
      </vt:variant>
      <vt:variant>
        <vt:i4>90</vt:i4>
      </vt:variant>
      <vt:variant>
        <vt:i4>0</vt:i4>
      </vt:variant>
      <vt:variant>
        <vt:i4>5</vt:i4>
      </vt:variant>
      <vt:variant>
        <vt:lpwstr>http://www.nevo.co.il/law/4216/36a.a.1</vt:lpwstr>
      </vt:variant>
      <vt:variant>
        <vt:lpwstr/>
      </vt:variant>
      <vt:variant>
        <vt:i4>8257637</vt:i4>
      </vt:variant>
      <vt:variant>
        <vt:i4>87</vt:i4>
      </vt:variant>
      <vt:variant>
        <vt:i4>0</vt:i4>
      </vt:variant>
      <vt:variant>
        <vt:i4>5</vt:i4>
      </vt:variant>
      <vt:variant>
        <vt:lpwstr>http://www.nevo.co.il/law/4216</vt:lpwstr>
      </vt:variant>
      <vt:variant>
        <vt:lpwstr/>
      </vt:variant>
      <vt:variant>
        <vt:i4>8257637</vt:i4>
      </vt:variant>
      <vt:variant>
        <vt:i4>84</vt:i4>
      </vt:variant>
      <vt:variant>
        <vt:i4>0</vt:i4>
      </vt:variant>
      <vt:variant>
        <vt:i4>5</vt:i4>
      </vt:variant>
      <vt:variant>
        <vt:lpwstr>http://www.nevo.co.il/law/4216</vt:lpwstr>
      </vt:variant>
      <vt:variant>
        <vt:lpwstr/>
      </vt:variant>
      <vt:variant>
        <vt:i4>7995492</vt:i4>
      </vt:variant>
      <vt:variant>
        <vt:i4>81</vt:i4>
      </vt:variant>
      <vt:variant>
        <vt:i4>0</vt:i4>
      </vt:variant>
      <vt:variant>
        <vt:i4>5</vt:i4>
      </vt:variant>
      <vt:variant>
        <vt:lpwstr>http://www.nevo.co.il/law/70301</vt:lpwstr>
      </vt:variant>
      <vt:variant>
        <vt:lpwstr/>
      </vt:variant>
      <vt:variant>
        <vt:i4>131151</vt:i4>
      </vt:variant>
      <vt:variant>
        <vt:i4>78</vt:i4>
      </vt:variant>
      <vt:variant>
        <vt:i4>0</vt:i4>
      </vt:variant>
      <vt:variant>
        <vt:i4>5</vt:i4>
      </vt:variant>
      <vt:variant>
        <vt:lpwstr>http://www.nevo.co.il/law/70301/45.b</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3997733</vt:i4>
      </vt:variant>
      <vt:variant>
        <vt:i4>72</vt:i4>
      </vt:variant>
      <vt:variant>
        <vt:i4>0</vt:i4>
      </vt:variant>
      <vt:variant>
        <vt:i4>5</vt:i4>
      </vt:variant>
      <vt:variant>
        <vt:lpwstr>http://www.nevo.co.il/law/70301/40ja.9</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http://www.nevo.co.il/law/70301/40e</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6750304</vt:i4>
      </vt:variant>
      <vt:variant>
        <vt:i4>60</vt:i4>
      </vt:variant>
      <vt:variant>
        <vt:i4>0</vt:i4>
      </vt:variant>
      <vt:variant>
        <vt:i4>5</vt:i4>
      </vt:variant>
      <vt:variant>
        <vt:lpwstr>http://www.nevo.co.il/law/70301/52</vt:lpwstr>
      </vt:variant>
      <vt:variant>
        <vt:lpwstr/>
      </vt:variant>
      <vt:variant>
        <vt:i4>3932276</vt:i4>
      </vt:variant>
      <vt:variant>
        <vt:i4>57</vt:i4>
      </vt:variant>
      <vt:variant>
        <vt:i4>0</vt:i4>
      </vt:variant>
      <vt:variant>
        <vt:i4>5</vt:i4>
      </vt:variant>
      <vt:variant>
        <vt:lpwstr>http://www.nevo.co.il/case/20882846</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http://www.nevo.co.il/law/70301/40h</vt:lpwstr>
      </vt:variant>
      <vt:variant>
        <vt:lpwstr/>
      </vt:variant>
      <vt:variant>
        <vt:i4>3997814</vt:i4>
      </vt:variant>
      <vt:variant>
        <vt:i4>45</vt:i4>
      </vt:variant>
      <vt:variant>
        <vt:i4>0</vt:i4>
      </vt:variant>
      <vt:variant>
        <vt:i4>5</vt:i4>
      </vt:variant>
      <vt:variant>
        <vt:lpwstr>http://www.nevo.co.il/case/5097859</vt:lpwstr>
      </vt:variant>
      <vt:variant>
        <vt:lpwstr/>
      </vt:variant>
      <vt:variant>
        <vt:i4>3735675</vt:i4>
      </vt:variant>
      <vt:variant>
        <vt:i4>42</vt:i4>
      </vt:variant>
      <vt:variant>
        <vt:i4>0</vt:i4>
      </vt:variant>
      <vt:variant>
        <vt:i4>5</vt:i4>
      </vt:variant>
      <vt:variant>
        <vt:lpwstr>http://www.nevo.co.il/case/3816318</vt:lpwstr>
      </vt:variant>
      <vt:variant>
        <vt:lpwstr/>
      </vt:variant>
      <vt:variant>
        <vt:i4>3866738</vt:i4>
      </vt:variant>
      <vt:variant>
        <vt:i4>39</vt:i4>
      </vt:variant>
      <vt:variant>
        <vt:i4>0</vt:i4>
      </vt:variant>
      <vt:variant>
        <vt:i4>5</vt:i4>
      </vt:variant>
      <vt:variant>
        <vt:lpwstr>http://www.nevo.co.il/case/18784698</vt:lpwstr>
      </vt:variant>
      <vt:variant>
        <vt:lpwstr/>
      </vt:variant>
      <vt:variant>
        <vt:i4>3932276</vt:i4>
      </vt:variant>
      <vt:variant>
        <vt:i4>36</vt:i4>
      </vt:variant>
      <vt:variant>
        <vt:i4>0</vt:i4>
      </vt:variant>
      <vt:variant>
        <vt:i4>5</vt:i4>
      </vt:variant>
      <vt:variant>
        <vt:lpwstr>http://www.nevo.co.il/case/20882846</vt:lpwstr>
      </vt:variant>
      <vt:variant>
        <vt:lpwstr/>
      </vt:variant>
      <vt:variant>
        <vt:i4>8257634</vt:i4>
      </vt:variant>
      <vt:variant>
        <vt:i4>33</vt:i4>
      </vt:variant>
      <vt:variant>
        <vt:i4>0</vt:i4>
      </vt:variant>
      <vt:variant>
        <vt:i4>5</vt:i4>
      </vt:variant>
      <vt:variant>
        <vt:lpwstr>http://www.nevo.co.il/law/71557</vt:lpwstr>
      </vt:variant>
      <vt:variant>
        <vt:lpwstr/>
      </vt:variant>
      <vt:variant>
        <vt:i4>8323172</vt:i4>
      </vt:variant>
      <vt:variant>
        <vt:i4>30</vt:i4>
      </vt:variant>
      <vt:variant>
        <vt:i4>0</vt:i4>
      </vt:variant>
      <vt:variant>
        <vt:i4>5</vt:i4>
      </vt:variant>
      <vt:variant>
        <vt:lpwstr>http://www.nevo.co.il/law/71557/1.3</vt:lpwstr>
      </vt:variant>
      <vt:variant>
        <vt:lpwstr/>
      </vt:variant>
      <vt:variant>
        <vt:i4>8126588</vt:i4>
      </vt:variant>
      <vt:variant>
        <vt:i4>27</vt:i4>
      </vt:variant>
      <vt:variant>
        <vt:i4>0</vt:i4>
      </vt:variant>
      <vt:variant>
        <vt:i4>5</vt:i4>
      </vt:variant>
      <vt:variant>
        <vt:lpwstr>http://www.nevo.co.il/law/4216/36a.a.1</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3997733</vt:i4>
      </vt:variant>
      <vt:variant>
        <vt:i4>21</vt:i4>
      </vt:variant>
      <vt:variant>
        <vt:i4>0</vt:i4>
      </vt:variant>
      <vt:variant>
        <vt:i4>5</vt:i4>
      </vt:variant>
      <vt:variant>
        <vt:lpwstr>http://www.nevo.co.il/law/70301/40ja.9</vt:lpwstr>
      </vt:variant>
      <vt:variant>
        <vt:lpwstr/>
      </vt:variant>
      <vt:variant>
        <vt:i4>6750304</vt:i4>
      </vt:variant>
      <vt:variant>
        <vt:i4>18</vt:i4>
      </vt:variant>
      <vt:variant>
        <vt:i4>0</vt:i4>
      </vt:variant>
      <vt:variant>
        <vt:i4>5</vt:i4>
      </vt:variant>
      <vt:variant>
        <vt:lpwstr>http://www.nevo.co.il/law/70301/52</vt:lpwstr>
      </vt:variant>
      <vt:variant>
        <vt:lpwstr/>
      </vt:variant>
      <vt:variant>
        <vt:i4>131151</vt:i4>
      </vt:variant>
      <vt:variant>
        <vt:i4>15</vt:i4>
      </vt:variant>
      <vt:variant>
        <vt:i4>0</vt:i4>
      </vt:variant>
      <vt:variant>
        <vt:i4>5</vt:i4>
      </vt:variant>
      <vt:variant>
        <vt:lpwstr>http://www.nevo.co.il/law/70301/45.b</vt:lpwstr>
      </vt:variant>
      <vt:variant>
        <vt:lpwstr/>
      </vt:variant>
      <vt:variant>
        <vt:i4>6619233</vt:i4>
      </vt:variant>
      <vt:variant>
        <vt:i4>12</vt:i4>
      </vt:variant>
      <vt:variant>
        <vt:i4>0</vt:i4>
      </vt:variant>
      <vt:variant>
        <vt:i4>5</vt:i4>
      </vt:variant>
      <vt:variant>
        <vt:lpwstr>http://www.nevo.co.il/law/70301/40h</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7995492</vt:i4>
      </vt:variant>
      <vt:variant>
        <vt:i4>6</vt:i4>
      </vt:variant>
      <vt:variant>
        <vt:i4>0</vt:i4>
      </vt:variant>
      <vt:variant>
        <vt:i4>5</vt:i4>
      </vt:variant>
      <vt:variant>
        <vt:lpwstr>http://www.nevo.co.il/law/70301</vt:lpwstr>
      </vt:variant>
      <vt:variant>
        <vt:lpwstr/>
      </vt:variant>
      <vt:variant>
        <vt:i4>8323172</vt:i4>
      </vt:variant>
      <vt:variant>
        <vt:i4>3</vt:i4>
      </vt:variant>
      <vt:variant>
        <vt:i4>0</vt:i4>
      </vt:variant>
      <vt:variant>
        <vt:i4>5</vt:i4>
      </vt:variant>
      <vt:variant>
        <vt:lpwstr>http://www.nevo.co.il/law/71557/1.3</vt:lpwstr>
      </vt:variant>
      <vt:variant>
        <vt:lpwstr/>
      </vt:variant>
      <vt:variant>
        <vt:i4>8257634</vt:i4>
      </vt:variant>
      <vt:variant>
        <vt:i4>0</vt:i4>
      </vt:variant>
      <vt:variant>
        <vt:i4>0</vt:i4>
      </vt:variant>
      <vt:variant>
        <vt:i4>5</vt:i4>
      </vt:variant>
      <vt:variant>
        <vt:lpwstr>http://www.nevo.co.il/law/71557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27917</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שמעון ישראל סרויה</vt:lpwstr>
  </property>
  <property fmtid="{D5CDD505-2E9C-101B-9397-08002B2CF9AE}" pid="10" name="LAWYER">
    <vt:lpwstr>שמעון מור יוסף;מיכאל עירוני</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20170718</vt:lpwstr>
  </property>
  <property fmtid="{D5CDD505-2E9C-101B-9397-08002B2CF9AE}" pid="14" name="TYPE_N_DATE">
    <vt:lpwstr>38020170718</vt:lpwstr>
  </property>
  <property fmtid="{D5CDD505-2E9C-101B-9397-08002B2CF9AE}" pid="15" name="CASESLISTTMP1">
    <vt:lpwstr>20882846:2;18784698;3816318;5097859</vt:lpwstr>
  </property>
  <property fmtid="{D5CDD505-2E9C-101B-9397-08002B2CF9AE}" pid="16" name="CASENOTES1">
    <vt:lpwstr>ProcID=209&amp;PartA=1016&amp;PartC=07</vt:lpwstr>
  </property>
  <property fmtid="{D5CDD505-2E9C-101B-9397-08002B2CF9AE}" pid="17" name="WORDNUMPAGES">
    <vt:lpwstr>8</vt:lpwstr>
  </property>
  <property fmtid="{D5CDD505-2E9C-101B-9397-08002B2CF9AE}" pid="18" name="TYPE_ABS_DATE">
    <vt:lpwstr>380020170718</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71557/001.3</vt:lpwstr>
  </property>
  <property fmtid="{D5CDD505-2E9C-101B-9397-08002B2CF9AE}" pid="38" name="LAWLISTTMP2">
    <vt:lpwstr>70301/040h;052;040e;40ja.9;045.b</vt:lpwstr>
  </property>
  <property fmtid="{D5CDD505-2E9C-101B-9397-08002B2CF9AE}" pid="39" name="LAWLISTTMP3">
    <vt:lpwstr>4216/036a.a.1</vt:lpwstr>
  </property>
</Properties>
</file>