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072A9C" w:rsidRPr="00D83F3E" w14:paraId="7E1FCC9F" w14:textId="77777777" w:rsidTr="00A13BA9">
        <w:trPr>
          <w:trHeight w:hRule="exact" w:val="418"/>
          <w:jc w:val="center"/>
        </w:trPr>
        <w:tc>
          <w:tcPr>
            <w:tcW w:w="8721" w:type="dxa"/>
            <w:gridSpan w:val="2"/>
          </w:tcPr>
          <w:p w14:paraId="42F9A445" w14:textId="77777777" w:rsidR="00072A9C" w:rsidRPr="00D83F3E" w:rsidRDefault="00072A9C" w:rsidP="00810CA1">
            <w:pPr>
              <w:pStyle w:val="a3"/>
              <w:jc w:val="center"/>
              <w:rPr>
                <w:rFonts w:ascii="Tahoma" w:hAnsi="Tahoma" w:cs="Tahoma"/>
                <w:color w:val="000080"/>
                <w:rtl/>
              </w:rPr>
            </w:pPr>
            <w:bookmarkStart w:id="0" w:name="FirstLawyer"/>
            <w:bookmarkStart w:id="1" w:name="LastJudge"/>
            <w:r w:rsidRPr="00D83F3E">
              <w:rPr>
                <w:rFonts w:ascii="Tahoma" w:hAnsi="Tahoma" w:cs="Tahoma"/>
                <w:b/>
                <w:bCs/>
                <w:color w:val="000080"/>
                <w:rtl/>
              </w:rPr>
              <w:t>בית משפט השלום ברמלה</w:t>
            </w:r>
          </w:p>
        </w:tc>
      </w:tr>
      <w:tr w:rsidR="00072A9C" w:rsidRPr="00D83F3E" w14:paraId="4A7A7900" w14:textId="77777777" w:rsidTr="00A13BA9">
        <w:trPr>
          <w:trHeight w:val="337"/>
          <w:jc w:val="center"/>
        </w:trPr>
        <w:tc>
          <w:tcPr>
            <w:tcW w:w="5055" w:type="dxa"/>
          </w:tcPr>
          <w:p w14:paraId="24F9DCA2" w14:textId="77777777" w:rsidR="00072A9C" w:rsidRPr="00D83F3E" w:rsidRDefault="00072A9C" w:rsidP="00810CA1">
            <w:pPr>
              <w:rPr>
                <w:rFonts w:cs="FrankRuehl"/>
                <w:sz w:val="28"/>
                <w:szCs w:val="28"/>
                <w:rtl/>
              </w:rPr>
            </w:pPr>
            <w:r w:rsidRPr="00D83F3E">
              <w:rPr>
                <w:rFonts w:cs="FrankRuehl"/>
                <w:sz w:val="28"/>
                <w:szCs w:val="28"/>
                <w:rtl/>
              </w:rPr>
              <w:t>ת"פ</w:t>
            </w:r>
            <w:r w:rsidRPr="00D83F3E">
              <w:rPr>
                <w:rFonts w:cs="FrankRuehl" w:hint="cs"/>
                <w:sz w:val="28"/>
                <w:szCs w:val="28"/>
                <w:rtl/>
              </w:rPr>
              <w:t xml:space="preserve"> </w:t>
            </w:r>
            <w:r w:rsidRPr="00D83F3E">
              <w:rPr>
                <w:rFonts w:cs="FrankRuehl"/>
                <w:sz w:val="28"/>
                <w:szCs w:val="28"/>
                <w:rtl/>
              </w:rPr>
              <w:t>36414-03-16</w:t>
            </w:r>
            <w:r w:rsidRPr="00D83F3E">
              <w:rPr>
                <w:rFonts w:cs="FrankRuehl" w:hint="cs"/>
                <w:sz w:val="28"/>
                <w:szCs w:val="28"/>
                <w:rtl/>
              </w:rPr>
              <w:t xml:space="preserve"> </w:t>
            </w:r>
            <w:r w:rsidRPr="00D83F3E">
              <w:rPr>
                <w:rFonts w:cs="FrankRuehl"/>
                <w:sz w:val="28"/>
                <w:szCs w:val="28"/>
                <w:rtl/>
              </w:rPr>
              <w:t>משטרת ישראל תביעות- שלוחת רמלה נ' תותונגי</w:t>
            </w:r>
          </w:p>
          <w:p w14:paraId="209209D8" w14:textId="77777777" w:rsidR="00072A9C" w:rsidRPr="00D83F3E" w:rsidRDefault="00072A9C" w:rsidP="00810CA1">
            <w:pPr>
              <w:pStyle w:val="a3"/>
              <w:rPr>
                <w:rFonts w:cs="FrankRuehl"/>
                <w:sz w:val="28"/>
                <w:szCs w:val="28"/>
                <w:rtl/>
              </w:rPr>
            </w:pPr>
          </w:p>
        </w:tc>
        <w:tc>
          <w:tcPr>
            <w:tcW w:w="3666" w:type="dxa"/>
          </w:tcPr>
          <w:p w14:paraId="1D9078E4" w14:textId="77777777" w:rsidR="00072A9C" w:rsidRPr="00D83F3E" w:rsidRDefault="00072A9C" w:rsidP="00810CA1">
            <w:pPr>
              <w:pStyle w:val="a3"/>
              <w:jc w:val="right"/>
              <w:rPr>
                <w:rFonts w:cs="FrankRuehl"/>
                <w:sz w:val="28"/>
                <w:szCs w:val="28"/>
                <w:rtl/>
              </w:rPr>
            </w:pPr>
          </w:p>
        </w:tc>
      </w:tr>
    </w:tbl>
    <w:p w14:paraId="5780DB5A" w14:textId="77777777" w:rsidR="00072A9C" w:rsidRPr="00D83F3E" w:rsidRDefault="00072A9C" w:rsidP="00072A9C">
      <w:pPr>
        <w:pStyle w:val="a3"/>
        <w:rPr>
          <w:rtl/>
        </w:rPr>
      </w:pPr>
      <w:r w:rsidRPr="00D83F3E">
        <w:rPr>
          <w:rFonts w:hint="cs"/>
          <w:rtl/>
        </w:rPr>
        <w:t xml:space="preserve"> </w:t>
      </w:r>
    </w:p>
    <w:p w14:paraId="056BEA2F" w14:textId="77777777" w:rsidR="00072A9C" w:rsidRPr="00D83F3E" w:rsidRDefault="00072A9C" w:rsidP="00072A9C">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6"/>
        <w:gridCol w:w="3759"/>
      </w:tblGrid>
      <w:tr w:rsidR="00072A9C" w:rsidRPr="00D83F3E" w14:paraId="73B24508" w14:textId="77777777" w:rsidTr="00072A9C">
        <w:trPr>
          <w:trHeight w:val="295"/>
          <w:jc w:val="center"/>
        </w:trPr>
        <w:tc>
          <w:tcPr>
            <w:tcW w:w="945" w:type="dxa"/>
            <w:tcBorders>
              <w:top w:val="nil"/>
              <w:left w:val="nil"/>
              <w:bottom w:val="nil"/>
              <w:right w:val="nil"/>
            </w:tcBorders>
            <w:shd w:val="clear" w:color="auto" w:fill="auto"/>
          </w:tcPr>
          <w:p w14:paraId="1803C26D" w14:textId="77777777" w:rsidR="00072A9C" w:rsidRPr="00D83F3E" w:rsidRDefault="00072A9C" w:rsidP="00072A9C">
            <w:pPr>
              <w:spacing w:line="360" w:lineRule="auto"/>
              <w:jc w:val="both"/>
              <w:rPr>
                <w:rFonts w:ascii="Arial" w:hAnsi="Arial"/>
                <w:b/>
                <w:bCs/>
                <w:sz w:val="28"/>
                <w:szCs w:val="28"/>
              </w:rPr>
            </w:pPr>
            <w:r w:rsidRPr="00D83F3E">
              <w:rPr>
                <w:rFonts w:ascii="Arial" w:hAnsi="Arial" w:hint="cs"/>
                <w:b/>
                <w:bCs/>
                <w:sz w:val="28"/>
                <w:szCs w:val="28"/>
                <w:rtl/>
              </w:rPr>
              <w:t>ב</w:t>
            </w:r>
            <w:r w:rsidRPr="00D83F3E">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63468FA9" w14:textId="77777777" w:rsidR="00072A9C" w:rsidRPr="00D83F3E" w:rsidRDefault="00072A9C" w:rsidP="00072A9C">
            <w:pPr>
              <w:spacing w:line="360" w:lineRule="auto"/>
              <w:rPr>
                <w:rFonts w:ascii="Arial" w:hAnsi="Arial"/>
                <w:b/>
                <w:bCs/>
                <w:sz w:val="28"/>
                <w:szCs w:val="28"/>
                <w:rtl/>
              </w:rPr>
            </w:pPr>
            <w:r w:rsidRPr="00D83F3E">
              <w:rPr>
                <w:rFonts w:ascii="Arial" w:hAnsi="Arial" w:hint="cs"/>
                <w:b/>
                <w:bCs/>
                <w:sz w:val="28"/>
                <w:szCs w:val="28"/>
                <w:rtl/>
              </w:rPr>
              <w:t>כבוד ה</w:t>
            </w:r>
            <w:r w:rsidRPr="00D83F3E">
              <w:rPr>
                <w:rFonts w:ascii="Arial" w:hAnsi="Arial"/>
                <w:b/>
                <w:bCs/>
                <w:sz w:val="28"/>
                <w:szCs w:val="28"/>
                <w:rtl/>
              </w:rPr>
              <w:t>שופט</w:t>
            </w:r>
            <w:r w:rsidRPr="00D83F3E">
              <w:rPr>
                <w:rFonts w:ascii="Arial" w:hAnsi="Arial" w:hint="cs"/>
                <w:b/>
                <w:bCs/>
                <w:sz w:val="28"/>
                <w:szCs w:val="28"/>
                <w:rtl/>
              </w:rPr>
              <w:t xml:space="preserve">  </w:t>
            </w:r>
            <w:r w:rsidRPr="00D83F3E">
              <w:rPr>
                <w:rFonts w:ascii="Arial" w:hAnsi="Arial"/>
                <w:b/>
                <w:bCs/>
                <w:sz w:val="28"/>
                <w:szCs w:val="28"/>
                <w:rtl/>
              </w:rPr>
              <w:t>הישאם  אבו שחאדה</w:t>
            </w:r>
          </w:p>
          <w:p w14:paraId="25022BD9" w14:textId="77777777" w:rsidR="00072A9C" w:rsidRPr="00D83F3E" w:rsidRDefault="00072A9C" w:rsidP="00072A9C">
            <w:pPr>
              <w:spacing w:line="360" w:lineRule="auto"/>
              <w:rPr>
                <w:b/>
                <w:bCs/>
                <w:sz w:val="28"/>
                <w:szCs w:val="28"/>
                <w:rtl/>
              </w:rPr>
            </w:pPr>
          </w:p>
          <w:p w14:paraId="5F58FB6C" w14:textId="77777777" w:rsidR="00072A9C" w:rsidRPr="00D83F3E" w:rsidRDefault="00072A9C" w:rsidP="00072A9C">
            <w:pPr>
              <w:spacing w:line="360" w:lineRule="auto"/>
              <w:jc w:val="both"/>
              <w:rPr>
                <w:rFonts w:ascii="Arial" w:hAnsi="Arial"/>
                <w:b/>
                <w:bCs/>
                <w:sz w:val="28"/>
                <w:szCs w:val="28"/>
              </w:rPr>
            </w:pPr>
          </w:p>
        </w:tc>
      </w:tr>
      <w:tr w:rsidR="00072A9C" w:rsidRPr="00D83F3E" w14:paraId="063BB017" w14:textId="77777777" w:rsidTr="00072A9C">
        <w:trPr>
          <w:trHeight w:val="355"/>
          <w:jc w:val="center"/>
        </w:trPr>
        <w:tc>
          <w:tcPr>
            <w:tcW w:w="945" w:type="dxa"/>
            <w:tcBorders>
              <w:top w:val="nil"/>
              <w:left w:val="nil"/>
              <w:bottom w:val="nil"/>
              <w:right w:val="nil"/>
            </w:tcBorders>
            <w:shd w:val="clear" w:color="auto" w:fill="auto"/>
          </w:tcPr>
          <w:p w14:paraId="190F4C34" w14:textId="77777777" w:rsidR="00072A9C" w:rsidRPr="00D83F3E" w:rsidRDefault="00072A9C" w:rsidP="00072A9C">
            <w:pPr>
              <w:spacing w:line="360" w:lineRule="auto"/>
              <w:jc w:val="both"/>
              <w:rPr>
                <w:rFonts w:ascii="Arial" w:hAnsi="Arial"/>
                <w:b/>
                <w:bCs/>
                <w:sz w:val="28"/>
                <w:szCs w:val="28"/>
              </w:rPr>
            </w:pPr>
            <w:bookmarkStart w:id="2" w:name="FirstAppellant"/>
            <w:r w:rsidRPr="00D83F3E">
              <w:rPr>
                <w:rFonts w:ascii="Arial" w:hAnsi="Arial" w:hint="cs"/>
                <w:b/>
                <w:bCs/>
                <w:sz w:val="28"/>
                <w:szCs w:val="28"/>
                <w:rtl/>
              </w:rPr>
              <w:t>בעניין:</w:t>
            </w:r>
          </w:p>
        </w:tc>
        <w:tc>
          <w:tcPr>
            <w:tcW w:w="4116" w:type="dxa"/>
            <w:tcBorders>
              <w:top w:val="nil"/>
              <w:left w:val="nil"/>
              <w:bottom w:val="nil"/>
              <w:right w:val="nil"/>
            </w:tcBorders>
            <w:shd w:val="clear" w:color="auto" w:fill="auto"/>
          </w:tcPr>
          <w:p w14:paraId="7AEB29F3" w14:textId="77777777" w:rsidR="00072A9C" w:rsidRPr="00D83F3E" w:rsidRDefault="00072A9C" w:rsidP="00072A9C">
            <w:pPr>
              <w:spacing w:line="360" w:lineRule="auto"/>
              <w:rPr>
                <w:b/>
                <w:bCs/>
                <w:sz w:val="28"/>
                <w:szCs w:val="28"/>
              </w:rPr>
            </w:pPr>
            <w:r w:rsidRPr="00D83F3E">
              <w:rPr>
                <w:rFonts w:ascii="Arial" w:hAnsi="Arial"/>
                <w:b/>
                <w:bCs/>
                <w:sz w:val="28"/>
                <w:szCs w:val="28"/>
                <w:rtl/>
              </w:rPr>
              <w:t xml:space="preserve">המאשימה – מדינת </w:t>
            </w:r>
            <w:r w:rsidRPr="00D83F3E">
              <w:rPr>
                <w:rFonts w:ascii="Arial" w:hAnsi="Arial" w:hint="cs"/>
                <w:b/>
                <w:bCs/>
                <w:sz w:val="28"/>
                <w:szCs w:val="28"/>
                <w:rtl/>
              </w:rPr>
              <w:t>ישראל</w:t>
            </w:r>
            <w:r w:rsidRPr="00D83F3E">
              <w:rPr>
                <w:rFonts w:ascii="Arial" w:hAnsi="Arial"/>
                <w:b/>
                <w:bCs/>
                <w:sz w:val="28"/>
                <w:szCs w:val="28"/>
                <w:rtl/>
              </w:rPr>
              <w:br/>
            </w:r>
            <w:r w:rsidRPr="00D83F3E">
              <w:rPr>
                <w:rFonts w:ascii="Arial" w:hAnsi="Arial" w:hint="cs"/>
                <w:b/>
                <w:bCs/>
                <w:sz w:val="28"/>
                <w:szCs w:val="28"/>
                <w:rtl/>
              </w:rPr>
              <w:t xml:space="preserve">באמצעות </w:t>
            </w:r>
            <w:r w:rsidRPr="00D83F3E">
              <w:rPr>
                <w:rFonts w:ascii="Arial" w:hAnsi="Arial"/>
                <w:b/>
                <w:bCs/>
                <w:sz w:val="28"/>
                <w:szCs w:val="28"/>
                <w:rtl/>
              </w:rPr>
              <w:t>משטרת ישראל תביעות רמלה</w:t>
            </w:r>
            <w:r w:rsidRPr="00D83F3E">
              <w:rPr>
                <w:rFonts w:ascii="Arial" w:hAnsi="Arial"/>
                <w:b/>
                <w:bCs/>
                <w:sz w:val="28"/>
                <w:szCs w:val="28"/>
                <w:rtl/>
              </w:rPr>
              <w:br/>
            </w:r>
            <w:r w:rsidRPr="00D83F3E">
              <w:rPr>
                <w:rFonts w:hint="cs"/>
                <w:b/>
                <w:bCs/>
                <w:sz w:val="28"/>
                <w:szCs w:val="28"/>
                <w:rtl/>
              </w:rPr>
              <w:t xml:space="preserve">ע"י עוה"ד איתי שמואלי </w:t>
            </w:r>
          </w:p>
        </w:tc>
        <w:tc>
          <w:tcPr>
            <w:tcW w:w="3759" w:type="dxa"/>
            <w:tcBorders>
              <w:top w:val="nil"/>
              <w:left w:val="nil"/>
              <w:bottom w:val="nil"/>
              <w:right w:val="nil"/>
            </w:tcBorders>
            <w:shd w:val="clear" w:color="auto" w:fill="auto"/>
          </w:tcPr>
          <w:p w14:paraId="2AB53EEC" w14:textId="77777777" w:rsidR="00072A9C" w:rsidRPr="00D83F3E" w:rsidRDefault="00072A9C" w:rsidP="00072A9C">
            <w:pPr>
              <w:spacing w:line="360" w:lineRule="auto"/>
              <w:jc w:val="both"/>
              <w:rPr>
                <w:rFonts w:ascii="Arial" w:hAnsi="Arial"/>
                <w:b/>
                <w:bCs/>
                <w:sz w:val="28"/>
                <w:szCs w:val="28"/>
              </w:rPr>
            </w:pPr>
          </w:p>
        </w:tc>
      </w:tr>
      <w:bookmarkEnd w:id="2"/>
      <w:tr w:rsidR="00072A9C" w:rsidRPr="00D83F3E" w14:paraId="1BDC77FA" w14:textId="77777777" w:rsidTr="00072A9C">
        <w:trPr>
          <w:gridAfter w:val="2"/>
          <w:wAfter w:w="7875" w:type="dxa"/>
          <w:trHeight w:val="355"/>
          <w:jc w:val="center"/>
        </w:trPr>
        <w:tc>
          <w:tcPr>
            <w:tcW w:w="945" w:type="dxa"/>
            <w:tcBorders>
              <w:top w:val="nil"/>
              <w:left w:val="nil"/>
              <w:bottom w:val="nil"/>
              <w:right w:val="nil"/>
            </w:tcBorders>
            <w:shd w:val="clear" w:color="auto" w:fill="auto"/>
          </w:tcPr>
          <w:p w14:paraId="3ADF195A" w14:textId="77777777" w:rsidR="00072A9C" w:rsidRPr="00D83F3E" w:rsidRDefault="00072A9C" w:rsidP="00072A9C">
            <w:pPr>
              <w:spacing w:line="360" w:lineRule="auto"/>
              <w:jc w:val="both"/>
              <w:rPr>
                <w:rFonts w:ascii="Arial" w:hAnsi="Arial"/>
                <w:b/>
                <w:bCs/>
                <w:sz w:val="28"/>
                <w:szCs w:val="28"/>
                <w:rtl/>
              </w:rPr>
            </w:pPr>
          </w:p>
        </w:tc>
      </w:tr>
      <w:tr w:rsidR="00072A9C" w:rsidRPr="00D83F3E" w14:paraId="4817EB32" w14:textId="77777777" w:rsidTr="00072A9C">
        <w:trPr>
          <w:trHeight w:val="355"/>
          <w:jc w:val="center"/>
        </w:trPr>
        <w:tc>
          <w:tcPr>
            <w:tcW w:w="945" w:type="dxa"/>
            <w:tcBorders>
              <w:top w:val="nil"/>
              <w:left w:val="nil"/>
              <w:bottom w:val="nil"/>
              <w:right w:val="nil"/>
            </w:tcBorders>
            <w:shd w:val="clear" w:color="auto" w:fill="auto"/>
          </w:tcPr>
          <w:p w14:paraId="73F362F8" w14:textId="77777777" w:rsidR="00072A9C" w:rsidRPr="00D83F3E" w:rsidRDefault="00072A9C" w:rsidP="00072A9C">
            <w:pPr>
              <w:spacing w:line="360" w:lineRule="auto"/>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5B28CA4A" w14:textId="77777777" w:rsidR="00072A9C" w:rsidRPr="00D83F3E" w:rsidRDefault="00072A9C" w:rsidP="00072A9C">
            <w:pPr>
              <w:spacing w:line="360" w:lineRule="auto"/>
              <w:jc w:val="center"/>
              <w:rPr>
                <w:rFonts w:ascii="Arial" w:hAnsi="Arial"/>
                <w:b/>
                <w:bCs/>
                <w:sz w:val="28"/>
                <w:szCs w:val="28"/>
                <w:rtl/>
              </w:rPr>
            </w:pPr>
          </w:p>
          <w:p w14:paraId="46E55F03" w14:textId="77777777" w:rsidR="00072A9C" w:rsidRPr="00D83F3E" w:rsidRDefault="00072A9C" w:rsidP="00072A9C">
            <w:pPr>
              <w:spacing w:line="360" w:lineRule="auto"/>
              <w:jc w:val="center"/>
              <w:rPr>
                <w:rFonts w:ascii="Arial" w:hAnsi="Arial"/>
                <w:b/>
                <w:bCs/>
                <w:sz w:val="28"/>
                <w:szCs w:val="28"/>
                <w:rtl/>
              </w:rPr>
            </w:pPr>
            <w:r w:rsidRPr="00D83F3E">
              <w:rPr>
                <w:rFonts w:ascii="Arial" w:hAnsi="Arial"/>
                <w:b/>
                <w:bCs/>
                <w:sz w:val="28"/>
                <w:szCs w:val="28"/>
                <w:rtl/>
              </w:rPr>
              <w:t>נגד</w:t>
            </w:r>
          </w:p>
          <w:p w14:paraId="687ABFAB" w14:textId="77777777" w:rsidR="00072A9C" w:rsidRPr="00D83F3E" w:rsidRDefault="00072A9C" w:rsidP="00072A9C">
            <w:pPr>
              <w:spacing w:line="360" w:lineRule="auto"/>
              <w:jc w:val="both"/>
              <w:rPr>
                <w:rFonts w:ascii="Arial" w:hAnsi="Arial"/>
                <w:b/>
                <w:bCs/>
                <w:sz w:val="28"/>
                <w:szCs w:val="28"/>
              </w:rPr>
            </w:pPr>
          </w:p>
        </w:tc>
      </w:tr>
      <w:tr w:rsidR="00072A9C" w:rsidRPr="00D83F3E" w14:paraId="2AD685A5" w14:textId="77777777" w:rsidTr="00072A9C">
        <w:trPr>
          <w:trHeight w:val="355"/>
          <w:jc w:val="center"/>
        </w:trPr>
        <w:tc>
          <w:tcPr>
            <w:tcW w:w="945" w:type="dxa"/>
            <w:tcBorders>
              <w:top w:val="nil"/>
              <w:left w:val="nil"/>
              <w:bottom w:val="nil"/>
              <w:right w:val="nil"/>
            </w:tcBorders>
            <w:shd w:val="clear" w:color="auto" w:fill="auto"/>
          </w:tcPr>
          <w:p w14:paraId="58A6C277" w14:textId="77777777" w:rsidR="00072A9C" w:rsidRPr="00D83F3E" w:rsidRDefault="00072A9C" w:rsidP="00072A9C">
            <w:pPr>
              <w:spacing w:line="360" w:lineRule="auto"/>
              <w:rPr>
                <w:rFonts w:ascii="Arial" w:hAnsi="Arial"/>
                <w:b/>
                <w:bCs/>
                <w:sz w:val="28"/>
                <w:szCs w:val="28"/>
                <w:rtl/>
              </w:rPr>
            </w:pPr>
          </w:p>
        </w:tc>
        <w:tc>
          <w:tcPr>
            <w:tcW w:w="4116" w:type="dxa"/>
            <w:tcBorders>
              <w:top w:val="nil"/>
              <w:left w:val="nil"/>
              <w:bottom w:val="nil"/>
              <w:right w:val="nil"/>
            </w:tcBorders>
            <w:shd w:val="clear" w:color="auto" w:fill="auto"/>
          </w:tcPr>
          <w:p w14:paraId="107F3F40" w14:textId="77777777" w:rsidR="00072A9C" w:rsidRPr="00D83F3E" w:rsidRDefault="00072A9C" w:rsidP="00072A9C">
            <w:pPr>
              <w:spacing w:line="360" w:lineRule="auto"/>
              <w:rPr>
                <w:b/>
                <w:bCs/>
                <w:sz w:val="28"/>
                <w:szCs w:val="28"/>
                <w:rtl/>
              </w:rPr>
            </w:pPr>
            <w:r w:rsidRPr="00D83F3E">
              <w:rPr>
                <w:rFonts w:hint="cs"/>
                <w:b/>
                <w:bCs/>
                <w:sz w:val="28"/>
                <w:szCs w:val="28"/>
                <w:rtl/>
              </w:rPr>
              <w:t xml:space="preserve">הנאשמת </w:t>
            </w:r>
            <w:r w:rsidRPr="00D83F3E">
              <w:rPr>
                <w:rFonts w:ascii="Arial" w:hAnsi="Arial"/>
                <w:b/>
                <w:bCs/>
                <w:sz w:val="28"/>
                <w:szCs w:val="28"/>
                <w:rtl/>
              </w:rPr>
              <w:t>פדאא תותונגי</w:t>
            </w:r>
            <w:r w:rsidRPr="00D83F3E">
              <w:rPr>
                <w:rFonts w:ascii="Arial" w:hAnsi="Arial"/>
                <w:b/>
                <w:bCs/>
                <w:sz w:val="28"/>
                <w:szCs w:val="28"/>
                <w:rtl/>
              </w:rPr>
              <w:br/>
            </w:r>
            <w:r w:rsidRPr="00D83F3E">
              <w:rPr>
                <w:b/>
                <w:bCs/>
                <w:sz w:val="28"/>
                <w:szCs w:val="28"/>
                <w:rtl/>
              </w:rPr>
              <w:t xml:space="preserve">ע"י עוה"ד סלאח אבו תאיה – אין </w:t>
            </w:r>
            <w:r w:rsidRPr="00D83F3E">
              <w:rPr>
                <w:rFonts w:hint="cs"/>
                <w:b/>
                <w:bCs/>
                <w:sz w:val="28"/>
                <w:szCs w:val="28"/>
                <w:rtl/>
              </w:rPr>
              <w:t>התייצבות</w:t>
            </w:r>
          </w:p>
        </w:tc>
        <w:tc>
          <w:tcPr>
            <w:tcW w:w="3759" w:type="dxa"/>
            <w:tcBorders>
              <w:top w:val="nil"/>
              <w:left w:val="nil"/>
              <w:bottom w:val="nil"/>
              <w:right w:val="nil"/>
            </w:tcBorders>
            <w:shd w:val="clear" w:color="auto" w:fill="auto"/>
          </w:tcPr>
          <w:p w14:paraId="7CAA42ED" w14:textId="77777777" w:rsidR="00072A9C" w:rsidRPr="00D83F3E" w:rsidRDefault="00072A9C" w:rsidP="00072A9C">
            <w:pPr>
              <w:spacing w:line="360" w:lineRule="auto"/>
              <w:jc w:val="right"/>
              <w:rPr>
                <w:rFonts w:ascii="Arial" w:hAnsi="Arial"/>
                <w:b/>
                <w:bCs/>
                <w:sz w:val="28"/>
                <w:szCs w:val="28"/>
              </w:rPr>
            </w:pPr>
          </w:p>
        </w:tc>
      </w:tr>
    </w:tbl>
    <w:p w14:paraId="02D1D50D" w14:textId="77777777" w:rsidR="00A13BA9" w:rsidRPr="00A13BA9" w:rsidRDefault="00A13BA9" w:rsidP="00A13BA9">
      <w:pPr>
        <w:spacing w:after="120" w:line="240" w:lineRule="exact"/>
        <w:ind w:left="283" w:hanging="283"/>
        <w:jc w:val="both"/>
        <w:rPr>
          <w:rFonts w:ascii="FrankRuehl" w:hAnsi="FrankRuehl" w:cs="FrankRuehl"/>
          <w:rtl/>
        </w:rPr>
      </w:pPr>
      <w:bookmarkStart w:id="3" w:name="LawTable"/>
      <w:bookmarkEnd w:id="3"/>
    </w:p>
    <w:p w14:paraId="46E6F97D" w14:textId="77777777" w:rsidR="00A13BA9" w:rsidRPr="00A13BA9" w:rsidRDefault="00A13BA9" w:rsidP="00A13BA9">
      <w:pPr>
        <w:spacing w:after="120" w:line="240" w:lineRule="exact"/>
        <w:ind w:left="283" w:hanging="283"/>
        <w:jc w:val="both"/>
        <w:rPr>
          <w:rFonts w:ascii="FrankRuehl" w:hAnsi="FrankRuehl" w:cs="FrankRuehl"/>
          <w:rtl/>
        </w:rPr>
      </w:pPr>
      <w:r w:rsidRPr="00A13BA9">
        <w:rPr>
          <w:rFonts w:ascii="FrankRuehl" w:hAnsi="FrankRuehl" w:cs="FrankRuehl"/>
          <w:rtl/>
        </w:rPr>
        <w:t xml:space="preserve">חקיקה שאוזכרה: </w:t>
      </w:r>
    </w:p>
    <w:p w14:paraId="25FDF8DF" w14:textId="77777777" w:rsidR="00A13BA9" w:rsidRPr="00A13BA9" w:rsidRDefault="00A13BA9" w:rsidP="00A13BA9">
      <w:pPr>
        <w:spacing w:after="120" w:line="240" w:lineRule="exact"/>
        <w:ind w:left="283" w:hanging="283"/>
        <w:jc w:val="both"/>
        <w:rPr>
          <w:rFonts w:ascii="FrankRuehl" w:hAnsi="FrankRuehl" w:cs="FrankRuehl"/>
          <w:rtl/>
        </w:rPr>
      </w:pPr>
      <w:hyperlink r:id="rId6" w:history="1">
        <w:r w:rsidRPr="00A13BA9">
          <w:rPr>
            <w:rFonts w:ascii="FrankRuehl" w:hAnsi="FrankRuehl" w:cs="FrankRuehl"/>
            <w:color w:val="0000FF"/>
            <w:u w:val="single"/>
            <w:rtl/>
          </w:rPr>
          <w:t>פקודת הסמים המסוכנים [נוסח חדש], תשל"ג-1973</w:t>
        </w:r>
      </w:hyperlink>
      <w:r w:rsidRPr="00A13BA9">
        <w:rPr>
          <w:rFonts w:ascii="FrankRuehl" w:hAnsi="FrankRuehl" w:cs="FrankRuehl"/>
          <w:rtl/>
        </w:rPr>
        <w:t xml:space="preserve">: סע'  </w:t>
      </w:r>
      <w:hyperlink r:id="rId7" w:history="1">
        <w:r w:rsidRPr="00A13BA9">
          <w:rPr>
            <w:rFonts w:ascii="FrankRuehl" w:hAnsi="FrankRuehl" w:cs="FrankRuehl"/>
            <w:color w:val="0000FF"/>
            <w:u w:val="single"/>
            <w:rtl/>
          </w:rPr>
          <w:t>13</w:t>
        </w:r>
      </w:hyperlink>
      <w:r w:rsidRPr="00A13BA9">
        <w:rPr>
          <w:rFonts w:ascii="FrankRuehl" w:hAnsi="FrankRuehl" w:cs="FrankRuehl"/>
          <w:rtl/>
        </w:rPr>
        <w:t xml:space="preserve">, </w:t>
      </w:r>
      <w:hyperlink r:id="rId8" w:history="1">
        <w:r w:rsidRPr="00A13BA9">
          <w:rPr>
            <w:rFonts w:ascii="FrankRuehl" w:hAnsi="FrankRuehl" w:cs="FrankRuehl"/>
            <w:color w:val="0000FF"/>
            <w:u w:val="single"/>
            <w:rtl/>
          </w:rPr>
          <w:t>19א</w:t>
        </w:r>
      </w:hyperlink>
    </w:p>
    <w:p w14:paraId="1B413FEE" w14:textId="77777777" w:rsidR="00A13BA9" w:rsidRPr="00A13BA9" w:rsidRDefault="00A13BA9" w:rsidP="00A13BA9">
      <w:pPr>
        <w:spacing w:after="120" w:line="240" w:lineRule="exact"/>
        <w:ind w:left="283" w:hanging="283"/>
        <w:jc w:val="both"/>
        <w:rPr>
          <w:rFonts w:ascii="FrankRuehl" w:hAnsi="FrankRuehl" w:cs="FrankRuehl"/>
          <w:rtl/>
        </w:rPr>
      </w:pPr>
      <w:hyperlink r:id="rId9" w:history="1">
        <w:r w:rsidRPr="00A13BA9">
          <w:rPr>
            <w:rFonts w:ascii="FrankRuehl" w:hAnsi="FrankRuehl" w:cs="FrankRuehl"/>
            <w:color w:val="0000FF"/>
            <w:u w:val="single"/>
            <w:rtl/>
          </w:rPr>
          <w:t>חוק העונשין, תשל"ז-1977</w:t>
        </w:r>
      </w:hyperlink>
      <w:r w:rsidRPr="00A13BA9">
        <w:rPr>
          <w:rFonts w:ascii="FrankRuehl" w:hAnsi="FrankRuehl" w:cs="FrankRuehl"/>
          <w:rtl/>
        </w:rPr>
        <w:t xml:space="preserve">: סע'  </w:t>
      </w:r>
      <w:hyperlink r:id="rId10" w:history="1">
        <w:r w:rsidRPr="00A13BA9">
          <w:rPr>
            <w:rFonts w:ascii="FrankRuehl" w:hAnsi="FrankRuehl" w:cs="FrankRuehl"/>
            <w:color w:val="0000FF"/>
            <w:u w:val="single"/>
            <w:rtl/>
          </w:rPr>
          <w:t>25</w:t>
        </w:r>
      </w:hyperlink>
    </w:p>
    <w:p w14:paraId="313E5ACA" w14:textId="77777777" w:rsidR="00A13BA9" w:rsidRPr="00A13BA9" w:rsidRDefault="00A13BA9" w:rsidP="00A13BA9">
      <w:pPr>
        <w:spacing w:after="120" w:line="240" w:lineRule="exact"/>
        <w:ind w:left="283" w:hanging="283"/>
        <w:jc w:val="both"/>
        <w:rPr>
          <w:rFonts w:ascii="FrankRuehl" w:hAnsi="FrankRuehl" w:cs="FrankRuehl"/>
          <w:rtl/>
        </w:rPr>
      </w:pPr>
    </w:p>
    <w:p w14:paraId="402DBC3E" w14:textId="77777777" w:rsidR="00A13BA9" w:rsidRPr="00A13BA9" w:rsidRDefault="00A13BA9" w:rsidP="00A13BA9">
      <w:pPr>
        <w:spacing w:line="360" w:lineRule="auto"/>
        <w:jc w:val="center"/>
        <w:rPr>
          <w:rFonts w:ascii="Arial" w:hAnsi="Arial"/>
          <w:sz w:val="28"/>
          <w:szCs w:val="28"/>
          <w:rtl/>
        </w:rPr>
      </w:pPr>
      <w:bookmarkStart w:id="4" w:name="LawTable_End"/>
      <w:bookmarkEnd w:id="4"/>
    </w:p>
    <w:p w14:paraId="359B6D97" w14:textId="77777777" w:rsidR="00072A9C" w:rsidRPr="00D83F3E" w:rsidRDefault="00A13BA9" w:rsidP="00A13BA9">
      <w:pPr>
        <w:spacing w:line="360" w:lineRule="auto"/>
        <w:jc w:val="center"/>
        <w:rPr>
          <w:rFonts w:ascii="Arial" w:hAnsi="Arial"/>
          <w:b/>
          <w:bCs/>
          <w:sz w:val="28"/>
          <w:szCs w:val="28"/>
          <w:rtl/>
        </w:rPr>
      </w:pPr>
      <w:bookmarkStart w:id="5" w:name="PsakDin"/>
      <w:r w:rsidRPr="00D83F3E">
        <w:rPr>
          <w:rFonts w:ascii="Arial" w:hAnsi="Arial" w:hint="cs"/>
          <w:b/>
          <w:bCs/>
          <w:sz w:val="28"/>
          <w:szCs w:val="28"/>
          <w:rtl/>
        </w:rPr>
        <w:t>ג ז ר   ד י ן</w:t>
      </w:r>
    </w:p>
    <w:bookmarkEnd w:id="5"/>
    <w:p w14:paraId="26C8163E" w14:textId="77777777" w:rsidR="00072A9C" w:rsidRPr="00D83F3E" w:rsidRDefault="00072A9C" w:rsidP="00072A9C">
      <w:pPr>
        <w:spacing w:line="360" w:lineRule="auto"/>
        <w:rPr>
          <w:rFonts w:ascii="Arial" w:hAnsi="Arial"/>
          <w:b/>
          <w:bCs/>
          <w:sz w:val="28"/>
          <w:szCs w:val="28"/>
          <w:rtl/>
        </w:rPr>
      </w:pPr>
      <w:r w:rsidRPr="00D83F3E">
        <w:rPr>
          <w:rFonts w:ascii="Arial" w:hAnsi="Arial" w:hint="cs"/>
          <w:b/>
          <w:bCs/>
          <w:sz w:val="28"/>
          <w:szCs w:val="28"/>
          <w:rtl/>
        </w:rPr>
        <w:t xml:space="preserve">כתב האישום </w:t>
      </w:r>
    </w:p>
    <w:p w14:paraId="650A20F0" w14:textId="77777777" w:rsidR="00072A9C" w:rsidRPr="00D83F3E" w:rsidRDefault="00072A9C" w:rsidP="00072A9C">
      <w:pPr>
        <w:spacing w:line="360" w:lineRule="auto"/>
        <w:rPr>
          <w:rFonts w:ascii="Arial" w:hAnsi="Arial"/>
          <w:rtl/>
        </w:rPr>
      </w:pPr>
    </w:p>
    <w:p w14:paraId="509E7DEA" w14:textId="77777777" w:rsidR="00072A9C" w:rsidRPr="00D83F3E" w:rsidRDefault="00072A9C" w:rsidP="00072A9C">
      <w:pPr>
        <w:spacing w:line="360" w:lineRule="auto"/>
        <w:ind w:left="720" w:hanging="720"/>
        <w:jc w:val="both"/>
        <w:rPr>
          <w:rFonts w:ascii="Arial" w:hAnsi="Arial"/>
          <w:rtl/>
        </w:rPr>
      </w:pPr>
      <w:r w:rsidRPr="00D83F3E">
        <w:rPr>
          <w:rFonts w:ascii="Arial" w:hAnsi="Arial" w:hint="cs"/>
          <w:rtl/>
        </w:rPr>
        <w:t>1.</w:t>
      </w:r>
      <w:r w:rsidRPr="00D83F3E">
        <w:rPr>
          <w:rFonts w:ascii="Arial" w:hAnsi="Arial" w:hint="cs"/>
          <w:rtl/>
        </w:rPr>
        <w:tab/>
      </w:r>
      <w:bookmarkStart w:id="6" w:name="ABSTRACT_START"/>
      <w:bookmarkEnd w:id="6"/>
      <w:r w:rsidRPr="00D83F3E">
        <w:rPr>
          <w:rFonts w:ascii="Arial" w:hAnsi="Arial" w:hint="cs"/>
          <w:rtl/>
        </w:rPr>
        <w:t xml:space="preserve">הנאשמת הורשעה על פי הודאתה בביצוע עבירה של ניסיון לאספקת סם מסוכן לפי </w:t>
      </w:r>
      <w:hyperlink r:id="rId11" w:history="1">
        <w:r w:rsidR="00A13BA9" w:rsidRPr="00A13BA9">
          <w:rPr>
            <w:rFonts w:ascii="Arial" w:hAnsi="Arial"/>
            <w:color w:val="0000FF"/>
            <w:u w:val="single"/>
            <w:rtl/>
          </w:rPr>
          <w:t>סעיפים 13</w:t>
        </w:r>
      </w:hyperlink>
      <w:r w:rsidRPr="00D83F3E">
        <w:rPr>
          <w:rFonts w:ascii="Arial" w:hAnsi="Arial" w:hint="cs"/>
          <w:rtl/>
        </w:rPr>
        <w:t xml:space="preserve"> ו-</w:t>
      </w:r>
      <w:hyperlink r:id="rId12" w:history="1">
        <w:r w:rsidR="00A13BA9" w:rsidRPr="00A13BA9">
          <w:rPr>
            <w:rFonts w:ascii="Arial" w:hAnsi="Arial"/>
            <w:color w:val="0000FF"/>
            <w:u w:val="single"/>
            <w:rtl/>
          </w:rPr>
          <w:t>19א</w:t>
        </w:r>
      </w:hyperlink>
      <w:r w:rsidRPr="00D83F3E">
        <w:rPr>
          <w:rFonts w:ascii="Arial" w:hAnsi="Arial" w:hint="cs"/>
          <w:rtl/>
        </w:rPr>
        <w:t xml:space="preserve"> ל</w:t>
      </w:r>
      <w:hyperlink r:id="rId13" w:history="1">
        <w:r w:rsidR="00D83F3E" w:rsidRPr="00D83F3E">
          <w:rPr>
            <w:rFonts w:ascii="Arial" w:hAnsi="Arial"/>
            <w:color w:val="0000FF"/>
            <w:u w:val="single"/>
            <w:rtl/>
          </w:rPr>
          <w:t>פקודת הסמים המסוכנים</w:t>
        </w:r>
      </w:hyperlink>
      <w:r w:rsidRPr="00D83F3E">
        <w:rPr>
          <w:rFonts w:ascii="Arial" w:hAnsi="Arial" w:hint="cs"/>
          <w:rtl/>
        </w:rPr>
        <w:t xml:space="preserve"> [נוסח חדש] התשל"ג </w:t>
      </w:r>
      <w:r w:rsidRPr="00D83F3E">
        <w:rPr>
          <w:rFonts w:ascii="Arial" w:hAnsi="Arial"/>
          <w:rtl/>
        </w:rPr>
        <w:t>–</w:t>
      </w:r>
      <w:r w:rsidRPr="00D83F3E">
        <w:rPr>
          <w:rFonts w:ascii="Arial" w:hAnsi="Arial" w:hint="cs"/>
          <w:rtl/>
        </w:rPr>
        <w:t xml:space="preserve"> 1973 יחד עם </w:t>
      </w:r>
      <w:hyperlink r:id="rId14" w:history="1">
        <w:r w:rsidR="00A13BA9" w:rsidRPr="00A13BA9">
          <w:rPr>
            <w:rFonts w:ascii="Arial" w:hAnsi="Arial"/>
            <w:color w:val="0000FF"/>
            <w:u w:val="single"/>
            <w:rtl/>
          </w:rPr>
          <w:t>סעיף 25</w:t>
        </w:r>
      </w:hyperlink>
      <w:r w:rsidRPr="00D83F3E">
        <w:rPr>
          <w:rFonts w:ascii="Arial" w:hAnsi="Arial" w:hint="cs"/>
          <w:rtl/>
        </w:rPr>
        <w:t xml:space="preserve"> ל</w:t>
      </w:r>
      <w:hyperlink r:id="rId15" w:history="1">
        <w:r w:rsidR="00D83F3E" w:rsidRPr="00D83F3E">
          <w:rPr>
            <w:rFonts w:ascii="Arial" w:hAnsi="Arial"/>
            <w:color w:val="0000FF"/>
            <w:u w:val="single"/>
            <w:rtl/>
          </w:rPr>
          <w:t>חוק העונשין</w:t>
        </w:r>
      </w:hyperlink>
      <w:r w:rsidRPr="00D83F3E">
        <w:rPr>
          <w:rFonts w:ascii="Arial" w:hAnsi="Arial" w:hint="cs"/>
          <w:rtl/>
        </w:rPr>
        <w:t xml:space="preserve"> התשל"ז </w:t>
      </w:r>
      <w:r w:rsidRPr="00D83F3E">
        <w:rPr>
          <w:rFonts w:ascii="Arial" w:hAnsi="Arial"/>
          <w:rtl/>
        </w:rPr>
        <w:t>–</w:t>
      </w:r>
      <w:r w:rsidRPr="00D83F3E">
        <w:rPr>
          <w:rFonts w:ascii="Arial" w:hAnsi="Arial" w:hint="cs"/>
          <w:rtl/>
        </w:rPr>
        <w:t xml:space="preserve"> 1977. על פי עובדות כתב האישום, ביום 18.3.11, בשעה 13:30 או בסמוך לכך, בתא חיפוש נשים שבשער ביקורים צפון של בית הסוהר "מעשיהו", נמצאו על </w:t>
      </w:r>
      <w:r w:rsidRPr="00D83F3E">
        <w:rPr>
          <w:rFonts w:ascii="Arial" w:hAnsi="Arial" w:hint="cs"/>
          <w:rtl/>
        </w:rPr>
        <w:lastRenderedPageBreak/>
        <w:t xml:space="preserve">גופה של הנאשמת סמים מסוכנים כמפורט להלן: 1.8291 גרם נטו סם מסוכן מסוג הרואין; 0.7867 גרם נטו סם מסוכן מסוג קוקאין; 2.2634 גרם נטו סם מסוכן מסוג חשיש. במעשיה אלה, ניסתה הנאשמת לספק סמים מסוכנים לאסיר בשם ויסאם תותנגי (להלן: </w:t>
      </w:r>
      <w:r w:rsidRPr="00D83F3E">
        <w:rPr>
          <w:rFonts w:ascii="Arial" w:hAnsi="Arial" w:hint="cs"/>
          <w:b/>
          <w:bCs/>
          <w:rtl/>
        </w:rPr>
        <w:t>ויסאם</w:t>
      </w:r>
      <w:r w:rsidRPr="00D83F3E">
        <w:rPr>
          <w:rFonts w:ascii="Arial" w:hAnsi="Arial" w:hint="cs"/>
          <w:rtl/>
        </w:rPr>
        <w:t xml:space="preserve">). </w:t>
      </w:r>
    </w:p>
    <w:p w14:paraId="6B5154F8" w14:textId="77777777" w:rsidR="00072A9C" w:rsidRPr="00D83F3E" w:rsidRDefault="00072A9C" w:rsidP="00072A9C">
      <w:pPr>
        <w:spacing w:line="360" w:lineRule="auto"/>
        <w:jc w:val="both"/>
        <w:rPr>
          <w:rFonts w:ascii="Arial" w:hAnsi="Arial"/>
          <w:rtl/>
        </w:rPr>
      </w:pPr>
      <w:bookmarkStart w:id="7" w:name="ABSTRACT_END"/>
      <w:bookmarkEnd w:id="7"/>
    </w:p>
    <w:p w14:paraId="2A359B91" w14:textId="77777777" w:rsidR="00072A9C" w:rsidRPr="00D83F3E" w:rsidRDefault="00072A9C" w:rsidP="00072A9C">
      <w:pPr>
        <w:spacing w:line="360" w:lineRule="auto"/>
        <w:jc w:val="both"/>
        <w:rPr>
          <w:rFonts w:ascii="Arial" w:hAnsi="Arial"/>
          <w:b/>
          <w:bCs/>
          <w:sz w:val="28"/>
          <w:szCs w:val="28"/>
          <w:rtl/>
        </w:rPr>
      </w:pPr>
      <w:r w:rsidRPr="00D83F3E">
        <w:rPr>
          <w:rFonts w:ascii="Arial" w:hAnsi="Arial" w:hint="cs"/>
          <w:b/>
          <w:bCs/>
          <w:sz w:val="28"/>
          <w:szCs w:val="28"/>
          <w:rtl/>
        </w:rPr>
        <w:t>תסקיר שירות המבחן</w:t>
      </w:r>
    </w:p>
    <w:p w14:paraId="659DCBB0" w14:textId="77777777" w:rsidR="00072A9C" w:rsidRPr="00D83F3E" w:rsidRDefault="00072A9C" w:rsidP="00072A9C">
      <w:pPr>
        <w:spacing w:line="360" w:lineRule="auto"/>
        <w:jc w:val="both"/>
        <w:rPr>
          <w:rFonts w:ascii="Arial" w:hAnsi="Arial"/>
          <w:rtl/>
        </w:rPr>
      </w:pPr>
    </w:p>
    <w:p w14:paraId="719BF9BF" w14:textId="77777777" w:rsidR="00072A9C" w:rsidRPr="00D83F3E" w:rsidRDefault="00072A9C" w:rsidP="00072A9C">
      <w:pPr>
        <w:spacing w:line="360" w:lineRule="auto"/>
        <w:ind w:left="720" w:hanging="720"/>
        <w:jc w:val="both"/>
        <w:rPr>
          <w:rFonts w:ascii="Arial" w:hAnsi="Arial"/>
          <w:rtl/>
        </w:rPr>
      </w:pPr>
      <w:r w:rsidRPr="00D83F3E">
        <w:rPr>
          <w:rFonts w:ascii="Arial" w:hAnsi="Arial" w:hint="cs"/>
          <w:rtl/>
        </w:rPr>
        <w:t>2.</w:t>
      </w:r>
      <w:r w:rsidRPr="00D83F3E">
        <w:rPr>
          <w:rFonts w:ascii="Arial" w:hAnsi="Arial" w:hint="cs"/>
          <w:rtl/>
        </w:rPr>
        <w:tab/>
        <w:t xml:space="preserve">התקבל תסקיר מטעם שירות המבחן לגבי הנאשמת ואשר להלן עיקריו: הנאשמת היא בת 39 שנים, נשואה ואם ל-4 ילדים בגילאי 14 עד 19 שנים; ויסאם, האסיר שהיה אמור לקבל את הסמים, הוא בעלה וסובל מהפרעה נפשית ונוטל תרופות באופן קבוע; לויסאם יש עבר פלילי קודם וריצה מספר מאסרים בפועל בעבר; הנאשמת נעדרת עבר פלילי; שירות המבחן המליץ להימנע מהרשעתה ולהסתפק ב-250 שעות שירות לתועלת הציבור. </w:t>
      </w:r>
    </w:p>
    <w:p w14:paraId="07C91A4A" w14:textId="77777777" w:rsidR="00072A9C" w:rsidRPr="00D83F3E" w:rsidRDefault="00072A9C" w:rsidP="00072A9C">
      <w:pPr>
        <w:spacing w:line="360" w:lineRule="auto"/>
        <w:jc w:val="both"/>
        <w:rPr>
          <w:rFonts w:ascii="Arial" w:hAnsi="Arial"/>
          <w:rtl/>
        </w:rPr>
      </w:pPr>
    </w:p>
    <w:p w14:paraId="49022CC6" w14:textId="77777777" w:rsidR="00072A9C" w:rsidRPr="00D83F3E" w:rsidRDefault="00072A9C" w:rsidP="00072A9C">
      <w:pPr>
        <w:spacing w:line="360" w:lineRule="auto"/>
        <w:jc w:val="both"/>
        <w:rPr>
          <w:rFonts w:ascii="Arial" w:hAnsi="Arial"/>
          <w:b/>
          <w:bCs/>
          <w:sz w:val="28"/>
          <w:szCs w:val="28"/>
          <w:rtl/>
        </w:rPr>
      </w:pPr>
      <w:r w:rsidRPr="00D83F3E">
        <w:rPr>
          <w:rFonts w:ascii="Arial" w:hAnsi="Arial" w:hint="cs"/>
          <w:b/>
          <w:bCs/>
          <w:sz w:val="28"/>
          <w:szCs w:val="28"/>
          <w:rtl/>
        </w:rPr>
        <w:t>טיעוני הצדדים לעונש</w:t>
      </w:r>
    </w:p>
    <w:p w14:paraId="737C81FE" w14:textId="77777777" w:rsidR="00072A9C" w:rsidRPr="00D83F3E" w:rsidRDefault="00072A9C" w:rsidP="00072A9C">
      <w:pPr>
        <w:spacing w:line="360" w:lineRule="auto"/>
        <w:jc w:val="both"/>
        <w:rPr>
          <w:rFonts w:ascii="Arial" w:hAnsi="Arial"/>
          <w:rtl/>
        </w:rPr>
      </w:pPr>
    </w:p>
    <w:p w14:paraId="0A93D3DB" w14:textId="77777777" w:rsidR="00072A9C" w:rsidRPr="00D83F3E" w:rsidRDefault="00072A9C" w:rsidP="00072A9C">
      <w:pPr>
        <w:spacing w:line="360" w:lineRule="auto"/>
        <w:ind w:left="720" w:hanging="720"/>
        <w:jc w:val="both"/>
        <w:rPr>
          <w:rFonts w:ascii="Arial" w:hAnsi="Arial"/>
          <w:rtl/>
        </w:rPr>
      </w:pPr>
      <w:r w:rsidRPr="00D83F3E">
        <w:rPr>
          <w:rFonts w:ascii="Arial" w:hAnsi="Arial" w:hint="cs"/>
          <w:rtl/>
        </w:rPr>
        <w:t>3.</w:t>
      </w:r>
      <w:r w:rsidRPr="00D83F3E">
        <w:rPr>
          <w:rFonts w:ascii="Arial" w:hAnsi="Arial"/>
          <w:rtl/>
        </w:rPr>
        <w:tab/>
      </w:r>
      <w:r w:rsidRPr="00D83F3E">
        <w:rPr>
          <w:rFonts w:ascii="Arial" w:hAnsi="Arial" w:hint="cs"/>
          <w:rtl/>
        </w:rPr>
        <w:t xml:space="preserve">בא כוח המאשימה עמד על החומרה הרבה של העבירה שבוצעה על ידי הנאשמת ואשר כוללות הן סמים קשים (מסוג הרואין וקוקאין) והן סם קל (מסוג חשיש). בנוסף על כך הדגיש שמדובר בהחדרה של סמים אל תוך בית הסוהר, דבר שעלול לשבש את הסדר והביטחון בתחומי בית הסוהר, ולכן, הדבר מצדיק השתת מאסר מאחורי סורג ובריח. </w:t>
      </w:r>
    </w:p>
    <w:p w14:paraId="64331F4B" w14:textId="77777777" w:rsidR="00072A9C" w:rsidRPr="00D83F3E" w:rsidRDefault="00072A9C" w:rsidP="00072A9C">
      <w:pPr>
        <w:spacing w:line="360" w:lineRule="auto"/>
        <w:jc w:val="both"/>
        <w:rPr>
          <w:rFonts w:ascii="Arial" w:hAnsi="Arial"/>
          <w:rtl/>
        </w:rPr>
      </w:pPr>
    </w:p>
    <w:p w14:paraId="18447CEE" w14:textId="77777777" w:rsidR="00072A9C" w:rsidRPr="00D83F3E" w:rsidRDefault="00072A9C" w:rsidP="00072A9C">
      <w:pPr>
        <w:spacing w:line="360" w:lineRule="auto"/>
        <w:ind w:left="720" w:hanging="720"/>
        <w:jc w:val="both"/>
        <w:rPr>
          <w:rFonts w:ascii="Arial" w:hAnsi="Arial"/>
          <w:rtl/>
        </w:rPr>
      </w:pPr>
      <w:r w:rsidRPr="00D83F3E">
        <w:rPr>
          <w:rFonts w:ascii="Arial" w:hAnsi="Arial" w:hint="cs"/>
          <w:rtl/>
        </w:rPr>
        <w:t>4.</w:t>
      </w:r>
      <w:r w:rsidRPr="00D83F3E">
        <w:rPr>
          <w:rFonts w:ascii="Arial" w:hAnsi="Arial" w:hint="cs"/>
          <w:rtl/>
        </w:rPr>
        <w:tab/>
        <w:t xml:space="preserve">בא כוח הנאשמת הפנה לאמור בתסקיר שירות המבחן, הן לעניין נסיבותיה האישיות והן לעניין ההמלצה הסופית בדבר ביטול ההרשעה והסתפקות בשעות שירות לתועלת הציבור. </w:t>
      </w:r>
    </w:p>
    <w:p w14:paraId="16797388" w14:textId="77777777" w:rsidR="00072A9C" w:rsidRPr="00D83F3E" w:rsidRDefault="00072A9C" w:rsidP="00072A9C">
      <w:pPr>
        <w:spacing w:line="360" w:lineRule="auto"/>
        <w:jc w:val="both"/>
        <w:rPr>
          <w:rFonts w:ascii="Arial" w:hAnsi="Arial"/>
          <w:rtl/>
        </w:rPr>
      </w:pPr>
    </w:p>
    <w:p w14:paraId="4C51DD4E" w14:textId="77777777" w:rsidR="00072A9C" w:rsidRPr="00D83F3E" w:rsidRDefault="00072A9C" w:rsidP="00072A9C">
      <w:pPr>
        <w:spacing w:line="360" w:lineRule="auto"/>
        <w:ind w:left="720" w:hanging="720"/>
        <w:jc w:val="both"/>
        <w:rPr>
          <w:rFonts w:ascii="Arial" w:hAnsi="Arial"/>
          <w:rtl/>
        </w:rPr>
      </w:pPr>
      <w:r w:rsidRPr="00D83F3E">
        <w:rPr>
          <w:rFonts w:ascii="Arial" w:hAnsi="Arial" w:hint="cs"/>
          <w:rtl/>
        </w:rPr>
        <w:t>5.</w:t>
      </w:r>
      <w:r w:rsidRPr="00D83F3E">
        <w:rPr>
          <w:rFonts w:ascii="Arial" w:hAnsi="Arial" w:hint="cs"/>
          <w:rtl/>
        </w:rPr>
        <w:tab/>
        <w:t xml:space="preserve">בדיון שבו נשמעו הטיעונים לעונש נכח ויסאם. לטענתו, בתקופה הרלבנטית לעבירה מושא כתב האישום, הוא קיבל איומים מאסירים אחרים ששהו עימו בכלא ולכן שידל את הנאשמת להחדיר את הסמים לכלא לידיו כדי שיעבירם אליהם. יובהר, שטענות אלה של הנאשמת ושל ויסאם, אינן חלק מהעובדות שמופיעות בגוף כתב האישום ולכן אין בכוונתי לייחס לדבריו של ויסאם כל משקל בעת גזירת דינה של הנאשמת. </w:t>
      </w:r>
    </w:p>
    <w:bookmarkEnd w:id="0"/>
    <w:bookmarkEnd w:id="1"/>
    <w:p w14:paraId="7BA3DC50" w14:textId="77777777" w:rsidR="00072A9C" w:rsidRPr="00994B7D" w:rsidRDefault="00072A9C" w:rsidP="00072A9C">
      <w:pPr>
        <w:spacing w:line="360" w:lineRule="auto"/>
        <w:jc w:val="both"/>
        <w:rPr>
          <w:rFonts w:ascii="Arial" w:hAnsi="Arial"/>
          <w:rtl/>
        </w:rPr>
      </w:pPr>
    </w:p>
    <w:p w14:paraId="5847E73E" w14:textId="77777777" w:rsidR="00072A9C" w:rsidRDefault="00072A9C" w:rsidP="00072A9C">
      <w:pPr>
        <w:spacing w:line="360" w:lineRule="auto"/>
        <w:jc w:val="both"/>
        <w:rPr>
          <w:rFonts w:ascii="Arial" w:hAnsi="Arial"/>
          <w:b/>
          <w:bCs/>
          <w:sz w:val="28"/>
          <w:szCs w:val="28"/>
          <w:u w:val="single"/>
          <w:rtl/>
        </w:rPr>
      </w:pPr>
      <w:r w:rsidRPr="006A143C">
        <w:rPr>
          <w:rFonts w:ascii="Arial" w:hAnsi="Arial" w:hint="cs"/>
          <w:b/>
          <w:bCs/>
          <w:sz w:val="28"/>
          <w:szCs w:val="28"/>
          <w:u w:val="single"/>
          <w:rtl/>
        </w:rPr>
        <w:t>מתחם העונש ההולם</w:t>
      </w:r>
    </w:p>
    <w:p w14:paraId="597F0ADE" w14:textId="77777777" w:rsidR="00072A9C" w:rsidRPr="006A143C" w:rsidRDefault="00072A9C" w:rsidP="00072A9C">
      <w:pPr>
        <w:spacing w:line="360" w:lineRule="auto"/>
        <w:jc w:val="both"/>
        <w:rPr>
          <w:rFonts w:ascii="Arial" w:hAnsi="Arial"/>
          <w:b/>
          <w:bCs/>
          <w:sz w:val="28"/>
          <w:szCs w:val="28"/>
          <w:u w:val="single"/>
          <w:rtl/>
        </w:rPr>
      </w:pPr>
    </w:p>
    <w:p w14:paraId="79D0BC37" w14:textId="77777777" w:rsidR="00072A9C" w:rsidRPr="00994B7D" w:rsidRDefault="00072A9C" w:rsidP="00072A9C">
      <w:pPr>
        <w:spacing w:line="360" w:lineRule="auto"/>
        <w:ind w:left="720" w:hanging="720"/>
        <w:jc w:val="both"/>
        <w:rPr>
          <w:rFonts w:ascii="Arial" w:hAnsi="Arial"/>
          <w:rtl/>
        </w:rPr>
      </w:pPr>
      <w:r>
        <w:rPr>
          <w:rFonts w:ascii="Arial" w:hAnsi="Arial" w:hint="cs"/>
          <w:rtl/>
        </w:rPr>
        <w:t>6.</w:t>
      </w:r>
      <w:r>
        <w:rPr>
          <w:rFonts w:ascii="Arial" w:hAnsi="Arial" w:hint="cs"/>
          <w:rtl/>
        </w:rPr>
        <w:tab/>
      </w:r>
      <w:r w:rsidRPr="00994B7D">
        <w:rPr>
          <w:rFonts w:ascii="Arial" w:hAnsi="Arial" w:hint="cs"/>
          <w:rtl/>
        </w:rPr>
        <w:t>למדיניות הענישה הנוהגת בעבירה של ניסיון להכנסת סמים לתוך בי</w:t>
      </w:r>
      <w:r>
        <w:rPr>
          <w:rFonts w:ascii="Arial" w:hAnsi="Arial" w:hint="cs"/>
          <w:rtl/>
        </w:rPr>
        <w:t>ת</w:t>
      </w:r>
      <w:r w:rsidRPr="00994B7D">
        <w:rPr>
          <w:rFonts w:ascii="Arial" w:hAnsi="Arial" w:hint="cs"/>
          <w:rtl/>
        </w:rPr>
        <w:t xml:space="preserve"> סוהר, אפנה לפסיקה הבאה שניתנה על ידי בית המשפט העליון: </w:t>
      </w:r>
    </w:p>
    <w:p w14:paraId="57D17474" w14:textId="77777777" w:rsidR="00072A9C" w:rsidRPr="00994B7D" w:rsidRDefault="00072A9C" w:rsidP="00072A9C">
      <w:pPr>
        <w:spacing w:line="360" w:lineRule="auto"/>
        <w:jc w:val="both"/>
        <w:rPr>
          <w:rFonts w:ascii="Arial" w:hAnsi="Arial"/>
          <w:rtl/>
        </w:rPr>
      </w:pPr>
      <w:r w:rsidRPr="00994B7D">
        <w:rPr>
          <w:rFonts w:ascii="Arial" w:hAnsi="Arial" w:hint="cs"/>
          <w:rtl/>
        </w:rPr>
        <w:t xml:space="preserve"> </w:t>
      </w:r>
    </w:p>
    <w:p w14:paraId="196D6454" w14:textId="77777777" w:rsidR="00072A9C" w:rsidRPr="00994B7D" w:rsidRDefault="00072A9C" w:rsidP="00072A9C">
      <w:pPr>
        <w:spacing w:line="360" w:lineRule="auto"/>
        <w:ind w:left="1440" w:hanging="720"/>
        <w:jc w:val="both"/>
        <w:rPr>
          <w:rFonts w:ascii="Arial" w:hAnsi="Arial"/>
          <w:rtl/>
        </w:rPr>
      </w:pPr>
      <w:r w:rsidRPr="00994B7D">
        <w:rPr>
          <w:rFonts w:ascii="Arial" w:hAnsi="Arial" w:hint="cs"/>
          <w:rtl/>
        </w:rPr>
        <w:t>א.</w:t>
      </w:r>
      <w:r w:rsidRPr="00994B7D">
        <w:rPr>
          <w:rFonts w:ascii="Arial" w:hAnsi="Arial" w:hint="cs"/>
          <w:rtl/>
        </w:rPr>
        <w:tab/>
      </w:r>
      <w:hyperlink r:id="rId16" w:history="1">
        <w:r w:rsidR="00D83F3E" w:rsidRPr="00D83F3E">
          <w:rPr>
            <w:rFonts w:ascii="Arial" w:hAnsi="Arial"/>
            <w:color w:val="0000FF"/>
            <w:u w:val="single"/>
            <w:rtl/>
          </w:rPr>
          <w:t>רע"פ 4144/15</w:t>
        </w:r>
      </w:hyperlink>
      <w:r w:rsidRPr="00994B7D">
        <w:rPr>
          <w:rFonts w:ascii="Arial" w:hAnsi="Arial" w:hint="cs"/>
          <w:rtl/>
        </w:rPr>
        <w:t xml:space="preserve"> </w:t>
      </w:r>
      <w:r w:rsidRPr="00994B7D">
        <w:rPr>
          <w:rFonts w:ascii="Arial" w:hAnsi="Arial" w:hint="cs"/>
          <w:b/>
          <w:bCs/>
          <w:rtl/>
        </w:rPr>
        <w:t>אבו אלטיף נ' מדינת ישראל</w:t>
      </w:r>
      <w:r w:rsidRPr="00994B7D">
        <w:rPr>
          <w:rFonts w:ascii="Arial" w:hAnsi="Arial" w:hint="cs"/>
          <w:rtl/>
        </w:rPr>
        <w:t xml:space="preserve"> [פורסם בנבו] (16.6.15): כאן היה מדובר במבקש שהורשע בניסיון לאספקת סמים מסוכנים בכך שהגיע לכלא אוהלי </w:t>
      </w:r>
      <w:r w:rsidRPr="00994B7D">
        <w:rPr>
          <w:rFonts w:ascii="Arial" w:hAnsi="Arial" w:hint="cs"/>
          <w:rtl/>
        </w:rPr>
        <w:lastRenderedPageBreak/>
        <w:t xml:space="preserve">קידר לבקר אסיר, כאשר בגומי תחתוניו ועל גופו, היה סם מסוג </w:t>
      </w:r>
      <w:r w:rsidRPr="00994B7D">
        <w:rPr>
          <w:rFonts w:ascii="Arial" w:hAnsi="Arial" w:hint="cs"/>
          <w:u w:val="single"/>
          <w:rtl/>
        </w:rPr>
        <w:t>חשיש במשקל 26.2 גרם וכן סם מסוג קנביס במשקל 1.6 גרם</w:t>
      </w:r>
      <w:r w:rsidRPr="00994B7D">
        <w:rPr>
          <w:rFonts w:ascii="Arial" w:hAnsi="Arial" w:hint="cs"/>
          <w:rtl/>
        </w:rPr>
        <w:t xml:space="preserve">. הסמים נתפסו בעת בדיקה שנערכה למבקש בעת כניסתו לכלא. בית משפט השלום פירט בגזר דינו את נסיבותיו האישיות של המבקש וכן את נסיבות ביצוע העבירה. המבקש ניסה להעביר את הסם לאדם זר תמורת סך של 5,000 ₪ על מנת להשיג "כסף קל". המבקש היה בן 20, רווק, ללא עבר פלילי קודם </w:t>
      </w:r>
      <w:r>
        <w:rPr>
          <w:rFonts w:ascii="Arial" w:hAnsi="Arial" w:hint="cs"/>
          <w:rtl/>
        </w:rPr>
        <w:t>ש</w:t>
      </w:r>
      <w:r w:rsidRPr="00994B7D">
        <w:rPr>
          <w:rFonts w:ascii="Arial" w:hAnsi="Arial" w:hint="cs"/>
          <w:rtl/>
        </w:rPr>
        <w:t xml:space="preserve">התגורר בבית הוריו </w:t>
      </w:r>
      <w:r>
        <w:rPr>
          <w:rFonts w:ascii="Arial" w:hAnsi="Arial" w:hint="cs"/>
          <w:rtl/>
        </w:rPr>
        <w:t xml:space="preserve">עם יציבות </w:t>
      </w:r>
      <w:r w:rsidRPr="00994B7D">
        <w:rPr>
          <w:rFonts w:ascii="Arial" w:hAnsi="Arial" w:hint="cs"/>
          <w:rtl/>
        </w:rPr>
        <w:t>בתפקודו התעסוקתי והלימודי והי</w:t>
      </w:r>
      <w:r>
        <w:rPr>
          <w:rFonts w:ascii="Arial" w:hAnsi="Arial" w:hint="cs"/>
          <w:rtl/>
        </w:rPr>
        <w:t>ה</w:t>
      </w:r>
      <w:r w:rsidRPr="00994B7D">
        <w:rPr>
          <w:rFonts w:ascii="Arial" w:hAnsi="Arial" w:hint="cs"/>
          <w:rtl/>
        </w:rPr>
        <w:t xml:space="preserve"> בעל ערכים נורמטיביים. בי</w:t>
      </w:r>
      <w:r>
        <w:rPr>
          <w:rFonts w:ascii="Arial" w:hAnsi="Arial" w:hint="cs"/>
          <w:rtl/>
        </w:rPr>
        <w:t xml:space="preserve">ת משפט </w:t>
      </w:r>
      <w:r w:rsidRPr="00994B7D">
        <w:rPr>
          <w:rFonts w:ascii="Arial" w:hAnsi="Arial" w:hint="cs"/>
          <w:rtl/>
        </w:rPr>
        <w:t xml:space="preserve">השלום קבע כי מתחם העונש ההולם </w:t>
      </w:r>
      <w:r w:rsidRPr="00994B7D">
        <w:rPr>
          <w:rFonts w:ascii="Arial" w:hAnsi="Arial" w:hint="cs"/>
          <w:u w:val="single"/>
          <w:rtl/>
        </w:rPr>
        <w:t>נע בין 6 חודשי מאסר ל-18 חודשי מאסר לצד קנס כספי משמעותי</w:t>
      </w:r>
      <w:r w:rsidRPr="00994B7D">
        <w:rPr>
          <w:rFonts w:ascii="Arial" w:hAnsi="Arial" w:hint="cs"/>
          <w:rtl/>
        </w:rPr>
        <w:t xml:space="preserve">. בית משפט השלום התייחס לכך שהאסיר אותו ביקר המבקש לא היה קרוב משפחתו וראה בכך נסיבה מחמירה. </w:t>
      </w:r>
    </w:p>
    <w:p w14:paraId="14AEAA5C" w14:textId="77777777" w:rsidR="00072A9C" w:rsidRPr="00994B7D" w:rsidRDefault="00072A9C" w:rsidP="00072A9C">
      <w:pPr>
        <w:spacing w:line="360" w:lineRule="auto"/>
        <w:jc w:val="both"/>
        <w:rPr>
          <w:rFonts w:ascii="Arial" w:hAnsi="Arial"/>
          <w:rtl/>
        </w:rPr>
      </w:pPr>
    </w:p>
    <w:p w14:paraId="0BCA359C" w14:textId="77777777" w:rsidR="00072A9C" w:rsidRPr="00994B7D" w:rsidRDefault="00072A9C" w:rsidP="00072A9C">
      <w:pPr>
        <w:spacing w:line="360" w:lineRule="auto"/>
        <w:ind w:left="1440"/>
        <w:jc w:val="both"/>
        <w:rPr>
          <w:rFonts w:ascii="Arial" w:hAnsi="Arial"/>
          <w:rtl/>
        </w:rPr>
      </w:pPr>
      <w:r w:rsidRPr="00994B7D">
        <w:rPr>
          <w:rFonts w:ascii="Arial" w:hAnsi="Arial" w:hint="cs"/>
          <w:rtl/>
        </w:rPr>
        <w:t>בסופו של יום, בי</w:t>
      </w:r>
      <w:r>
        <w:rPr>
          <w:rFonts w:ascii="Arial" w:hAnsi="Arial" w:hint="cs"/>
          <w:rtl/>
        </w:rPr>
        <w:t xml:space="preserve">ת משפט </w:t>
      </w:r>
      <w:r w:rsidRPr="00994B7D">
        <w:rPr>
          <w:rFonts w:ascii="Arial" w:hAnsi="Arial" w:hint="cs"/>
          <w:rtl/>
        </w:rPr>
        <w:t xml:space="preserve">השלום גזר על המבקש את העונשים הבאים: </w:t>
      </w:r>
      <w:r w:rsidRPr="00994B7D">
        <w:rPr>
          <w:rFonts w:ascii="Arial" w:hAnsi="Arial" w:hint="cs"/>
          <w:u w:val="single"/>
          <w:rtl/>
        </w:rPr>
        <w:t xml:space="preserve">6 חודשי מאסר לריצוי בפועל; 12 חודשי מאסר על תנאי למשך 3 שנים שלא יעבור עבירה מסוג פשע לפי </w:t>
      </w:r>
      <w:hyperlink r:id="rId17" w:history="1">
        <w:r w:rsidR="00D83F3E" w:rsidRPr="00D83F3E">
          <w:rPr>
            <w:rFonts w:ascii="Arial" w:hAnsi="Arial"/>
            <w:color w:val="0000FF"/>
            <w:u w:val="single"/>
            <w:rtl/>
          </w:rPr>
          <w:t>פקודת הסמים המסוכנים</w:t>
        </w:r>
      </w:hyperlink>
      <w:r w:rsidRPr="00994B7D">
        <w:rPr>
          <w:rFonts w:ascii="Arial" w:hAnsi="Arial" w:hint="cs"/>
          <w:u w:val="single"/>
          <w:rtl/>
        </w:rPr>
        <w:t>; 6 חודשי מאסר על תנאי שלא יעבור עבירה מסוג עוון לפי פקודת הסמים המסוכנים; קנס בסך 12,000 ₪ או 120 ימי מאסר תמורתו; פסילה מלהחזיק או לקבל רישיון נהיגה למשך שנה מיום שחרורו ממאסרו</w:t>
      </w:r>
      <w:r w:rsidRPr="00994B7D">
        <w:rPr>
          <w:rFonts w:ascii="Arial" w:hAnsi="Arial" w:hint="cs"/>
          <w:rtl/>
        </w:rPr>
        <w:t xml:space="preserve">. המבקש הגיש ערעור על חומרת העונש לבית המשפט המחוזי והערעור נדחה. כמו כן, המבקש הגיש בקשת רשות ערעור לבית המשפט העליון שגם היא נדחתה. </w:t>
      </w:r>
    </w:p>
    <w:p w14:paraId="67775F43" w14:textId="77777777" w:rsidR="00072A9C" w:rsidRPr="00994B7D" w:rsidRDefault="00072A9C" w:rsidP="00072A9C">
      <w:pPr>
        <w:spacing w:line="360" w:lineRule="auto"/>
        <w:jc w:val="both"/>
        <w:rPr>
          <w:rFonts w:ascii="Arial" w:hAnsi="Arial"/>
          <w:rtl/>
        </w:rPr>
      </w:pPr>
    </w:p>
    <w:p w14:paraId="698E7304" w14:textId="77777777" w:rsidR="00072A9C" w:rsidRPr="00994B7D" w:rsidRDefault="00072A9C" w:rsidP="00072A9C">
      <w:pPr>
        <w:spacing w:line="360" w:lineRule="auto"/>
        <w:ind w:left="1440" w:hanging="720"/>
        <w:jc w:val="both"/>
        <w:rPr>
          <w:rFonts w:ascii="Arial" w:hAnsi="Arial"/>
          <w:rtl/>
        </w:rPr>
      </w:pPr>
      <w:r w:rsidRPr="00994B7D">
        <w:rPr>
          <w:rFonts w:ascii="Arial" w:hAnsi="Arial" w:hint="cs"/>
          <w:rtl/>
        </w:rPr>
        <w:t>ב.</w:t>
      </w:r>
      <w:r w:rsidRPr="00994B7D">
        <w:rPr>
          <w:rFonts w:ascii="Arial" w:hAnsi="Arial" w:hint="cs"/>
          <w:rtl/>
        </w:rPr>
        <w:tab/>
      </w:r>
      <w:hyperlink r:id="rId18" w:history="1">
        <w:r w:rsidR="00D83F3E" w:rsidRPr="00D83F3E">
          <w:rPr>
            <w:rFonts w:ascii="Arial" w:hAnsi="Arial"/>
            <w:color w:val="0000FF"/>
            <w:u w:val="single"/>
            <w:rtl/>
          </w:rPr>
          <w:t>ע"פ 5388/09</w:t>
        </w:r>
      </w:hyperlink>
      <w:r w:rsidRPr="00994B7D">
        <w:rPr>
          <w:rFonts w:ascii="Arial" w:hAnsi="Arial" w:hint="cs"/>
          <w:rtl/>
        </w:rPr>
        <w:t xml:space="preserve"> </w:t>
      </w:r>
      <w:r w:rsidRPr="005E3CEA">
        <w:rPr>
          <w:rFonts w:ascii="Arial" w:hAnsi="Arial" w:hint="cs"/>
          <w:b/>
          <w:bCs/>
          <w:rtl/>
        </w:rPr>
        <w:t>מדינת ישראל נ' פלוני</w:t>
      </w:r>
      <w:r w:rsidRPr="00994B7D">
        <w:rPr>
          <w:rFonts w:ascii="Arial" w:hAnsi="Arial" w:hint="cs"/>
          <w:rtl/>
        </w:rPr>
        <w:t xml:space="preserve"> [פורסם בנבו] (9.11.09). במקרה זה, היה מדובר </w:t>
      </w:r>
      <w:r w:rsidRPr="005E3CEA">
        <w:rPr>
          <w:rFonts w:ascii="Arial" w:hAnsi="Arial" w:hint="cs"/>
          <w:u w:val="single"/>
          <w:rtl/>
        </w:rPr>
        <w:t>בקטין</w:t>
      </w:r>
      <w:r w:rsidRPr="00994B7D">
        <w:rPr>
          <w:rFonts w:ascii="Arial" w:hAnsi="Arial" w:hint="cs"/>
          <w:rtl/>
        </w:rPr>
        <w:t xml:space="preserve"> אשר הגיע לכלא צלמון וביקש לבקר את אחד האסירים. המערער החזיק ברשותו באותה עת בסם מסוכן </w:t>
      </w:r>
      <w:r w:rsidRPr="00994B7D">
        <w:rPr>
          <w:rFonts w:ascii="Arial" w:hAnsi="Arial" w:hint="cs"/>
          <w:u w:val="single"/>
          <w:rtl/>
        </w:rPr>
        <w:t>מסוג הרואין במשקל 48.81 גרם</w:t>
      </w:r>
      <w:r w:rsidRPr="00994B7D">
        <w:rPr>
          <w:rFonts w:ascii="Arial" w:hAnsi="Arial" w:hint="cs"/>
          <w:rtl/>
        </w:rPr>
        <w:t>, ארוז בשתי אריזות גליליות אשר היו טמונות במכנסיו. לאחר שהמערער נכנס לכלא, הוא התבקש לסור לצורך ביצוע חיפו</w:t>
      </w:r>
      <w:r>
        <w:rPr>
          <w:rFonts w:ascii="Arial" w:hAnsi="Arial" w:hint="cs"/>
          <w:rtl/>
        </w:rPr>
        <w:t>ש</w:t>
      </w:r>
      <w:r w:rsidRPr="00994B7D">
        <w:rPr>
          <w:rFonts w:ascii="Arial" w:hAnsi="Arial" w:hint="cs"/>
          <w:rtl/>
        </w:rPr>
        <w:t xml:space="preserve"> על גופו.  המערער סירב ובתגובה נמסר לו כי הוא מעוכב. לאחר ההודעה על עיכובו הוציא המערער ממכנסיו את הגליליות ומסר אותם לסוהר שהיה במקום. מתסקיר שירות המבחן עלה שמדובר בנער שמוגדר כנגרר יותר מאשר כמוביל ושאינו מאופיין בנורמות עברייניות. כמו כן, הוא התחבר לקבוצה עבריינית אשר התגוררה בשכנות אליו והפעילה כלפיו סחיטה באיומים. בית המשפט המחוזי השית </w:t>
      </w:r>
      <w:r w:rsidRPr="005E3CEA">
        <w:rPr>
          <w:rFonts w:ascii="Arial" w:hAnsi="Arial" w:hint="cs"/>
          <w:u w:val="single"/>
          <w:rtl/>
        </w:rPr>
        <w:t>עליו 6 חודשי מאסר לריצוי בעבודות שירות, 18 חודשי מאסר על תנאי וכן צו פיקוח קצין מבחן, וכן נאסר עליו לקבל רישיון נהיגה למשך 6 חודשים וחתימה על התחייבות עצמית</w:t>
      </w:r>
      <w:r w:rsidRPr="00994B7D">
        <w:rPr>
          <w:rFonts w:ascii="Arial" w:hAnsi="Arial" w:hint="cs"/>
          <w:rtl/>
        </w:rPr>
        <w:t xml:space="preserve">. המדינה הגישה ערעור על קולת העונש והערעור שלה נדחה ברוב דעות (כבוד השופטים דנציגר והנדל, כנגד דעתו החולקת של כבוד השופט לוי). </w:t>
      </w:r>
    </w:p>
    <w:p w14:paraId="18DF4CF4" w14:textId="77777777" w:rsidR="00072A9C" w:rsidRPr="00994B7D" w:rsidRDefault="00072A9C" w:rsidP="00072A9C">
      <w:pPr>
        <w:spacing w:line="360" w:lineRule="auto"/>
        <w:jc w:val="both"/>
        <w:rPr>
          <w:rFonts w:ascii="Arial" w:hAnsi="Arial"/>
          <w:rtl/>
        </w:rPr>
      </w:pPr>
    </w:p>
    <w:p w14:paraId="4997E0B7" w14:textId="77777777" w:rsidR="00072A9C" w:rsidRPr="00994B7D" w:rsidRDefault="00072A9C" w:rsidP="00072A9C">
      <w:pPr>
        <w:spacing w:line="360" w:lineRule="auto"/>
        <w:ind w:left="1440" w:hanging="720"/>
        <w:jc w:val="both"/>
        <w:rPr>
          <w:rFonts w:ascii="Arial" w:hAnsi="Arial"/>
          <w:rtl/>
        </w:rPr>
      </w:pPr>
      <w:r w:rsidRPr="00994B7D">
        <w:rPr>
          <w:rFonts w:ascii="Arial" w:hAnsi="Arial" w:hint="cs"/>
          <w:rtl/>
        </w:rPr>
        <w:t>ג.</w:t>
      </w:r>
      <w:r w:rsidRPr="00994B7D">
        <w:rPr>
          <w:rFonts w:ascii="Arial" w:hAnsi="Arial" w:hint="cs"/>
          <w:rtl/>
        </w:rPr>
        <w:tab/>
      </w:r>
      <w:hyperlink r:id="rId19" w:history="1">
        <w:r w:rsidR="00D83F3E" w:rsidRPr="00D83F3E">
          <w:rPr>
            <w:rFonts w:ascii="Arial" w:hAnsi="Arial"/>
            <w:color w:val="0000FF"/>
            <w:u w:val="single"/>
            <w:rtl/>
          </w:rPr>
          <w:t>רע"פ 1485/10</w:t>
        </w:r>
      </w:hyperlink>
      <w:r w:rsidRPr="00994B7D">
        <w:rPr>
          <w:rFonts w:ascii="Arial" w:hAnsi="Arial" w:hint="cs"/>
          <w:rtl/>
        </w:rPr>
        <w:t xml:space="preserve"> </w:t>
      </w:r>
      <w:r w:rsidRPr="005004A1">
        <w:rPr>
          <w:rFonts w:ascii="Arial" w:hAnsi="Arial" w:hint="cs"/>
          <w:b/>
          <w:bCs/>
          <w:rtl/>
        </w:rPr>
        <w:t>ז'אן נ' מדינת ישראל</w:t>
      </w:r>
      <w:r w:rsidRPr="00994B7D">
        <w:rPr>
          <w:rFonts w:ascii="Arial" w:hAnsi="Arial" w:hint="cs"/>
          <w:rtl/>
        </w:rPr>
        <w:t xml:space="preserve"> [פורסם בנבו] (2.3.10). במקרה זה, המבקשת שהתה במסוף המבקרים בכלא איילון והחזיקה בסמים מסוכנים מסוג הרואין וחשיש בתוך איבר מינה. בי</w:t>
      </w:r>
      <w:r>
        <w:rPr>
          <w:rFonts w:ascii="Arial" w:hAnsi="Arial" w:hint="cs"/>
          <w:rtl/>
        </w:rPr>
        <w:t xml:space="preserve">ת משפט </w:t>
      </w:r>
      <w:r w:rsidRPr="00994B7D">
        <w:rPr>
          <w:rFonts w:ascii="Arial" w:hAnsi="Arial" w:hint="cs"/>
          <w:rtl/>
        </w:rPr>
        <w:t xml:space="preserve">השלום ברמלה השית עליה </w:t>
      </w:r>
      <w:r w:rsidRPr="00994B7D">
        <w:rPr>
          <w:rFonts w:ascii="Arial" w:hAnsi="Arial" w:hint="cs"/>
          <w:u w:val="single"/>
          <w:rtl/>
        </w:rPr>
        <w:t>8 חודשי מאסר בפועל</w:t>
      </w:r>
      <w:r w:rsidRPr="00994B7D">
        <w:rPr>
          <w:rFonts w:ascii="Arial" w:hAnsi="Arial" w:hint="cs"/>
          <w:rtl/>
        </w:rPr>
        <w:t>. כאן היה מדובר באם חד הורית ונעדרת עבר פלילי. המבקשת היתה מכורה לסמים קשים והיה ניסיון מטעם שירות המבחן לשלבה בתהליך גמילה אך ניסיון זה לא צלח ובפועל המבקשת התנגדה לשילובה במסגרת טיפולית. ערעורה לבית המשפט המחוזי במחוז מרכז לעניין חומרת העונש נדחה וכן נדחתה בקשת רשות ערעור שהוגשה לבי</w:t>
      </w:r>
      <w:r>
        <w:rPr>
          <w:rFonts w:ascii="Arial" w:hAnsi="Arial" w:hint="cs"/>
          <w:rtl/>
        </w:rPr>
        <w:t xml:space="preserve">ת המשפט </w:t>
      </w:r>
      <w:r w:rsidRPr="00994B7D">
        <w:rPr>
          <w:rFonts w:ascii="Arial" w:hAnsi="Arial" w:hint="cs"/>
          <w:rtl/>
        </w:rPr>
        <w:t xml:space="preserve">העליון. </w:t>
      </w:r>
    </w:p>
    <w:p w14:paraId="6294AF89" w14:textId="77777777" w:rsidR="00072A9C" w:rsidRPr="00994B7D" w:rsidRDefault="00072A9C" w:rsidP="00072A9C">
      <w:pPr>
        <w:spacing w:line="360" w:lineRule="auto"/>
        <w:ind w:left="720" w:hanging="720"/>
        <w:jc w:val="both"/>
        <w:rPr>
          <w:rFonts w:ascii="Arial" w:hAnsi="Arial"/>
          <w:rtl/>
        </w:rPr>
      </w:pPr>
    </w:p>
    <w:p w14:paraId="7D1EF98D" w14:textId="77777777" w:rsidR="00072A9C" w:rsidRDefault="00072A9C" w:rsidP="00072A9C">
      <w:pPr>
        <w:spacing w:line="360" w:lineRule="auto"/>
        <w:ind w:left="1440" w:hanging="720"/>
        <w:jc w:val="both"/>
        <w:rPr>
          <w:rFonts w:ascii="Arial" w:hAnsi="Arial"/>
          <w:rtl/>
        </w:rPr>
      </w:pPr>
      <w:r w:rsidRPr="00994B7D">
        <w:rPr>
          <w:rFonts w:ascii="Arial" w:hAnsi="Arial" w:hint="cs"/>
          <w:rtl/>
        </w:rPr>
        <w:t>ד.</w:t>
      </w:r>
      <w:r w:rsidRPr="00994B7D">
        <w:rPr>
          <w:rFonts w:ascii="Arial" w:hAnsi="Arial" w:hint="cs"/>
          <w:rtl/>
        </w:rPr>
        <w:tab/>
      </w:r>
      <w:hyperlink r:id="rId20" w:history="1">
        <w:r w:rsidR="00D83F3E" w:rsidRPr="00D83F3E">
          <w:rPr>
            <w:rFonts w:ascii="Arial" w:hAnsi="Arial"/>
            <w:color w:val="0000FF"/>
            <w:u w:val="single"/>
            <w:rtl/>
          </w:rPr>
          <w:t>ע"פ 5135/11</w:t>
        </w:r>
      </w:hyperlink>
      <w:r w:rsidRPr="00994B7D">
        <w:rPr>
          <w:rFonts w:ascii="Arial" w:hAnsi="Arial" w:hint="cs"/>
          <w:rtl/>
        </w:rPr>
        <w:t xml:space="preserve"> </w:t>
      </w:r>
      <w:r w:rsidRPr="005004A1">
        <w:rPr>
          <w:rFonts w:ascii="Arial" w:hAnsi="Arial" w:hint="cs"/>
          <w:b/>
          <w:bCs/>
          <w:rtl/>
        </w:rPr>
        <w:t>מדינת ישראל נ' ברקו</w:t>
      </w:r>
      <w:r w:rsidRPr="00994B7D">
        <w:rPr>
          <w:rFonts w:ascii="Arial" w:hAnsi="Arial" w:hint="cs"/>
          <w:rtl/>
        </w:rPr>
        <w:t xml:space="preserve"> [פורסם בנבו] 31.5.12): במקרה זה היה מדובר בעורכת דין שהגיעה לכלא השרון לבקר לקוח שאותו ייצגה. במהלך המפגש ביניהם מסרה לו שפתון המכיל בתוכו </w:t>
      </w:r>
      <w:r w:rsidRPr="005004A1">
        <w:rPr>
          <w:rFonts w:ascii="Arial" w:hAnsi="Arial" w:hint="cs"/>
          <w:u w:val="single"/>
          <w:rtl/>
        </w:rPr>
        <w:t>2.93 גרם קוקאין</w:t>
      </w:r>
      <w:r w:rsidRPr="00994B7D">
        <w:rPr>
          <w:rFonts w:ascii="Arial" w:hAnsi="Arial" w:hint="cs"/>
          <w:u w:val="single"/>
          <w:rtl/>
        </w:rPr>
        <w:t>, 20 כדורי קלונקס ושני כדורי ויאגרה</w:t>
      </w:r>
      <w:r w:rsidRPr="00994B7D">
        <w:rPr>
          <w:rFonts w:ascii="Arial" w:hAnsi="Arial" w:hint="cs"/>
          <w:rtl/>
        </w:rPr>
        <w:t xml:space="preserve">. בית המשפט המחוזי בירושלים השית עליה </w:t>
      </w:r>
      <w:r w:rsidRPr="00994B7D">
        <w:rPr>
          <w:rFonts w:ascii="Arial" w:hAnsi="Arial" w:hint="cs"/>
          <w:u w:val="single"/>
          <w:rtl/>
        </w:rPr>
        <w:t>7 חודשי מאסר בפועל</w:t>
      </w:r>
      <w:r w:rsidRPr="00994B7D">
        <w:rPr>
          <w:rFonts w:ascii="Arial" w:hAnsi="Arial" w:hint="cs"/>
          <w:rtl/>
        </w:rPr>
        <w:t xml:space="preserve"> ומאסר מותנה. בית המשפט המחוזי ייחס חומרה </w:t>
      </w:r>
      <w:r>
        <w:rPr>
          <w:rFonts w:ascii="Arial" w:hAnsi="Arial" w:hint="cs"/>
          <w:rtl/>
        </w:rPr>
        <w:t xml:space="preserve">יתרה </w:t>
      </w:r>
      <w:r w:rsidRPr="00994B7D">
        <w:rPr>
          <w:rFonts w:ascii="Arial" w:hAnsi="Arial" w:hint="cs"/>
          <w:rtl/>
        </w:rPr>
        <w:t xml:space="preserve">לעובדה שהעבירות בוצעו תוך ניצול מעמדה כעורכת דין. על גזר הדין, הוגש ערעור הן על ידי עורכת הדין והן על ידי המדינה, ושני הערעורים נדחו. </w:t>
      </w:r>
    </w:p>
    <w:p w14:paraId="28588DCF" w14:textId="77777777" w:rsidR="00072A9C" w:rsidRDefault="00072A9C" w:rsidP="00072A9C">
      <w:pPr>
        <w:spacing w:line="360" w:lineRule="auto"/>
        <w:ind w:left="1440" w:hanging="720"/>
        <w:jc w:val="both"/>
        <w:rPr>
          <w:rFonts w:ascii="Arial" w:hAnsi="Arial"/>
          <w:rtl/>
        </w:rPr>
      </w:pPr>
    </w:p>
    <w:p w14:paraId="68451424" w14:textId="77777777" w:rsidR="00072A9C" w:rsidRDefault="00072A9C" w:rsidP="00072A9C">
      <w:pPr>
        <w:spacing w:line="360" w:lineRule="auto"/>
        <w:ind w:left="720" w:hanging="720"/>
        <w:jc w:val="both"/>
        <w:rPr>
          <w:rFonts w:ascii="Arial" w:hAnsi="Arial"/>
          <w:rtl/>
        </w:rPr>
      </w:pPr>
      <w:r>
        <w:rPr>
          <w:rFonts w:ascii="Arial" w:hAnsi="Arial" w:hint="cs"/>
          <w:rtl/>
        </w:rPr>
        <w:t>7.</w:t>
      </w:r>
      <w:r>
        <w:rPr>
          <w:rFonts w:ascii="Arial" w:hAnsi="Arial" w:hint="cs"/>
          <w:rtl/>
        </w:rPr>
        <w:tab/>
        <w:t xml:space="preserve">לפיכך, הנני קובע שמתחם העונש ההולם למקרה שבפני נע </w:t>
      </w:r>
      <w:r w:rsidRPr="00994B7D">
        <w:rPr>
          <w:rFonts w:ascii="Arial" w:hAnsi="Arial" w:hint="cs"/>
          <w:u w:val="single"/>
          <w:rtl/>
        </w:rPr>
        <w:t>בין 6 חודשי מא</w:t>
      </w:r>
      <w:r>
        <w:rPr>
          <w:rFonts w:ascii="Arial" w:hAnsi="Arial" w:hint="cs"/>
          <w:u w:val="single"/>
          <w:rtl/>
        </w:rPr>
        <w:t>סר ל-18 חודשי מאסר לצד קנס כספי,</w:t>
      </w:r>
      <w:r w:rsidRPr="004E1AD9">
        <w:rPr>
          <w:rFonts w:ascii="Arial" w:hAnsi="Arial" w:hint="cs"/>
          <w:u w:val="single"/>
          <w:rtl/>
        </w:rPr>
        <w:t xml:space="preserve"> מאסר על תנאי</w:t>
      </w:r>
      <w:r>
        <w:rPr>
          <w:rFonts w:ascii="Arial" w:hAnsi="Arial" w:hint="cs"/>
          <w:u w:val="single"/>
          <w:rtl/>
        </w:rPr>
        <w:t xml:space="preserve"> ושלילת רשיון הנהיגה, הן בפועל והן על תנאי. </w:t>
      </w:r>
    </w:p>
    <w:p w14:paraId="3D229008" w14:textId="77777777" w:rsidR="00072A9C" w:rsidRPr="00994B7D" w:rsidRDefault="00072A9C" w:rsidP="00072A9C">
      <w:pPr>
        <w:spacing w:line="360" w:lineRule="auto"/>
        <w:ind w:left="720" w:hanging="720"/>
        <w:jc w:val="both"/>
        <w:rPr>
          <w:rFonts w:ascii="Arial" w:hAnsi="Arial"/>
          <w:rtl/>
        </w:rPr>
      </w:pPr>
    </w:p>
    <w:p w14:paraId="71FC4C68" w14:textId="77777777" w:rsidR="00072A9C" w:rsidRPr="004E1AD9" w:rsidRDefault="00072A9C" w:rsidP="00072A9C">
      <w:pPr>
        <w:spacing w:line="360" w:lineRule="auto"/>
        <w:jc w:val="both"/>
        <w:rPr>
          <w:rFonts w:ascii="Arial" w:hAnsi="Arial"/>
          <w:b/>
          <w:bCs/>
          <w:sz w:val="28"/>
          <w:szCs w:val="28"/>
          <w:u w:val="single"/>
          <w:rtl/>
        </w:rPr>
      </w:pPr>
      <w:r w:rsidRPr="004E1AD9">
        <w:rPr>
          <w:rFonts w:ascii="Arial" w:hAnsi="Arial" w:hint="cs"/>
          <w:b/>
          <w:bCs/>
          <w:sz w:val="28"/>
          <w:szCs w:val="28"/>
          <w:u w:val="single"/>
          <w:rtl/>
        </w:rPr>
        <w:t>שאלת אי ההרשעה</w:t>
      </w:r>
    </w:p>
    <w:p w14:paraId="770C3940" w14:textId="77777777" w:rsidR="00072A9C" w:rsidRPr="00994B7D" w:rsidRDefault="00072A9C" w:rsidP="00072A9C">
      <w:pPr>
        <w:spacing w:line="360" w:lineRule="auto"/>
        <w:jc w:val="both"/>
        <w:rPr>
          <w:rFonts w:ascii="Arial" w:hAnsi="Arial"/>
          <w:rtl/>
        </w:rPr>
      </w:pPr>
    </w:p>
    <w:p w14:paraId="2AFD35AD" w14:textId="77777777" w:rsidR="00072A9C" w:rsidRPr="00994B7D" w:rsidRDefault="00072A9C" w:rsidP="00072A9C">
      <w:pPr>
        <w:spacing w:line="360" w:lineRule="auto"/>
        <w:ind w:left="720" w:hanging="720"/>
        <w:jc w:val="both"/>
        <w:rPr>
          <w:rFonts w:ascii="Arial" w:hAnsi="Arial"/>
          <w:rtl/>
        </w:rPr>
      </w:pPr>
      <w:r>
        <w:rPr>
          <w:rFonts w:ascii="Arial" w:hAnsi="Arial" w:hint="cs"/>
          <w:rtl/>
        </w:rPr>
        <w:t>8.</w:t>
      </w:r>
      <w:r>
        <w:rPr>
          <w:rFonts w:ascii="Arial" w:hAnsi="Arial" w:hint="cs"/>
          <w:rtl/>
        </w:rPr>
        <w:tab/>
      </w:r>
      <w:r w:rsidRPr="00994B7D">
        <w:rPr>
          <w:rFonts w:ascii="Arial" w:hAnsi="Arial" w:hint="cs"/>
          <w:rtl/>
        </w:rPr>
        <w:t xml:space="preserve">המקרה שבפני, הוא באופן מובהק לא מקרה מתאים לסיום ההליכים באי הרשעה. מדובר בעבירות חמורות של ניסיון אספקה של סמים קשים וקלים לתוך בית הסוהר. די בחומרת העבירות על מנת לדחות את המלצת שירות המבחן לסיום ההליך ללא הרשעה. בנוסף על כך, הנאשמת לא הצביעה על נזק קונקרטי כלשהו שעלול להיגרם לה מעצם ההרשעה. בנסיבות אלה, ההמלצה של שירות המבחן לסיום ההליך ללא הרשעה, נדחית. </w:t>
      </w:r>
    </w:p>
    <w:p w14:paraId="4F00F734" w14:textId="77777777" w:rsidR="00072A9C" w:rsidRPr="00994B7D" w:rsidRDefault="00072A9C" w:rsidP="00072A9C">
      <w:pPr>
        <w:spacing w:line="360" w:lineRule="auto"/>
        <w:jc w:val="both"/>
        <w:rPr>
          <w:rFonts w:ascii="Arial" w:hAnsi="Arial"/>
          <w:rtl/>
        </w:rPr>
      </w:pPr>
    </w:p>
    <w:p w14:paraId="7318590F" w14:textId="77777777" w:rsidR="00072A9C" w:rsidRPr="004E1AD9" w:rsidRDefault="00072A9C" w:rsidP="00072A9C">
      <w:pPr>
        <w:spacing w:line="360" w:lineRule="auto"/>
        <w:jc w:val="both"/>
        <w:rPr>
          <w:rFonts w:ascii="Arial" w:hAnsi="Arial"/>
          <w:b/>
          <w:bCs/>
          <w:sz w:val="28"/>
          <w:szCs w:val="28"/>
          <w:u w:val="single"/>
          <w:rtl/>
        </w:rPr>
      </w:pPr>
      <w:r w:rsidRPr="004E1AD9">
        <w:rPr>
          <w:rFonts w:ascii="Arial" w:hAnsi="Arial" w:hint="cs"/>
          <w:b/>
          <w:bCs/>
          <w:sz w:val="28"/>
          <w:szCs w:val="28"/>
          <w:u w:val="single"/>
          <w:rtl/>
        </w:rPr>
        <w:t>העונש המתאים בתוך מתחם העונש ההולם</w:t>
      </w:r>
    </w:p>
    <w:p w14:paraId="081D861F" w14:textId="77777777" w:rsidR="00072A9C" w:rsidRPr="00994B7D" w:rsidRDefault="00072A9C" w:rsidP="00072A9C">
      <w:pPr>
        <w:spacing w:line="360" w:lineRule="auto"/>
        <w:jc w:val="both"/>
        <w:rPr>
          <w:rFonts w:ascii="Arial" w:hAnsi="Arial"/>
          <w:rtl/>
        </w:rPr>
      </w:pPr>
    </w:p>
    <w:p w14:paraId="6FAEF580" w14:textId="77777777" w:rsidR="00072A9C" w:rsidRPr="00994B7D" w:rsidRDefault="00072A9C" w:rsidP="00072A9C">
      <w:pPr>
        <w:spacing w:line="360" w:lineRule="auto"/>
        <w:ind w:left="720" w:hanging="720"/>
        <w:jc w:val="both"/>
        <w:rPr>
          <w:rFonts w:ascii="Arial" w:hAnsi="Arial"/>
          <w:rtl/>
        </w:rPr>
      </w:pPr>
      <w:r>
        <w:rPr>
          <w:rFonts w:ascii="Arial" w:hAnsi="Arial" w:hint="cs"/>
          <w:rtl/>
        </w:rPr>
        <w:t>9.</w:t>
      </w:r>
      <w:r>
        <w:rPr>
          <w:rFonts w:ascii="Arial" w:hAnsi="Arial" w:hint="cs"/>
          <w:rtl/>
        </w:rPr>
        <w:tab/>
      </w:r>
      <w:r w:rsidRPr="00994B7D">
        <w:rPr>
          <w:rFonts w:ascii="Arial" w:hAnsi="Arial" w:hint="cs"/>
          <w:rtl/>
        </w:rPr>
        <w:t xml:space="preserve">בעת קביעת העונש המתאים בתוך מתחם העונש ההולם לקחתי בחשבון </w:t>
      </w:r>
      <w:r w:rsidRPr="00994B7D">
        <w:rPr>
          <w:rFonts w:ascii="Arial" w:hAnsi="Arial" w:hint="cs"/>
          <w:u w:val="single"/>
          <w:rtl/>
        </w:rPr>
        <w:t>לקולא</w:t>
      </w:r>
      <w:r w:rsidRPr="00994B7D">
        <w:rPr>
          <w:rFonts w:ascii="Arial" w:hAnsi="Arial" w:hint="cs"/>
          <w:rtl/>
        </w:rPr>
        <w:t xml:space="preserve"> את כל הנתוני</w:t>
      </w:r>
      <w:r>
        <w:rPr>
          <w:rFonts w:ascii="Arial" w:hAnsi="Arial" w:hint="cs"/>
          <w:rtl/>
        </w:rPr>
        <w:t>ם שלהלן: היותה של הנאשמת נשואה ו</w:t>
      </w:r>
      <w:r w:rsidRPr="00994B7D">
        <w:rPr>
          <w:rFonts w:ascii="Arial" w:hAnsi="Arial" w:hint="cs"/>
          <w:rtl/>
        </w:rPr>
        <w:t xml:space="preserve">אם לארבעה ילדים; העדר עבר פלילי קודם; הודאה וחיסכון בזמן שיפוטי; העובדה שלא נפתחו לנאשמת תיקים נוספים מאז שנת 2011 ועד היום. </w:t>
      </w:r>
    </w:p>
    <w:p w14:paraId="260D3014" w14:textId="77777777" w:rsidR="00072A9C" w:rsidRPr="00994B7D" w:rsidRDefault="00072A9C" w:rsidP="00072A9C">
      <w:pPr>
        <w:spacing w:line="360" w:lineRule="auto"/>
        <w:jc w:val="both"/>
        <w:rPr>
          <w:rFonts w:ascii="Arial" w:hAnsi="Arial"/>
          <w:rtl/>
        </w:rPr>
      </w:pPr>
    </w:p>
    <w:p w14:paraId="62FA3D6A" w14:textId="77777777" w:rsidR="00072A9C" w:rsidRPr="00994B7D" w:rsidRDefault="00072A9C" w:rsidP="00072A9C">
      <w:pPr>
        <w:spacing w:line="360" w:lineRule="auto"/>
        <w:ind w:left="720" w:hanging="720"/>
        <w:jc w:val="both"/>
        <w:rPr>
          <w:rFonts w:ascii="Arial" w:hAnsi="Arial"/>
          <w:rtl/>
        </w:rPr>
      </w:pPr>
      <w:r>
        <w:rPr>
          <w:rFonts w:ascii="Arial" w:hAnsi="Arial" w:hint="cs"/>
          <w:rtl/>
        </w:rPr>
        <w:t>10.</w:t>
      </w:r>
      <w:r>
        <w:rPr>
          <w:rFonts w:ascii="Arial" w:hAnsi="Arial" w:hint="cs"/>
          <w:rtl/>
        </w:rPr>
        <w:tab/>
      </w:r>
      <w:r w:rsidRPr="00994B7D">
        <w:rPr>
          <w:rFonts w:ascii="Arial" w:hAnsi="Arial" w:hint="cs"/>
          <w:rtl/>
        </w:rPr>
        <w:t>הכלל הוא שכאשר מדובר בניסיונו</w:t>
      </w:r>
      <w:r>
        <w:rPr>
          <w:rFonts w:ascii="Arial" w:hAnsi="Arial" w:hint="cs"/>
          <w:rtl/>
        </w:rPr>
        <w:t>ת</w:t>
      </w:r>
      <w:r w:rsidRPr="00994B7D">
        <w:rPr>
          <w:rFonts w:ascii="Arial" w:hAnsi="Arial" w:hint="cs"/>
          <w:rtl/>
        </w:rPr>
        <w:t xml:space="preserve"> אספקה של סמים לתחום בית הסוהר, יש להשית עונשי מאסר מאחורי סורג ובריח. עם זאת, המשקל המצטבר של הנימוקים לקולא שהובאו לעיל מוביל אותי למסקנה שניתן להסתפק במאסר שירוצה בדרך של עבודות שירות, </w:t>
      </w:r>
      <w:r>
        <w:rPr>
          <w:rFonts w:ascii="Arial" w:hAnsi="Arial" w:hint="cs"/>
          <w:rtl/>
        </w:rPr>
        <w:t xml:space="preserve">וזאת </w:t>
      </w:r>
      <w:r w:rsidRPr="00994B7D">
        <w:rPr>
          <w:rFonts w:ascii="Arial" w:hAnsi="Arial" w:hint="cs"/>
          <w:rtl/>
        </w:rPr>
        <w:t xml:space="preserve">לתקופה המקסימאלית של 6 חודשים. </w:t>
      </w:r>
    </w:p>
    <w:p w14:paraId="3512F6A8" w14:textId="77777777" w:rsidR="00072A9C" w:rsidRPr="00994B7D" w:rsidRDefault="00072A9C" w:rsidP="00072A9C">
      <w:pPr>
        <w:spacing w:line="360" w:lineRule="auto"/>
        <w:jc w:val="both"/>
        <w:rPr>
          <w:rFonts w:ascii="Arial" w:hAnsi="Arial"/>
          <w:rtl/>
        </w:rPr>
      </w:pPr>
    </w:p>
    <w:p w14:paraId="338D5B21" w14:textId="77777777" w:rsidR="00072A9C" w:rsidRPr="00994B7D" w:rsidRDefault="00072A9C" w:rsidP="00072A9C">
      <w:pPr>
        <w:spacing w:line="360" w:lineRule="auto"/>
        <w:jc w:val="both"/>
        <w:rPr>
          <w:rFonts w:ascii="Arial" w:hAnsi="Arial"/>
          <w:rtl/>
        </w:rPr>
      </w:pPr>
      <w:r>
        <w:rPr>
          <w:rFonts w:ascii="Arial" w:hAnsi="Arial" w:hint="cs"/>
          <w:rtl/>
        </w:rPr>
        <w:t>11.</w:t>
      </w:r>
      <w:r>
        <w:rPr>
          <w:rFonts w:ascii="Arial" w:hAnsi="Arial" w:hint="cs"/>
          <w:rtl/>
        </w:rPr>
        <w:tab/>
      </w:r>
      <w:r w:rsidRPr="00994B7D">
        <w:rPr>
          <w:rFonts w:ascii="Arial" w:hAnsi="Arial" w:hint="cs"/>
          <w:rtl/>
        </w:rPr>
        <w:t xml:space="preserve">לפיכך, הנני משית על הנאשמת את העונשים הבאים: </w:t>
      </w:r>
    </w:p>
    <w:p w14:paraId="50EDE17F" w14:textId="77777777" w:rsidR="00072A9C" w:rsidRPr="00994B7D" w:rsidRDefault="00072A9C" w:rsidP="00072A9C">
      <w:pPr>
        <w:spacing w:line="360" w:lineRule="auto"/>
        <w:jc w:val="both"/>
        <w:rPr>
          <w:rFonts w:ascii="Arial" w:hAnsi="Arial"/>
          <w:rtl/>
        </w:rPr>
      </w:pPr>
    </w:p>
    <w:p w14:paraId="50F09D2D" w14:textId="77777777" w:rsidR="00072A9C" w:rsidRPr="00994B7D" w:rsidRDefault="00072A9C" w:rsidP="00072A9C">
      <w:pPr>
        <w:spacing w:line="360" w:lineRule="auto"/>
        <w:ind w:firstLine="720"/>
        <w:jc w:val="both"/>
        <w:rPr>
          <w:rFonts w:ascii="Arial" w:hAnsi="Arial"/>
          <w:rtl/>
        </w:rPr>
      </w:pPr>
      <w:r w:rsidRPr="00994B7D">
        <w:rPr>
          <w:rFonts w:ascii="Arial" w:hAnsi="Arial" w:hint="cs"/>
          <w:rtl/>
        </w:rPr>
        <w:t>א.</w:t>
      </w:r>
      <w:r w:rsidRPr="00994B7D">
        <w:rPr>
          <w:rFonts w:ascii="Arial" w:hAnsi="Arial"/>
          <w:rtl/>
        </w:rPr>
        <w:tab/>
      </w:r>
      <w:r w:rsidRPr="00994B7D">
        <w:rPr>
          <w:rFonts w:ascii="Arial" w:hAnsi="Arial" w:hint="cs"/>
          <w:rtl/>
        </w:rPr>
        <w:t xml:space="preserve">6 חודשי מאסר בפועל שירוצו בדרך של עבודות שירות. </w:t>
      </w:r>
    </w:p>
    <w:p w14:paraId="39CAB199" w14:textId="77777777" w:rsidR="00072A9C" w:rsidRPr="00994B7D" w:rsidRDefault="00072A9C" w:rsidP="00072A9C">
      <w:pPr>
        <w:spacing w:line="360" w:lineRule="auto"/>
        <w:ind w:left="1440"/>
        <w:jc w:val="both"/>
        <w:rPr>
          <w:rFonts w:ascii="Arial" w:hAnsi="Arial"/>
          <w:rtl/>
        </w:rPr>
      </w:pPr>
      <w:r w:rsidRPr="00994B7D">
        <w:rPr>
          <w:rFonts w:ascii="Arial" w:hAnsi="Arial" w:hint="cs"/>
          <w:rtl/>
        </w:rPr>
        <w:t xml:space="preserve">הנאשמת תתייצב ביום </w:t>
      </w:r>
      <w:r>
        <w:rPr>
          <w:rFonts w:ascii="Arial" w:hAnsi="Arial" w:hint="cs"/>
          <w:rtl/>
        </w:rPr>
        <w:t xml:space="preserve">26.3.18 בשעה 08:00 במפקדת מחוז דרום, יחידת עבודות שירות, באר שבע לתחילת ריצוי עבודות השירות. עבודות השירות יבוצעו ב-"נופי קטמון" רחוב תל חי 12, שכונת קטמון, ירושלים. </w:t>
      </w:r>
    </w:p>
    <w:p w14:paraId="300C03CA" w14:textId="77777777" w:rsidR="00072A9C" w:rsidRPr="00994B7D" w:rsidRDefault="00072A9C" w:rsidP="00072A9C">
      <w:pPr>
        <w:spacing w:line="360" w:lineRule="auto"/>
        <w:jc w:val="both"/>
        <w:rPr>
          <w:rFonts w:ascii="Arial" w:hAnsi="Arial"/>
          <w:rtl/>
        </w:rPr>
      </w:pPr>
    </w:p>
    <w:p w14:paraId="57FA219E" w14:textId="77777777" w:rsidR="00072A9C" w:rsidRPr="00994B7D" w:rsidRDefault="00072A9C" w:rsidP="00072A9C">
      <w:pPr>
        <w:spacing w:line="360" w:lineRule="auto"/>
        <w:ind w:left="1440" w:hanging="720"/>
        <w:jc w:val="both"/>
        <w:rPr>
          <w:rFonts w:ascii="Arial" w:hAnsi="Arial"/>
          <w:rtl/>
        </w:rPr>
      </w:pPr>
      <w:r w:rsidRPr="00994B7D">
        <w:rPr>
          <w:rFonts w:ascii="Arial" w:hAnsi="Arial" w:hint="cs"/>
          <w:rtl/>
        </w:rPr>
        <w:t>ב.</w:t>
      </w:r>
      <w:r w:rsidRPr="00994B7D">
        <w:rPr>
          <w:rFonts w:ascii="Arial" w:hAnsi="Arial" w:hint="cs"/>
          <w:rtl/>
        </w:rPr>
        <w:tab/>
        <w:t xml:space="preserve">12 חודשי מאסר על תנאי והתנאי הוא שבמשך 3 שנים מהיום הנאשמת לא תבצע עבירה מסוג פשע לפי </w:t>
      </w:r>
      <w:hyperlink r:id="rId21" w:history="1">
        <w:r w:rsidR="00D83F3E" w:rsidRPr="00D83F3E">
          <w:rPr>
            <w:rFonts w:ascii="Arial" w:hAnsi="Arial"/>
            <w:color w:val="0000FF"/>
            <w:u w:val="single"/>
            <w:rtl/>
          </w:rPr>
          <w:t>פקודת הסמים המסוכנים</w:t>
        </w:r>
      </w:hyperlink>
      <w:r w:rsidRPr="00994B7D">
        <w:rPr>
          <w:rFonts w:ascii="Arial" w:hAnsi="Arial" w:hint="cs"/>
          <w:rtl/>
        </w:rPr>
        <w:t xml:space="preserve">. </w:t>
      </w:r>
    </w:p>
    <w:p w14:paraId="31E87DF2" w14:textId="77777777" w:rsidR="00072A9C" w:rsidRPr="00994B7D" w:rsidRDefault="00072A9C" w:rsidP="00072A9C">
      <w:pPr>
        <w:spacing w:line="360" w:lineRule="auto"/>
        <w:jc w:val="both"/>
        <w:rPr>
          <w:rFonts w:ascii="Arial" w:hAnsi="Arial"/>
          <w:rtl/>
        </w:rPr>
      </w:pPr>
    </w:p>
    <w:p w14:paraId="3F3474B2" w14:textId="77777777" w:rsidR="00072A9C" w:rsidRPr="00994B7D" w:rsidRDefault="00072A9C" w:rsidP="00072A9C">
      <w:pPr>
        <w:spacing w:line="360" w:lineRule="auto"/>
        <w:ind w:left="1440" w:hanging="720"/>
        <w:jc w:val="both"/>
        <w:rPr>
          <w:rFonts w:ascii="Arial" w:hAnsi="Arial"/>
          <w:rtl/>
        </w:rPr>
      </w:pPr>
      <w:r w:rsidRPr="00994B7D">
        <w:rPr>
          <w:rFonts w:ascii="Arial" w:hAnsi="Arial" w:hint="cs"/>
          <w:rtl/>
        </w:rPr>
        <w:t>ג.</w:t>
      </w:r>
      <w:r w:rsidRPr="00994B7D">
        <w:rPr>
          <w:rFonts w:ascii="Arial" w:hAnsi="Arial" w:hint="cs"/>
          <w:rtl/>
        </w:rPr>
        <w:tab/>
        <w:t xml:space="preserve">4 חודשי מאסר על תנאי והתנאי הוא שבמשך 3 שנים מהיום הנאשמת לא תבצע עבירה מסוג עוון לפי </w:t>
      </w:r>
      <w:hyperlink r:id="rId22" w:history="1">
        <w:r w:rsidR="00D83F3E" w:rsidRPr="00D83F3E">
          <w:rPr>
            <w:rFonts w:ascii="Arial" w:hAnsi="Arial"/>
            <w:color w:val="0000FF"/>
            <w:u w:val="single"/>
            <w:rtl/>
          </w:rPr>
          <w:t>פקודת הסמים המסוכנים</w:t>
        </w:r>
      </w:hyperlink>
      <w:r w:rsidRPr="00994B7D">
        <w:rPr>
          <w:rFonts w:ascii="Arial" w:hAnsi="Arial" w:hint="cs"/>
          <w:rtl/>
        </w:rPr>
        <w:t xml:space="preserve">. </w:t>
      </w:r>
    </w:p>
    <w:p w14:paraId="5A6DAAF4" w14:textId="77777777" w:rsidR="00072A9C" w:rsidRPr="00994B7D" w:rsidRDefault="00072A9C" w:rsidP="00072A9C">
      <w:pPr>
        <w:spacing w:line="360" w:lineRule="auto"/>
        <w:jc w:val="both"/>
        <w:rPr>
          <w:rFonts w:ascii="Arial" w:hAnsi="Arial"/>
          <w:rtl/>
        </w:rPr>
      </w:pPr>
    </w:p>
    <w:p w14:paraId="3C4427C2" w14:textId="77777777" w:rsidR="00072A9C" w:rsidRPr="00994B7D" w:rsidRDefault="00072A9C" w:rsidP="00072A9C">
      <w:pPr>
        <w:spacing w:line="360" w:lineRule="auto"/>
        <w:ind w:firstLine="720"/>
        <w:rPr>
          <w:rtl/>
        </w:rPr>
      </w:pPr>
      <w:r w:rsidRPr="00994B7D">
        <w:rPr>
          <w:rFonts w:ascii="Arial" w:hAnsi="Arial" w:hint="cs"/>
          <w:rtl/>
        </w:rPr>
        <w:t>ד.</w:t>
      </w:r>
      <w:r w:rsidRPr="00994B7D">
        <w:rPr>
          <w:rtl/>
        </w:rPr>
        <w:tab/>
      </w:r>
      <w:r w:rsidRPr="00994B7D">
        <w:rPr>
          <w:rFonts w:hint="cs"/>
          <w:rtl/>
        </w:rPr>
        <w:t>הנאשמת תשלם קנס בסך</w:t>
      </w:r>
      <w:r>
        <w:rPr>
          <w:rFonts w:hint="cs"/>
          <w:rtl/>
        </w:rPr>
        <w:t xml:space="preserve"> של</w:t>
      </w:r>
      <w:r w:rsidRPr="00994B7D">
        <w:rPr>
          <w:rFonts w:hint="cs"/>
          <w:rtl/>
        </w:rPr>
        <w:t xml:space="preserve">  9,000 ₪, או 30 ימי מאסר תמורתו. </w:t>
      </w:r>
    </w:p>
    <w:p w14:paraId="1DB62481" w14:textId="77777777" w:rsidR="00072A9C" w:rsidRPr="00994B7D" w:rsidRDefault="00072A9C" w:rsidP="00072A9C">
      <w:pPr>
        <w:spacing w:line="360" w:lineRule="auto"/>
        <w:ind w:left="1440"/>
      </w:pPr>
      <w:r w:rsidRPr="00994B7D">
        <w:rPr>
          <w:rFonts w:hint="cs"/>
          <w:rtl/>
        </w:rPr>
        <w:t>הקנס ישולם ב- 20 תשלומים חודשי</w:t>
      </w:r>
      <w:r>
        <w:rPr>
          <w:rFonts w:hint="cs"/>
          <w:rtl/>
        </w:rPr>
        <w:t>י</w:t>
      </w:r>
      <w:r w:rsidRPr="00994B7D">
        <w:rPr>
          <w:rFonts w:hint="cs"/>
          <w:rtl/>
        </w:rPr>
        <w:t xml:space="preserve">ם שווים ורצופים כאשר הראשון שבהם עד ליום   </w:t>
      </w:r>
      <w:r>
        <w:rPr>
          <w:rFonts w:hint="cs"/>
          <w:rtl/>
        </w:rPr>
        <w:t>1.4.18</w:t>
      </w:r>
      <w:r w:rsidRPr="00994B7D">
        <w:rPr>
          <w:rFonts w:hint="cs"/>
          <w:rtl/>
        </w:rPr>
        <w:t xml:space="preserve"> והיתרה ב- 1 לכל חודש שלאחריו. היה ואחד התשלומים לא ישולם במועד, אזי יעמוד מלוא סכום הקנס לפירעון מידי. </w:t>
      </w:r>
    </w:p>
    <w:p w14:paraId="6FA33955" w14:textId="77777777" w:rsidR="00072A9C" w:rsidRPr="00994B7D" w:rsidRDefault="00072A9C" w:rsidP="00072A9C">
      <w:pPr>
        <w:spacing w:line="360" w:lineRule="auto"/>
        <w:jc w:val="both"/>
        <w:rPr>
          <w:rFonts w:ascii="Arial" w:hAnsi="Arial"/>
          <w:rtl/>
        </w:rPr>
      </w:pPr>
    </w:p>
    <w:p w14:paraId="63DB753A" w14:textId="77777777" w:rsidR="00072A9C" w:rsidRPr="00994B7D" w:rsidRDefault="00072A9C" w:rsidP="00072A9C">
      <w:pPr>
        <w:spacing w:line="360" w:lineRule="auto"/>
        <w:ind w:left="1440" w:hanging="720"/>
        <w:jc w:val="both"/>
        <w:rPr>
          <w:rFonts w:ascii="Arial" w:hAnsi="Arial"/>
          <w:rtl/>
        </w:rPr>
      </w:pPr>
      <w:r w:rsidRPr="00994B7D">
        <w:rPr>
          <w:rFonts w:ascii="Arial" w:hAnsi="Arial" w:hint="cs"/>
          <w:rtl/>
        </w:rPr>
        <w:t>ה.</w:t>
      </w:r>
      <w:r w:rsidRPr="00994B7D">
        <w:rPr>
          <w:rFonts w:ascii="Arial" w:hAnsi="Arial" w:hint="cs"/>
          <w:rtl/>
        </w:rPr>
        <w:tab/>
        <w:t xml:space="preserve">הנני פוסל את הנאשמת מלקבל או להחזיק רישיון נהיגה לתקופה של 6 חודשים מהיום. </w:t>
      </w:r>
    </w:p>
    <w:p w14:paraId="752D1BF1" w14:textId="77777777" w:rsidR="00072A9C" w:rsidRPr="00994B7D" w:rsidRDefault="00072A9C" w:rsidP="00072A9C">
      <w:pPr>
        <w:spacing w:line="360" w:lineRule="auto"/>
        <w:jc w:val="both"/>
        <w:rPr>
          <w:rFonts w:ascii="Arial" w:hAnsi="Arial"/>
          <w:rtl/>
        </w:rPr>
      </w:pPr>
    </w:p>
    <w:p w14:paraId="5E95DFA4" w14:textId="77777777" w:rsidR="00072A9C" w:rsidRPr="00994B7D" w:rsidRDefault="00072A9C" w:rsidP="00072A9C">
      <w:pPr>
        <w:spacing w:line="360" w:lineRule="auto"/>
        <w:ind w:left="1440" w:hanging="720"/>
        <w:jc w:val="both"/>
        <w:rPr>
          <w:rFonts w:ascii="Arial" w:hAnsi="Arial"/>
          <w:rtl/>
        </w:rPr>
      </w:pPr>
      <w:r w:rsidRPr="00994B7D">
        <w:rPr>
          <w:rFonts w:ascii="Arial" w:hAnsi="Arial" w:hint="cs"/>
          <w:rtl/>
        </w:rPr>
        <w:t>ו.</w:t>
      </w:r>
      <w:r w:rsidRPr="00994B7D">
        <w:rPr>
          <w:rFonts w:ascii="Arial" w:hAnsi="Arial" w:hint="cs"/>
          <w:rtl/>
        </w:rPr>
        <w:tab/>
        <w:t xml:space="preserve">הנני פוסל את הנאשמת למשך 6 חודשים וזאת על תנאי למשך 3 שנים שלא תבצע עבירה מסוג פשע לפי </w:t>
      </w:r>
      <w:hyperlink r:id="rId23" w:history="1">
        <w:r w:rsidR="00D83F3E" w:rsidRPr="00D83F3E">
          <w:rPr>
            <w:rFonts w:ascii="Arial" w:hAnsi="Arial"/>
            <w:color w:val="0000FF"/>
            <w:u w:val="single"/>
            <w:rtl/>
          </w:rPr>
          <w:t>פקודת הסמים המסוכנים</w:t>
        </w:r>
      </w:hyperlink>
      <w:r w:rsidRPr="00994B7D">
        <w:rPr>
          <w:rFonts w:ascii="Arial" w:hAnsi="Arial" w:hint="cs"/>
          <w:rtl/>
        </w:rPr>
        <w:t xml:space="preserve">. </w:t>
      </w:r>
    </w:p>
    <w:p w14:paraId="36B1706B" w14:textId="77777777" w:rsidR="00072A9C" w:rsidRPr="00994B7D" w:rsidRDefault="00072A9C" w:rsidP="00072A9C">
      <w:pPr>
        <w:spacing w:line="360" w:lineRule="auto"/>
        <w:rPr>
          <w:rFonts w:ascii="Arial" w:hAnsi="Arial"/>
          <w:rtl/>
        </w:rPr>
      </w:pPr>
    </w:p>
    <w:p w14:paraId="50328A8B" w14:textId="77777777" w:rsidR="00072A9C" w:rsidRDefault="00072A9C" w:rsidP="00072A9C">
      <w:pPr>
        <w:spacing w:line="360" w:lineRule="auto"/>
        <w:ind w:firstLine="720"/>
        <w:rPr>
          <w:rtl/>
        </w:rPr>
      </w:pPr>
      <w:r w:rsidRPr="00994B7D">
        <w:rPr>
          <w:rFonts w:hint="cs"/>
          <w:rtl/>
        </w:rPr>
        <w:t xml:space="preserve">ניתן צו להשמדת הסמים. </w:t>
      </w:r>
    </w:p>
    <w:p w14:paraId="3DF9CFE3" w14:textId="77777777" w:rsidR="00072A9C" w:rsidRPr="00994B7D" w:rsidRDefault="00072A9C" w:rsidP="00072A9C">
      <w:pPr>
        <w:spacing w:line="360" w:lineRule="auto"/>
        <w:rPr>
          <w:rtl/>
        </w:rPr>
      </w:pPr>
    </w:p>
    <w:p w14:paraId="33A905B1" w14:textId="77777777" w:rsidR="00072A9C" w:rsidRPr="00994B7D" w:rsidRDefault="00072A9C" w:rsidP="00072A9C">
      <w:pPr>
        <w:spacing w:line="360" w:lineRule="auto"/>
        <w:rPr>
          <w:rtl/>
        </w:rPr>
      </w:pPr>
      <w:r w:rsidRPr="00994B7D">
        <w:rPr>
          <w:rFonts w:hint="cs"/>
          <w:rtl/>
        </w:rPr>
        <w:t xml:space="preserve">זכות ערעור תוך 45 יום. </w:t>
      </w:r>
    </w:p>
    <w:p w14:paraId="764C230D" w14:textId="77777777" w:rsidR="00072A9C" w:rsidRPr="00994B7D" w:rsidRDefault="00072A9C" w:rsidP="00072A9C">
      <w:pPr>
        <w:spacing w:line="360" w:lineRule="auto"/>
        <w:rPr>
          <w:rtl/>
        </w:rPr>
      </w:pPr>
    </w:p>
    <w:p w14:paraId="61E99C10" w14:textId="77777777" w:rsidR="00072A9C" w:rsidRPr="00D83F3E" w:rsidRDefault="00D83F3E" w:rsidP="00072A9C">
      <w:pPr>
        <w:spacing w:line="360" w:lineRule="auto"/>
        <w:rPr>
          <w:color w:val="FFFFFF"/>
          <w:sz w:val="2"/>
          <w:szCs w:val="2"/>
          <w:rtl/>
        </w:rPr>
      </w:pPr>
      <w:r w:rsidRPr="00D83F3E">
        <w:rPr>
          <w:color w:val="FFFFFF"/>
          <w:sz w:val="2"/>
          <w:szCs w:val="2"/>
          <w:rtl/>
        </w:rPr>
        <w:t>5129371</w:t>
      </w:r>
    </w:p>
    <w:p w14:paraId="5A14F2D8" w14:textId="77777777" w:rsidR="00072A9C" w:rsidRPr="00994B7D" w:rsidRDefault="00D83F3E" w:rsidP="00072A9C">
      <w:pPr>
        <w:spacing w:line="360" w:lineRule="auto"/>
        <w:rPr>
          <w:rtl/>
        </w:rPr>
      </w:pPr>
      <w:r w:rsidRPr="00D83F3E">
        <w:rPr>
          <w:rFonts w:ascii="Arial" w:hAnsi="Arial"/>
          <w:color w:val="FFFFFF"/>
          <w:sz w:val="2"/>
          <w:szCs w:val="2"/>
          <w:rtl/>
        </w:rPr>
        <w:t>54678313</w:t>
      </w:r>
      <w:r>
        <w:rPr>
          <w:rFonts w:ascii="Arial" w:hAnsi="Arial"/>
          <w:rtl/>
        </w:rPr>
        <w:t xml:space="preserve">ניתן היום,  כ"ח שבט תשע"ח, 13 פברואר 2018, במעמד הצדדים.  </w:t>
      </w:r>
    </w:p>
    <w:p w14:paraId="70B52AEC" w14:textId="77777777" w:rsidR="00072A9C" w:rsidRPr="00994B7D" w:rsidRDefault="00072A9C" w:rsidP="00072A9C">
      <w:pPr>
        <w:spacing w:line="360" w:lineRule="auto"/>
        <w:jc w:val="center"/>
      </w:pPr>
      <w:r w:rsidRPr="00994B7D">
        <w:rPr>
          <w:rFonts w:hint="cs"/>
          <w:rtl/>
        </w:rPr>
        <w:t xml:space="preserve">   </w:t>
      </w:r>
      <w:r w:rsidRPr="00994B7D">
        <w:rPr>
          <w:rFonts w:hint="cs"/>
          <w:rtl/>
        </w:rPr>
        <w:tab/>
      </w:r>
      <w:r w:rsidRPr="00994B7D">
        <w:rPr>
          <w:rFonts w:hint="cs"/>
          <w:rtl/>
        </w:rPr>
        <w:tab/>
      </w:r>
      <w:r w:rsidRPr="00994B7D">
        <w:rPr>
          <w:rFonts w:hint="cs"/>
          <w:rtl/>
        </w:rPr>
        <w:tab/>
      </w:r>
      <w:r w:rsidRPr="00994B7D">
        <w:rPr>
          <w:rFonts w:hint="cs"/>
          <w:rtl/>
        </w:rPr>
        <w:tab/>
      </w:r>
      <w:r w:rsidRPr="00994B7D">
        <w:rPr>
          <w:rFonts w:hint="cs"/>
          <w:rtl/>
        </w:rPr>
        <w:tab/>
      </w:r>
      <w:r>
        <w:rPr>
          <w:rtl/>
        </w:rPr>
        <w:t xml:space="preserve">     </w:t>
      </w:r>
    </w:p>
    <w:p w14:paraId="713C937F" w14:textId="77777777" w:rsidR="00072A9C" w:rsidRPr="00994B7D" w:rsidRDefault="00072A9C" w:rsidP="00072A9C">
      <w:pPr>
        <w:spacing w:line="360" w:lineRule="auto"/>
        <w:jc w:val="center"/>
        <w:rPr>
          <w:rFonts w:ascii="Arial" w:hAnsi="Arial"/>
          <w:rtl/>
        </w:rPr>
      </w:pPr>
    </w:p>
    <w:p w14:paraId="3BF36167" w14:textId="77777777" w:rsidR="00072A9C" w:rsidRPr="00994B7D" w:rsidRDefault="00072A9C" w:rsidP="00072A9C">
      <w:pPr>
        <w:spacing w:line="360" w:lineRule="auto"/>
        <w:rPr>
          <w:rtl/>
        </w:rPr>
      </w:pPr>
    </w:p>
    <w:p w14:paraId="02EC8669" w14:textId="77777777" w:rsidR="00072A9C" w:rsidRPr="00A13BA9" w:rsidRDefault="00A13BA9" w:rsidP="00072A9C">
      <w:pPr>
        <w:pStyle w:val="a3"/>
        <w:spacing w:line="360" w:lineRule="auto"/>
        <w:jc w:val="center"/>
        <w:rPr>
          <w:color w:val="FFFFFF"/>
          <w:sz w:val="2"/>
          <w:szCs w:val="2"/>
          <w:rtl/>
        </w:rPr>
      </w:pPr>
      <w:r w:rsidRPr="00A13BA9">
        <w:rPr>
          <w:color w:val="FFFFFF"/>
          <w:sz w:val="2"/>
          <w:szCs w:val="2"/>
          <w:rtl/>
        </w:rPr>
        <w:t>51293715129371</w:t>
      </w:r>
    </w:p>
    <w:p w14:paraId="46ED2364" w14:textId="77777777" w:rsidR="00E94EEE" w:rsidRPr="00A13BA9" w:rsidRDefault="00A13BA9" w:rsidP="00D83F3E">
      <w:pPr>
        <w:keepNext/>
        <w:rPr>
          <w:rFonts w:ascii="David" w:hAnsi="David"/>
          <w:color w:val="FFFFFF"/>
          <w:sz w:val="2"/>
          <w:szCs w:val="2"/>
          <w:rtl/>
        </w:rPr>
      </w:pPr>
      <w:r w:rsidRPr="00A13BA9">
        <w:rPr>
          <w:rFonts w:ascii="David" w:hAnsi="David"/>
          <w:color w:val="FFFFFF"/>
          <w:sz w:val="2"/>
          <w:szCs w:val="2"/>
          <w:rtl/>
        </w:rPr>
        <w:t>5467831354678313</w:t>
      </w:r>
    </w:p>
    <w:p w14:paraId="1273847B" w14:textId="77777777" w:rsidR="00D83F3E" w:rsidRPr="00D83F3E" w:rsidRDefault="00D83F3E" w:rsidP="00D83F3E">
      <w:pPr>
        <w:keepNext/>
        <w:rPr>
          <w:rFonts w:ascii="David" w:hAnsi="David"/>
          <w:color w:val="000000"/>
          <w:sz w:val="22"/>
          <w:szCs w:val="22"/>
          <w:rtl/>
        </w:rPr>
      </w:pPr>
      <w:r w:rsidRPr="00D83F3E">
        <w:rPr>
          <w:rFonts w:ascii="David" w:hAnsi="David"/>
          <w:color w:val="000000"/>
          <w:sz w:val="22"/>
          <w:szCs w:val="22"/>
          <w:rtl/>
        </w:rPr>
        <w:t>הישאם אבו שחאדה 54678313</w:t>
      </w:r>
    </w:p>
    <w:p w14:paraId="74AE224B" w14:textId="77777777" w:rsidR="00D83F3E" w:rsidRDefault="00D83F3E" w:rsidP="00D83F3E">
      <w:r w:rsidRPr="00D83F3E">
        <w:rPr>
          <w:color w:val="000000"/>
          <w:rtl/>
        </w:rPr>
        <w:t>נוסח מסמך זה כפוף לשינויי ניסוח ועריכה</w:t>
      </w:r>
    </w:p>
    <w:p w14:paraId="57669F9D" w14:textId="77777777" w:rsidR="00D83F3E" w:rsidRDefault="00D83F3E" w:rsidP="00D83F3E">
      <w:pPr>
        <w:rPr>
          <w:rtl/>
        </w:rPr>
      </w:pPr>
    </w:p>
    <w:p w14:paraId="17063A5B" w14:textId="77777777" w:rsidR="00D83F3E" w:rsidRDefault="00D83F3E" w:rsidP="00D83F3E">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64F9733F" w14:textId="77777777" w:rsidR="00A13BA9" w:rsidRPr="00A13BA9" w:rsidRDefault="00A13BA9" w:rsidP="00A13BA9">
      <w:pPr>
        <w:keepNext/>
        <w:rPr>
          <w:rFonts w:ascii="David" w:hAnsi="David"/>
          <w:color w:val="000000"/>
          <w:sz w:val="22"/>
          <w:szCs w:val="22"/>
          <w:rtl/>
        </w:rPr>
      </w:pPr>
    </w:p>
    <w:p w14:paraId="50C72EF2" w14:textId="77777777" w:rsidR="00D83F3E" w:rsidRPr="00D83F3E" w:rsidRDefault="00D83F3E" w:rsidP="00A13BA9">
      <w:pPr>
        <w:rPr>
          <w:color w:val="0000FF"/>
          <w:u w:val="single"/>
        </w:rPr>
      </w:pPr>
    </w:p>
    <w:sectPr w:rsidR="00D83F3E" w:rsidRPr="00D83F3E" w:rsidSect="00A13BA9">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99FA6" w14:textId="77777777" w:rsidR="004E0703" w:rsidRDefault="004E0703" w:rsidP="002E2998">
      <w:r>
        <w:separator/>
      </w:r>
    </w:p>
  </w:endnote>
  <w:endnote w:type="continuationSeparator" w:id="0">
    <w:p w14:paraId="7F61EF8D" w14:textId="77777777" w:rsidR="004E0703" w:rsidRDefault="004E0703" w:rsidP="002E2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2DD43" w14:textId="77777777" w:rsidR="004E0703" w:rsidRDefault="004E0703" w:rsidP="00A13BA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54F00D3" w14:textId="77777777" w:rsidR="004E0703" w:rsidRPr="00A13BA9" w:rsidRDefault="004E0703" w:rsidP="00A13BA9">
    <w:pPr>
      <w:pStyle w:val="a5"/>
      <w:pBdr>
        <w:top w:val="single" w:sz="4" w:space="1" w:color="auto"/>
        <w:between w:val="single" w:sz="4" w:space="0" w:color="auto"/>
      </w:pBdr>
      <w:spacing w:after="60"/>
      <w:jc w:val="center"/>
      <w:rPr>
        <w:rFonts w:ascii="FrankRuehl" w:hAnsi="FrankRuehl" w:cs="FrankRuehl"/>
        <w:color w:val="000000"/>
      </w:rPr>
    </w:pPr>
    <w:r w:rsidRPr="00A13BA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71CB8" w14:textId="77777777" w:rsidR="004E0703" w:rsidRDefault="004E0703" w:rsidP="00A13BA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6463A">
      <w:rPr>
        <w:rFonts w:ascii="FrankRuehl" w:hAnsi="FrankRuehl" w:cs="FrankRuehl"/>
        <w:noProof/>
        <w:rtl/>
      </w:rPr>
      <w:t>1</w:t>
    </w:r>
    <w:r>
      <w:rPr>
        <w:rFonts w:ascii="FrankRuehl" w:hAnsi="FrankRuehl" w:cs="FrankRuehl"/>
        <w:rtl/>
      </w:rPr>
      <w:fldChar w:fldCharType="end"/>
    </w:r>
  </w:p>
  <w:p w14:paraId="30759576" w14:textId="77777777" w:rsidR="004E0703" w:rsidRPr="00A13BA9" w:rsidRDefault="004E0703" w:rsidP="00A13BA9">
    <w:pPr>
      <w:pStyle w:val="a5"/>
      <w:pBdr>
        <w:top w:val="single" w:sz="4" w:space="1" w:color="auto"/>
        <w:between w:val="single" w:sz="4" w:space="0" w:color="auto"/>
      </w:pBdr>
      <w:spacing w:after="60"/>
      <w:jc w:val="center"/>
      <w:rPr>
        <w:rFonts w:ascii="FrankRuehl" w:hAnsi="FrankRuehl" w:cs="FrankRuehl"/>
        <w:color w:val="000000"/>
      </w:rPr>
    </w:pPr>
    <w:r w:rsidRPr="00A13BA9">
      <w:rPr>
        <w:rFonts w:ascii="FrankRuehl" w:hAnsi="FrankRuehl" w:cs="FrankRuehl"/>
        <w:color w:val="000000"/>
      </w:rPr>
      <w:pict w14:anchorId="262D7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31B46" w14:textId="77777777" w:rsidR="004E0703" w:rsidRDefault="004E0703" w:rsidP="002E2998">
      <w:r>
        <w:separator/>
      </w:r>
    </w:p>
  </w:footnote>
  <w:footnote w:type="continuationSeparator" w:id="0">
    <w:p w14:paraId="4843B775" w14:textId="77777777" w:rsidR="004E0703" w:rsidRDefault="004E0703" w:rsidP="002E29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6B686" w14:textId="77777777" w:rsidR="004E0703" w:rsidRPr="00A13BA9" w:rsidRDefault="004E0703" w:rsidP="00A13BA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36414-03-16</w:t>
    </w:r>
    <w:r>
      <w:rPr>
        <w:rFonts w:ascii="David" w:hAnsi="David"/>
        <w:color w:val="000000"/>
        <w:sz w:val="22"/>
        <w:szCs w:val="22"/>
        <w:rtl/>
      </w:rPr>
      <w:tab/>
      <w:t xml:space="preserve"> מדינת ישראל  נ' פדאא תותונגי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CC7F5" w14:textId="77777777" w:rsidR="004E0703" w:rsidRPr="00A13BA9" w:rsidRDefault="004E0703" w:rsidP="00A13BA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36414-03-16</w:t>
    </w:r>
    <w:r>
      <w:rPr>
        <w:rFonts w:ascii="David" w:hAnsi="David"/>
        <w:color w:val="000000"/>
        <w:sz w:val="22"/>
        <w:szCs w:val="22"/>
        <w:rtl/>
      </w:rPr>
      <w:tab/>
      <w:t xml:space="preserve"> מדינת ישראל  נ' פדאא תותונגי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72A9C"/>
    <w:rsid w:val="00072A9C"/>
    <w:rsid w:val="00283425"/>
    <w:rsid w:val="002E2998"/>
    <w:rsid w:val="0046463A"/>
    <w:rsid w:val="004E0703"/>
    <w:rsid w:val="00810CA1"/>
    <w:rsid w:val="00857B93"/>
    <w:rsid w:val="00921530"/>
    <w:rsid w:val="00A13BA9"/>
    <w:rsid w:val="00D83F3E"/>
    <w:rsid w:val="00E94EEE"/>
    <w:rsid w:val="00EC3FAF"/>
    <w:rsid w:val="00F264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31F960B"/>
  <w15:chartTrackingRefBased/>
  <w15:docId w15:val="{CE0D2E2E-6BBD-4378-838F-6AF9AB921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72A9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72A9C"/>
    <w:pPr>
      <w:tabs>
        <w:tab w:val="center" w:pos="4153"/>
        <w:tab w:val="right" w:pos="8306"/>
      </w:tabs>
    </w:pPr>
  </w:style>
  <w:style w:type="character" w:customStyle="1" w:styleId="a4">
    <w:name w:val="כותרת עליונה תו"/>
    <w:link w:val="a3"/>
    <w:rsid w:val="00072A9C"/>
    <w:rPr>
      <w:rFonts w:ascii="Times New Roman" w:eastAsia="Times New Roman" w:hAnsi="Times New Roman" w:cs="David"/>
      <w:sz w:val="24"/>
      <w:szCs w:val="24"/>
    </w:rPr>
  </w:style>
  <w:style w:type="paragraph" w:styleId="a5">
    <w:name w:val="footer"/>
    <w:basedOn w:val="a"/>
    <w:link w:val="a6"/>
    <w:rsid w:val="00072A9C"/>
    <w:pPr>
      <w:tabs>
        <w:tab w:val="center" w:pos="4153"/>
        <w:tab w:val="right" w:pos="8306"/>
      </w:tabs>
    </w:pPr>
  </w:style>
  <w:style w:type="character" w:customStyle="1" w:styleId="a6">
    <w:name w:val="כותרת תחתונה תו"/>
    <w:link w:val="a5"/>
    <w:rsid w:val="00072A9C"/>
    <w:rPr>
      <w:rFonts w:ascii="Times New Roman" w:eastAsia="Times New Roman" w:hAnsi="Times New Roman" w:cs="David"/>
      <w:sz w:val="24"/>
      <w:szCs w:val="24"/>
    </w:rPr>
  </w:style>
  <w:style w:type="table" w:styleId="a7">
    <w:name w:val="Table Grid"/>
    <w:basedOn w:val="a1"/>
    <w:rsid w:val="00072A9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72A9C"/>
  </w:style>
  <w:style w:type="character" w:styleId="Hyperlink">
    <w:name w:val="Hyperlink"/>
    <w:rsid w:val="00D83F3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6246310"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4216" TargetMode="External"/><Relationship Id="rId7" Type="http://schemas.openxmlformats.org/officeDocument/2006/relationships/hyperlink" Target="http://www.nevo.co.il/law/4216/13"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case/20356752" TargetMode="External"/><Relationship Id="rId20" Type="http://schemas.openxmlformats.org/officeDocument/2006/relationships/hyperlink" Target="http://www.nevo.co.il/case/5780459"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3"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4216" TargetMode="External"/><Relationship Id="rId28" Type="http://schemas.openxmlformats.org/officeDocument/2006/relationships/footer" Target="footer2.xml"/><Relationship Id="rId10" Type="http://schemas.openxmlformats.org/officeDocument/2006/relationships/hyperlink" Target="http://www.nevo.co.il/law/70301/25" TargetMode="External"/><Relationship Id="rId19" Type="http://schemas.openxmlformats.org/officeDocument/2006/relationships/hyperlink" Target="http://www.nevo.co.il/case/5772368"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25" TargetMode="External"/><Relationship Id="rId22" Type="http://schemas.openxmlformats.org/officeDocument/2006/relationships/hyperlink" Target="http://www.nevo.co.il/law/4216"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1468</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8791</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3145846</vt:i4>
      </vt:variant>
      <vt:variant>
        <vt:i4>42</vt:i4>
      </vt:variant>
      <vt:variant>
        <vt:i4>0</vt:i4>
      </vt:variant>
      <vt:variant>
        <vt:i4>5</vt:i4>
      </vt:variant>
      <vt:variant>
        <vt:lpwstr>http://www.nevo.co.il/case/5780459</vt:lpwstr>
      </vt:variant>
      <vt:variant>
        <vt:lpwstr/>
      </vt:variant>
      <vt:variant>
        <vt:i4>3735671</vt:i4>
      </vt:variant>
      <vt:variant>
        <vt:i4>39</vt:i4>
      </vt:variant>
      <vt:variant>
        <vt:i4>0</vt:i4>
      </vt:variant>
      <vt:variant>
        <vt:i4>5</vt:i4>
      </vt:variant>
      <vt:variant>
        <vt:lpwstr>http://www.nevo.co.il/case/5772368</vt:lpwstr>
      </vt:variant>
      <vt:variant>
        <vt:lpwstr/>
      </vt:variant>
      <vt:variant>
        <vt:i4>3211377</vt:i4>
      </vt:variant>
      <vt:variant>
        <vt:i4>36</vt:i4>
      </vt:variant>
      <vt:variant>
        <vt:i4>0</vt:i4>
      </vt:variant>
      <vt:variant>
        <vt:i4>5</vt:i4>
      </vt:variant>
      <vt:variant>
        <vt:lpwstr>http://www.nevo.co.il/case/6246310</vt:lpwstr>
      </vt:variant>
      <vt:variant>
        <vt:lpwstr/>
      </vt:variant>
      <vt:variant>
        <vt:i4>8257637</vt:i4>
      </vt:variant>
      <vt:variant>
        <vt:i4>33</vt:i4>
      </vt:variant>
      <vt:variant>
        <vt:i4>0</vt:i4>
      </vt:variant>
      <vt:variant>
        <vt:i4>5</vt:i4>
      </vt:variant>
      <vt:variant>
        <vt:lpwstr>http://www.nevo.co.il/law/4216</vt:lpwstr>
      </vt:variant>
      <vt:variant>
        <vt:lpwstr/>
      </vt:variant>
      <vt:variant>
        <vt:i4>3276918</vt:i4>
      </vt:variant>
      <vt:variant>
        <vt:i4>30</vt:i4>
      </vt:variant>
      <vt:variant>
        <vt:i4>0</vt:i4>
      </vt:variant>
      <vt:variant>
        <vt:i4>5</vt:i4>
      </vt:variant>
      <vt:variant>
        <vt:lpwstr>http://www.nevo.co.il/case/20356752</vt:lpwstr>
      </vt:variant>
      <vt:variant>
        <vt:lpwstr/>
      </vt:variant>
      <vt:variant>
        <vt:i4>7995492</vt:i4>
      </vt:variant>
      <vt:variant>
        <vt:i4>27</vt:i4>
      </vt:variant>
      <vt:variant>
        <vt:i4>0</vt:i4>
      </vt:variant>
      <vt:variant>
        <vt:i4>5</vt:i4>
      </vt:variant>
      <vt:variant>
        <vt:lpwstr>http://www.nevo.co.il/law/70301</vt:lpwstr>
      </vt:variant>
      <vt:variant>
        <vt:lpwstr/>
      </vt:variant>
      <vt:variant>
        <vt:i4>6291559</vt:i4>
      </vt:variant>
      <vt:variant>
        <vt:i4>24</vt:i4>
      </vt:variant>
      <vt:variant>
        <vt:i4>0</vt:i4>
      </vt:variant>
      <vt:variant>
        <vt:i4>5</vt:i4>
      </vt:variant>
      <vt:variant>
        <vt:lpwstr>http://www.nevo.co.il/law/70301/25</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2025-04-22T23:01:00Z</dcterms:created>
  <dcterms:modified xsi:type="dcterms:W3CDTF">2025-04-22T23:01:00Z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36414</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 </vt:lpwstr>
  </property>
  <property fmtid="{D5CDD505-2E9C-101B-9397-08002B2CF9AE}" pid="9" name="APPELLEE">
    <vt:lpwstr>פדאא תותונגי</vt:lpwstr>
  </property>
  <property fmtid="{D5CDD505-2E9C-101B-9397-08002B2CF9AE}" pid="10" name="LAWYER">
    <vt:lpwstr>איתי שמואלי;סלאח אבו תאיה</vt:lpwstr>
  </property>
  <property fmtid="{D5CDD505-2E9C-101B-9397-08002B2CF9AE}" pid="11" name="JUDGE">
    <vt:lpwstr>הישאם אבו שחאדה</vt:lpwstr>
  </property>
  <property fmtid="{D5CDD505-2E9C-101B-9397-08002B2CF9AE}" pid="12" name="CITY">
    <vt:lpwstr>רמ'</vt:lpwstr>
  </property>
  <property fmtid="{D5CDD505-2E9C-101B-9397-08002B2CF9AE}" pid="13" name="DATE">
    <vt:lpwstr>20180213</vt:lpwstr>
  </property>
  <property fmtid="{D5CDD505-2E9C-101B-9397-08002B2CF9AE}" pid="14" name="TYPE_N_DATE">
    <vt:lpwstr>38020180213</vt:lpwstr>
  </property>
  <property fmtid="{D5CDD505-2E9C-101B-9397-08002B2CF9AE}" pid="15" name="CASESLISTTMP1">
    <vt:lpwstr>20356752;6246310;5772368;5780459</vt:lpwstr>
  </property>
  <property fmtid="{D5CDD505-2E9C-101B-9397-08002B2CF9AE}" pid="16" name="WORDNUMPAGES">
    <vt:lpwstr>6</vt:lpwstr>
  </property>
  <property fmtid="{D5CDD505-2E9C-101B-9397-08002B2CF9AE}" pid="17" name="TYPE_ABS_DATE">
    <vt:lpwstr>380020180213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vt:lpwstr>
  </property>
  <property fmtid="{D5CDD505-2E9C-101B-9397-08002B2CF9AE}" pid="37" name="LAWLISTTMP2">
    <vt:lpwstr>70301/025</vt:lpwstr>
  </property>
</Properties>
</file>