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277C47" w:rsidRPr="00C5710D" w14:paraId="09625450" w14:textId="77777777" w:rsidTr="00E22A64">
        <w:trPr>
          <w:trHeight w:hRule="exact" w:val="418"/>
          <w:jc w:val="center"/>
        </w:trPr>
        <w:tc>
          <w:tcPr>
            <w:tcW w:w="8721" w:type="dxa"/>
            <w:gridSpan w:val="2"/>
          </w:tcPr>
          <w:p w14:paraId="6158091C" w14:textId="77777777" w:rsidR="00277C47" w:rsidRPr="00C5710D" w:rsidRDefault="00277C47" w:rsidP="00B936E7">
            <w:pPr>
              <w:pStyle w:val="a3"/>
              <w:jc w:val="center"/>
              <w:rPr>
                <w:rFonts w:ascii="Tahoma" w:hAnsi="Tahoma" w:cs="Tahoma"/>
                <w:color w:val="000080"/>
                <w:rtl/>
              </w:rPr>
            </w:pPr>
            <w:bookmarkStart w:id="0" w:name="LastJudge"/>
            <w:r w:rsidRPr="00C5710D">
              <w:rPr>
                <w:rFonts w:ascii="Tahoma" w:hAnsi="Tahoma" w:cs="Tahoma"/>
                <w:b/>
                <w:bCs/>
                <w:color w:val="000080"/>
                <w:rtl/>
              </w:rPr>
              <w:t>בית משפט השלום בירושלים</w:t>
            </w:r>
          </w:p>
        </w:tc>
      </w:tr>
      <w:tr w:rsidR="00277C47" w:rsidRPr="00C5710D" w14:paraId="65B5AB62" w14:textId="77777777" w:rsidTr="00E22A64">
        <w:trPr>
          <w:trHeight w:val="337"/>
          <w:jc w:val="center"/>
        </w:trPr>
        <w:tc>
          <w:tcPr>
            <w:tcW w:w="5058" w:type="dxa"/>
          </w:tcPr>
          <w:p w14:paraId="1C492C13" w14:textId="77777777" w:rsidR="00277C47" w:rsidRPr="00C5710D" w:rsidRDefault="00277C47" w:rsidP="00B936E7">
            <w:pPr>
              <w:rPr>
                <w:rFonts w:cs="FrankRuehl"/>
                <w:sz w:val="28"/>
                <w:szCs w:val="28"/>
                <w:rtl/>
              </w:rPr>
            </w:pPr>
            <w:r w:rsidRPr="00C5710D">
              <w:rPr>
                <w:rFonts w:cs="FrankRuehl"/>
                <w:sz w:val="28"/>
                <w:szCs w:val="28"/>
                <w:rtl/>
              </w:rPr>
              <w:t>ת"פ</w:t>
            </w:r>
            <w:r w:rsidRPr="00C5710D">
              <w:rPr>
                <w:rFonts w:cs="FrankRuehl" w:hint="cs"/>
                <w:sz w:val="28"/>
                <w:szCs w:val="28"/>
                <w:rtl/>
              </w:rPr>
              <w:t xml:space="preserve"> </w:t>
            </w:r>
            <w:r w:rsidRPr="00C5710D">
              <w:rPr>
                <w:rFonts w:cs="FrankRuehl"/>
                <w:sz w:val="28"/>
                <w:szCs w:val="28"/>
                <w:rtl/>
              </w:rPr>
              <w:t>53049-03-16</w:t>
            </w:r>
            <w:r w:rsidRPr="00C5710D">
              <w:rPr>
                <w:rFonts w:cs="FrankRuehl" w:hint="cs"/>
                <w:sz w:val="28"/>
                <w:szCs w:val="28"/>
                <w:rtl/>
              </w:rPr>
              <w:t xml:space="preserve"> </w:t>
            </w:r>
            <w:r w:rsidRPr="00C5710D">
              <w:rPr>
                <w:rFonts w:cs="FrankRuehl"/>
                <w:sz w:val="28"/>
                <w:szCs w:val="28"/>
                <w:rtl/>
              </w:rPr>
              <w:t>מדינת ישראל נ' טובול(אחר/נוסף)</w:t>
            </w:r>
          </w:p>
          <w:p w14:paraId="3E2C926B" w14:textId="77777777" w:rsidR="00277C47" w:rsidRPr="00C5710D" w:rsidRDefault="00277C47" w:rsidP="00B936E7">
            <w:pPr>
              <w:pStyle w:val="a3"/>
              <w:rPr>
                <w:rFonts w:cs="FrankRuehl"/>
                <w:sz w:val="28"/>
                <w:szCs w:val="28"/>
                <w:rtl/>
              </w:rPr>
            </w:pPr>
          </w:p>
        </w:tc>
        <w:tc>
          <w:tcPr>
            <w:tcW w:w="3663" w:type="dxa"/>
          </w:tcPr>
          <w:p w14:paraId="4EF9F194" w14:textId="77777777" w:rsidR="00277C47" w:rsidRPr="00C5710D" w:rsidRDefault="00277C47" w:rsidP="00B936E7">
            <w:pPr>
              <w:pStyle w:val="a3"/>
              <w:jc w:val="right"/>
              <w:rPr>
                <w:rFonts w:cs="FrankRuehl"/>
                <w:sz w:val="28"/>
                <w:szCs w:val="28"/>
                <w:rtl/>
              </w:rPr>
            </w:pPr>
            <w:r w:rsidRPr="00C5710D">
              <w:rPr>
                <w:rFonts w:cs="FrankRuehl" w:hint="cs"/>
                <w:sz w:val="28"/>
                <w:szCs w:val="28"/>
                <w:rtl/>
              </w:rPr>
              <w:t>19 יולי 2017</w:t>
            </w:r>
          </w:p>
        </w:tc>
      </w:tr>
      <w:tr w:rsidR="00277C47" w:rsidRPr="00C5710D" w14:paraId="59327844" w14:textId="77777777" w:rsidTr="00E22A64">
        <w:trPr>
          <w:trHeight w:val="337"/>
          <w:jc w:val="center"/>
        </w:trPr>
        <w:tc>
          <w:tcPr>
            <w:tcW w:w="5058" w:type="dxa"/>
          </w:tcPr>
          <w:p w14:paraId="057CA8AB" w14:textId="77777777" w:rsidR="00277C47" w:rsidRPr="00C5710D" w:rsidRDefault="00277C47" w:rsidP="00B936E7">
            <w:pPr>
              <w:rPr>
                <w:rtl/>
              </w:rPr>
            </w:pPr>
            <w:r w:rsidRPr="00C5710D">
              <w:rPr>
                <w:rFonts w:ascii="Arial" w:hAnsi="Arial" w:cs="FrankRuehl" w:hint="cs"/>
                <w:sz w:val="28"/>
                <w:szCs w:val="28"/>
                <w:rtl/>
              </w:rPr>
              <w:t>ב</w:t>
            </w:r>
            <w:r w:rsidRPr="00C5710D">
              <w:rPr>
                <w:rFonts w:ascii="Arial" w:hAnsi="Arial" w:cs="FrankRuehl"/>
                <w:sz w:val="28"/>
                <w:szCs w:val="28"/>
                <w:rtl/>
              </w:rPr>
              <w:t xml:space="preserve">פני </w:t>
            </w:r>
            <w:r w:rsidRPr="00C5710D">
              <w:rPr>
                <w:rFonts w:ascii="Arial" w:hAnsi="Arial" w:cs="FrankRuehl" w:hint="cs"/>
                <w:sz w:val="28"/>
                <w:szCs w:val="28"/>
                <w:rtl/>
              </w:rPr>
              <w:t>כב' השופט יצחק שמעוני</w:t>
            </w:r>
          </w:p>
        </w:tc>
        <w:tc>
          <w:tcPr>
            <w:tcW w:w="3663" w:type="dxa"/>
          </w:tcPr>
          <w:p w14:paraId="1A5F6856" w14:textId="77777777" w:rsidR="00277C47" w:rsidRPr="00C5710D" w:rsidRDefault="00277C47" w:rsidP="00B936E7">
            <w:pPr>
              <w:pStyle w:val="a3"/>
              <w:jc w:val="right"/>
              <w:rPr>
                <w:rtl/>
              </w:rPr>
            </w:pPr>
          </w:p>
        </w:tc>
      </w:tr>
    </w:tbl>
    <w:p w14:paraId="003CBE6B" w14:textId="77777777" w:rsidR="00277C47" w:rsidRPr="00C5710D" w:rsidRDefault="00277C47" w:rsidP="00277C47">
      <w:pPr>
        <w:pStyle w:val="a3"/>
        <w:rPr>
          <w:rtl/>
        </w:rPr>
      </w:pPr>
      <w:r w:rsidRPr="00C5710D">
        <w:rPr>
          <w:rFonts w:hint="cs"/>
          <w:rtl/>
        </w:rPr>
        <w:t xml:space="preserve"> </w:t>
      </w:r>
    </w:p>
    <w:p w14:paraId="3561D00F" w14:textId="77777777" w:rsidR="00277C47" w:rsidRPr="00C5710D" w:rsidRDefault="00277C47" w:rsidP="00277C47">
      <w:pPr>
        <w:pStyle w:val="a3"/>
      </w:pPr>
      <w:r w:rsidRPr="00C5710D">
        <w:rPr>
          <w:rFonts w:cs="Times New Roman" w:hint="cs"/>
          <w:b/>
          <w:bCs/>
          <w:sz w:val="26"/>
          <w:szCs w:val="28"/>
          <w:rtl/>
        </w:rPr>
        <w:t xml:space="preserve"> </w:t>
      </w:r>
    </w:p>
    <w:p w14:paraId="0477AA58" w14:textId="77777777" w:rsidR="00277C47" w:rsidRPr="00C5710D" w:rsidRDefault="00277C47" w:rsidP="00277C4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77C47" w:rsidRPr="00C5710D" w14:paraId="39E81AEA" w14:textId="77777777" w:rsidTr="00277C47">
        <w:trPr>
          <w:trHeight w:val="355"/>
          <w:jc w:val="center"/>
        </w:trPr>
        <w:tc>
          <w:tcPr>
            <w:tcW w:w="923" w:type="dxa"/>
            <w:tcBorders>
              <w:top w:val="nil"/>
              <w:left w:val="nil"/>
              <w:bottom w:val="nil"/>
              <w:right w:val="nil"/>
            </w:tcBorders>
            <w:shd w:val="clear" w:color="auto" w:fill="auto"/>
          </w:tcPr>
          <w:p w14:paraId="7DCE9A20" w14:textId="77777777" w:rsidR="00277C47" w:rsidRPr="00C5710D" w:rsidRDefault="00277C47" w:rsidP="00277C47">
            <w:pPr>
              <w:jc w:val="both"/>
              <w:rPr>
                <w:rFonts w:ascii="Arial" w:hAnsi="Arial" w:cs="FrankRuehl"/>
                <w:sz w:val="28"/>
                <w:szCs w:val="28"/>
              </w:rPr>
            </w:pPr>
            <w:bookmarkStart w:id="1" w:name="FirstAppellant"/>
          </w:p>
          <w:p w14:paraId="79FBCB9C" w14:textId="77777777" w:rsidR="00277C47" w:rsidRPr="00C5710D" w:rsidRDefault="00277C47" w:rsidP="00277C47">
            <w:pPr>
              <w:jc w:val="both"/>
              <w:rPr>
                <w:rFonts w:ascii="Arial" w:hAnsi="Arial" w:cs="FrankRuehl"/>
                <w:sz w:val="28"/>
                <w:szCs w:val="28"/>
              </w:rPr>
            </w:pPr>
            <w:r w:rsidRPr="00C5710D">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4BBF27F7" w14:textId="77777777" w:rsidR="00277C47" w:rsidRPr="00C5710D" w:rsidRDefault="00277C47" w:rsidP="00277C47">
            <w:pPr>
              <w:jc w:val="both"/>
              <w:rPr>
                <w:rFonts w:ascii="Arial" w:hAnsi="Arial" w:cs="FrankRuehl"/>
                <w:sz w:val="28"/>
                <w:szCs w:val="28"/>
                <w:rtl/>
              </w:rPr>
            </w:pPr>
          </w:p>
          <w:p w14:paraId="7F6D1827" w14:textId="77777777" w:rsidR="00277C47" w:rsidRPr="00C5710D" w:rsidRDefault="00277C47" w:rsidP="00B936E7">
            <w:r w:rsidRPr="00C5710D">
              <w:rPr>
                <w:rFonts w:ascii="Arial" w:hAnsi="Arial" w:cs="FrankRuehl"/>
                <w:sz w:val="28"/>
                <w:szCs w:val="28"/>
                <w:rtl/>
              </w:rPr>
              <w:t>מדינת ישראל</w:t>
            </w:r>
            <w:r w:rsidRPr="00C5710D">
              <w:rPr>
                <w:rFonts w:ascii="Arial" w:hAnsi="Arial" w:cs="FrankRuehl"/>
                <w:sz w:val="28"/>
                <w:szCs w:val="28"/>
                <w:rtl/>
              </w:rPr>
              <w:br/>
            </w:r>
            <w:r w:rsidRPr="00C5710D">
              <w:rPr>
                <w:rFonts w:hint="cs"/>
                <w:rtl/>
              </w:rPr>
              <w:t>ע"י ענף תביעות משטרת ישראל</w:t>
            </w:r>
          </w:p>
        </w:tc>
        <w:tc>
          <w:tcPr>
            <w:tcW w:w="3771" w:type="dxa"/>
            <w:tcBorders>
              <w:top w:val="nil"/>
              <w:left w:val="nil"/>
              <w:bottom w:val="nil"/>
              <w:right w:val="nil"/>
            </w:tcBorders>
            <w:shd w:val="clear" w:color="auto" w:fill="auto"/>
          </w:tcPr>
          <w:p w14:paraId="17447FD0" w14:textId="77777777" w:rsidR="00277C47" w:rsidRPr="00C5710D" w:rsidRDefault="00277C47" w:rsidP="00277C47">
            <w:pPr>
              <w:jc w:val="both"/>
              <w:rPr>
                <w:rFonts w:ascii="Arial" w:hAnsi="Arial" w:cs="FrankRuehl"/>
                <w:sz w:val="28"/>
                <w:szCs w:val="28"/>
              </w:rPr>
            </w:pPr>
          </w:p>
        </w:tc>
      </w:tr>
      <w:bookmarkEnd w:id="1"/>
      <w:tr w:rsidR="00277C47" w:rsidRPr="00C5710D" w14:paraId="0E674D5F" w14:textId="77777777" w:rsidTr="00277C47">
        <w:trPr>
          <w:trHeight w:val="355"/>
          <w:jc w:val="center"/>
        </w:trPr>
        <w:tc>
          <w:tcPr>
            <w:tcW w:w="923" w:type="dxa"/>
            <w:tcBorders>
              <w:top w:val="nil"/>
              <w:left w:val="nil"/>
              <w:bottom w:val="nil"/>
              <w:right w:val="nil"/>
            </w:tcBorders>
            <w:shd w:val="clear" w:color="auto" w:fill="auto"/>
          </w:tcPr>
          <w:p w14:paraId="185D605F" w14:textId="77777777" w:rsidR="00277C47" w:rsidRPr="00C5710D" w:rsidRDefault="00277C47" w:rsidP="00277C4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146DC6D" w14:textId="77777777" w:rsidR="00277C47" w:rsidRPr="00C5710D" w:rsidRDefault="00277C47" w:rsidP="00277C47">
            <w:pPr>
              <w:jc w:val="both"/>
              <w:rPr>
                <w:rtl/>
              </w:rPr>
            </w:pPr>
          </w:p>
        </w:tc>
        <w:tc>
          <w:tcPr>
            <w:tcW w:w="3771" w:type="dxa"/>
            <w:tcBorders>
              <w:top w:val="nil"/>
              <w:left w:val="nil"/>
              <w:bottom w:val="nil"/>
              <w:right w:val="nil"/>
            </w:tcBorders>
            <w:shd w:val="clear" w:color="auto" w:fill="auto"/>
          </w:tcPr>
          <w:p w14:paraId="2683191E" w14:textId="77777777" w:rsidR="00277C47" w:rsidRPr="00C5710D" w:rsidRDefault="00277C47" w:rsidP="00277C47">
            <w:pPr>
              <w:jc w:val="right"/>
              <w:rPr>
                <w:rFonts w:ascii="Arial" w:hAnsi="Arial" w:cs="FrankRuehl"/>
                <w:sz w:val="28"/>
                <w:szCs w:val="28"/>
                <w:rtl/>
              </w:rPr>
            </w:pPr>
            <w:r w:rsidRPr="00C5710D">
              <w:rPr>
                <w:rFonts w:ascii="Arial" w:hAnsi="Arial" w:cs="FrankRuehl" w:hint="cs"/>
                <w:sz w:val="28"/>
                <w:szCs w:val="28"/>
                <w:rtl/>
              </w:rPr>
              <w:t>ה</w:t>
            </w:r>
            <w:r w:rsidRPr="00C5710D">
              <w:rPr>
                <w:rFonts w:ascii="Arial" w:hAnsi="Arial" w:cs="FrankRuehl"/>
                <w:sz w:val="28"/>
                <w:szCs w:val="28"/>
                <w:rtl/>
              </w:rPr>
              <w:t>מאשימה</w:t>
            </w:r>
          </w:p>
        </w:tc>
      </w:tr>
      <w:tr w:rsidR="00277C47" w:rsidRPr="00C5710D" w14:paraId="0E987166" w14:textId="77777777" w:rsidTr="00277C47">
        <w:trPr>
          <w:trHeight w:val="355"/>
          <w:jc w:val="center"/>
        </w:trPr>
        <w:tc>
          <w:tcPr>
            <w:tcW w:w="923" w:type="dxa"/>
            <w:tcBorders>
              <w:top w:val="nil"/>
              <w:left w:val="nil"/>
              <w:bottom w:val="nil"/>
              <w:right w:val="nil"/>
            </w:tcBorders>
            <w:shd w:val="clear" w:color="auto" w:fill="auto"/>
          </w:tcPr>
          <w:p w14:paraId="2C0FF534" w14:textId="77777777" w:rsidR="00277C47" w:rsidRPr="00C5710D" w:rsidRDefault="00277C47" w:rsidP="00277C47">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B3E8E80" w14:textId="77777777" w:rsidR="00277C47" w:rsidRPr="00C5710D" w:rsidRDefault="00277C47" w:rsidP="00277C47">
            <w:pPr>
              <w:jc w:val="center"/>
              <w:rPr>
                <w:rFonts w:ascii="Arial" w:hAnsi="Arial" w:cs="FrankRuehl"/>
                <w:b/>
                <w:bCs/>
                <w:sz w:val="28"/>
                <w:szCs w:val="28"/>
                <w:rtl/>
              </w:rPr>
            </w:pPr>
          </w:p>
          <w:p w14:paraId="29EDB0B3" w14:textId="77777777" w:rsidR="00277C47" w:rsidRPr="00C5710D" w:rsidRDefault="00277C47" w:rsidP="00277C47">
            <w:pPr>
              <w:jc w:val="center"/>
              <w:rPr>
                <w:rFonts w:ascii="Arial" w:hAnsi="Arial" w:cs="FrankRuehl"/>
                <w:b/>
                <w:bCs/>
                <w:sz w:val="28"/>
                <w:szCs w:val="28"/>
                <w:rtl/>
              </w:rPr>
            </w:pPr>
            <w:r w:rsidRPr="00C5710D">
              <w:rPr>
                <w:rFonts w:ascii="Arial" w:hAnsi="Arial" w:cs="FrankRuehl"/>
                <w:b/>
                <w:bCs/>
                <w:sz w:val="28"/>
                <w:szCs w:val="28"/>
                <w:rtl/>
              </w:rPr>
              <w:t>נגד</w:t>
            </w:r>
          </w:p>
          <w:p w14:paraId="1EA08198" w14:textId="77777777" w:rsidR="00277C47" w:rsidRPr="00C5710D" w:rsidRDefault="00277C47" w:rsidP="00277C47">
            <w:pPr>
              <w:jc w:val="both"/>
              <w:rPr>
                <w:rFonts w:ascii="Arial" w:hAnsi="Arial" w:cs="FrankRuehl"/>
                <w:sz w:val="28"/>
                <w:szCs w:val="28"/>
              </w:rPr>
            </w:pPr>
          </w:p>
        </w:tc>
      </w:tr>
      <w:tr w:rsidR="00277C47" w:rsidRPr="00C5710D" w14:paraId="0ECE6194" w14:textId="77777777" w:rsidTr="00277C47">
        <w:trPr>
          <w:trHeight w:val="355"/>
          <w:jc w:val="center"/>
        </w:trPr>
        <w:tc>
          <w:tcPr>
            <w:tcW w:w="923" w:type="dxa"/>
            <w:tcBorders>
              <w:top w:val="nil"/>
              <w:left w:val="nil"/>
              <w:bottom w:val="nil"/>
              <w:right w:val="nil"/>
            </w:tcBorders>
            <w:shd w:val="clear" w:color="auto" w:fill="auto"/>
          </w:tcPr>
          <w:p w14:paraId="09430CFB" w14:textId="77777777" w:rsidR="00277C47" w:rsidRPr="00C5710D" w:rsidRDefault="00277C47" w:rsidP="00277C47">
            <w:pPr>
              <w:jc w:val="both"/>
              <w:rPr>
                <w:rFonts w:ascii="Arial" w:hAnsi="Arial" w:cs="FrankRuehl"/>
                <w:sz w:val="28"/>
                <w:szCs w:val="28"/>
                <w:rtl/>
              </w:rPr>
            </w:pPr>
            <w:bookmarkStart w:id="2" w:name="FirstLawyer"/>
          </w:p>
        </w:tc>
        <w:tc>
          <w:tcPr>
            <w:tcW w:w="4126" w:type="dxa"/>
            <w:tcBorders>
              <w:top w:val="nil"/>
              <w:left w:val="nil"/>
              <w:bottom w:val="nil"/>
              <w:right w:val="nil"/>
            </w:tcBorders>
            <w:shd w:val="clear" w:color="auto" w:fill="auto"/>
          </w:tcPr>
          <w:p w14:paraId="6C55B220" w14:textId="77777777" w:rsidR="00277C47" w:rsidRPr="00C5710D" w:rsidRDefault="00277C47" w:rsidP="00277C47">
            <w:pPr>
              <w:jc w:val="both"/>
              <w:rPr>
                <w:rtl/>
              </w:rPr>
            </w:pPr>
            <w:r w:rsidRPr="00C5710D">
              <w:rPr>
                <w:rFonts w:ascii="Arial" w:hAnsi="Arial" w:cs="FrankRuehl"/>
                <w:sz w:val="28"/>
                <w:szCs w:val="28"/>
                <w:rtl/>
              </w:rPr>
              <w:t>שמעון ינון טובו</w:t>
            </w:r>
            <w:r w:rsidRPr="00C5710D">
              <w:rPr>
                <w:rFonts w:ascii="Arial" w:hAnsi="Arial" w:cs="FrankRuehl" w:hint="cs"/>
                <w:sz w:val="28"/>
                <w:szCs w:val="28"/>
                <w:rtl/>
              </w:rPr>
              <w:t>ל</w:t>
            </w:r>
          </w:p>
          <w:p w14:paraId="2E9F77A1" w14:textId="77777777" w:rsidR="00277C47" w:rsidRPr="00C5710D" w:rsidRDefault="00277C47" w:rsidP="00277C47">
            <w:pPr>
              <w:jc w:val="both"/>
              <w:rPr>
                <w:rtl/>
              </w:rPr>
            </w:pPr>
            <w:r w:rsidRPr="00C5710D">
              <w:rPr>
                <w:rFonts w:hint="cs"/>
                <w:rtl/>
              </w:rPr>
              <w:t>ע"י ב"כ עו"ד גבריאל טרונישווילי</w:t>
            </w:r>
          </w:p>
        </w:tc>
        <w:tc>
          <w:tcPr>
            <w:tcW w:w="3771" w:type="dxa"/>
            <w:tcBorders>
              <w:top w:val="nil"/>
              <w:left w:val="nil"/>
              <w:bottom w:val="nil"/>
              <w:right w:val="nil"/>
            </w:tcBorders>
            <w:shd w:val="clear" w:color="auto" w:fill="auto"/>
          </w:tcPr>
          <w:p w14:paraId="36BD14A9" w14:textId="77777777" w:rsidR="00277C47" w:rsidRPr="00C5710D" w:rsidRDefault="00277C47" w:rsidP="00277C47">
            <w:pPr>
              <w:jc w:val="right"/>
              <w:rPr>
                <w:rFonts w:ascii="Arial" w:hAnsi="Arial" w:cs="FrankRuehl"/>
                <w:sz w:val="28"/>
                <w:szCs w:val="28"/>
              </w:rPr>
            </w:pPr>
          </w:p>
        </w:tc>
      </w:tr>
      <w:bookmarkEnd w:id="2"/>
      <w:tr w:rsidR="00277C47" w:rsidRPr="00C5710D" w14:paraId="429E10A3" w14:textId="77777777" w:rsidTr="00277C47">
        <w:trPr>
          <w:trHeight w:val="355"/>
          <w:jc w:val="center"/>
        </w:trPr>
        <w:tc>
          <w:tcPr>
            <w:tcW w:w="923" w:type="dxa"/>
            <w:tcBorders>
              <w:top w:val="nil"/>
              <w:left w:val="nil"/>
              <w:bottom w:val="nil"/>
              <w:right w:val="nil"/>
            </w:tcBorders>
            <w:shd w:val="clear" w:color="auto" w:fill="auto"/>
          </w:tcPr>
          <w:p w14:paraId="1E821780" w14:textId="77777777" w:rsidR="00277C47" w:rsidRPr="00C5710D" w:rsidRDefault="00277C47" w:rsidP="00277C4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FCC4DD5" w14:textId="77777777" w:rsidR="00277C47" w:rsidRPr="00C5710D" w:rsidRDefault="00277C47" w:rsidP="00277C47">
            <w:pPr>
              <w:jc w:val="both"/>
              <w:rPr>
                <w:rtl/>
              </w:rPr>
            </w:pPr>
          </w:p>
        </w:tc>
        <w:tc>
          <w:tcPr>
            <w:tcW w:w="3771" w:type="dxa"/>
            <w:tcBorders>
              <w:top w:val="nil"/>
              <w:left w:val="nil"/>
              <w:bottom w:val="nil"/>
              <w:right w:val="nil"/>
            </w:tcBorders>
            <w:shd w:val="clear" w:color="auto" w:fill="auto"/>
          </w:tcPr>
          <w:p w14:paraId="5BD2D764" w14:textId="77777777" w:rsidR="00277C47" w:rsidRPr="00C5710D" w:rsidRDefault="00277C47" w:rsidP="00277C47">
            <w:pPr>
              <w:jc w:val="right"/>
              <w:rPr>
                <w:rFonts w:ascii="Arial" w:hAnsi="Arial" w:cs="FrankRuehl"/>
                <w:sz w:val="28"/>
                <w:szCs w:val="28"/>
              </w:rPr>
            </w:pPr>
            <w:r w:rsidRPr="00C5710D">
              <w:rPr>
                <w:rFonts w:ascii="Arial" w:hAnsi="Arial" w:cs="FrankRuehl" w:hint="cs"/>
                <w:sz w:val="28"/>
                <w:szCs w:val="28"/>
                <w:rtl/>
              </w:rPr>
              <w:t>ה</w:t>
            </w:r>
            <w:r w:rsidRPr="00C5710D">
              <w:rPr>
                <w:rFonts w:ascii="Arial" w:hAnsi="Arial" w:cs="FrankRuehl"/>
                <w:sz w:val="28"/>
                <w:szCs w:val="28"/>
                <w:rtl/>
              </w:rPr>
              <w:t>נאשם</w:t>
            </w:r>
          </w:p>
        </w:tc>
      </w:tr>
    </w:tbl>
    <w:p w14:paraId="44F119FA" w14:textId="77777777" w:rsidR="00277C47" w:rsidRPr="00C5710D" w:rsidRDefault="00277C47" w:rsidP="00277C47"/>
    <w:p w14:paraId="707E60B6" w14:textId="77777777" w:rsidR="00E22A64" w:rsidRDefault="00E22A64" w:rsidP="00277C47">
      <w:pPr>
        <w:rPr>
          <w:rtl/>
        </w:rPr>
      </w:pPr>
      <w:bookmarkStart w:id="3" w:name="LawTable"/>
      <w:bookmarkEnd w:id="3"/>
    </w:p>
    <w:p w14:paraId="3B511E9A" w14:textId="77777777" w:rsidR="00E22A64" w:rsidRPr="00E22A64" w:rsidRDefault="00E22A64" w:rsidP="00E22A64">
      <w:pPr>
        <w:spacing w:after="120" w:line="240" w:lineRule="exact"/>
        <w:ind w:left="283" w:hanging="283"/>
        <w:jc w:val="both"/>
        <w:rPr>
          <w:rFonts w:ascii="FrankRuehl" w:hAnsi="FrankRuehl" w:cs="FrankRuehl"/>
          <w:rtl/>
        </w:rPr>
      </w:pPr>
    </w:p>
    <w:p w14:paraId="320FD6C8" w14:textId="77777777" w:rsidR="00E22A64" w:rsidRPr="00E22A64" w:rsidRDefault="00E22A64" w:rsidP="00E22A64">
      <w:pPr>
        <w:spacing w:after="120" w:line="240" w:lineRule="exact"/>
        <w:ind w:left="283" w:hanging="283"/>
        <w:jc w:val="both"/>
        <w:rPr>
          <w:rFonts w:ascii="FrankRuehl" w:hAnsi="FrankRuehl" w:cs="FrankRuehl"/>
          <w:rtl/>
        </w:rPr>
      </w:pPr>
      <w:r w:rsidRPr="00E22A64">
        <w:rPr>
          <w:rFonts w:ascii="FrankRuehl" w:hAnsi="FrankRuehl" w:cs="FrankRuehl"/>
          <w:rtl/>
        </w:rPr>
        <w:t xml:space="preserve">חקיקה שאוזכרה: </w:t>
      </w:r>
    </w:p>
    <w:p w14:paraId="24AF9285" w14:textId="77777777" w:rsidR="00E22A64" w:rsidRPr="00E22A64" w:rsidRDefault="00E22A64" w:rsidP="00E22A64">
      <w:pPr>
        <w:spacing w:after="120" w:line="240" w:lineRule="exact"/>
        <w:ind w:left="283" w:hanging="283"/>
        <w:jc w:val="both"/>
        <w:rPr>
          <w:rFonts w:ascii="FrankRuehl" w:hAnsi="FrankRuehl" w:cs="FrankRuehl"/>
          <w:rtl/>
        </w:rPr>
      </w:pPr>
      <w:hyperlink r:id="rId6" w:history="1">
        <w:r w:rsidRPr="00E22A64">
          <w:rPr>
            <w:rFonts w:ascii="FrankRuehl" w:hAnsi="FrankRuehl" w:cs="FrankRuehl"/>
            <w:color w:val="0000FF"/>
            <w:u w:val="single"/>
            <w:rtl/>
          </w:rPr>
          <w:t>פקודת הסמים המסוכנים [נוסח חדש], תשל"ג-1973</w:t>
        </w:r>
      </w:hyperlink>
      <w:r w:rsidRPr="00E22A64">
        <w:rPr>
          <w:rFonts w:ascii="FrankRuehl" w:hAnsi="FrankRuehl" w:cs="FrankRuehl"/>
          <w:rtl/>
        </w:rPr>
        <w:t xml:space="preserve">: סע'  </w:t>
      </w:r>
      <w:hyperlink r:id="rId7" w:history="1">
        <w:r w:rsidRPr="00E22A64">
          <w:rPr>
            <w:rFonts w:ascii="FrankRuehl" w:hAnsi="FrankRuehl" w:cs="FrankRuehl"/>
            <w:color w:val="0000FF"/>
            <w:u w:val="single"/>
            <w:rtl/>
          </w:rPr>
          <w:t>13</w:t>
        </w:r>
      </w:hyperlink>
      <w:r w:rsidRPr="00E22A64">
        <w:rPr>
          <w:rFonts w:ascii="FrankRuehl" w:hAnsi="FrankRuehl" w:cs="FrankRuehl"/>
          <w:rtl/>
        </w:rPr>
        <w:t xml:space="preserve">, </w:t>
      </w:r>
      <w:hyperlink r:id="rId8" w:history="1">
        <w:r w:rsidRPr="00E22A64">
          <w:rPr>
            <w:rFonts w:ascii="FrankRuehl" w:hAnsi="FrankRuehl" w:cs="FrankRuehl"/>
            <w:color w:val="0000FF"/>
            <w:u w:val="single"/>
            <w:rtl/>
          </w:rPr>
          <w:t>19א</w:t>
        </w:r>
      </w:hyperlink>
    </w:p>
    <w:p w14:paraId="7E94C650" w14:textId="77777777" w:rsidR="00E22A64" w:rsidRPr="00E22A64" w:rsidRDefault="00E22A64" w:rsidP="00E22A64">
      <w:pPr>
        <w:spacing w:after="120" w:line="240" w:lineRule="exact"/>
        <w:ind w:left="283" w:hanging="283"/>
        <w:jc w:val="both"/>
        <w:rPr>
          <w:rFonts w:ascii="FrankRuehl" w:hAnsi="FrankRuehl" w:cs="FrankRuehl"/>
          <w:rtl/>
        </w:rPr>
      </w:pPr>
      <w:hyperlink r:id="rId9" w:history="1">
        <w:r w:rsidRPr="00E22A64">
          <w:rPr>
            <w:rFonts w:ascii="FrankRuehl" w:hAnsi="FrankRuehl" w:cs="FrankRuehl"/>
            <w:color w:val="0000FF"/>
            <w:u w:val="single"/>
            <w:rtl/>
          </w:rPr>
          <w:t>חוק העונשין, תשל"ז-1977</w:t>
        </w:r>
      </w:hyperlink>
      <w:r w:rsidRPr="00E22A64">
        <w:rPr>
          <w:rFonts w:ascii="FrankRuehl" w:hAnsi="FrankRuehl" w:cs="FrankRuehl"/>
          <w:rtl/>
        </w:rPr>
        <w:t xml:space="preserve">: סע'  </w:t>
      </w:r>
      <w:hyperlink r:id="rId10" w:history="1">
        <w:r w:rsidRPr="00E22A64">
          <w:rPr>
            <w:rFonts w:ascii="FrankRuehl" w:hAnsi="FrankRuehl" w:cs="FrankRuehl"/>
            <w:color w:val="0000FF"/>
            <w:u w:val="single"/>
            <w:rtl/>
          </w:rPr>
          <w:t>40ב</w:t>
        </w:r>
      </w:hyperlink>
      <w:r w:rsidRPr="00E22A64">
        <w:rPr>
          <w:rFonts w:ascii="FrankRuehl" w:hAnsi="FrankRuehl" w:cs="FrankRuehl"/>
          <w:rtl/>
        </w:rPr>
        <w:t xml:space="preserve">, </w:t>
      </w:r>
      <w:hyperlink r:id="rId11" w:history="1">
        <w:r w:rsidRPr="00E22A64">
          <w:rPr>
            <w:rFonts w:ascii="FrankRuehl" w:hAnsi="FrankRuehl" w:cs="FrankRuehl"/>
            <w:color w:val="0000FF"/>
            <w:u w:val="single"/>
            <w:rtl/>
          </w:rPr>
          <w:t>40ג</w:t>
        </w:r>
      </w:hyperlink>
      <w:r w:rsidRPr="00E22A64">
        <w:rPr>
          <w:rFonts w:ascii="FrankRuehl" w:hAnsi="FrankRuehl" w:cs="FrankRuehl"/>
          <w:rtl/>
        </w:rPr>
        <w:t xml:space="preserve">, </w:t>
      </w:r>
      <w:hyperlink r:id="rId12" w:history="1">
        <w:r w:rsidRPr="00E22A64">
          <w:rPr>
            <w:rFonts w:ascii="FrankRuehl" w:hAnsi="FrankRuehl" w:cs="FrankRuehl"/>
            <w:color w:val="0000FF"/>
            <w:u w:val="single"/>
            <w:rtl/>
          </w:rPr>
          <w:t>40ד'</w:t>
        </w:r>
      </w:hyperlink>
    </w:p>
    <w:p w14:paraId="2C88EEA3" w14:textId="77777777" w:rsidR="00E22A64" w:rsidRPr="00E22A64" w:rsidRDefault="00E22A64" w:rsidP="00E22A64">
      <w:pPr>
        <w:spacing w:after="120" w:line="240" w:lineRule="exact"/>
        <w:ind w:left="283" w:hanging="283"/>
        <w:jc w:val="both"/>
        <w:rPr>
          <w:rFonts w:ascii="FrankRuehl" w:hAnsi="FrankRuehl" w:cs="FrankRuehl"/>
          <w:rtl/>
        </w:rPr>
      </w:pPr>
    </w:p>
    <w:p w14:paraId="1C37BB8F" w14:textId="77777777" w:rsidR="00277C47" w:rsidRPr="00E22A64" w:rsidRDefault="00277C47" w:rsidP="00277C47">
      <w:bookmarkStart w:id="4" w:name="LawTable_End"/>
      <w:bookmarkEnd w:id="4"/>
    </w:p>
    <w:p w14:paraId="21231659" w14:textId="77777777" w:rsidR="00C5710D" w:rsidRPr="00C5710D" w:rsidRDefault="00C5710D" w:rsidP="00277C47">
      <w:pPr>
        <w:rPr>
          <w:rFonts w:ascii="Arial" w:hAnsi="Arial" w:cs="FrankRuehl"/>
          <w:sz w:val="28"/>
          <w:szCs w:val="28"/>
          <w:rtl/>
        </w:rPr>
      </w:pPr>
    </w:p>
    <w:p w14:paraId="5A1D0D0D" w14:textId="77777777" w:rsidR="00C5710D" w:rsidRPr="00C5710D" w:rsidRDefault="00C5710D" w:rsidP="00277C47">
      <w:pPr>
        <w:rPr>
          <w:rFonts w:ascii="Arial" w:hAnsi="Arial" w:cs="FrankRuehl"/>
          <w:sz w:val="28"/>
          <w:szCs w:val="28"/>
          <w:rtl/>
        </w:rPr>
      </w:pPr>
    </w:p>
    <w:p w14:paraId="278A98D2" w14:textId="77777777" w:rsidR="00277C47" w:rsidRPr="00C5710D" w:rsidRDefault="00277C47" w:rsidP="00277C47">
      <w:pPr>
        <w:rPr>
          <w:rFonts w:ascii="Arial" w:hAnsi="Arial" w:cs="FrankRuehl"/>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77C47" w14:paraId="7986DB85" w14:textId="77777777" w:rsidTr="00277C47">
        <w:trPr>
          <w:trHeight w:val="355"/>
          <w:jc w:val="center"/>
        </w:trPr>
        <w:tc>
          <w:tcPr>
            <w:tcW w:w="8820" w:type="dxa"/>
            <w:tcBorders>
              <w:top w:val="nil"/>
              <w:left w:val="nil"/>
              <w:bottom w:val="nil"/>
              <w:right w:val="nil"/>
            </w:tcBorders>
            <w:shd w:val="clear" w:color="auto" w:fill="auto"/>
          </w:tcPr>
          <w:p w14:paraId="0B1575C0" w14:textId="77777777" w:rsidR="00C5710D" w:rsidRPr="00C5710D" w:rsidRDefault="00C5710D" w:rsidP="00C5710D">
            <w:pPr>
              <w:jc w:val="center"/>
              <w:rPr>
                <w:rFonts w:ascii="Arial" w:hAnsi="Arial" w:cs="FrankRuehl"/>
                <w:b/>
                <w:bCs/>
                <w:sz w:val="32"/>
                <w:szCs w:val="32"/>
                <w:u w:val="single"/>
                <w:rtl/>
              </w:rPr>
            </w:pPr>
            <w:bookmarkStart w:id="5" w:name="PsakDin" w:colFirst="0" w:colLast="0"/>
            <w:bookmarkEnd w:id="0"/>
            <w:r w:rsidRPr="00C5710D">
              <w:rPr>
                <w:rFonts w:ascii="Arial" w:hAnsi="Arial" w:cs="FrankRuehl"/>
                <w:b/>
                <w:bCs/>
                <w:sz w:val="32"/>
                <w:szCs w:val="32"/>
                <w:u w:val="single"/>
                <w:rtl/>
              </w:rPr>
              <w:t>גזר דין</w:t>
            </w:r>
          </w:p>
          <w:p w14:paraId="515308D6" w14:textId="77777777" w:rsidR="00277C47" w:rsidRPr="00C5710D" w:rsidRDefault="00277C47" w:rsidP="00C5710D">
            <w:pPr>
              <w:jc w:val="center"/>
              <w:rPr>
                <w:rFonts w:ascii="Arial" w:hAnsi="Arial" w:cs="FrankRuehl"/>
                <w:bCs/>
                <w:sz w:val="32"/>
                <w:szCs w:val="32"/>
                <w:u w:val="single"/>
                <w:rtl/>
              </w:rPr>
            </w:pPr>
          </w:p>
        </w:tc>
      </w:tr>
      <w:bookmarkEnd w:id="5"/>
    </w:tbl>
    <w:p w14:paraId="45A07F18" w14:textId="77777777" w:rsidR="00277C47" w:rsidRDefault="00277C47" w:rsidP="00277C47">
      <w:pPr>
        <w:rPr>
          <w:rFonts w:ascii="Arial" w:hAnsi="Arial" w:cs="FrankRuehl"/>
          <w:sz w:val="28"/>
          <w:szCs w:val="28"/>
          <w:rtl/>
        </w:rPr>
      </w:pPr>
    </w:p>
    <w:p w14:paraId="39388646" w14:textId="77777777" w:rsidR="00277C47" w:rsidRPr="00D84C30" w:rsidRDefault="00277C47" w:rsidP="00277C47">
      <w:pPr>
        <w:spacing w:line="360" w:lineRule="auto"/>
        <w:rPr>
          <w:rFonts w:ascii="Arial" w:hAnsi="Arial" w:cs="FrankRuehl"/>
          <w:b/>
          <w:bCs/>
          <w:sz w:val="28"/>
          <w:szCs w:val="28"/>
          <w:u w:val="single"/>
          <w:rtl/>
        </w:rPr>
      </w:pPr>
      <w:r w:rsidRPr="00D84C30">
        <w:rPr>
          <w:rFonts w:ascii="Arial" w:hAnsi="Arial" w:cs="FrankRuehl" w:hint="cs"/>
          <w:b/>
          <w:bCs/>
          <w:sz w:val="28"/>
          <w:szCs w:val="28"/>
          <w:u w:val="single"/>
          <w:rtl/>
        </w:rPr>
        <w:t>כתב האישום</w:t>
      </w:r>
    </w:p>
    <w:p w14:paraId="4883FB01" w14:textId="77777777" w:rsidR="00277C47" w:rsidRDefault="00277C47" w:rsidP="00277C47">
      <w:pPr>
        <w:spacing w:line="360" w:lineRule="auto"/>
        <w:ind w:left="720" w:hanging="720"/>
        <w:jc w:val="both"/>
        <w:rPr>
          <w:rFonts w:ascii="Arial" w:hAnsi="Arial" w:cs="FrankRuehl"/>
          <w:sz w:val="28"/>
          <w:szCs w:val="28"/>
          <w:rtl/>
        </w:rPr>
      </w:pPr>
      <w:r>
        <w:rPr>
          <w:rFonts w:ascii="Arial" w:hAnsi="Arial" w:cs="FrankRuehl" w:hint="cs"/>
          <w:sz w:val="28"/>
          <w:szCs w:val="28"/>
          <w:rtl/>
        </w:rPr>
        <w:t>1.</w:t>
      </w:r>
      <w:r>
        <w:rPr>
          <w:rFonts w:ascii="Arial" w:hAnsi="Arial" w:cs="FrankRuehl" w:hint="cs"/>
          <w:sz w:val="28"/>
          <w:szCs w:val="28"/>
          <w:rtl/>
        </w:rPr>
        <w:tab/>
      </w:r>
      <w:bookmarkStart w:id="6" w:name="ABSTRACT_START"/>
      <w:bookmarkEnd w:id="6"/>
      <w:r>
        <w:rPr>
          <w:rFonts w:ascii="Arial" w:hAnsi="Arial" w:cs="FrankRuehl" w:hint="cs"/>
          <w:sz w:val="28"/>
          <w:szCs w:val="28"/>
          <w:rtl/>
        </w:rPr>
        <w:t xml:space="preserve">הנאשם תושב עמנואל, יליד שנת 1996, הורשע על פי הודאתו בשתי עבירות של סחר בסם מסוכן לפי </w:t>
      </w:r>
      <w:hyperlink r:id="rId13" w:history="1">
        <w:r w:rsidR="00E22A64" w:rsidRPr="00E22A64">
          <w:rPr>
            <w:rFonts w:ascii="Arial" w:hAnsi="Arial" w:cs="FrankRuehl"/>
            <w:color w:val="0000FF"/>
            <w:sz w:val="28"/>
            <w:szCs w:val="28"/>
            <w:u w:val="single"/>
            <w:rtl/>
          </w:rPr>
          <w:t>סעיף 13</w:t>
        </w:r>
      </w:hyperlink>
      <w:r>
        <w:rPr>
          <w:rFonts w:ascii="Arial" w:hAnsi="Arial" w:cs="FrankRuehl" w:hint="cs"/>
          <w:sz w:val="28"/>
          <w:szCs w:val="28"/>
          <w:rtl/>
        </w:rPr>
        <w:t xml:space="preserve"> + </w:t>
      </w:r>
      <w:hyperlink r:id="rId14" w:history="1">
        <w:r w:rsidR="00E22A64" w:rsidRPr="00E22A64">
          <w:rPr>
            <w:rFonts w:ascii="Arial" w:hAnsi="Arial" w:cs="FrankRuehl"/>
            <w:color w:val="0000FF"/>
            <w:sz w:val="28"/>
            <w:szCs w:val="28"/>
            <w:u w:val="single"/>
            <w:rtl/>
          </w:rPr>
          <w:t>סעיף 19א</w:t>
        </w:r>
      </w:hyperlink>
      <w:r>
        <w:rPr>
          <w:rFonts w:ascii="Arial" w:hAnsi="Arial" w:cs="FrankRuehl" w:hint="cs"/>
          <w:sz w:val="28"/>
          <w:szCs w:val="28"/>
          <w:rtl/>
        </w:rPr>
        <w:t xml:space="preserve"> ל</w:t>
      </w:r>
      <w:hyperlink r:id="rId15" w:history="1">
        <w:r w:rsidR="00C5710D" w:rsidRPr="00C5710D">
          <w:rPr>
            <w:rFonts w:ascii="Arial" w:hAnsi="Arial" w:cs="FrankRuehl"/>
            <w:color w:val="0000FF"/>
            <w:sz w:val="28"/>
            <w:szCs w:val="28"/>
            <w:u w:val="single"/>
            <w:rtl/>
          </w:rPr>
          <w:t>פקודת הסמים המסוכנים</w:t>
        </w:r>
      </w:hyperlink>
      <w:r>
        <w:rPr>
          <w:rFonts w:ascii="Arial" w:hAnsi="Arial" w:cs="FrankRuehl" w:hint="cs"/>
          <w:sz w:val="28"/>
          <w:szCs w:val="28"/>
          <w:rtl/>
        </w:rPr>
        <w:t xml:space="preserve"> [נוסח חדש] תשל"ג- 1993. מכתב האישום עולה כי בשני מועדים שונים מכר הנאשם לסוכן משטרתי סם מסוג קנבוס במשקל 7.89 גרם תמורת סך של 800 ₪ ו- 9.79 גרם תמורת סך של 1,200 ₪. </w:t>
      </w:r>
    </w:p>
    <w:p w14:paraId="0A412B76" w14:textId="77777777" w:rsidR="00277C47" w:rsidRDefault="00277C47" w:rsidP="00277C47">
      <w:pPr>
        <w:spacing w:line="360" w:lineRule="auto"/>
        <w:ind w:left="720"/>
        <w:jc w:val="both"/>
        <w:rPr>
          <w:rFonts w:ascii="Arial" w:hAnsi="Arial" w:cs="FrankRuehl"/>
          <w:sz w:val="28"/>
          <w:szCs w:val="28"/>
          <w:rtl/>
        </w:rPr>
      </w:pPr>
      <w:r>
        <w:rPr>
          <w:rFonts w:ascii="Arial" w:hAnsi="Arial" w:cs="FrankRuehl" w:hint="cs"/>
          <w:sz w:val="28"/>
          <w:szCs w:val="28"/>
          <w:rtl/>
        </w:rPr>
        <w:t>הנאשם נשלח לשירות המבחן להכנת תסקיר ולממונה על עבודות שירות להכנת חוות דעת.</w:t>
      </w:r>
    </w:p>
    <w:p w14:paraId="012CF608" w14:textId="77777777" w:rsidR="00277C47" w:rsidRDefault="00277C47" w:rsidP="00277C47">
      <w:pPr>
        <w:spacing w:line="360" w:lineRule="auto"/>
        <w:jc w:val="both"/>
        <w:rPr>
          <w:rFonts w:ascii="Arial" w:hAnsi="Arial" w:cs="FrankRuehl"/>
          <w:sz w:val="28"/>
          <w:szCs w:val="28"/>
          <w:rtl/>
        </w:rPr>
      </w:pPr>
      <w:bookmarkStart w:id="7" w:name="ABSTRACT_END"/>
      <w:bookmarkEnd w:id="7"/>
    </w:p>
    <w:p w14:paraId="34E7522B" w14:textId="77777777" w:rsidR="00277C47" w:rsidRPr="001A3A56" w:rsidRDefault="00277C47" w:rsidP="00277C47">
      <w:pPr>
        <w:spacing w:line="360" w:lineRule="auto"/>
        <w:jc w:val="both"/>
        <w:rPr>
          <w:rFonts w:ascii="Arial" w:hAnsi="Arial" w:cs="FrankRuehl"/>
          <w:b/>
          <w:bCs/>
          <w:sz w:val="28"/>
          <w:szCs w:val="28"/>
          <w:u w:val="single"/>
          <w:rtl/>
        </w:rPr>
      </w:pPr>
      <w:r w:rsidRPr="001A3A56">
        <w:rPr>
          <w:rFonts w:ascii="Arial" w:hAnsi="Arial" w:cs="FrankRuehl" w:hint="cs"/>
          <w:b/>
          <w:bCs/>
          <w:sz w:val="28"/>
          <w:szCs w:val="28"/>
          <w:u w:val="single"/>
          <w:rtl/>
        </w:rPr>
        <w:t>תסקיר שירות המבחן</w:t>
      </w:r>
      <w:r>
        <w:rPr>
          <w:rFonts w:ascii="Arial" w:hAnsi="Arial" w:cs="FrankRuehl" w:hint="cs"/>
          <w:b/>
          <w:bCs/>
          <w:sz w:val="28"/>
          <w:szCs w:val="28"/>
          <w:u w:val="single"/>
          <w:rtl/>
        </w:rPr>
        <w:t xml:space="preserve"> וחוות דעת הממונה</w:t>
      </w:r>
    </w:p>
    <w:p w14:paraId="29481D7B" w14:textId="77777777" w:rsidR="00277C47" w:rsidRDefault="00277C47" w:rsidP="00277C47">
      <w:pPr>
        <w:spacing w:line="360" w:lineRule="auto"/>
        <w:ind w:left="720" w:hanging="720"/>
        <w:jc w:val="both"/>
        <w:rPr>
          <w:rFonts w:ascii="Arial" w:hAnsi="Arial" w:cs="FrankRuehl"/>
          <w:sz w:val="28"/>
          <w:szCs w:val="28"/>
          <w:rtl/>
        </w:rPr>
      </w:pPr>
      <w:r>
        <w:rPr>
          <w:rFonts w:ascii="Arial" w:hAnsi="Arial" w:cs="FrankRuehl" w:hint="cs"/>
          <w:sz w:val="28"/>
          <w:szCs w:val="28"/>
          <w:rtl/>
        </w:rPr>
        <w:lastRenderedPageBreak/>
        <w:t>2.</w:t>
      </w:r>
      <w:r>
        <w:rPr>
          <w:rFonts w:ascii="Arial" w:hAnsi="Arial" w:cs="FrankRuehl" w:hint="cs"/>
          <w:sz w:val="28"/>
          <w:szCs w:val="28"/>
          <w:rtl/>
        </w:rPr>
        <w:tab/>
        <w:t xml:space="preserve">שירות המבחן הכין בעניינו של הנאשם שלושה תסקירים: האחד מיום 5.10.2016, השני מיום 30.11.2016 והשלישי מיום 21.3.2017. בתסקיר הראשון מציינת קצינת המבחן כי מדובר בנאשם בן 21 המתגורר עם משפחתו בעמנואל ואינו מועסק באופן סדיר. הנאשם השלים 10 שנות לימוד ונשר מלימודיו על רקע משבר שחווה עקב מות אחיו באופן פתאומי. בהיותו בן 16 עבר להתגורר באוקראינה אצל אחיו ועבד בקהילה היהודית ובהמשך עבד כמתורגמן לתיירים ושב לירושלים שם עבד כמוכר בקיוסק המצוי בבעלותו של האח. הנאשם התגייס לצבא אולם שוחרר בשל אי התאמה על רקע מעורבותו בפלילים ועל רק המשברים המשפחתיים שחווה. קצינת המבחן מגוללת באריכות את מסכת חייו הקשה של הנאשם ובהמלצה באותו תסקיר מציינת קצינת המבחן כי קיימת נזקקות טיפולית ולפיכך הוצעו לנאשם אפשרויות שילוב בטיפול אך הוא שלל את הצורך, הן בתקופת פיקוח המעצר והן בתקופה הנוכחית. הנאשם מסר, כי מזה חודשים רבים נמנע משימוש בסמים ואף ביצע בדיקות שתן נקיות. לאור האמור בתסקיר, נדחה הדיון והוכנו כאמור שני תסקירים נוספים. בתסקיר מיום 30.11.2016, התרשמה קצינת המבחן מנאשם אשר חווה אובדנים במהלך חייו אשר נחוו בגיל צעיר ובאופן מפתיע ולהם השפעה על התפתחותו ועיצובו. צויין, כי השימוש בסם היווה עבור הנאשם אמצעי בלתי מותאם להתמודדות עם אירועי חייו שלא עובדו במידת הצורך. לפיכך העריך שירות המבחן כי קיימת נזקקות טיפולית למצבו. בהתאם לכך הוצעו לו אפשרויות לטיפול והנאשם הביע מודעות לקשיים והביע רצונו להמשיך בהתמודדות עצמאית ללא גורמי טיפול. הנאשם הופנה פעם נוספת לקצינת המבחן והביע נכונות להשתלב בטיפול בתחום בעיות שימוש בסמים והופנה ליחידה לטיפול בהתמכרויות באריאל. מדיווח עדכני שהתקבל מגורמי הטיפול נמסר, כי הנאשם נרשם ליחידה והתקיימו עמו מספר פגישות. מהתרשמות העובדת הסוציאלית המטפלת, הנאשם מצוי בתחילת הקשר הטיפולי והוא בעל יכולות להשתלב בהליך בהתאם למצב בו הוא נמצא. הנאשם משקיע מאמצים רבים בהשתלבות במסגרת הטיפול ובמעגל העבודה. בתסקיר השלישי מיום 21.3.2017 צוין, כי הנאשם נמצא מאז חודש נובמבמר 2016 במסגרת טיפולית ומסר בדיקות שתן נקיות. ניכרת התקדמות משמעותית בתהליך הטיפולי ומהתועלת שמפיק ממנה הנאשם. כמו כן, שולב הנאשם בקבוצה טיפולית המתקיימת במסגרתם ועוסקת בקשרים הבין אישיים. הנאשם פעיל במפגשי הקבוצה ומעורב בתהליך הטיפולי הקבוצתי. נוכח האמור, מתרשמת קצינת המבחן כי הנאשם מצוי בתהליך טיפולי שיקומי וכי ניכרת מחוייבותו לתהליך. לאור המוטיבציה והמחוייבות שהביע הנאשם ביחס להמשך תהליך השיקום, ממליץ שירות המבחן לאמץ את הפן השיקומי </w:t>
      </w:r>
      <w:r>
        <w:rPr>
          <w:rFonts w:ascii="Arial" w:hAnsi="Arial" w:cs="FrankRuehl"/>
          <w:sz w:val="28"/>
          <w:szCs w:val="28"/>
          <w:rtl/>
        </w:rPr>
        <w:t>–</w:t>
      </w:r>
      <w:r>
        <w:rPr>
          <w:rFonts w:ascii="Arial" w:hAnsi="Arial" w:cs="FrankRuehl" w:hint="cs"/>
          <w:sz w:val="28"/>
          <w:szCs w:val="28"/>
          <w:rtl/>
        </w:rPr>
        <w:t xml:space="preserve"> טיפולי במקרה זה, ועל כן ממליץ הוא על ענישה אשר תאפשר את המשך הטיפול והעמדתו בצו מבחן למשך שנה, זאת לצורך מעקב אחר המשך הטיפול במסגרת היחידה באריאל.</w:t>
      </w:r>
    </w:p>
    <w:p w14:paraId="4E9FBF34" w14:textId="77777777" w:rsidR="00277C47" w:rsidRDefault="00277C47" w:rsidP="00277C47">
      <w:pPr>
        <w:spacing w:line="360" w:lineRule="auto"/>
        <w:ind w:left="720" w:hanging="720"/>
        <w:jc w:val="both"/>
        <w:rPr>
          <w:rFonts w:ascii="Arial" w:hAnsi="Arial" w:cs="FrankRuehl"/>
          <w:sz w:val="28"/>
          <w:szCs w:val="28"/>
          <w:rtl/>
        </w:rPr>
      </w:pPr>
      <w:r>
        <w:rPr>
          <w:rFonts w:ascii="Arial" w:hAnsi="Arial" w:cs="FrankRuehl"/>
          <w:sz w:val="28"/>
          <w:szCs w:val="28"/>
          <w:rtl/>
        </w:rPr>
        <w:lastRenderedPageBreak/>
        <w:tab/>
      </w:r>
      <w:r>
        <w:rPr>
          <w:rFonts w:ascii="Arial" w:hAnsi="Arial" w:cs="FrankRuehl" w:hint="cs"/>
          <w:sz w:val="28"/>
          <w:szCs w:val="28"/>
          <w:rtl/>
        </w:rPr>
        <w:t>בחוות דעת הממונה על עבודות שירות מיום 21.6.2017 נמצא הנאשם כשיר לביצוע עבודות שירות במסגרת עיריית ראש העין.</w:t>
      </w:r>
    </w:p>
    <w:p w14:paraId="617702F8" w14:textId="77777777" w:rsidR="00277C47" w:rsidRDefault="00277C47" w:rsidP="00277C47">
      <w:pPr>
        <w:spacing w:line="360" w:lineRule="auto"/>
        <w:ind w:left="720" w:hanging="720"/>
        <w:jc w:val="both"/>
        <w:rPr>
          <w:rFonts w:ascii="Arial" w:hAnsi="Arial" w:cs="FrankRuehl"/>
          <w:sz w:val="28"/>
          <w:szCs w:val="28"/>
          <w:rtl/>
        </w:rPr>
      </w:pPr>
    </w:p>
    <w:p w14:paraId="2DB9DAC8" w14:textId="77777777" w:rsidR="00277C47" w:rsidRPr="00B76FCC" w:rsidRDefault="00277C47" w:rsidP="00277C47">
      <w:pPr>
        <w:spacing w:line="360" w:lineRule="auto"/>
        <w:ind w:left="720" w:hanging="720"/>
        <w:jc w:val="both"/>
        <w:rPr>
          <w:rFonts w:ascii="Arial" w:hAnsi="Arial" w:cs="FrankRuehl"/>
          <w:b/>
          <w:bCs/>
          <w:sz w:val="28"/>
          <w:szCs w:val="28"/>
          <w:u w:val="single"/>
          <w:rtl/>
        </w:rPr>
      </w:pPr>
      <w:r>
        <w:rPr>
          <w:rFonts w:ascii="Arial" w:hAnsi="Arial" w:cs="FrankRuehl"/>
          <w:sz w:val="28"/>
          <w:szCs w:val="28"/>
          <w:rtl/>
        </w:rPr>
        <w:tab/>
      </w:r>
      <w:r w:rsidRPr="00B76FCC">
        <w:rPr>
          <w:rFonts w:ascii="Arial" w:hAnsi="Arial" w:cs="FrankRuehl" w:hint="cs"/>
          <w:b/>
          <w:bCs/>
          <w:sz w:val="28"/>
          <w:szCs w:val="28"/>
          <w:u w:val="single"/>
          <w:rtl/>
        </w:rPr>
        <w:t>טיעוני ב"כ הצדדים</w:t>
      </w:r>
      <w:r>
        <w:rPr>
          <w:rFonts w:ascii="Arial" w:hAnsi="Arial" w:cs="FrankRuehl" w:hint="cs"/>
          <w:b/>
          <w:bCs/>
          <w:sz w:val="28"/>
          <w:szCs w:val="28"/>
          <w:u w:val="single"/>
          <w:rtl/>
        </w:rPr>
        <w:t xml:space="preserve"> לעונש</w:t>
      </w:r>
    </w:p>
    <w:p w14:paraId="4E0AF9B4" w14:textId="77777777" w:rsidR="00277C47" w:rsidRDefault="00277C47" w:rsidP="00277C47">
      <w:pPr>
        <w:spacing w:line="360" w:lineRule="auto"/>
        <w:ind w:left="720" w:hanging="720"/>
        <w:jc w:val="both"/>
        <w:rPr>
          <w:rFonts w:ascii="Arial" w:hAnsi="Arial" w:cs="FrankRuehl"/>
          <w:sz w:val="28"/>
          <w:szCs w:val="28"/>
          <w:rtl/>
        </w:rPr>
      </w:pPr>
      <w:r>
        <w:rPr>
          <w:rFonts w:ascii="Arial" w:hAnsi="Arial" w:cs="FrankRuehl" w:hint="cs"/>
          <w:sz w:val="28"/>
          <w:szCs w:val="28"/>
          <w:rtl/>
        </w:rPr>
        <w:t>3.</w:t>
      </w:r>
      <w:r>
        <w:rPr>
          <w:rFonts w:ascii="Arial" w:hAnsi="Arial" w:cs="FrankRuehl" w:hint="cs"/>
          <w:sz w:val="28"/>
          <w:szCs w:val="28"/>
          <w:rtl/>
        </w:rPr>
        <w:tab/>
        <w:t>ב"כ המאשימה בטיעוניה לעונש ציינה, כי לנאשם, אשר הורשע בשתי עבירות של סחר בסם מסוכן, אין הרשעות קודמות. ביצוע העבירות מלמד כי הנאשם מכר סם מסוכן לסוכן משטרתי, דבר המעיד על הנכונות לספק את הסם לסוכן והדבר מצביע על נגישותו לעולם הסמים. הנאשם מכר את הסמים עבור בצע כסף ובכך העדיף את תועלתו הכספית על האינטרס הציבורי. לטענתה, אין להקל ראש גם כשמדובר בסחר בסם מסוג קנבוס, סמים הנחשבים כקלים ותוצאתם על פני החברה קשות ובעיקר לצעירים. הלכה פסוקה היא כי ככל שהדברים נוגעים לעבירות בהן מורשע הנאשם, יש ליתן בכורה לשיקולי הרתעה וגמול על פני הנסיבות האישיות של הנאשם. לעניין זה הפנתה ב"כ המאשימה ל</w:t>
      </w:r>
      <w:hyperlink r:id="rId16" w:history="1">
        <w:r w:rsidR="00C5710D" w:rsidRPr="00C5710D">
          <w:rPr>
            <w:rFonts w:ascii="Arial" w:hAnsi="Arial" w:cs="FrankRuehl"/>
            <w:color w:val="0000FF"/>
            <w:sz w:val="28"/>
            <w:szCs w:val="28"/>
            <w:u w:val="single"/>
            <w:rtl/>
          </w:rPr>
          <w:t>ע"פ 746/86</w:t>
        </w:r>
      </w:hyperlink>
      <w:r>
        <w:rPr>
          <w:rFonts w:ascii="Arial" w:hAnsi="Arial" w:cs="FrankRuehl" w:hint="cs"/>
          <w:sz w:val="28"/>
          <w:szCs w:val="28"/>
          <w:rtl/>
        </w:rPr>
        <w:t xml:space="preserve">, </w:t>
      </w:r>
      <w:hyperlink r:id="rId17" w:history="1">
        <w:r w:rsidR="00C5710D" w:rsidRPr="00C5710D">
          <w:rPr>
            <w:rFonts w:ascii="Arial" w:hAnsi="Arial" w:cs="FrankRuehl"/>
            <w:color w:val="0000FF"/>
            <w:sz w:val="28"/>
            <w:szCs w:val="28"/>
            <w:u w:val="single"/>
            <w:rtl/>
          </w:rPr>
          <w:t>ע"פ 1149/05</w:t>
        </w:r>
      </w:hyperlink>
      <w:r w:rsidRPr="00CE5954">
        <w:rPr>
          <w:rFonts w:ascii="Arial" w:hAnsi="Arial" w:cs="FrankRuehl" w:hint="cs"/>
          <w:b/>
          <w:bCs/>
          <w:sz w:val="28"/>
          <w:szCs w:val="28"/>
          <w:rtl/>
        </w:rPr>
        <w:t xml:space="preserve"> </w:t>
      </w:r>
      <w:r>
        <w:rPr>
          <w:rFonts w:ascii="Arial" w:hAnsi="Arial" w:cs="FrankRuehl" w:hint="cs"/>
          <w:sz w:val="28"/>
          <w:szCs w:val="28"/>
          <w:rtl/>
        </w:rPr>
        <w:t>ו</w:t>
      </w:r>
      <w:hyperlink r:id="rId18" w:history="1">
        <w:r w:rsidR="00C5710D" w:rsidRPr="00C5710D">
          <w:rPr>
            <w:rFonts w:ascii="Arial" w:hAnsi="Arial" w:cs="FrankRuehl"/>
            <w:color w:val="0000FF"/>
            <w:sz w:val="28"/>
            <w:szCs w:val="28"/>
            <w:u w:val="single"/>
            <w:rtl/>
          </w:rPr>
          <w:t>ע"פ 966/04</w:t>
        </w:r>
      </w:hyperlink>
      <w:r w:rsidRPr="00CE5954">
        <w:rPr>
          <w:rFonts w:ascii="Arial" w:hAnsi="Arial" w:cs="FrankRuehl" w:hint="cs"/>
          <w:b/>
          <w:bCs/>
          <w:sz w:val="28"/>
          <w:szCs w:val="28"/>
          <w:rtl/>
        </w:rPr>
        <w:t>.</w:t>
      </w:r>
      <w:r>
        <w:rPr>
          <w:rFonts w:ascii="Arial" w:hAnsi="Arial" w:cs="FrankRuehl" w:hint="cs"/>
          <w:sz w:val="28"/>
          <w:szCs w:val="28"/>
          <w:rtl/>
        </w:rPr>
        <w:t xml:space="preserve"> לטענתה, הערכים המוגנים הם הגנה על חוסנה של החברה מפני הפגיעות בשימוש בסמים, הן לאוכלוסיית המשתמשים והן לציבור. בכללו המחוקק ראה בחומרה עבירות אלה וקבע עונש מירבי של 20 שנות מאסר. לעניין רף הענישה הנוהגת, הגישה ב"כ המאשימה את </w:t>
      </w:r>
      <w:hyperlink r:id="rId19" w:history="1">
        <w:r w:rsidR="00C5710D" w:rsidRPr="00C5710D">
          <w:rPr>
            <w:rFonts w:ascii="Arial" w:hAnsi="Arial" w:cs="FrankRuehl"/>
            <w:color w:val="0000FF"/>
            <w:sz w:val="28"/>
            <w:szCs w:val="28"/>
            <w:u w:val="single"/>
            <w:rtl/>
          </w:rPr>
          <w:t>רע"פ 7996/12</w:t>
        </w:r>
      </w:hyperlink>
      <w:r>
        <w:rPr>
          <w:rFonts w:ascii="Arial" w:hAnsi="Arial" w:cs="FrankRuehl" w:hint="cs"/>
          <w:sz w:val="28"/>
          <w:szCs w:val="28"/>
          <w:rtl/>
        </w:rPr>
        <w:t xml:space="preserve">, רע"פ </w:t>
      </w:r>
      <w:r w:rsidRPr="00CE5954">
        <w:rPr>
          <w:rFonts w:ascii="Arial" w:hAnsi="Arial" w:cs="FrankRuehl" w:hint="cs"/>
          <w:b/>
          <w:bCs/>
          <w:sz w:val="28"/>
          <w:szCs w:val="28"/>
          <w:rtl/>
        </w:rPr>
        <w:t>7878/02</w:t>
      </w:r>
      <w:r>
        <w:rPr>
          <w:rFonts w:ascii="Arial" w:hAnsi="Arial" w:cs="FrankRuehl" w:hint="cs"/>
          <w:sz w:val="28"/>
          <w:szCs w:val="28"/>
          <w:rtl/>
        </w:rPr>
        <w:t xml:space="preserve"> ו</w:t>
      </w:r>
      <w:hyperlink r:id="rId20" w:history="1">
        <w:r w:rsidR="00C5710D" w:rsidRPr="00C5710D">
          <w:rPr>
            <w:rFonts w:ascii="Arial" w:hAnsi="Arial" w:cs="FrankRuehl"/>
            <w:color w:val="0000FF"/>
            <w:sz w:val="28"/>
            <w:szCs w:val="28"/>
            <w:u w:val="single"/>
            <w:rtl/>
          </w:rPr>
          <w:t>רע"פ 677/07</w:t>
        </w:r>
      </w:hyperlink>
      <w:r>
        <w:rPr>
          <w:rFonts w:ascii="Arial" w:hAnsi="Arial" w:cs="FrankRuehl" w:hint="cs"/>
          <w:sz w:val="28"/>
          <w:szCs w:val="28"/>
          <w:rtl/>
        </w:rPr>
        <w:t>. לעניין המתחם נקבע על ידי המאשימה כי הוא נע בין 6 ל- 12 חודשים על כל עבירת סחר בנפרד. ב"כ המאשימה התייחסה לאמור בתסקירי שירות המבחן והשתלבותו של הנאשם בהליך הטיפולי, בו נמצא הנאשם נקי מכל שימוש בסם. לטענתה, הנאשם אינו משתמש בסמים אלא סוחר בהם לצורך רווח עצמי. לאור האמור, ככל שיש לנאשם נסיבות חיים מורכבות, הרי שהדבר אינו מהווה תירוץ לסחור ולמכור סמים ועל כן מבקשת היא למקמו ברף הנמוך של המתחם ולהטיל עליו עונש מאסר למשך 12 חודשים, מאסר על תנאי, קנס, פסילה בפועל ופסילה על תנאי.</w:t>
      </w:r>
    </w:p>
    <w:p w14:paraId="161A606F" w14:textId="77777777" w:rsidR="00277C47" w:rsidRDefault="00277C47" w:rsidP="00277C47">
      <w:pPr>
        <w:spacing w:line="360" w:lineRule="auto"/>
        <w:ind w:left="720" w:hanging="720"/>
        <w:jc w:val="both"/>
        <w:rPr>
          <w:rFonts w:ascii="Arial" w:hAnsi="Arial" w:cs="FrankRuehl"/>
          <w:sz w:val="28"/>
          <w:szCs w:val="28"/>
          <w:rtl/>
        </w:rPr>
      </w:pPr>
    </w:p>
    <w:p w14:paraId="0CF24756" w14:textId="77777777" w:rsidR="00277C47" w:rsidRDefault="00277C47" w:rsidP="00277C47">
      <w:pPr>
        <w:spacing w:line="360" w:lineRule="auto"/>
        <w:ind w:left="720" w:hanging="720"/>
        <w:jc w:val="both"/>
        <w:rPr>
          <w:rFonts w:ascii="Arial" w:hAnsi="Arial" w:cs="FrankRuehl"/>
          <w:sz w:val="28"/>
          <w:szCs w:val="28"/>
          <w:rtl/>
        </w:rPr>
      </w:pPr>
      <w:r>
        <w:rPr>
          <w:rFonts w:ascii="Arial" w:hAnsi="Arial" w:cs="FrankRuehl"/>
          <w:sz w:val="28"/>
          <w:szCs w:val="28"/>
          <w:rtl/>
        </w:rPr>
        <w:tab/>
      </w:r>
      <w:r>
        <w:rPr>
          <w:rFonts w:ascii="Arial" w:hAnsi="Arial" w:cs="FrankRuehl" w:hint="cs"/>
          <w:sz w:val="28"/>
          <w:szCs w:val="28"/>
          <w:rtl/>
        </w:rPr>
        <w:t xml:space="preserve">ב"כ הנאשם בפתח דבריו הביע תמיהה על טיעוני ב"כ המאשימה אשר מוחקת לחלוטין את קיומו של ההליך הטיפולי המשמעותי שעובר הנאשם מאז חודש נובמבר 2016. עוד הביע תמיהה כי אך לפני חודשים אחדים ניתן גזר דין על ידי כב' השופט ירון מינטקביץ' בת"פ             </w:t>
      </w:r>
      <w:r w:rsidRPr="00CE5954">
        <w:rPr>
          <w:rFonts w:ascii="Arial" w:hAnsi="Arial" w:cs="FrankRuehl" w:hint="cs"/>
          <w:b/>
          <w:bCs/>
          <w:sz w:val="28"/>
          <w:szCs w:val="28"/>
          <w:rtl/>
        </w:rPr>
        <w:t>66251-12-15</w:t>
      </w:r>
      <w:r>
        <w:rPr>
          <w:rFonts w:ascii="Arial" w:hAnsi="Arial" w:cs="FrankRuehl" w:hint="cs"/>
          <w:sz w:val="28"/>
          <w:szCs w:val="28"/>
          <w:rtl/>
        </w:rPr>
        <w:t>. באותו תיק הנאשם מכר סם לסוכן סמוי בנתונים חמורים יותר והוטלו על הנאשם 4 חודשי מאסר בעבודות שירות. באותו מקרה כמות הסם היתה גדולה ומשמעותית יותר ועל כן תמוה מדוע במקרה שלפנינו מבקשת המאשימה להשית על הנאשם עונש כה חמור בהתעלם מההליך הטיפולי אותו הוא עובר. לתמיכה בטיעוניו הגיש ב"כ הנאשם אסופה של פסקי דין בהם נגזרו על הנאשמים עונשים שאינם מחייבים ריצוי מאחורי סורג ובריח (</w:t>
      </w:r>
      <w:hyperlink r:id="rId21" w:history="1">
        <w:r w:rsidR="00C5710D" w:rsidRPr="00C5710D">
          <w:rPr>
            <w:rFonts w:ascii="Arial" w:hAnsi="Arial" w:cs="FrankRuehl"/>
            <w:color w:val="0000FF"/>
            <w:sz w:val="28"/>
            <w:szCs w:val="28"/>
            <w:u w:val="single"/>
            <w:rtl/>
          </w:rPr>
          <w:t>ת"פ (י-ם) 7350/08</w:t>
        </w:r>
      </w:hyperlink>
      <w:r>
        <w:rPr>
          <w:rFonts w:ascii="Arial" w:hAnsi="Arial" w:cs="FrankRuehl" w:hint="cs"/>
          <w:sz w:val="28"/>
          <w:szCs w:val="28"/>
          <w:rtl/>
        </w:rPr>
        <w:t xml:space="preserve">, </w:t>
      </w:r>
      <w:hyperlink r:id="rId22" w:history="1">
        <w:r w:rsidR="00C5710D" w:rsidRPr="00C5710D">
          <w:rPr>
            <w:rFonts w:ascii="Arial" w:hAnsi="Arial" w:cs="FrankRuehl"/>
            <w:color w:val="0000FF"/>
            <w:sz w:val="28"/>
            <w:szCs w:val="28"/>
            <w:u w:val="single"/>
            <w:rtl/>
          </w:rPr>
          <w:t>ת"פ (תל אביב) 9050-04-13</w:t>
        </w:r>
      </w:hyperlink>
      <w:r>
        <w:rPr>
          <w:rFonts w:ascii="Arial" w:hAnsi="Arial" w:cs="FrankRuehl" w:hint="cs"/>
          <w:sz w:val="28"/>
          <w:szCs w:val="28"/>
          <w:rtl/>
        </w:rPr>
        <w:t xml:space="preserve">, ת"פ (י-ם) </w:t>
      </w:r>
      <w:r w:rsidRPr="00CE5954">
        <w:rPr>
          <w:rFonts w:ascii="Arial" w:hAnsi="Arial" w:cs="FrankRuehl" w:hint="cs"/>
          <w:b/>
          <w:bCs/>
          <w:sz w:val="28"/>
          <w:szCs w:val="28"/>
          <w:rtl/>
        </w:rPr>
        <w:t>3298/07</w:t>
      </w:r>
      <w:r>
        <w:rPr>
          <w:rFonts w:ascii="Arial" w:hAnsi="Arial" w:cs="FrankRuehl" w:hint="cs"/>
          <w:sz w:val="28"/>
          <w:szCs w:val="28"/>
          <w:rtl/>
        </w:rPr>
        <w:t xml:space="preserve">, ת"פ         (י-ם) </w:t>
      </w:r>
      <w:r w:rsidRPr="00CE5954">
        <w:rPr>
          <w:rFonts w:ascii="Arial" w:hAnsi="Arial" w:cs="FrankRuehl" w:hint="cs"/>
          <w:b/>
          <w:bCs/>
          <w:sz w:val="28"/>
          <w:szCs w:val="28"/>
          <w:rtl/>
        </w:rPr>
        <w:t>1167/05</w:t>
      </w:r>
      <w:r>
        <w:rPr>
          <w:rFonts w:ascii="Arial" w:hAnsi="Arial" w:cs="FrankRuehl" w:hint="cs"/>
          <w:sz w:val="28"/>
          <w:szCs w:val="28"/>
          <w:rtl/>
        </w:rPr>
        <w:t xml:space="preserve">, ת"פ (חי') </w:t>
      </w:r>
      <w:r w:rsidRPr="00CE5954">
        <w:rPr>
          <w:rFonts w:ascii="Arial" w:hAnsi="Arial" w:cs="FrankRuehl" w:hint="cs"/>
          <w:b/>
          <w:bCs/>
          <w:sz w:val="28"/>
          <w:szCs w:val="28"/>
          <w:rtl/>
        </w:rPr>
        <w:t>7065/08</w:t>
      </w:r>
      <w:r>
        <w:rPr>
          <w:rFonts w:ascii="Arial" w:hAnsi="Arial" w:cs="FrankRuehl" w:hint="cs"/>
          <w:sz w:val="28"/>
          <w:szCs w:val="28"/>
          <w:rtl/>
        </w:rPr>
        <w:t xml:space="preserve">, </w:t>
      </w:r>
      <w:hyperlink r:id="rId23" w:history="1">
        <w:r w:rsidR="00C5710D" w:rsidRPr="00C5710D">
          <w:rPr>
            <w:rFonts w:ascii="Arial" w:hAnsi="Arial" w:cs="FrankRuehl"/>
            <w:color w:val="0000FF"/>
            <w:sz w:val="28"/>
            <w:szCs w:val="28"/>
            <w:u w:val="single"/>
            <w:rtl/>
          </w:rPr>
          <w:t>ת"פ 43773-03-14</w:t>
        </w:r>
      </w:hyperlink>
      <w:r>
        <w:rPr>
          <w:rFonts w:ascii="Arial" w:hAnsi="Arial" w:cs="FrankRuehl" w:hint="cs"/>
          <w:sz w:val="28"/>
          <w:szCs w:val="28"/>
          <w:rtl/>
        </w:rPr>
        <w:t xml:space="preserve">, </w:t>
      </w:r>
      <w:hyperlink r:id="rId24" w:history="1">
        <w:r w:rsidR="00C5710D" w:rsidRPr="00C5710D">
          <w:rPr>
            <w:rFonts w:ascii="Arial" w:hAnsi="Arial" w:cs="FrankRuehl"/>
            <w:color w:val="0000FF"/>
            <w:sz w:val="28"/>
            <w:szCs w:val="28"/>
            <w:u w:val="single"/>
            <w:rtl/>
          </w:rPr>
          <w:t>ת"פ 66251-12-15</w:t>
        </w:r>
      </w:hyperlink>
      <w:r>
        <w:rPr>
          <w:rFonts w:ascii="Arial" w:hAnsi="Arial" w:cs="FrankRuehl" w:hint="cs"/>
          <w:sz w:val="28"/>
          <w:szCs w:val="28"/>
          <w:rtl/>
        </w:rPr>
        <w:t>). לטענת הסנגור, קיימת אסופה של פסיקה במקרים חמורים פי כמה מהמקרה שלפנינו ואף הסתיימו ללא הרשעה לרבות תיקים בהם בוצעה עסקה בשווי של 30,000 ₪ ומקרים חמורים יותר. בהתייחס לתסקירי שירות המבחן, מציין הסנגור כי מדובר בתסקירים חיוביים אשר בהם מציינת קצינת המבחן כי הנאשם לקח אחריות מלאה, שיתף פעולה עם הגורמים הטיפוליים, הפנים את בעיותיו ולמד להתבונן בהם כדי שלא להשתמש יותר בסמים. לטענתו, במקום שהמאשימה תעריך הליך טיפולי זה, מתייחסת לנאשם כאל סוחר רציני בסמים והדבר אינו תואם את מצבו של הנאשם המצוי בגמילה וטיפול. על כן יש לתת לנאשם גיבוי של המדינה ולא לשלחו למאסר בפועל. הנאשם היה עצור מיום 22.3.2016 עד 10.4.2016 ולאחר מכן שוחרר בהסכמה למעצר בית מלא בו הוא שהה עד ליום 7.12.2016 ובמועד זה אפשר בית המשפט לנאשם לצאת לעבודה. במהלך עבודתו נפגע הנאשם, נקטעה לו חלק מהאצבע ובחודשים האחרונים לא עבד. הסנגור ביקש להדגיש כי מדובר באדם שלקח אחריות מהרגע הראשון בו הוא נמצא בהליך המשפטי, לקח על עצמו באופן אישי להתנקות מסמים, הבין את חשיבות ההליך הטיפולי והוא עושה זאת בהצלחה יתרה מזה חודשים ארוכים. על כן מבקש הסנגור לסטות ממתחם הענישה כפי שהמחוקק מאפשר לעשות כן ומבקש להסתפק במאסר מותנה ושל"צ ניכר או לחילופין בעבודות שירות ובלבד שיתאפשר לנאשם להמשיך בטיפול.</w:t>
      </w:r>
    </w:p>
    <w:p w14:paraId="45A76CE2" w14:textId="77777777" w:rsidR="00277C47" w:rsidRDefault="00277C47" w:rsidP="00277C47">
      <w:pPr>
        <w:spacing w:line="360" w:lineRule="auto"/>
        <w:ind w:left="720" w:hanging="720"/>
        <w:jc w:val="both"/>
        <w:rPr>
          <w:rFonts w:ascii="Arial" w:hAnsi="Arial" w:cs="FrankRuehl"/>
          <w:sz w:val="28"/>
          <w:szCs w:val="28"/>
          <w:rtl/>
        </w:rPr>
      </w:pPr>
    </w:p>
    <w:p w14:paraId="4308EE3F" w14:textId="77777777" w:rsidR="00277C47" w:rsidRDefault="00277C47" w:rsidP="00277C47">
      <w:pPr>
        <w:spacing w:line="360" w:lineRule="auto"/>
        <w:ind w:left="720" w:hanging="720"/>
        <w:jc w:val="both"/>
        <w:rPr>
          <w:rFonts w:ascii="Arial" w:hAnsi="Arial" w:cs="FrankRuehl"/>
          <w:sz w:val="28"/>
          <w:szCs w:val="28"/>
          <w:rtl/>
        </w:rPr>
      </w:pPr>
      <w:r>
        <w:rPr>
          <w:rFonts w:ascii="Arial" w:hAnsi="Arial" w:cs="FrankRuehl"/>
          <w:sz w:val="28"/>
          <w:szCs w:val="28"/>
          <w:rtl/>
        </w:rPr>
        <w:tab/>
      </w:r>
      <w:r>
        <w:rPr>
          <w:rFonts w:ascii="Arial" w:hAnsi="Arial" w:cs="FrankRuehl" w:hint="cs"/>
          <w:sz w:val="28"/>
          <w:szCs w:val="28"/>
          <w:rtl/>
        </w:rPr>
        <w:t>הנאשם בדבריו לבית המשפט ציין כי עבר תקופה לא קלה. איבד שני אחים, אחד נרצח ואחד נהרג. הוא ירד לשפל במצבו מזה כשנתיים וחצי, הבין את חומרת המעשים אותם ביצע וכיום הוא נמצא במקום אחר. מזה כשנה וחצי הוא נקי מכל סם ועומד להתחתן, הוא החל בעבודה, מבין את חומרת העבירות, מקבל עליו את כל שיגזור עליו בית המשפט ומבקש התחשבות במצבו.</w:t>
      </w:r>
    </w:p>
    <w:p w14:paraId="48A8C00D" w14:textId="77777777" w:rsidR="00277C47" w:rsidRDefault="00277C47" w:rsidP="00277C47">
      <w:pPr>
        <w:spacing w:line="360" w:lineRule="auto"/>
        <w:ind w:left="720" w:hanging="720"/>
        <w:jc w:val="both"/>
        <w:rPr>
          <w:rFonts w:ascii="Arial" w:hAnsi="Arial" w:cs="FrankRuehl"/>
          <w:sz w:val="28"/>
          <w:szCs w:val="28"/>
          <w:rtl/>
        </w:rPr>
      </w:pPr>
    </w:p>
    <w:p w14:paraId="0CDC9269" w14:textId="77777777" w:rsidR="00277C47" w:rsidRPr="00345AE0" w:rsidRDefault="00277C47" w:rsidP="00277C47">
      <w:pPr>
        <w:spacing w:line="360" w:lineRule="auto"/>
        <w:ind w:left="720" w:hanging="720"/>
        <w:jc w:val="both"/>
        <w:rPr>
          <w:rFonts w:ascii="Arial" w:hAnsi="Arial" w:cs="FrankRuehl"/>
          <w:b/>
          <w:bCs/>
          <w:sz w:val="28"/>
          <w:szCs w:val="28"/>
          <w:u w:val="single"/>
          <w:rtl/>
        </w:rPr>
      </w:pPr>
      <w:r>
        <w:rPr>
          <w:rFonts w:ascii="Arial" w:hAnsi="Arial" w:cs="FrankRuehl"/>
          <w:sz w:val="28"/>
          <w:szCs w:val="28"/>
          <w:rtl/>
        </w:rPr>
        <w:tab/>
      </w:r>
      <w:r w:rsidRPr="00345AE0">
        <w:rPr>
          <w:rFonts w:ascii="Arial" w:hAnsi="Arial" w:cs="FrankRuehl" w:hint="cs"/>
          <w:b/>
          <w:bCs/>
          <w:sz w:val="28"/>
          <w:szCs w:val="28"/>
          <w:u w:val="single"/>
          <w:rtl/>
        </w:rPr>
        <w:t>מתחם העונש ההולם</w:t>
      </w:r>
    </w:p>
    <w:p w14:paraId="04E977E7" w14:textId="77777777" w:rsidR="00277C47" w:rsidRDefault="00277C47" w:rsidP="00277C47">
      <w:pPr>
        <w:spacing w:line="360" w:lineRule="auto"/>
        <w:ind w:left="720" w:hanging="720"/>
        <w:jc w:val="both"/>
        <w:rPr>
          <w:rFonts w:ascii="Arial" w:hAnsi="Arial" w:cs="FrankRuehl"/>
          <w:sz w:val="28"/>
          <w:szCs w:val="28"/>
          <w:rtl/>
        </w:rPr>
      </w:pPr>
      <w:r>
        <w:rPr>
          <w:rFonts w:ascii="Arial" w:hAnsi="Arial" w:cs="FrankRuehl" w:hint="cs"/>
          <w:sz w:val="28"/>
          <w:szCs w:val="28"/>
          <w:rtl/>
        </w:rPr>
        <w:t>4.</w:t>
      </w:r>
      <w:r>
        <w:rPr>
          <w:rFonts w:ascii="Arial" w:hAnsi="Arial" w:cs="FrankRuehl" w:hint="cs"/>
          <w:sz w:val="28"/>
          <w:szCs w:val="28"/>
          <w:rtl/>
        </w:rPr>
        <w:tab/>
        <w:t xml:space="preserve">בהתאם </w:t>
      </w:r>
      <w:hyperlink r:id="rId25" w:history="1">
        <w:r w:rsidR="00E22A64" w:rsidRPr="00E22A64">
          <w:rPr>
            <w:rFonts w:ascii="Arial" w:hAnsi="Arial" w:cs="FrankRuehl"/>
            <w:color w:val="0000FF"/>
            <w:sz w:val="28"/>
            <w:szCs w:val="28"/>
            <w:u w:val="single"/>
            <w:rtl/>
          </w:rPr>
          <w:t>לסעיף 40ב</w:t>
        </w:r>
      </w:hyperlink>
      <w:r>
        <w:rPr>
          <w:rFonts w:ascii="Arial" w:hAnsi="Arial" w:cs="FrankRuehl" w:hint="cs"/>
          <w:sz w:val="28"/>
          <w:szCs w:val="28"/>
          <w:rtl/>
        </w:rPr>
        <w:t xml:space="preserve"> ל</w:t>
      </w:r>
      <w:hyperlink r:id="rId26" w:history="1">
        <w:r w:rsidR="00C5710D" w:rsidRPr="00C5710D">
          <w:rPr>
            <w:rFonts w:ascii="Arial" w:hAnsi="Arial" w:cs="FrankRuehl"/>
            <w:color w:val="0000FF"/>
            <w:sz w:val="28"/>
            <w:szCs w:val="28"/>
            <w:u w:val="single"/>
            <w:rtl/>
          </w:rPr>
          <w:t>חוק העונשין</w:t>
        </w:r>
      </w:hyperlink>
      <w:r>
        <w:rPr>
          <w:rFonts w:ascii="Arial" w:hAnsi="Arial" w:cs="FrankRuehl" w:hint="cs"/>
          <w:sz w:val="28"/>
          <w:szCs w:val="28"/>
          <w:rtl/>
        </w:rPr>
        <w:t>, העיקרון המנחה בענישה הוא ההלימה. היינו, יחס הולם בין חומרת מעשה העבירה ונסיבותיו ומידת אשמו של הנאשם לבין סוג ומידת העונש המוטל עליו. בקביעת מתחם העונש ההולם, על בית המשפט להתחשב בערך החברתי שנפגע, במידת הפגיעה בו, במדיניות הענישה הנהוגה ובנסיבות הקשורות לביצוע העבירה.</w:t>
      </w:r>
    </w:p>
    <w:p w14:paraId="0BA97D69" w14:textId="77777777" w:rsidR="00277C47" w:rsidRDefault="00277C47" w:rsidP="00277C47">
      <w:pPr>
        <w:spacing w:line="360" w:lineRule="auto"/>
        <w:ind w:left="720" w:hanging="720"/>
        <w:jc w:val="both"/>
        <w:rPr>
          <w:rFonts w:ascii="Arial" w:hAnsi="Arial" w:cs="FrankRuehl"/>
          <w:sz w:val="28"/>
          <w:szCs w:val="28"/>
          <w:rtl/>
        </w:rPr>
      </w:pPr>
    </w:p>
    <w:p w14:paraId="003CEA3C" w14:textId="77777777" w:rsidR="00277C47" w:rsidRDefault="00277C47" w:rsidP="00277C47">
      <w:pPr>
        <w:spacing w:line="360" w:lineRule="auto"/>
        <w:ind w:left="720" w:hanging="720"/>
        <w:jc w:val="both"/>
        <w:rPr>
          <w:rFonts w:ascii="Arial" w:hAnsi="Arial" w:cs="FrankRuehl"/>
          <w:sz w:val="28"/>
          <w:szCs w:val="28"/>
          <w:rtl/>
        </w:rPr>
      </w:pPr>
      <w:r>
        <w:rPr>
          <w:rFonts w:ascii="Arial" w:hAnsi="Arial" w:cs="FrankRuehl"/>
          <w:sz w:val="28"/>
          <w:szCs w:val="28"/>
          <w:rtl/>
        </w:rPr>
        <w:tab/>
      </w:r>
      <w:r>
        <w:rPr>
          <w:rFonts w:ascii="Arial" w:hAnsi="Arial" w:cs="FrankRuehl" w:hint="cs"/>
          <w:sz w:val="28"/>
          <w:szCs w:val="28"/>
          <w:rtl/>
        </w:rPr>
        <w:t xml:space="preserve">הערך החברתי שנפגע במקרה שלפנינו, הוא פגיעה בשלום הציבור ובסדר הציבורי שכן להפצת הסם השלכות חברתיות וכלכליות המגבירות פשיעה ויוצרות מעגלי עבריינות בתחום הרכוש, הסמים והאלימות (ראה </w:t>
      </w:r>
      <w:hyperlink r:id="rId27" w:history="1">
        <w:r w:rsidR="00C5710D" w:rsidRPr="00C5710D">
          <w:rPr>
            <w:rFonts w:ascii="Arial" w:hAnsi="Arial" w:cs="FrankRuehl"/>
            <w:color w:val="0000FF"/>
            <w:sz w:val="28"/>
            <w:szCs w:val="28"/>
            <w:u w:val="single"/>
            <w:rtl/>
          </w:rPr>
          <w:t>ע"פ 2681/15</w:t>
        </w:r>
      </w:hyperlink>
      <w:r>
        <w:rPr>
          <w:rFonts w:ascii="Arial" w:hAnsi="Arial" w:cs="FrankRuehl" w:hint="cs"/>
          <w:sz w:val="28"/>
          <w:szCs w:val="28"/>
          <w:rtl/>
        </w:rPr>
        <w:t xml:space="preserve"> </w:t>
      </w:r>
      <w:r w:rsidRPr="003B2529">
        <w:rPr>
          <w:rFonts w:ascii="Arial" w:hAnsi="Arial" w:cs="FrankRuehl" w:hint="cs"/>
          <w:b/>
          <w:bCs/>
          <w:sz w:val="28"/>
          <w:szCs w:val="28"/>
          <w:rtl/>
        </w:rPr>
        <w:t>בן שטרית נ' מדינת ישראל</w:t>
      </w:r>
      <w:r>
        <w:rPr>
          <w:rFonts w:ascii="Arial" w:hAnsi="Arial" w:cs="FrankRuehl" w:hint="cs"/>
          <w:sz w:val="28"/>
          <w:szCs w:val="28"/>
          <w:rtl/>
        </w:rPr>
        <w:t xml:space="preserve"> מיום 14.2.2016 בו חזר ביהמ"ש על חומרתן של עבירות הסם ובמיוחד הסחר בהם).</w:t>
      </w:r>
    </w:p>
    <w:p w14:paraId="3BF29F0B" w14:textId="77777777" w:rsidR="00277C47" w:rsidRDefault="00277C47" w:rsidP="00277C47">
      <w:pPr>
        <w:spacing w:line="360" w:lineRule="auto"/>
        <w:ind w:left="720" w:hanging="720"/>
        <w:jc w:val="both"/>
        <w:rPr>
          <w:rFonts w:ascii="Arial" w:hAnsi="Arial" w:cs="FrankRuehl"/>
          <w:sz w:val="28"/>
          <w:szCs w:val="28"/>
          <w:rtl/>
        </w:rPr>
      </w:pPr>
    </w:p>
    <w:p w14:paraId="65CC3905" w14:textId="77777777" w:rsidR="00277C47" w:rsidRDefault="00277C47" w:rsidP="00277C47">
      <w:pPr>
        <w:spacing w:line="360" w:lineRule="auto"/>
        <w:ind w:left="720" w:hanging="720"/>
        <w:jc w:val="both"/>
        <w:rPr>
          <w:rFonts w:ascii="Arial" w:hAnsi="Arial" w:cs="FrankRuehl"/>
          <w:sz w:val="28"/>
          <w:szCs w:val="28"/>
          <w:rtl/>
        </w:rPr>
      </w:pPr>
      <w:r>
        <w:rPr>
          <w:rFonts w:ascii="Arial" w:hAnsi="Arial" w:cs="FrankRuehl"/>
          <w:sz w:val="28"/>
          <w:szCs w:val="28"/>
          <w:rtl/>
        </w:rPr>
        <w:tab/>
      </w:r>
      <w:r>
        <w:rPr>
          <w:rFonts w:ascii="Arial" w:hAnsi="Arial" w:cs="FrankRuehl" w:hint="cs"/>
          <w:sz w:val="28"/>
          <w:szCs w:val="28"/>
          <w:rtl/>
        </w:rPr>
        <w:t xml:space="preserve">בהתאם </w:t>
      </w:r>
      <w:hyperlink r:id="rId28" w:history="1">
        <w:r w:rsidR="00E22A64" w:rsidRPr="00E22A64">
          <w:rPr>
            <w:rFonts w:ascii="Arial" w:hAnsi="Arial" w:cs="FrankRuehl"/>
            <w:color w:val="0000FF"/>
            <w:sz w:val="28"/>
            <w:szCs w:val="28"/>
            <w:u w:val="single"/>
            <w:rtl/>
          </w:rPr>
          <w:t>לסעיף 40ג</w:t>
        </w:r>
      </w:hyperlink>
      <w:r>
        <w:rPr>
          <w:rFonts w:ascii="Arial" w:hAnsi="Arial" w:cs="FrankRuehl" w:hint="cs"/>
          <w:sz w:val="28"/>
          <w:szCs w:val="28"/>
          <w:rtl/>
        </w:rPr>
        <w:t xml:space="preserve"> לחוק נקבע, כי בעת קביעת מתחם העונש ההולם על בית המשפט להתחשב גם בנסיבות הקשורות לביצוע העבירה.</w:t>
      </w:r>
    </w:p>
    <w:p w14:paraId="66B45CBD" w14:textId="77777777" w:rsidR="00277C47" w:rsidRDefault="00277C47" w:rsidP="00277C47">
      <w:pPr>
        <w:spacing w:line="360" w:lineRule="auto"/>
        <w:ind w:left="720" w:hanging="720"/>
        <w:jc w:val="both"/>
        <w:rPr>
          <w:rFonts w:ascii="Arial" w:hAnsi="Arial" w:cs="FrankRuehl"/>
          <w:sz w:val="28"/>
          <w:szCs w:val="28"/>
          <w:rtl/>
        </w:rPr>
      </w:pPr>
    </w:p>
    <w:p w14:paraId="3056BC64" w14:textId="77777777" w:rsidR="00277C47" w:rsidRDefault="00277C47" w:rsidP="00277C47">
      <w:pPr>
        <w:spacing w:line="360" w:lineRule="auto"/>
        <w:ind w:left="720" w:hanging="720"/>
        <w:jc w:val="both"/>
        <w:rPr>
          <w:rFonts w:ascii="Arial" w:hAnsi="Arial" w:cs="FrankRuehl"/>
          <w:sz w:val="28"/>
          <w:szCs w:val="28"/>
          <w:rtl/>
        </w:rPr>
      </w:pPr>
      <w:r>
        <w:rPr>
          <w:rFonts w:ascii="Arial" w:hAnsi="Arial" w:cs="FrankRuehl" w:hint="cs"/>
          <w:sz w:val="28"/>
          <w:szCs w:val="28"/>
          <w:rtl/>
        </w:rPr>
        <w:tab/>
        <w:t>במקרה שלפנינו מדובר בשתי עבירות של ביצוע סחר בסם מסוג קנבוס במשקל של 7.89 גרם ו- 9.79 גרם שהתמורה בגינם מסתכמת בכל מקרה במאות שקלים. העבירות בוצעו בסמיכות זו לזו. בנסיבות העניין נראה כי יש להתחשב הן בסוג הסם והן בכמות הלא גדולה אותה סיפק הנאשם לסוכן משטרתי בכל עסקה. על פניו נראה, כי הרווח אותו הפיק הנאשם בכל העסקאות אינו משמעותי במיוחד. שוכנעתי, כי לא מדובר בעיסוק בסחר מסוכן המהווה את מרכז חייו של הנאשם. כמו כן, התייחסתי לנסיבות חייו הקשות כפי שציין זאת שירות המבחן והסנגור.</w:t>
      </w:r>
    </w:p>
    <w:p w14:paraId="0A861A3A" w14:textId="77777777" w:rsidR="00277C47" w:rsidRDefault="00277C47" w:rsidP="00277C47">
      <w:pPr>
        <w:spacing w:line="360" w:lineRule="auto"/>
        <w:ind w:left="720" w:hanging="720"/>
        <w:jc w:val="both"/>
        <w:rPr>
          <w:rFonts w:ascii="Arial" w:hAnsi="Arial" w:cs="FrankRuehl"/>
          <w:sz w:val="28"/>
          <w:szCs w:val="28"/>
          <w:rtl/>
        </w:rPr>
      </w:pPr>
    </w:p>
    <w:p w14:paraId="55A8EB00" w14:textId="77777777" w:rsidR="00277C47" w:rsidRDefault="00277C47" w:rsidP="00277C47">
      <w:pPr>
        <w:spacing w:line="360" w:lineRule="auto"/>
        <w:ind w:left="720" w:hanging="720"/>
        <w:jc w:val="both"/>
        <w:rPr>
          <w:rFonts w:ascii="Arial" w:hAnsi="Arial" w:cs="FrankRuehl"/>
          <w:sz w:val="28"/>
          <w:szCs w:val="28"/>
          <w:rtl/>
        </w:rPr>
      </w:pPr>
      <w:r>
        <w:rPr>
          <w:rFonts w:ascii="Arial" w:hAnsi="Arial" w:cs="FrankRuehl"/>
          <w:sz w:val="28"/>
          <w:szCs w:val="28"/>
          <w:rtl/>
        </w:rPr>
        <w:tab/>
      </w:r>
      <w:r>
        <w:rPr>
          <w:rFonts w:ascii="Arial" w:hAnsi="Arial" w:cs="FrankRuehl" w:hint="cs"/>
          <w:sz w:val="28"/>
          <w:szCs w:val="28"/>
          <w:rtl/>
        </w:rPr>
        <w:t>אשר למתחם הענישה, אני סבור כי בשל סמיכות האירועים המפורטים בכתב האישום יש לראות בכולם אירוע כולל אחד ועל כן המתחם נע במקרה זה בין מאסר של 6 חודשים שיכול שירוצה בעבודות שירות לבין 12 חודשי מאסר בפועל.</w:t>
      </w:r>
    </w:p>
    <w:p w14:paraId="4C4C473A" w14:textId="77777777" w:rsidR="00277C47" w:rsidRDefault="00277C47" w:rsidP="00277C47">
      <w:pPr>
        <w:spacing w:line="360" w:lineRule="auto"/>
        <w:ind w:left="720" w:hanging="720"/>
        <w:jc w:val="both"/>
        <w:rPr>
          <w:rFonts w:ascii="Arial" w:hAnsi="Arial" w:cs="FrankRuehl"/>
          <w:sz w:val="28"/>
          <w:szCs w:val="28"/>
          <w:rtl/>
        </w:rPr>
      </w:pPr>
    </w:p>
    <w:p w14:paraId="255548F3" w14:textId="77777777" w:rsidR="00277C47" w:rsidRPr="00A148A9" w:rsidRDefault="00277C47" w:rsidP="00277C47">
      <w:pPr>
        <w:spacing w:line="360" w:lineRule="auto"/>
        <w:ind w:left="720" w:hanging="720"/>
        <w:jc w:val="both"/>
        <w:rPr>
          <w:rFonts w:ascii="Arial" w:hAnsi="Arial" w:cs="FrankRuehl"/>
          <w:b/>
          <w:bCs/>
          <w:sz w:val="28"/>
          <w:szCs w:val="28"/>
          <w:u w:val="single"/>
          <w:rtl/>
        </w:rPr>
      </w:pPr>
      <w:r>
        <w:rPr>
          <w:rFonts w:ascii="Arial" w:hAnsi="Arial" w:cs="FrankRuehl"/>
          <w:sz w:val="28"/>
          <w:szCs w:val="28"/>
          <w:rtl/>
        </w:rPr>
        <w:tab/>
      </w:r>
      <w:r w:rsidRPr="00A148A9">
        <w:rPr>
          <w:rFonts w:ascii="Arial" w:hAnsi="Arial" w:cs="FrankRuehl" w:hint="cs"/>
          <w:b/>
          <w:bCs/>
          <w:sz w:val="28"/>
          <w:szCs w:val="28"/>
          <w:u w:val="single"/>
          <w:rtl/>
        </w:rPr>
        <w:t>חריגה ממתחם העונש ההולם</w:t>
      </w:r>
    </w:p>
    <w:p w14:paraId="53DC53B0" w14:textId="77777777" w:rsidR="00277C47" w:rsidRDefault="00277C47" w:rsidP="00277C47">
      <w:pPr>
        <w:spacing w:line="360" w:lineRule="auto"/>
        <w:ind w:left="720" w:hanging="720"/>
        <w:jc w:val="both"/>
        <w:rPr>
          <w:rFonts w:cs="FrankRuehl"/>
          <w:sz w:val="28"/>
          <w:szCs w:val="28"/>
        </w:rPr>
      </w:pPr>
      <w:r>
        <w:rPr>
          <w:rFonts w:ascii="Arial" w:hAnsi="Arial" w:cs="FrankRuehl" w:hint="cs"/>
          <w:sz w:val="28"/>
          <w:szCs w:val="28"/>
          <w:rtl/>
        </w:rPr>
        <w:t>5.</w:t>
      </w:r>
      <w:r>
        <w:rPr>
          <w:rFonts w:ascii="Arial" w:hAnsi="Arial" w:cs="FrankRuehl" w:hint="cs"/>
          <w:sz w:val="28"/>
          <w:szCs w:val="28"/>
          <w:rtl/>
        </w:rPr>
        <w:tab/>
      </w:r>
      <w:hyperlink r:id="rId29" w:history="1">
        <w:r w:rsidR="00E22A64" w:rsidRPr="00E22A64">
          <w:rPr>
            <w:rFonts w:cs="FrankRuehl"/>
            <w:color w:val="0000FF"/>
            <w:sz w:val="28"/>
            <w:szCs w:val="28"/>
            <w:u w:val="single"/>
            <w:rtl/>
          </w:rPr>
          <w:t>בסעיף 40ד'</w:t>
        </w:r>
      </w:hyperlink>
      <w:r>
        <w:rPr>
          <w:rFonts w:cs="FrankRuehl" w:hint="cs"/>
          <w:sz w:val="28"/>
          <w:szCs w:val="28"/>
          <w:rtl/>
        </w:rPr>
        <w:t xml:space="preserve"> לחוק נקבע, כי במקרה בו מעשה העבירה ומידת אשמתו של הנאשם הם בעלי חומרה יתירה, הרי שאם הנאשם השתקם או שיש סיכוי של ממש שישתקם, ובנסיבות מיוחדות ויוצאות דופן, יכול בית המשפט לקבוע כי העונש שיוטל על הנאשם יחרוג ממתחם העונש ההולם, וזאת מטעמי שיקום. </w:t>
      </w:r>
    </w:p>
    <w:p w14:paraId="468376BB" w14:textId="77777777" w:rsidR="00277C47" w:rsidRDefault="00277C47" w:rsidP="00277C47">
      <w:pPr>
        <w:spacing w:line="360" w:lineRule="auto"/>
        <w:ind w:left="720" w:hanging="720"/>
        <w:jc w:val="both"/>
        <w:rPr>
          <w:rFonts w:cs="FrankRuehl"/>
          <w:sz w:val="28"/>
          <w:szCs w:val="28"/>
          <w:rtl/>
        </w:rPr>
      </w:pPr>
      <w:r>
        <w:rPr>
          <w:rFonts w:cs="FrankRuehl" w:hint="cs"/>
          <w:sz w:val="28"/>
          <w:szCs w:val="28"/>
          <w:rtl/>
        </w:rPr>
        <w:tab/>
        <w:t>ב</w:t>
      </w:r>
      <w:hyperlink r:id="rId30" w:history="1">
        <w:r w:rsidR="00C5710D" w:rsidRPr="00C5710D">
          <w:rPr>
            <w:rFonts w:cs="FrankRuehl"/>
            <w:color w:val="0000FF"/>
            <w:sz w:val="28"/>
            <w:szCs w:val="28"/>
            <w:u w:val="single"/>
            <w:rtl/>
          </w:rPr>
          <w:t>ת.פ. 9787-04-14</w:t>
        </w:r>
      </w:hyperlink>
      <w:r>
        <w:rPr>
          <w:rFonts w:cs="FrankRuehl" w:hint="cs"/>
          <w:sz w:val="28"/>
          <w:szCs w:val="28"/>
          <w:rtl/>
        </w:rPr>
        <w:t xml:space="preserve"> בפני כב' השופט ש. הרבסט, אליו הפנה הסניגור, הורשע הנאשם בביצוע ארבע עיסקאות סחר בסם מסוכן מסוג חשיש, והוטלו עליו 6 חודשי מאסר אשר ירוצו בעבודות שירות, וכל זאת בשל טעמי שיקום. </w:t>
      </w:r>
    </w:p>
    <w:p w14:paraId="3C6EBE13" w14:textId="77777777" w:rsidR="00277C47" w:rsidRDefault="00277C47" w:rsidP="00277C47">
      <w:pPr>
        <w:spacing w:line="360" w:lineRule="auto"/>
        <w:ind w:left="720"/>
        <w:jc w:val="both"/>
        <w:rPr>
          <w:rFonts w:cs="FrankRuehl"/>
          <w:sz w:val="28"/>
          <w:szCs w:val="28"/>
          <w:rtl/>
        </w:rPr>
      </w:pPr>
      <w:r>
        <w:rPr>
          <w:rFonts w:cs="FrankRuehl" w:hint="cs"/>
          <w:sz w:val="28"/>
          <w:szCs w:val="28"/>
          <w:rtl/>
        </w:rPr>
        <w:t>על גזר הדין הוגש ערעור לבית המשפט המחוזי. בפסק הדין שניתן מפי הרכב השופטים י' נועם – סגן נשיא, ר' פרידמן-פלדמן ומ' ברעם, אשר דחה את הערעור נפסק כדלקמן:</w:t>
      </w:r>
    </w:p>
    <w:p w14:paraId="7F7EA615" w14:textId="77777777" w:rsidR="00277C47" w:rsidRDefault="00277C47" w:rsidP="00277C47">
      <w:pPr>
        <w:spacing w:line="360" w:lineRule="auto"/>
        <w:ind w:left="720"/>
        <w:jc w:val="both"/>
        <w:rPr>
          <w:rFonts w:cs="FrankRuehl"/>
          <w:sz w:val="28"/>
          <w:szCs w:val="28"/>
          <w:rtl/>
        </w:rPr>
      </w:pPr>
    </w:p>
    <w:p w14:paraId="38B662E6" w14:textId="77777777" w:rsidR="00277C47" w:rsidRDefault="00277C47" w:rsidP="00277C47">
      <w:pPr>
        <w:spacing w:line="360" w:lineRule="auto"/>
        <w:ind w:left="1440" w:right="1418"/>
        <w:jc w:val="both"/>
        <w:rPr>
          <w:rFonts w:cs="FrankRuehl"/>
          <w:b/>
          <w:bCs/>
          <w:sz w:val="28"/>
          <w:szCs w:val="28"/>
          <w:rtl/>
        </w:rPr>
      </w:pPr>
      <w:r>
        <w:rPr>
          <w:rFonts w:cs="FrankRuehl" w:hint="cs"/>
          <w:b/>
          <w:bCs/>
          <w:sz w:val="28"/>
          <w:szCs w:val="28"/>
          <w:rtl/>
        </w:rPr>
        <w:t xml:space="preserve">"אכן, העבירות שבהן הורשע המשיב חמורות, ומחייבות ככלל הטלת מאסר בפועל לריצוי של ממש. עם זאת, לפנינו מקרה חריג ויוצא דופן שבו המשיב עובר הליך שיקום ממושך בשירות המבחן מזה כשנתיים וחצי, ולאור הצלחתו של הליך זה סבורים אנו, כי משיקולי שיקום, ניתן וראוי לחרוג ממתחם הענישה. על כן, לא מצאנו מקום להתערב בגזר דינו של בית-משפט קמא אשר הטיל על המשיב מאסר בעבודות שירות, לצד רכיבי ענישה אחרים, ונמנע מלהטיל עליו מאסר של ממש". </w:t>
      </w:r>
    </w:p>
    <w:p w14:paraId="47FCE15A" w14:textId="77777777" w:rsidR="00277C47" w:rsidRDefault="00277C47" w:rsidP="00277C47">
      <w:pPr>
        <w:spacing w:line="360" w:lineRule="auto"/>
        <w:ind w:left="720" w:hanging="720"/>
        <w:jc w:val="both"/>
        <w:rPr>
          <w:rFonts w:cs="FrankRuehl"/>
          <w:sz w:val="28"/>
          <w:szCs w:val="28"/>
          <w:rtl/>
        </w:rPr>
      </w:pPr>
      <w:r>
        <w:rPr>
          <w:rFonts w:cs="FrankRuehl" w:hint="cs"/>
          <w:sz w:val="28"/>
          <w:szCs w:val="28"/>
          <w:rtl/>
        </w:rPr>
        <w:tab/>
      </w:r>
      <w:r>
        <w:rPr>
          <w:rFonts w:cs="FrankRuehl" w:hint="cs"/>
          <w:sz w:val="28"/>
          <w:szCs w:val="28"/>
          <w:rtl/>
        </w:rPr>
        <w:tab/>
        <w:t>(</w:t>
      </w:r>
      <w:hyperlink r:id="rId31" w:history="1">
        <w:r w:rsidR="00C5710D" w:rsidRPr="00C5710D">
          <w:rPr>
            <w:rFonts w:cs="FrankRuehl"/>
            <w:color w:val="0000FF"/>
            <w:sz w:val="28"/>
            <w:szCs w:val="28"/>
            <w:u w:val="single"/>
            <w:rtl/>
          </w:rPr>
          <w:t>עפ"ג 49098-06-16</w:t>
        </w:r>
      </w:hyperlink>
      <w:r>
        <w:rPr>
          <w:rFonts w:cs="FrankRuehl" w:hint="cs"/>
          <w:sz w:val="28"/>
          <w:szCs w:val="28"/>
          <w:rtl/>
        </w:rPr>
        <w:t xml:space="preserve"> מיום 10.5.17).</w:t>
      </w:r>
    </w:p>
    <w:p w14:paraId="4B5E24B1" w14:textId="77777777" w:rsidR="00277C47" w:rsidRDefault="00277C47" w:rsidP="00277C47">
      <w:pPr>
        <w:spacing w:line="360" w:lineRule="auto"/>
        <w:ind w:left="720" w:hanging="720"/>
        <w:jc w:val="both"/>
        <w:rPr>
          <w:rFonts w:ascii="Arial" w:hAnsi="Arial" w:cs="FrankRuehl"/>
          <w:sz w:val="28"/>
          <w:szCs w:val="28"/>
          <w:rtl/>
        </w:rPr>
      </w:pPr>
    </w:p>
    <w:p w14:paraId="75B282D3" w14:textId="77777777" w:rsidR="00277C47" w:rsidRDefault="00277C47" w:rsidP="00277C47">
      <w:pPr>
        <w:spacing w:line="360" w:lineRule="auto"/>
        <w:ind w:left="720" w:hanging="720"/>
        <w:jc w:val="both"/>
        <w:rPr>
          <w:rFonts w:ascii="Arial" w:hAnsi="Arial" w:cs="FrankRuehl"/>
          <w:sz w:val="28"/>
          <w:szCs w:val="28"/>
          <w:rtl/>
        </w:rPr>
      </w:pPr>
      <w:r>
        <w:rPr>
          <w:rFonts w:ascii="Arial" w:hAnsi="Arial" w:cs="FrankRuehl" w:hint="cs"/>
          <w:sz w:val="28"/>
          <w:szCs w:val="28"/>
          <w:rtl/>
        </w:rPr>
        <w:tab/>
        <w:t>סבורני, כי המקרה שלפנינו דומה למקרה אשר נדון בבית משפט המחוזי בירושלים כאמור לעיל, המצדיק חריגה ממתחם הענישה.</w:t>
      </w:r>
    </w:p>
    <w:p w14:paraId="5C51C167" w14:textId="77777777" w:rsidR="00277C47" w:rsidRDefault="00277C47" w:rsidP="00277C47">
      <w:pPr>
        <w:spacing w:line="360" w:lineRule="auto"/>
        <w:ind w:left="720" w:hanging="720"/>
        <w:jc w:val="both"/>
        <w:rPr>
          <w:rFonts w:ascii="Arial" w:hAnsi="Arial" w:cs="FrankRuehl"/>
          <w:sz w:val="28"/>
          <w:szCs w:val="28"/>
          <w:rtl/>
        </w:rPr>
      </w:pPr>
    </w:p>
    <w:p w14:paraId="477563DC" w14:textId="77777777" w:rsidR="00277C47" w:rsidRDefault="00277C47" w:rsidP="00277C47">
      <w:pPr>
        <w:spacing w:line="360" w:lineRule="auto"/>
        <w:ind w:left="720"/>
        <w:jc w:val="both"/>
        <w:rPr>
          <w:rFonts w:ascii="Arial" w:hAnsi="Arial" w:cs="FrankRuehl"/>
          <w:sz w:val="28"/>
          <w:szCs w:val="28"/>
          <w:rtl/>
        </w:rPr>
      </w:pPr>
      <w:r>
        <w:rPr>
          <w:rFonts w:ascii="Arial" w:hAnsi="Arial" w:cs="FrankRuehl" w:hint="cs"/>
          <w:sz w:val="28"/>
          <w:szCs w:val="28"/>
          <w:rtl/>
        </w:rPr>
        <w:t xml:space="preserve">בענייננו, הנאשם מצוי בעיצומו של הליך שיקומי-טיפולי מאז חודש נובמבר 2016, הכל כפי שצויין על ידי שירות המבחן ועל ידי הסנגור. הנאשם מוכיח רצון עז להיגמל מסמים ולעלות על דרך המלך ולשנות את חייו מקצה לקצה. נראה בעיניי כי המקרה שלפניי הוא מקרה מיוחד אשר מצדיק חריגה ממתחם הענישה. </w:t>
      </w:r>
    </w:p>
    <w:p w14:paraId="7D84C7C9" w14:textId="77777777" w:rsidR="00277C47" w:rsidRDefault="00277C47" w:rsidP="00277C47">
      <w:pPr>
        <w:spacing w:line="360" w:lineRule="auto"/>
        <w:ind w:left="720" w:hanging="720"/>
        <w:jc w:val="both"/>
        <w:rPr>
          <w:rFonts w:ascii="Arial" w:hAnsi="Arial" w:cs="FrankRuehl"/>
          <w:sz w:val="28"/>
          <w:szCs w:val="28"/>
          <w:rtl/>
        </w:rPr>
      </w:pPr>
    </w:p>
    <w:p w14:paraId="69F15431" w14:textId="77777777" w:rsidR="00277C47" w:rsidRDefault="00277C47" w:rsidP="00277C47">
      <w:pPr>
        <w:spacing w:line="360" w:lineRule="auto"/>
        <w:ind w:left="720"/>
        <w:jc w:val="both"/>
        <w:rPr>
          <w:rFonts w:ascii="Arial" w:hAnsi="Arial" w:cs="FrankRuehl"/>
          <w:sz w:val="28"/>
          <w:szCs w:val="28"/>
          <w:rtl/>
        </w:rPr>
      </w:pPr>
      <w:r>
        <w:rPr>
          <w:rFonts w:ascii="Arial" w:hAnsi="Arial" w:cs="FrankRuehl" w:hint="cs"/>
          <w:sz w:val="28"/>
          <w:szCs w:val="28"/>
          <w:rtl/>
        </w:rPr>
        <w:t>כפי שציין שירות המבחן, מסכת חייו של הנאשם קשה במיוחד עת איבד שניים מאחיו ובמהלך עבודתו נקטעה אחת מאצבעותיו והוא נאלץ להפסיק לעבוד. בדיקות השתן מוכיחות כי הוא נקי מכל סם וכי ניתן לסמוך עליו וכי נמצא בדרך שיקומית שתוציא אותו ממעגל הסמים והשימוש בהם. נסיבות חייו אלה יש לקחתם בעת גזירת הדין.</w:t>
      </w:r>
    </w:p>
    <w:p w14:paraId="6A37C479" w14:textId="77777777" w:rsidR="00277C47" w:rsidRDefault="00277C47" w:rsidP="00277C47">
      <w:pPr>
        <w:spacing w:line="360" w:lineRule="auto"/>
        <w:ind w:left="720"/>
        <w:jc w:val="both"/>
        <w:rPr>
          <w:rFonts w:ascii="Arial" w:hAnsi="Arial" w:cs="FrankRuehl"/>
          <w:sz w:val="28"/>
          <w:szCs w:val="28"/>
          <w:rtl/>
        </w:rPr>
      </w:pPr>
    </w:p>
    <w:p w14:paraId="78794CA4" w14:textId="77777777" w:rsidR="00277C47" w:rsidRPr="00012E75" w:rsidRDefault="00277C47" w:rsidP="00277C47">
      <w:pPr>
        <w:spacing w:line="360" w:lineRule="auto"/>
        <w:ind w:left="720"/>
        <w:jc w:val="both"/>
        <w:rPr>
          <w:rFonts w:ascii="Arial" w:hAnsi="Arial" w:cs="FrankRuehl"/>
          <w:b/>
          <w:bCs/>
          <w:sz w:val="28"/>
          <w:szCs w:val="28"/>
          <w:u w:val="single"/>
          <w:rtl/>
        </w:rPr>
      </w:pPr>
      <w:r w:rsidRPr="00012E75">
        <w:rPr>
          <w:rFonts w:ascii="Arial" w:hAnsi="Arial" w:cs="FrankRuehl" w:hint="cs"/>
          <w:b/>
          <w:bCs/>
          <w:sz w:val="28"/>
          <w:szCs w:val="28"/>
          <w:u w:val="single"/>
          <w:rtl/>
        </w:rPr>
        <w:t>העונש המתאים</w:t>
      </w:r>
    </w:p>
    <w:p w14:paraId="607E24FD" w14:textId="77777777" w:rsidR="00277C47" w:rsidRDefault="00277C47" w:rsidP="00277C47">
      <w:pPr>
        <w:spacing w:line="360" w:lineRule="auto"/>
        <w:ind w:left="720" w:hanging="720"/>
        <w:jc w:val="both"/>
        <w:rPr>
          <w:rFonts w:ascii="Arial" w:hAnsi="Arial" w:cs="FrankRuehl"/>
          <w:sz w:val="28"/>
          <w:szCs w:val="28"/>
          <w:rtl/>
        </w:rPr>
      </w:pPr>
      <w:r>
        <w:rPr>
          <w:rFonts w:ascii="Arial" w:hAnsi="Arial" w:cs="FrankRuehl" w:hint="cs"/>
          <w:sz w:val="28"/>
          <w:szCs w:val="28"/>
          <w:rtl/>
        </w:rPr>
        <w:t>6.</w:t>
      </w:r>
      <w:r>
        <w:rPr>
          <w:rFonts w:ascii="Arial" w:hAnsi="Arial" w:cs="FrankRuehl" w:hint="cs"/>
          <w:sz w:val="28"/>
          <w:szCs w:val="28"/>
          <w:rtl/>
        </w:rPr>
        <w:tab/>
        <w:t>אני ער לחומרת העבירות אותן ביצע הנאשם ולפסיקה הנוהגת בעבירות של סחר בסם מסוכן. מקובלת עליי הדעה כי ברגיל, עבירות מעין אלה ראוי כי הנאשם יישלח למאסר מאחורי סורג ובריח. יחד עם זאת, התרשמתי ממסכת חייו העגומה של הנאשם אשר שהה במעצר מספר ימים לא מעטים ונמצא במעצר בית ממושך ורק לאחרונה אפשר לו בית המשפט לצאת לעבודה. כן שוכנעתי מההליך הטיפולי השיקומי אותו עובר הנאשם והמלצת שירות המבחן לאפשר לו המשך הטיפול ולהימנע משליחתו של הנאשם למאסר מאחורי סורג ובריח.</w:t>
      </w:r>
    </w:p>
    <w:p w14:paraId="625DF006" w14:textId="77777777" w:rsidR="00277C47" w:rsidRDefault="00277C47" w:rsidP="00277C47">
      <w:pPr>
        <w:spacing w:line="360" w:lineRule="auto"/>
        <w:ind w:left="720" w:hanging="720"/>
        <w:jc w:val="both"/>
        <w:rPr>
          <w:rFonts w:ascii="Arial" w:hAnsi="Arial" w:cs="FrankRuehl"/>
          <w:sz w:val="28"/>
          <w:szCs w:val="28"/>
          <w:rtl/>
        </w:rPr>
      </w:pPr>
    </w:p>
    <w:p w14:paraId="48CE0885" w14:textId="77777777" w:rsidR="00277C47" w:rsidRDefault="00277C47" w:rsidP="00277C47">
      <w:pPr>
        <w:spacing w:line="360" w:lineRule="auto"/>
        <w:ind w:left="720" w:hanging="720"/>
        <w:jc w:val="both"/>
        <w:rPr>
          <w:rFonts w:ascii="Arial" w:hAnsi="Arial" w:cs="FrankRuehl"/>
          <w:sz w:val="28"/>
          <w:szCs w:val="28"/>
          <w:rtl/>
        </w:rPr>
      </w:pPr>
      <w:r>
        <w:rPr>
          <w:rFonts w:ascii="Arial" w:hAnsi="Arial" w:cs="FrankRuehl"/>
          <w:sz w:val="28"/>
          <w:szCs w:val="28"/>
          <w:rtl/>
        </w:rPr>
        <w:tab/>
      </w:r>
      <w:r>
        <w:rPr>
          <w:rFonts w:ascii="Arial" w:hAnsi="Arial" w:cs="FrankRuehl" w:hint="cs"/>
          <w:sz w:val="28"/>
          <w:szCs w:val="28"/>
          <w:rtl/>
        </w:rPr>
        <w:t>נוכח כל האמור לעיל, שוכנעתי, כי יש מקום לחרוג ממתחם העונש ההולם ולהימנע משליחתו של הנאשם למאסר בפועל, זאת בשל הליך שיקומי-טיפולי שעבר הנאשם ושבו הוא נמצא מזה מספר חודשים לא מבוטל. כמו כן, שוכנעתי מגילו הצעיר של הנאשם, העדר הרשעות קודמות ורצונו העז להשתקם ולצאת ממעגל הסמים.</w:t>
      </w:r>
    </w:p>
    <w:p w14:paraId="2329B733" w14:textId="77777777" w:rsidR="00277C47" w:rsidRDefault="00277C47" w:rsidP="00277C47">
      <w:pPr>
        <w:spacing w:line="360" w:lineRule="auto"/>
        <w:ind w:left="720" w:hanging="720"/>
        <w:jc w:val="both"/>
        <w:rPr>
          <w:rFonts w:ascii="Arial" w:hAnsi="Arial" w:cs="FrankRuehl"/>
          <w:sz w:val="28"/>
          <w:szCs w:val="28"/>
          <w:rtl/>
        </w:rPr>
      </w:pPr>
    </w:p>
    <w:p w14:paraId="1265F40D" w14:textId="77777777" w:rsidR="00277C47" w:rsidRDefault="00277C47" w:rsidP="00277C47">
      <w:pPr>
        <w:spacing w:line="360" w:lineRule="auto"/>
        <w:ind w:left="720" w:hanging="720"/>
        <w:jc w:val="both"/>
        <w:rPr>
          <w:rFonts w:ascii="Arial" w:hAnsi="Arial" w:cs="FrankRuehl"/>
          <w:sz w:val="28"/>
          <w:szCs w:val="28"/>
          <w:rtl/>
        </w:rPr>
      </w:pPr>
      <w:r>
        <w:rPr>
          <w:rFonts w:ascii="Arial" w:hAnsi="Arial" w:cs="FrankRuehl"/>
          <w:sz w:val="28"/>
          <w:szCs w:val="28"/>
          <w:rtl/>
        </w:rPr>
        <w:tab/>
      </w:r>
      <w:r>
        <w:rPr>
          <w:rFonts w:ascii="Arial" w:hAnsi="Arial" w:cs="FrankRuehl" w:hint="cs"/>
          <w:sz w:val="28"/>
          <w:szCs w:val="28"/>
          <w:rtl/>
        </w:rPr>
        <w:t>אשר על כן, אני גוזר על הנאשם את העונשים הבאים:</w:t>
      </w:r>
    </w:p>
    <w:p w14:paraId="6C504600" w14:textId="77777777" w:rsidR="00277C47" w:rsidRDefault="00277C47" w:rsidP="00277C47">
      <w:pPr>
        <w:spacing w:line="360" w:lineRule="auto"/>
        <w:ind w:left="1440" w:hanging="720"/>
        <w:jc w:val="both"/>
        <w:rPr>
          <w:rFonts w:ascii="Arial" w:hAnsi="Arial" w:cs="FrankRuehl"/>
          <w:sz w:val="28"/>
          <w:szCs w:val="28"/>
          <w:rtl/>
        </w:rPr>
      </w:pPr>
      <w:r>
        <w:rPr>
          <w:rFonts w:ascii="Arial" w:hAnsi="Arial" w:cs="FrankRuehl" w:hint="cs"/>
          <w:sz w:val="28"/>
          <w:szCs w:val="28"/>
          <w:rtl/>
        </w:rPr>
        <w:t xml:space="preserve">א. </w:t>
      </w:r>
      <w:r>
        <w:rPr>
          <w:rFonts w:ascii="Arial" w:hAnsi="Arial" w:cs="FrankRuehl" w:hint="cs"/>
          <w:sz w:val="28"/>
          <w:szCs w:val="28"/>
          <w:rtl/>
        </w:rPr>
        <w:tab/>
        <w:t>מאסר למשך 6 חודשים אותם ירצה הנאשם בעבודות שירות במסגרת עיריית ראש העין. תחילת ביצוע ביום 8.8.2018. במועד זה יתייצב הנאשם בשעה 08:00 ביחידת עבודות שירות ברמלה. אוטובוס מס' 247.</w:t>
      </w:r>
    </w:p>
    <w:p w14:paraId="5E9A5F71" w14:textId="77777777" w:rsidR="00277C47" w:rsidRDefault="00277C47" w:rsidP="00277C47">
      <w:pPr>
        <w:spacing w:line="360" w:lineRule="auto"/>
        <w:ind w:left="1440" w:hanging="720"/>
        <w:jc w:val="both"/>
        <w:rPr>
          <w:rFonts w:ascii="Arial" w:hAnsi="Arial" w:cs="FrankRuehl"/>
          <w:sz w:val="28"/>
          <w:szCs w:val="28"/>
          <w:rtl/>
        </w:rPr>
      </w:pPr>
      <w:r>
        <w:rPr>
          <w:rFonts w:ascii="Arial" w:hAnsi="Arial" w:cs="FrankRuehl" w:hint="cs"/>
          <w:sz w:val="28"/>
          <w:szCs w:val="28"/>
          <w:rtl/>
        </w:rPr>
        <w:t>ב.</w:t>
      </w:r>
      <w:r>
        <w:rPr>
          <w:rFonts w:ascii="Arial" w:hAnsi="Arial" w:cs="FrankRuehl" w:hint="cs"/>
          <w:sz w:val="28"/>
          <w:szCs w:val="28"/>
          <w:rtl/>
        </w:rPr>
        <w:tab/>
        <w:t xml:space="preserve">מאסר על תנאי לתקופה של 4 חודשים. הנאשם לא ירצה עונש זה אלא אם יעבור תוך שנתיים מהיום על כל עבירה לפי </w:t>
      </w:r>
      <w:hyperlink r:id="rId32" w:history="1">
        <w:r w:rsidR="00C5710D" w:rsidRPr="00C5710D">
          <w:rPr>
            <w:rFonts w:ascii="Arial" w:hAnsi="Arial" w:cs="FrankRuehl"/>
            <w:color w:val="0000FF"/>
            <w:sz w:val="28"/>
            <w:szCs w:val="28"/>
            <w:u w:val="single"/>
            <w:rtl/>
          </w:rPr>
          <w:t>פקודת הסמים המסוכנים</w:t>
        </w:r>
      </w:hyperlink>
      <w:r>
        <w:rPr>
          <w:rFonts w:ascii="Arial" w:hAnsi="Arial" w:cs="FrankRuehl" w:hint="cs"/>
          <w:sz w:val="28"/>
          <w:szCs w:val="28"/>
          <w:rtl/>
        </w:rPr>
        <w:t>.</w:t>
      </w:r>
    </w:p>
    <w:p w14:paraId="634C4C30" w14:textId="77777777" w:rsidR="00277C47" w:rsidRDefault="00277C47" w:rsidP="00277C47">
      <w:pPr>
        <w:spacing w:line="360" w:lineRule="auto"/>
        <w:ind w:left="1440" w:hanging="720"/>
        <w:jc w:val="both"/>
        <w:rPr>
          <w:rFonts w:ascii="Arial" w:hAnsi="Arial" w:cs="FrankRuehl"/>
          <w:sz w:val="28"/>
          <w:szCs w:val="28"/>
          <w:rtl/>
        </w:rPr>
      </w:pPr>
      <w:r>
        <w:rPr>
          <w:rFonts w:ascii="Arial" w:hAnsi="Arial" w:cs="FrankRuehl" w:hint="cs"/>
          <w:sz w:val="28"/>
          <w:szCs w:val="28"/>
          <w:rtl/>
        </w:rPr>
        <w:t xml:space="preserve">ג. </w:t>
      </w:r>
      <w:r>
        <w:rPr>
          <w:rFonts w:ascii="Arial" w:hAnsi="Arial" w:cs="FrankRuehl" w:hint="cs"/>
          <w:sz w:val="28"/>
          <w:szCs w:val="28"/>
          <w:rtl/>
        </w:rPr>
        <w:tab/>
        <w:t>קנס כספי בסך 2,000 ₪ או מאסר של 30 יום תחתיו. הקנס ישולם ב- 10 תשלומים שווים החל מיום 1.8.2018 ובכל ראשון לחודש שלאחריו.</w:t>
      </w:r>
    </w:p>
    <w:p w14:paraId="0113BAFD" w14:textId="77777777" w:rsidR="00277C47" w:rsidRDefault="00277C47" w:rsidP="00277C47">
      <w:pPr>
        <w:spacing w:line="360" w:lineRule="auto"/>
        <w:ind w:left="1440" w:hanging="720"/>
        <w:jc w:val="both"/>
        <w:rPr>
          <w:rFonts w:ascii="Arial" w:hAnsi="Arial" w:cs="FrankRuehl"/>
          <w:sz w:val="28"/>
          <w:szCs w:val="28"/>
          <w:rtl/>
        </w:rPr>
      </w:pPr>
      <w:r>
        <w:rPr>
          <w:rFonts w:ascii="Arial" w:hAnsi="Arial" w:cs="FrankRuehl" w:hint="cs"/>
          <w:sz w:val="28"/>
          <w:szCs w:val="28"/>
          <w:rtl/>
        </w:rPr>
        <w:t>ד.</w:t>
      </w:r>
      <w:r>
        <w:rPr>
          <w:rFonts w:ascii="Arial" w:hAnsi="Arial" w:cs="FrankRuehl" w:hint="cs"/>
          <w:sz w:val="28"/>
          <w:szCs w:val="28"/>
          <w:rtl/>
        </w:rPr>
        <w:tab/>
        <w:t>ניתן צו מבחן למשך שנה והנאשם מצווה להיות בקשר עם שירות המבחן.</w:t>
      </w:r>
    </w:p>
    <w:p w14:paraId="6CF91E73" w14:textId="77777777" w:rsidR="00277C47" w:rsidRDefault="00277C47" w:rsidP="00277C47">
      <w:pPr>
        <w:spacing w:line="360" w:lineRule="auto"/>
        <w:ind w:left="1440" w:hanging="720"/>
        <w:jc w:val="both"/>
        <w:rPr>
          <w:rFonts w:ascii="Arial" w:hAnsi="Arial" w:cs="FrankRuehl"/>
          <w:sz w:val="28"/>
          <w:szCs w:val="28"/>
          <w:rtl/>
        </w:rPr>
      </w:pPr>
      <w:r>
        <w:rPr>
          <w:rFonts w:ascii="Arial" w:hAnsi="Arial" w:cs="FrankRuehl" w:hint="cs"/>
          <w:sz w:val="28"/>
          <w:szCs w:val="28"/>
          <w:rtl/>
        </w:rPr>
        <w:t>ה.</w:t>
      </w:r>
      <w:r>
        <w:rPr>
          <w:rFonts w:ascii="Arial" w:hAnsi="Arial" w:cs="FrankRuehl" w:hint="cs"/>
          <w:sz w:val="28"/>
          <w:szCs w:val="28"/>
          <w:rtl/>
        </w:rPr>
        <w:tab/>
        <w:t>אני מורה על השמדת הסם.</w:t>
      </w:r>
    </w:p>
    <w:p w14:paraId="2C1217DE" w14:textId="77777777" w:rsidR="00277C47" w:rsidRDefault="00277C47" w:rsidP="00277C47">
      <w:pPr>
        <w:spacing w:line="360" w:lineRule="auto"/>
        <w:ind w:left="1440" w:hanging="720"/>
        <w:jc w:val="both"/>
        <w:rPr>
          <w:rFonts w:ascii="Arial" w:hAnsi="Arial" w:cs="FrankRuehl"/>
          <w:sz w:val="28"/>
          <w:szCs w:val="28"/>
          <w:rtl/>
        </w:rPr>
      </w:pPr>
    </w:p>
    <w:p w14:paraId="4D2A68DA" w14:textId="77777777" w:rsidR="00277C47" w:rsidRDefault="00277C47" w:rsidP="00277C47">
      <w:pPr>
        <w:spacing w:line="360" w:lineRule="auto"/>
        <w:ind w:left="1440" w:hanging="720"/>
        <w:jc w:val="both"/>
        <w:rPr>
          <w:rFonts w:ascii="Arial" w:hAnsi="Arial" w:cs="FrankRuehl"/>
          <w:sz w:val="28"/>
          <w:szCs w:val="28"/>
          <w:rtl/>
        </w:rPr>
      </w:pPr>
      <w:r>
        <w:rPr>
          <w:rFonts w:ascii="Arial" w:hAnsi="Arial" w:cs="FrankRuehl" w:hint="cs"/>
          <w:sz w:val="28"/>
          <w:szCs w:val="28"/>
          <w:rtl/>
        </w:rPr>
        <w:t>העתק יישלח לשירות המבחן ולממונה על עבודות שירות ושירות המבחן..</w:t>
      </w:r>
    </w:p>
    <w:p w14:paraId="6F055ECA" w14:textId="77777777" w:rsidR="00277C47" w:rsidRDefault="00277C47" w:rsidP="00277C47">
      <w:pPr>
        <w:spacing w:line="360" w:lineRule="auto"/>
        <w:ind w:left="1440" w:hanging="720"/>
        <w:jc w:val="both"/>
        <w:rPr>
          <w:rFonts w:ascii="Arial" w:hAnsi="Arial" w:cs="FrankRuehl"/>
          <w:sz w:val="28"/>
          <w:szCs w:val="28"/>
          <w:rtl/>
        </w:rPr>
      </w:pPr>
    </w:p>
    <w:p w14:paraId="3C12654B" w14:textId="77777777" w:rsidR="00277C47" w:rsidRDefault="00277C47" w:rsidP="00277C47">
      <w:pPr>
        <w:spacing w:line="360" w:lineRule="auto"/>
        <w:ind w:left="1440" w:hanging="720"/>
        <w:jc w:val="both"/>
        <w:rPr>
          <w:rFonts w:ascii="Arial" w:hAnsi="Arial" w:cs="FrankRuehl"/>
          <w:sz w:val="28"/>
          <w:szCs w:val="28"/>
          <w:rtl/>
        </w:rPr>
      </w:pPr>
      <w:r>
        <w:rPr>
          <w:rFonts w:ascii="Arial" w:hAnsi="Arial" w:cs="FrankRuehl" w:hint="cs"/>
          <w:sz w:val="28"/>
          <w:szCs w:val="28"/>
          <w:rtl/>
        </w:rPr>
        <w:t>זכות ערעור לבית המשפט המחוזי בתוך 45 יום.</w:t>
      </w:r>
    </w:p>
    <w:p w14:paraId="28C4B61B" w14:textId="77777777" w:rsidR="00277C47" w:rsidRPr="00C5710D" w:rsidRDefault="00C5710D" w:rsidP="00277C47">
      <w:pPr>
        <w:spacing w:line="360" w:lineRule="auto"/>
        <w:jc w:val="both"/>
        <w:rPr>
          <w:rFonts w:ascii="Arial" w:hAnsi="Arial" w:cs="FrankRuehl"/>
          <w:color w:val="FFFFFF"/>
          <w:sz w:val="2"/>
          <w:szCs w:val="2"/>
          <w:rtl/>
        </w:rPr>
      </w:pPr>
      <w:r w:rsidRPr="00C5710D">
        <w:rPr>
          <w:rFonts w:ascii="Arial" w:hAnsi="Arial" w:cs="FrankRuehl"/>
          <w:color w:val="FFFFFF"/>
          <w:sz w:val="2"/>
          <w:szCs w:val="2"/>
          <w:rtl/>
        </w:rPr>
        <w:t>5129371</w:t>
      </w:r>
    </w:p>
    <w:p w14:paraId="1D8AE4B4" w14:textId="77777777" w:rsidR="00277C47" w:rsidRPr="007F5DC1" w:rsidRDefault="00C5710D" w:rsidP="00277C47">
      <w:pPr>
        <w:spacing w:line="360" w:lineRule="auto"/>
        <w:jc w:val="both"/>
        <w:rPr>
          <w:rFonts w:ascii="Arial" w:hAnsi="Arial" w:cs="FrankRuehl"/>
          <w:sz w:val="28"/>
          <w:szCs w:val="28"/>
        </w:rPr>
      </w:pPr>
      <w:r w:rsidRPr="00C5710D">
        <w:rPr>
          <w:rFonts w:ascii="Arial" w:hAnsi="Arial" w:cs="FrankRuehl"/>
          <w:color w:val="FFFFFF"/>
          <w:sz w:val="2"/>
          <w:szCs w:val="2"/>
          <w:rtl/>
        </w:rPr>
        <w:t>54678313</w:t>
      </w:r>
      <w:r>
        <w:rPr>
          <w:rFonts w:ascii="Arial" w:hAnsi="Arial" w:cs="FrankRuehl"/>
          <w:sz w:val="28"/>
          <w:szCs w:val="28"/>
          <w:rtl/>
        </w:rPr>
        <w:t xml:space="preserve">ניתן היום,  כ"ה תמוז תשע"ז, 19 יולי 2017,  במעמד ב"כ המאשימה עו"ד רונית ישי, הנאשם ובא </w:t>
      </w:r>
      <w:r w:rsidR="00277C47">
        <w:rPr>
          <w:rFonts w:ascii="Arial" w:hAnsi="Arial" w:cs="FrankRuehl" w:hint="cs"/>
          <w:sz w:val="28"/>
          <w:szCs w:val="28"/>
          <w:rtl/>
        </w:rPr>
        <w:t>כוחו עו"ד גבריאל טרונישווילי</w:t>
      </w:r>
      <w:r w:rsidR="00277C47" w:rsidRPr="007F5DC1">
        <w:rPr>
          <w:rFonts w:ascii="Arial" w:hAnsi="Arial" w:cs="FrankRuehl" w:hint="cs"/>
          <w:sz w:val="28"/>
          <w:szCs w:val="28"/>
          <w:rtl/>
        </w:rPr>
        <w:t>.</w:t>
      </w:r>
    </w:p>
    <w:p w14:paraId="74749E63" w14:textId="77777777" w:rsidR="00277C47" w:rsidRDefault="00277C47" w:rsidP="00277C47">
      <w:pPr>
        <w:rPr>
          <w:rFonts w:cs="FrankRuehl"/>
          <w:sz w:val="28"/>
          <w:szCs w:val="28"/>
          <w:rtl/>
        </w:rPr>
      </w:pPr>
    </w:p>
    <w:p w14:paraId="38ED235E" w14:textId="77777777" w:rsidR="00277C47" w:rsidRDefault="00277C47" w:rsidP="00277C47">
      <w:pPr>
        <w:ind w:left="6480" w:firstLine="720"/>
        <w:rPr>
          <w:rtl/>
        </w:rPr>
      </w:pPr>
    </w:p>
    <w:p w14:paraId="7C729A19" w14:textId="77777777" w:rsidR="00277C47" w:rsidRPr="00D752BE" w:rsidRDefault="00277C47" w:rsidP="00277C47">
      <w:pPr>
        <w:ind w:left="6480" w:firstLine="720"/>
      </w:pPr>
      <w:r>
        <w:rPr>
          <w:rtl/>
        </w:rPr>
        <w:t xml:space="preserve">     </w:t>
      </w:r>
    </w:p>
    <w:p w14:paraId="538E9FD3" w14:textId="77777777" w:rsidR="00277C47" w:rsidRPr="00E22A64" w:rsidRDefault="00E22A64" w:rsidP="00277C47">
      <w:pPr>
        <w:ind w:left="6480" w:firstLine="720"/>
        <w:rPr>
          <w:rFonts w:ascii="Arial" w:hAnsi="Arial" w:cs="FrankRuehl"/>
          <w:color w:val="FFFFFF"/>
          <w:sz w:val="2"/>
          <w:szCs w:val="2"/>
          <w:rtl/>
        </w:rPr>
      </w:pPr>
      <w:r w:rsidRPr="00E22A64">
        <w:rPr>
          <w:rFonts w:ascii="Arial" w:hAnsi="Arial" w:cs="FrankRuehl"/>
          <w:color w:val="FFFFFF"/>
          <w:sz w:val="2"/>
          <w:szCs w:val="2"/>
          <w:rtl/>
        </w:rPr>
        <w:t>5129371</w:t>
      </w:r>
    </w:p>
    <w:p w14:paraId="21964D7A" w14:textId="77777777" w:rsidR="002D7B2F" w:rsidRPr="00E22A64" w:rsidRDefault="00E22A64" w:rsidP="00C5710D">
      <w:pPr>
        <w:keepNext/>
        <w:rPr>
          <w:rFonts w:ascii="David" w:hAnsi="David"/>
          <w:color w:val="FFFFFF"/>
          <w:sz w:val="2"/>
          <w:szCs w:val="2"/>
          <w:rtl/>
        </w:rPr>
      </w:pPr>
      <w:r w:rsidRPr="00E22A64">
        <w:rPr>
          <w:rFonts w:ascii="David" w:hAnsi="David"/>
          <w:color w:val="FFFFFF"/>
          <w:sz w:val="2"/>
          <w:szCs w:val="2"/>
          <w:rtl/>
        </w:rPr>
        <w:t>54678313</w:t>
      </w:r>
    </w:p>
    <w:p w14:paraId="1E270369" w14:textId="77777777" w:rsidR="00C5710D" w:rsidRPr="00C5710D" w:rsidRDefault="00C5710D" w:rsidP="00C5710D">
      <w:pPr>
        <w:keepNext/>
        <w:rPr>
          <w:rFonts w:ascii="David" w:hAnsi="David"/>
          <w:color w:val="000000"/>
          <w:sz w:val="22"/>
          <w:szCs w:val="22"/>
          <w:rtl/>
        </w:rPr>
      </w:pPr>
      <w:r w:rsidRPr="00C5710D">
        <w:rPr>
          <w:rFonts w:ascii="David" w:hAnsi="David"/>
          <w:color w:val="000000"/>
          <w:sz w:val="22"/>
          <w:szCs w:val="22"/>
          <w:rtl/>
        </w:rPr>
        <w:t>יצחק שמעוני 54678313</w:t>
      </w:r>
    </w:p>
    <w:p w14:paraId="59BA8E90" w14:textId="77777777" w:rsidR="00C5710D" w:rsidRDefault="00C5710D" w:rsidP="00C5710D">
      <w:r w:rsidRPr="00C5710D">
        <w:rPr>
          <w:color w:val="000000"/>
          <w:rtl/>
        </w:rPr>
        <w:t>נוסח מסמך זה כפוף לשינויי ניסוח ועריכה</w:t>
      </w:r>
    </w:p>
    <w:p w14:paraId="64FC05B9" w14:textId="77777777" w:rsidR="00C5710D" w:rsidRDefault="00C5710D" w:rsidP="00C5710D">
      <w:pPr>
        <w:rPr>
          <w:rtl/>
        </w:rPr>
      </w:pPr>
    </w:p>
    <w:p w14:paraId="33747B20" w14:textId="77777777" w:rsidR="00C5710D" w:rsidRDefault="00C5710D" w:rsidP="00C5710D">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sectPr w:rsidR="00C5710D" w:rsidSect="00E22A64">
      <w:headerReference w:type="even" r:id="rId34"/>
      <w:headerReference w:type="default" r:id="rId35"/>
      <w:footerReference w:type="even" r:id="rId36"/>
      <w:footerReference w:type="default" r:id="rId37"/>
      <w:pgSz w:w="11907" w:h="16840" w:code="9"/>
      <w:pgMar w:top="1701" w:right="1701" w:bottom="993"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ADBCFD" w14:textId="77777777" w:rsidR="002D242D" w:rsidRDefault="002D242D" w:rsidP="00C227CC">
      <w:r>
        <w:separator/>
      </w:r>
    </w:p>
  </w:endnote>
  <w:endnote w:type="continuationSeparator" w:id="0">
    <w:p w14:paraId="0A9849B5" w14:textId="77777777" w:rsidR="002D242D" w:rsidRDefault="002D242D" w:rsidP="00C22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39DB4" w14:textId="77777777" w:rsidR="002D242D" w:rsidRDefault="002D242D" w:rsidP="00E22A6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2A25C707" w14:textId="77777777" w:rsidR="002D242D" w:rsidRPr="00E22A64" w:rsidRDefault="002D242D" w:rsidP="00E22A64">
    <w:pPr>
      <w:pStyle w:val="a5"/>
      <w:pBdr>
        <w:top w:val="single" w:sz="4" w:space="1" w:color="auto"/>
        <w:between w:val="single" w:sz="4" w:space="0" w:color="auto"/>
      </w:pBdr>
      <w:spacing w:after="60"/>
      <w:jc w:val="center"/>
      <w:rPr>
        <w:rFonts w:ascii="FrankRuehl" w:hAnsi="FrankRuehl" w:cs="FrankRuehl"/>
        <w:color w:val="000000"/>
      </w:rPr>
    </w:pPr>
    <w:r w:rsidRPr="00E22A6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3F723" w14:textId="77777777" w:rsidR="002D242D" w:rsidRDefault="002D242D" w:rsidP="00E22A6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22F33">
      <w:rPr>
        <w:rFonts w:ascii="FrankRuehl" w:hAnsi="FrankRuehl" w:cs="FrankRuehl"/>
        <w:rtl/>
      </w:rPr>
      <w:t>1</w:t>
    </w:r>
    <w:r>
      <w:rPr>
        <w:rFonts w:ascii="FrankRuehl" w:hAnsi="FrankRuehl" w:cs="FrankRuehl"/>
        <w:rtl/>
      </w:rPr>
      <w:fldChar w:fldCharType="end"/>
    </w:r>
  </w:p>
  <w:p w14:paraId="603CF75E" w14:textId="77777777" w:rsidR="002D242D" w:rsidRPr="00E22A64" w:rsidRDefault="002D242D" w:rsidP="00E22A64">
    <w:pPr>
      <w:pStyle w:val="a5"/>
      <w:pBdr>
        <w:top w:val="single" w:sz="4" w:space="1" w:color="auto"/>
        <w:between w:val="single" w:sz="4" w:space="0" w:color="auto"/>
      </w:pBdr>
      <w:spacing w:after="60"/>
      <w:jc w:val="center"/>
      <w:rPr>
        <w:rFonts w:ascii="FrankRuehl" w:hAnsi="FrankRuehl" w:cs="FrankRuehl"/>
        <w:color w:val="000000"/>
      </w:rPr>
    </w:pPr>
    <w:r w:rsidRPr="00E22A64">
      <w:rPr>
        <w:rFonts w:ascii="FrankRuehl" w:hAnsi="FrankRuehl" w:cs="FrankRuehl"/>
        <w:color w:val="000000"/>
      </w:rPr>
      <w:pict w14:anchorId="597278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BF5C9F" w14:textId="77777777" w:rsidR="002D242D" w:rsidRDefault="002D242D" w:rsidP="00C227CC">
      <w:r>
        <w:separator/>
      </w:r>
    </w:p>
  </w:footnote>
  <w:footnote w:type="continuationSeparator" w:id="0">
    <w:p w14:paraId="179DEE26" w14:textId="77777777" w:rsidR="002D242D" w:rsidRDefault="002D242D" w:rsidP="00C227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ECDA7" w14:textId="77777777" w:rsidR="002D242D" w:rsidRPr="00E22A64" w:rsidRDefault="002D242D" w:rsidP="00E22A6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53049-03-16</w:t>
    </w:r>
    <w:r>
      <w:rPr>
        <w:rFonts w:ascii="David" w:hAnsi="David"/>
        <w:color w:val="000000"/>
        <w:sz w:val="22"/>
        <w:szCs w:val="22"/>
        <w:rtl/>
      </w:rPr>
      <w:tab/>
      <w:t xml:space="preserve"> מדינת ישראל נ' שמעון ינון טובול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63A916" w14:textId="77777777" w:rsidR="002D242D" w:rsidRPr="00E22A64" w:rsidRDefault="002D242D" w:rsidP="00E22A6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53049-03-16</w:t>
    </w:r>
    <w:r>
      <w:rPr>
        <w:rFonts w:ascii="David" w:hAnsi="David"/>
        <w:color w:val="000000"/>
        <w:sz w:val="22"/>
        <w:szCs w:val="22"/>
        <w:rtl/>
      </w:rPr>
      <w:tab/>
      <w:t xml:space="preserve"> מדינת ישראל נ' שמעון ינון טובול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77C47"/>
    <w:rsid w:val="00277C47"/>
    <w:rsid w:val="002D242D"/>
    <w:rsid w:val="002D7B2F"/>
    <w:rsid w:val="00446FF7"/>
    <w:rsid w:val="006D5F27"/>
    <w:rsid w:val="00722F33"/>
    <w:rsid w:val="009C1F3A"/>
    <w:rsid w:val="00A442EC"/>
    <w:rsid w:val="00B936E7"/>
    <w:rsid w:val="00BA16A0"/>
    <w:rsid w:val="00C227CC"/>
    <w:rsid w:val="00C5710D"/>
    <w:rsid w:val="00E22A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F1DDC1D"/>
  <w15:chartTrackingRefBased/>
  <w15:docId w15:val="{78906343-D0CF-40F5-AB1C-6118BB35A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77C47"/>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77C47"/>
    <w:pPr>
      <w:tabs>
        <w:tab w:val="center" w:pos="4153"/>
        <w:tab w:val="right" w:pos="8306"/>
      </w:tabs>
    </w:pPr>
  </w:style>
  <w:style w:type="character" w:customStyle="1" w:styleId="a4">
    <w:name w:val="כותרת עליונה תו"/>
    <w:link w:val="a3"/>
    <w:rsid w:val="00277C47"/>
    <w:rPr>
      <w:rFonts w:ascii="Times New Roman" w:eastAsia="Times New Roman" w:hAnsi="Times New Roman" w:cs="David"/>
      <w:noProof/>
      <w:sz w:val="24"/>
      <w:szCs w:val="24"/>
    </w:rPr>
  </w:style>
  <w:style w:type="paragraph" w:styleId="a5">
    <w:name w:val="footer"/>
    <w:basedOn w:val="a"/>
    <w:link w:val="a6"/>
    <w:rsid w:val="00277C47"/>
    <w:pPr>
      <w:tabs>
        <w:tab w:val="center" w:pos="4153"/>
        <w:tab w:val="right" w:pos="8306"/>
      </w:tabs>
    </w:pPr>
  </w:style>
  <w:style w:type="character" w:customStyle="1" w:styleId="a6">
    <w:name w:val="כותרת תחתונה תו"/>
    <w:link w:val="a5"/>
    <w:rsid w:val="00277C47"/>
    <w:rPr>
      <w:rFonts w:ascii="Times New Roman" w:eastAsia="Times New Roman" w:hAnsi="Times New Roman" w:cs="David"/>
      <w:noProof/>
      <w:sz w:val="24"/>
      <w:szCs w:val="24"/>
    </w:rPr>
  </w:style>
  <w:style w:type="table" w:styleId="a7">
    <w:name w:val="Table Grid"/>
    <w:basedOn w:val="a1"/>
    <w:rsid w:val="00277C4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5710D"/>
  </w:style>
  <w:style w:type="character" w:styleId="Hyperlink">
    <w:name w:val="Hyperlink"/>
    <w:rsid w:val="00C5710D"/>
    <w:rPr>
      <w:color w:val="0563C1"/>
      <w:u w:val="single"/>
    </w:rPr>
  </w:style>
  <w:style w:type="character" w:styleId="a9">
    <w:name w:val="Unresolved Mention"/>
    <w:rsid w:val="00C5710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case/5738373" TargetMode="External"/><Relationship Id="rId26" Type="http://schemas.openxmlformats.org/officeDocument/2006/relationships/hyperlink" Target="http://www.nevo.co.il/law/70301" TargetMode="External"/><Relationship Id="rId39" Type="http://schemas.openxmlformats.org/officeDocument/2006/relationships/theme" Target="theme/theme1.xml"/><Relationship Id="rId21" Type="http://schemas.openxmlformats.org/officeDocument/2006/relationships/hyperlink" Target="http://www.nevo.co.il/case/2389826" TargetMode="External"/><Relationship Id="rId34" Type="http://schemas.openxmlformats.org/officeDocument/2006/relationships/header" Target="header1.xml"/><Relationship Id="rId7" Type="http://schemas.openxmlformats.org/officeDocument/2006/relationships/hyperlink" Target="http://www.nevo.co.il/law/4216/13" TargetMode="External"/><Relationship Id="rId12" Type="http://schemas.openxmlformats.org/officeDocument/2006/relationships/hyperlink" Target="http://www.nevo.co.il/law/70301/40d" TargetMode="External"/><Relationship Id="rId17" Type="http://schemas.openxmlformats.org/officeDocument/2006/relationships/hyperlink" Target="http://www.nevo.co.il/case/415304" TargetMode="External"/><Relationship Id="rId25" Type="http://schemas.openxmlformats.org/officeDocument/2006/relationships/hyperlink" Target="http://www.nevo.co.il/law/70301/40b"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case/17941065" TargetMode="External"/><Relationship Id="rId20" Type="http://schemas.openxmlformats.org/officeDocument/2006/relationships/hyperlink" Target="http://www.nevo.co.il/case/5718884" TargetMode="External"/><Relationship Id="rId29" Type="http://schemas.openxmlformats.org/officeDocument/2006/relationships/hyperlink" Target="http://www.nevo.co.il/law/70301/40d"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40c" TargetMode="External"/><Relationship Id="rId24" Type="http://schemas.openxmlformats.org/officeDocument/2006/relationships/hyperlink" Target="http://www.nevo.co.il/case/20845381" TargetMode="External"/><Relationship Id="rId32" Type="http://schemas.openxmlformats.org/officeDocument/2006/relationships/hyperlink" Target="http://www.nevo.co.il/law/4216" TargetMode="External"/><Relationship Id="rId37"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case/13072540" TargetMode="External"/><Relationship Id="rId28" Type="http://schemas.openxmlformats.org/officeDocument/2006/relationships/hyperlink" Target="http://www.nevo.co.il/law/70301/40c" TargetMode="External"/><Relationship Id="rId36" Type="http://schemas.openxmlformats.org/officeDocument/2006/relationships/footer" Target="footer1.xml"/><Relationship Id="rId10" Type="http://schemas.openxmlformats.org/officeDocument/2006/relationships/hyperlink" Target="http://www.nevo.co.il/law/70301/40b" TargetMode="External"/><Relationship Id="rId19" Type="http://schemas.openxmlformats.org/officeDocument/2006/relationships/hyperlink" Target="http://www.nevo.co.il/case/5605484" TargetMode="External"/><Relationship Id="rId31" Type="http://schemas.openxmlformats.org/officeDocument/2006/relationships/hyperlink" Target="http://www.nevo.co.il/case/22038127"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4216/19a" TargetMode="External"/><Relationship Id="rId22" Type="http://schemas.openxmlformats.org/officeDocument/2006/relationships/hyperlink" Target="http://www.nevo.co.il/case/6870343" TargetMode="External"/><Relationship Id="rId27" Type="http://schemas.openxmlformats.org/officeDocument/2006/relationships/hyperlink" Target="http://www.nevo.co.il/case/20205876" TargetMode="External"/><Relationship Id="rId30" Type="http://schemas.openxmlformats.org/officeDocument/2006/relationships/hyperlink" Target="http://www.nevo.co.il/case/13102284" TargetMode="External"/><Relationship Id="rId35" Type="http://schemas.openxmlformats.org/officeDocument/2006/relationships/header" Target="header2.xml"/><Relationship Id="rId8" Type="http://schemas.openxmlformats.org/officeDocument/2006/relationships/hyperlink" Target="http://www.nevo.co.il/law/4216/19a"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2210</Words>
  <Characters>11052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13236</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8257637</vt:i4>
      </vt:variant>
      <vt:variant>
        <vt:i4>78</vt:i4>
      </vt:variant>
      <vt:variant>
        <vt:i4>0</vt:i4>
      </vt:variant>
      <vt:variant>
        <vt:i4>5</vt:i4>
      </vt:variant>
      <vt:variant>
        <vt:lpwstr>http://www.nevo.co.il/law/4216</vt:lpwstr>
      </vt:variant>
      <vt:variant>
        <vt:lpwstr/>
      </vt:variant>
      <vt:variant>
        <vt:i4>3670132</vt:i4>
      </vt:variant>
      <vt:variant>
        <vt:i4>75</vt:i4>
      </vt:variant>
      <vt:variant>
        <vt:i4>0</vt:i4>
      </vt:variant>
      <vt:variant>
        <vt:i4>5</vt:i4>
      </vt:variant>
      <vt:variant>
        <vt:lpwstr>http://www.nevo.co.il/case/22038127</vt:lpwstr>
      </vt:variant>
      <vt:variant>
        <vt:lpwstr/>
      </vt:variant>
      <vt:variant>
        <vt:i4>3801205</vt:i4>
      </vt:variant>
      <vt:variant>
        <vt:i4>72</vt:i4>
      </vt:variant>
      <vt:variant>
        <vt:i4>0</vt:i4>
      </vt:variant>
      <vt:variant>
        <vt:i4>5</vt:i4>
      </vt:variant>
      <vt:variant>
        <vt:lpwstr>http://www.nevo.co.il/case/13102284</vt:lpwstr>
      </vt:variant>
      <vt:variant>
        <vt:lpwstr/>
      </vt:variant>
      <vt:variant>
        <vt:i4>6619233</vt:i4>
      </vt:variant>
      <vt:variant>
        <vt:i4>69</vt:i4>
      </vt:variant>
      <vt:variant>
        <vt:i4>0</vt:i4>
      </vt:variant>
      <vt:variant>
        <vt:i4>5</vt:i4>
      </vt:variant>
      <vt:variant>
        <vt:lpwstr>http://www.nevo.co.il/law/70301/40d</vt:lpwstr>
      </vt:variant>
      <vt:variant>
        <vt:lpwstr/>
      </vt:variant>
      <vt:variant>
        <vt:i4>6619233</vt:i4>
      </vt:variant>
      <vt:variant>
        <vt:i4>66</vt:i4>
      </vt:variant>
      <vt:variant>
        <vt:i4>0</vt:i4>
      </vt:variant>
      <vt:variant>
        <vt:i4>5</vt:i4>
      </vt:variant>
      <vt:variant>
        <vt:lpwstr>http://www.nevo.co.il/law/70301/40c</vt:lpwstr>
      </vt:variant>
      <vt:variant>
        <vt:lpwstr/>
      </vt:variant>
      <vt:variant>
        <vt:i4>3276924</vt:i4>
      </vt:variant>
      <vt:variant>
        <vt:i4>63</vt:i4>
      </vt:variant>
      <vt:variant>
        <vt:i4>0</vt:i4>
      </vt:variant>
      <vt:variant>
        <vt:i4>5</vt:i4>
      </vt:variant>
      <vt:variant>
        <vt:lpwstr>http://www.nevo.co.il/case/20205876</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6619233</vt:i4>
      </vt:variant>
      <vt:variant>
        <vt:i4>57</vt:i4>
      </vt:variant>
      <vt:variant>
        <vt:i4>0</vt:i4>
      </vt:variant>
      <vt:variant>
        <vt:i4>5</vt:i4>
      </vt:variant>
      <vt:variant>
        <vt:lpwstr>http://www.nevo.co.il/law/70301/40b</vt:lpwstr>
      </vt:variant>
      <vt:variant>
        <vt:lpwstr/>
      </vt:variant>
      <vt:variant>
        <vt:i4>3604595</vt:i4>
      </vt:variant>
      <vt:variant>
        <vt:i4>54</vt:i4>
      </vt:variant>
      <vt:variant>
        <vt:i4>0</vt:i4>
      </vt:variant>
      <vt:variant>
        <vt:i4>5</vt:i4>
      </vt:variant>
      <vt:variant>
        <vt:lpwstr>http://www.nevo.co.il/case/20845381</vt:lpwstr>
      </vt:variant>
      <vt:variant>
        <vt:lpwstr/>
      </vt:variant>
      <vt:variant>
        <vt:i4>3604597</vt:i4>
      </vt:variant>
      <vt:variant>
        <vt:i4>51</vt:i4>
      </vt:variant>
      <vt:variant>
        <vt:i4>0</vt:i4>
      </vt:variant>
      <vt:variant>
        <vt:i4>5</vt:i4>
      </vt:variant>
      <vt:variant>
        <vt:lpwstr>http://www.nevo.co.il/case/13072540</vt:lpwstr>
      </vt:variant>
      <vt:variant>
        <vt:lpwstr/>
      </vt:variant>
      <vt:variant>
        <vt:i4>3211384</vt:i4>
      </vt:variant>
      <vt:variant>
        <vt:i4>48</vt:i4>
      </vt:variant>
      <vt:variant>
        <vt:i4>0</vt:i4>
      </vt:variant>
      <vt:variant>
        <vt:i4>5</vt:i4>
      </vt:variant>
      <vt:variant>
        <vt:lpwstr>http://www.nevo.co.il/case/6870343</vt:lpwstr>
      </vt:variant>
      <vt:variant>
        <vt:lpwstr/>
      </vt:variant>
      <vt:variant>
        <vt:i4>3407996</vt:i4>
      </vt:variant>
      <vt:variant>
        <vt:i4>45</vt:i4>
      </vt:variant>
      <vt:variant>
        <vt:i4>0</vt:i4>
      </vt:variant>
      <vt:variant>
        <vt:i4>5</vt:i4>
      </vt:variant>
      <vt:variant>
        <vt:lpwstr>http://www.nevo.co.il/case/2389826</vt:lpwstr>
      </vt:variant>
      <vt:variant>
        <vt:lpwstr/>
      </vt:variant>
      <vt:variant>
        <vt:i4>3670131</vt:i4>
      </vt:variant>
      <vt:variant>
        <vt:i4>42</vt:i4>
      </vt:variant>
      <vt:variant>
        <vt:i4>0</vt:i4>
      </vt:variant>
      <vt:variant>
        <vt:i4>5</vt:i4>
      </vt:variant>
      <vt:variant>
        <vt:lpwstr>http://www.nevo.co.il/case/5718884</vt:lpwstr>
      </vt:variant>
      <vt:variant>
        <vt:lpwstr/>
      </vt:variant>
      <vt:variant>
        <vt:i4>3473535</vt:i4>
      </vt:variant>
      <vt:variant>
        <vt:i4>39</vt:i4>
      </vt:variant>
      <vt:variant>
        <vt:i4>0</vt:i4>
      </vt:variant>
      <vt:variant>
        <vt:i4>5</vt:i4>
      </vt:variant>
      <vt:variant>
        <vt:lpwstr>http://www.nevo.co.il/case/5605484</vt:lpwstr>
      </vt:variant>
      <vt:variant>
        <vt:lpwstr/>
      </vt:variant>
      <vt:variant>
        <vt:i4>3539068</vt:i4>
      </vt:variant>
      <vt:variant>
        <vt:i4>36</vt:i4>
      </vt:variant>
      <vt:variant>
        <vt:i4>0</vt:i4>
      </vt:variant>
      <vt:variant>
        <vt:i4>5</vt:i4>
      </vt:variant>
      <vt:variant>
        <vt:lpwstr>http://www.nevo.co.il/case/5738373</vt:lpwstr>
      </vt:variant>
      <vt:variant>
        <vt:lpwstr/>
      </vt:variant>
      <vt:variant>
        <vt:i4>65606</vt:i4>
      </vt:variant>
      <vt:variant>
        <vt:i4>33</vt:i4>
      </vt:variant>
      <vt:variant>
        <vt:i4>0</vt:i4>
      </vt:variant>
      <vt:variant>
        <vt:i4>5</vt:i4>
      </vt:variant>
      <vt:variant>
        <vt:lpwstr>http://www.nevo.co.il/case/415304</vt:lpwstr>
      </vt:variant>
      <vt:variant>
        <vt:lpwstr/>
      </vt:variant>
      <vt:variant>
        <vt:i4>4128887</vt:i4>
      </vt:variant>
      <vt:variant>
        <vt:i4>30</vt:i4>
      </vt:variant>
      <vt:variant>
        <vt:i4>0</vt:i4>
      </vt:variant>
      <vt:variant>
        <vt:i4>5</vt:i4>
      </vt:variant>
      <vt:variant>
        <vt:lpwstr>http://www.nevo.co.il/case/17941065</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6619233</vt:i4>
      </vt:variant>
      <vt:variant>
        <vt:i4>15</vt:i4>
      </vt:variant>
      <vt:variant>
        <vt:i4>0</vt:i4>
      </vt:variant>
      <vt:variant>
        <vt:i4>5</vt:i4>
      </vt:variant>
      <vt:variant>
        <vt:lpwstr>http://www.nevo.co.il/law/70301/40c</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2025-04-22T23:02:00Z</dcterms:created>
  <dcterms:modified xsi:type="dcterms:W3CDTF">2025-04-22T23:02:00Z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53049</vt:lpwstr>
  </property>
  <property fmtid="{D5CDD505-2E9C-101B-9397-08002B2CF9AE}" pid="6" name="NEWPARTB">
    <vt:lpwstr>03</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שמעון ינון טובול</vt:lpwstr>
  </property>
  <property fmtid="{D5CDD505-2E9C-101B-9397-08002B2CF9AE}" pid="10" name="LAWYER">
    <vt:lpwstr>גבריאל טרונישווילי</vt:lpwstr>
  </property>
  <property fmtid="{D5CDD505-2E9C-101B-9397-08002B2CF9AE}" pid="11" name="JUDGE">
    <vt:lpwstr>יצחק שמעוני</vt:lpwstr>
  </property>
  <property fmtid="{D5CDD505-2E9C-101B-9397-08002B2CF9AE}" pid="12" name="CITY">
    <vt:lpwstr>י-ם</vt:lpwstr>
  </property>
  <property fmtid="{D5CDD505-2E9C-101B-9397-08002B2CF9AE}" pid="13" name="DATE">
    <vt:lpwstr>20170719</vt:lpwstr>
  </property>
  <property fmtid="{D5CDD505-2E9C-101B-9397-08002B2CF9AE}" pid="14" name="TYPE_N_DATE">
    <vt:lpwstr>38020170719</vt:lpwstr>
  </property>
  <property fmtid="{D5CDD505-2E9C-101B-9397-08002B2CF9AE}" pid="15" name="CASESLISTTMP1">
    <vt:lpwstr>17941065;415304;5738373;5605484;5718884;2389826;6870343;13072540;20845381;20205876;13102284;22038127</vt:lpwstr>
  </property>
  <property fmtid="{D5CDD505-2E9C-101B-9397-08002B2CF9AE}" pid="16" name="CASENOTES1">
    <vt:lpwstr>ProcID=174;133;209&amp;PartA=7878&amp;PartC=02</vt:lpwstr>
  </property>
  <property fmtid="{D5CDD505-2E9C-101B-9397-08002B2CF9AE}" pid="17" name="CASENOTES2">
    <vt:lpwstr>ProcID=209&amp;PartA=3298&amp;PartC=07</vt:lpwstr>
  </property>
  <property fmtid="{D5CDD505-2E9C-101B-9397-08002B2CF9AE}" pid="18" name="CASENOTES3">
    <vt:lpwstr>ProcID=209&amp;PartA=7065&amp;PartC=08</vt:lpwstr>
  </property>
  <property fmtid="{D5CDD505-2E9C-101B-9397-08002B2CF9AE}" pid="19" name="WORDNUMPAGES">
    <vt:lpwstr>7</vt:lpwstr>
  </property>
  <property fmtid="{D5CDD505-2E9C-101B-9397-08002B2CF9AE}" pid="20" name="TYPE_ABS_DATE">
    <vt:lpwstr>380020170719</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ISABSTRACT">
    <vt:lpwstr>Y</vt:lpwstr>
  </property>
  <property fmtid="{D5CDD505-2E9C-101B-9397-08002B2CF9AE}" pid="39" name="LAWLISTTMP1">
    <vt:lpwstr>4216/013;019a</vt:lpwstr>
  </property>
  <property fmtid="{D5CDD505-2E9C-101B-9397-08002B2CF9AE}" pid="40" name="LAWLISTTMP2">
    <vt:lpwstr>70301/040b;040c;040d</vt:lpwstr>
  </property>
</Properties>
</file>