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A6873" w14:textId="77777777" w:rsidR="007D7633" w:rsidRPr="009E5504" w:rsidRDefault="007D7633">
      <w:pPr>
        <w:pStyle w:val="a3"/>
        <w:jc w:val="center"/>
        <w:rPr>
          <w:rFonts w:cs="FrankRuehl"/>
          <w:sz w:val="28"/>
          <w:szCs w:val="28"/>
          <w:rtl/>
        </w:rPr>
      </w:pPr>
      <w:bookmarkStart w:id="0" w:name="LastJudge"/>
    </w:p>
    <w:tbl>
      <w:tblPr>
        <w:bidiVisual/>
        <w:tblW w:w="0" w:type="auto"/>
        <w:jc w:val="center"/>
        <w:tblLook w:val="0000" w:firstRow="0" w:lastRow="0" w:firstColumn="0" w:lastColumn="0" w:noHBand="0" w:noVBand="0"/>
      </w:tblPr>
      <w:tblGrid>
        <w:gridCol w:w="5058"/>
        <w:gridCol w:w="3663"/>
      </w:tblGrid>
      <w:tr w:rsidR="007D7633" w:rsidRPr="009E5504" w14:paraId="4972740A" w14:textId="77777777">
        <w:trPr>
          <w:trHeight w:hRule="exact" w:val="418"/>
          <w:jc w:val="center"/>
        </w:trPr>
        <w:tc>
          <w:tcPr>
            <w:tcW w:w="8861" w:type="dxa"/>
            <w:gridSpan w:val="2"/>
          </w:tcPr>
          <w:p w14:paraId="22F5C425" w14:textId="77777777" w:rsidR="007D7633" w:rsidRPr="009E5504" w:rsidRDefault="009E5504">
            <w:pPr>
              <w:pStyle w:val="a3"/>
              <w:jc w:val="center"/>
              <w:rPr>
                <w:rFonts w:ascii="Tahoma" w:hAnsi="Tahoma" w:cs="Tahoma"/>
                <w:color w:val="000080"/>
                <w:rtl/>
              </w:rPr>
            </w:pPr>
            <w:r w:rsidRPr="009E5504">
              <w:rPr>
                <w:rFonts w:ascii="Tahoma" w:hAnsi="Tahoma" w:cs="Tahoma"/>
                <w:b/>
                <w:bCs/>
                <w:color w:val="000080"/>
                <w:rtl/>
              </w:rPr>
              <w:t>בית משפט השלום בקריות</w:t>
            </w:r>
          </w:p>
        </w:tc>
      </w:tr>
      <w:tr w:rsidR="007D7633" w:rsidRPr="009E5504" w14:paraId="614D4C16" w14:textId="77777777">
        <w:trPr>
          <w:trHeight w:val="337"/>
          <w:jc w:val="center"/>
        </w:trPr>
        <w:tc>
          <w:tcPr>
            <w:tcW w:w="5131" w:type="dxa"/>
          </w:tcPr>
          <w:p w14:paraId="46DA911A" w14:textId="77777777" w:rsidR="007D7633" w:rsidRPr="009E5504" w:rsidRDefault="009E5504">
            <w:pPr>
              <w:rPr>
                <w:rFonts w:cs="FrankRuehl"/>
                <w:sz w:val="28"/>
                <w:szCs w:val="28"/>
                <w:rtl/>
              </w:rPr>
            </w:pPr>
            <w:r w:rsidRPr="009E5504">
              <w:rPr>
                <w:rFonts w:cs="FrankRuehl"/>
                <w:sz w:val="28"/>
                <w:szCs w:val="28"/>
                <w:rtl/>
              </w:rPr>
              <w:t>ת"פ</w:t>
            </w:r>
            <w:r w:rsidRPr="009E5504">
              <w:rPr>
                <w:rFonts w:cs="FrankRuehl" w:hint="cs"/>
                <w:sz w:val="28"/>
                <w:szCs w:val="28"/>
                <w:rtl/>
              </w:rPr>
              <w:t xml:space="preserve"> </w:t>
            </w:r>
            <w:r w:rsidRPr="009E5504">
              <w:rPr>
                <w:rFonts w:cs="FrankRuehl"/>
                <w:sz w:val="28"/>
                <w:szCs w:val="28"/>
                <w:rtl/>
              </w:rPr>
              <w:t>61380-03-16</w:t>
            </w:r>
            <w:r w:rsidRPr="009E5504">
              <w:rPr>
                <w:rFonts w:cs="FrankRuehl" w:hint="cs"/>
                <w:sz w:val="28"/>
                <w:szCs w:val="28"/>
                <w:rtl/>
              </w:rPr>
              <w:t xml:space="preserve"> </w:t>
            </w:r>
            <w:r w:rsidRPr="009E5504">
              <w:rPr>
                <w:rFonts w:cs="FrankRuehl"/>
                <w:sz w:val="28"/>
                <w:szCs w:val="28"/>
                <w:rtl/>
              </w:rPr>
              <w:t>פרקליטות מחוז חיפה - פלילי נ' סמעון(עציר)</w:t>
            </w:r>
          </w:p>
          <w:p w14:paraId="49FD7ABF" w14:textId="77777777" w:rsidR="007D7633" w:rsidRPr="009E5504" w:rsidRDefault="007D7633">
            <w:pPr>
              <w:pStyle w:val="a3"/>
              <w:rPr>
                <w:rFonts w:cs="FrankRuehl"/>
                <w:sz w:val="28"/>
                <w:szCs w:val="28"/>
                <w:rtl/>
              </w:rPr>
            </w:pPr>
          </w:p>
        </w:tc>
        <w:tc>
          <w:tcPr>
            <w:tcW w:w="3730" w:type="dxa"/>
          </w:tcPr>
          <w:p w14:paraId="1C5AC53C" w14:textId="77777777" w:rsidR="007D7633" w:rsidRPr="009E5504" w:rsidRDefault="007D7633">
            <w:pPr>
              <w:pStyle w:val="a3"/>
              <w:jc w:val="right"/>
              <w:rPr>
                <w:rFonts w:cs="FrankRuehl"/>
                <w:sz w:val="28"/>
                <w:szCs w:val="28"/>
                <w:rtl/>
              </w:rPr>
            </w:pPr>
          </w:p>
        </w:tc>
      </w:tr>
    </w:tbl>
    <w:p w14:paraId="6D6CD828" w14:textId="77777777" w:rsidR="007D7633" w:rsidRPr="009E5504" w:rsidRDefault="009E5504">
      <w:pPr>
        <w:pStyle w:val="a3"/>
        <w:rPr>
          <w:rtl/>
        </w:rPr>
      </w:pPr>
      <w:r w:rsidRPr="009E5504">
        <w:rPr>
          <w:rFonts w:hint="cs"/>
          <w:rtl/>
        </w:rPr>
        <w:t xml:space="preserve"> </w:t>
      </w:r>
    </w:p>
    <w:p w14:paraId="03AD7384" w14:textId="77777777" w:rsidR="007D7633" w:rsidRPr="009E5504" w:rsidRDefault="007D763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D7633" w:rsidRPr="009E5504" w14:paraId="6EBFB412" w14:textId="77777777">
        <w:trPr>
          <w:trHeight w:val="295"/>
          <w:jc w:val="center"/>
        </w:trPr>
        <w:tc>
          <w:tcPr>
            <w:tcW w:w="923" w:type="dxa"/>
            <w:tcBorders>
              <w:top w:val="nil"/>
              <w:left w:val="nil"/>
              <w:bottom w:val="nil"/>
              <w:right w:val="nil"/>
            </w:tcBorders>
            <w:shd w:val="clear" w:color="auto" w:fill="auto"/>
          </w:tcPr>
          <w:p w14:paraId="30354188" w14:textId="77777777" w:rsidR="007D7633" w:rsidRPr="009E5504" w:rsidRDefault="009E5504">
            <w:pPr>
              <w:jc w:val="both"/>
              <w:rPr>
                <w:rFonts w:ascii="Arial" w:hAnsi="Arial"/>
                <w:b/>
                <w:bCs/>
                <w:sz w:val="28"/>
                <w:szCs w:val="28"/>
              </w:rPr>
            </w:pPr>
            <w:r w:rsidRPr="009E5504">
              <w:rPr>
                <w:rFonts w:ascii="Arial" w:hAnsi="Arial" w:hint="cs"/>
                <w:b/>
                <w:bCs/>
                <w:sz w:val="28"/>
                <w:szCs w:val="28"/>
                <w:rtl/>
              </w:rPr>
              <w:t>ל</w:t>
            </w:r>
            <w:r w:rsidRPr="009E5504">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61FC930" w14:textId="77777777" w:rsidR="007D7633" w:rsidRPr="009E5504" w:rsidRDefault="009E5504">
            <w:pPr>
              <w:rPr>
                <w:rFonts w:ascii="Arial" w:hAnsi="Arial"/>
                <w:b/>
                <w:bCs/>
                <w:rtl/>
              </w:rPr>
            </w:pPr>
            <w:r w:rsidRPr="009E5504">
              <w:rPr>
                <w:rFonts w:ascii="Arial" w:hAnsi="Arial" w:hint="cs"/>
                <w:b/>
                <w:bCs/>
                <w:rtl/>
              </w:rPr>
              <w:t>כבוד ה</w:t>
            </w:r>
            <w:r w:rsidRPr="009E5504">
              <w:rPr>
                <w:rFonts w:hint="cs"/>
                <w:b/>
                <w:bCs/>
                <w:rtl/>
              </w:rPr>
              <w:t>שופט</w:t>
            </w:r>
            <w:r w:rsidRPr="009E5504">
              <w:rPr>
                <w:rFonts w:ascii="Arial" w:hAnsi="Arial" w:hint="cs"/>
                <w:b/>
                <w:bCs/>
                <w:rtl/>
              </w:rPr>
              <w:t xml:space="preserve">  </w:t>
            </w:r>
            <w:r w:rsidRPr="009E5504">
              <w:rPr>
                <w:rFonts w:hint="cs"/>
                <w:b/>
                <w:bCs/>
                <w:rtl/>
              </w:rPr>
              <w:t>מוחמד עלי</w:t>
            </w:r>
          </w:p>
          <w:p w14:paraId="0C75F48E" w14:textId="77777777" w:rsidR="007D7633" w:rsidRPr="009E5504" w:rsidRDefault="007D7633">
            <w:pPr>
              <w:rPr>
                <w:b/>
                <w:bCs/>
                <w:rtl/>
              </w:rPr>
            </w:pPr>
          </w:p>
          <w:p w14:paraId="2433B551" w14:textId="77777777" w:rsidR="007D7633" w:rsidRPr="009E5504" w:rsidRDefault="007D7633">
            <w:pPr>
              <w:jc w:val="both"/>
              <w:rPr>
                <w:rFonts w:ascii="Arial" w:hAnsi="Arial"/>
                <w:b/>
                <w:bCs/>
                <w:sz w:val="28"/>
                <w:szCs w:val="28"/>
              </w:rPr>
            </w:pPr>
          </w:p>
        </w:tc>
      </w:tr>
      <w:tr w:rsidR="007D7633" w:rsidRPr="009E5504" w14:paraId="520669D0" w14:textId="77777777">
        <w:trPr>
          <w:trHeight w:val="355"/>
          <w:jc w:val="center"/>
        </w:trPr>
        <w:tc>
          <w:tcPr>
            <w:tcW w:w="923" w:type="dxa"/>
            <w:tcBorders>
              <w:top w:val="nil"/>
              <w:left w:val="nil"/>
              <w:bottom w:val="nil"/>
              <w:right w:val="nil"/>
            </w:tcBorders>
            <w:shd w:val="clear" w:color="auto" w:fill="auto"/>
          </w:tcPr>
          <w:p w14:paraId="4B6C19F7" w14:textId="77777777" w:rsidR="007D7633" w:rsidRPr="009E5504" w:rsidRDefault="009E5504">
            <w:pPr>
              <w:jc w:val="both"/>
              <w:rPr>
                <w:rFonts w:ascii="Arial" w:hAnsi="Arial"/>
                <w:b/>
                <w:bCs/>
                <w:sz w:val="28"/>
                <w:szCs w:val="28"/>
              </w:rPr>
            </w:pPr>
            <w:bookmarkStart w:id="1" w:name="FirstAppellant"/>
            <w:r w:rsidRPr="009E5504">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D2CE34A" w14:textId="77777777" w:rsidR="007D7633" w:rsidRPr="009E5504" w:rsidRDefault="009E5504">
            <w:pPr>
              <w:rPr>
                <w:b/>
                <w:bCs/>
              </w:rPr>
            </w:pPr>
            <w:r w:rsidRPr="009E5504">
              <w:rPr>
                <w:rFonts w:hint="cs"/>
                <w:b/>
                <w:bCs/>
                <w:rtl/>
              </w:rPr>
              <w:t>פרקליטות מחוז חיפה - פלילי</w:t>
            </w:r>
          </w:p>
        </w:tc>
        <w:tc>
          <w:tcPr>
            <w:tcW w:w="3771" w:type="dxa"/>
            <w:tcBorders>
              <w:top w:val="nil"/>
              <w:left w:val="nil"/>
              <w:bottom w:val="nil"/>
              <w:right w:val="nil"/>
            </w:tcBorders>
            <w:shd w:val="clear" w:color="auto" w:fill="auto"/>
          </w:tcPr>
          <w:p w14:paraId="0E183719" w14:textId="77777777" w:rsidR="007D7633" w:rsidRPr="009E5504" w:rsidRDefault="007D7633">
            <w:pPr>
              <w:jc w:val="both"/>
              <w:rPr>
                <w:rFonts w:ascii="Arial" w:hAnsi="Arial"/>
                <w:b/>
                <w:bCs/>
                <w:sz w:val="28"/>
                <w:szCs w:val="28"/>
              </w:rPr>
            </w:pPr>
          </w:p>
        </w:tc>
      </w:tr>
      <w:bookmarkEnd w:id="1"/>
      <w:tr w:rsidR="007D7633" w:rsidRPr="009E5504" w14:paraId="439E3925" w14:textId="77777777">
        <w:trPr>
          <w:trHeight w:val="355"/>
          <w:jc w:val="center"/>
        </w:trPr>
        <w:tc>
          <w:tcPr>
            <w:tcW w:w="923" w:type="dxa"/>
            <w:tcBorders>
              <w:top w:val="nil"/>
              <w:left w:val="nil"/>
              <w:bottom w:val="nil"/>
              <w:right w:val="nil"/>
            </w:tcBorders>
            <w:shd w:val="clear" w:color="auto" w:fill="auto"/>
          </w:tcPr>
          <w:p w14:paraId="5B161F16" w14:textId="77777777" w:rsidR="007D7633" w:rsidRPr="009E5504" w:rsidRDefault="007D7633">
            <w:pPr>
              <w:jc w:val="both"/>
              <w:rPr>
                <w:rFonts w:ascii="Arial" w:hAnsi="Arial"/>
                <w:b/>
                <w:bCs/>
                <w:sz w:val="28"/>
                <w:szCs w:val="28"/>
                <w:rtl/>
              </w:rPr>
            </w:pPr>
          </w:p>
        </w:tc>
        <w:tc>
          <w:tcPr>
            <w:tcW w:w="4126" w:type="dxa"/>
            <w:tcBorders>
              <w:top w:val="nil"/>
              <w:left w:val="nil"/>
              <w:bottom w:val="nil"/>
              <w:right w:val="nil"/>
            </w:tcBorders>
            <w:shd w:val="clear" w:color="auto" w:fill="auto"/>
          </w:tcPr>
          <w:p w14:paraId="7AB3769D" w14:textId="77777777" w:rsidR="007D7633" w:rsidRPr="009E5504" w:rsidRDefault="007D7633">
            <w:pPr>
              <w:jc w:val="both"/>
              <w:rPr>
                <w:b/>
                <w:bCs/>
                <w:rtl/>
              </w:rPr>
            </w:pPr>
          </w:p>
        </w:tc>
        <w:tc>
          <w:tcPr>
            <w:tcW w:w="3771" w:type="dxa"/>
            <w:tcBorders>
              <w:top w:val="nil"/>
              <w:left w:val="nil"/>
              <w:bottom w:val="nil"/>
              <w:right w:val="nil"/>
            </w:tcBorders>
            <w:shd w:val="clear" w:color="auto" w:fill="auto"/>
          </w:tcPr>
          <w:p w14:paraId="51DA6D41" w14:textId="77777777" w:rsidR="007D7633" w:rsidRPr="009E5504" w:rsidRDefault="009E5504">
            <w:pPr>
              <w:jc w:val="right"/>
              <w:rPr>
                <w:rFonts w:ascii="Arial" w:hAnsi="Arial"/>
                <w:b/>
                <w:bCs/>
                <w:sz w:val="28"/>
                <w:szCs w:val="28"/>
                <w:rtl/>
              </w:rPr>
            </w:pPr>
            <w:r w:rsidRPr="009E5504">
              <w:rPr>
                <w:rFonts w:ascii="Arial" w:hAnsi="Arial" w:hint="cs"/>
                <w:b/>
                <w:bCs/>
                <w:sz w:val="28"/>
                <w:szCs w:val="28"/>
                <w:rtl/>
              </w:rPr>
              <w:t>ה</w:t>
            </w:r>
            <w:r w:rsidRPr="009E5504">
              <w:rPr>
                <w:rFonts w:hint="cs"/>
                <w:b/>
                <w:bCs/>
                <w:rtl/>
              </w:rPr>
              <w:t>מאשימה</w:t>
            </w:r>
          </w:p>
        </w:tc>
      </w:tr>
      <w:tr w:rsidR="007D7633" w:rsidRPr="009E5504" w14:paraId="5392518B" w14:textId="77777777">
        <w:trPr>
          <w:trHeight w:val="355"/>
          <w:jc w:val="center"/>
        </w:trPr>
        <w:tc>
          <w:tcPr>
            <w:tcW w:w="923" w:type="dxa"/>
            <w:tcBorders>
              <w:top w:val="nil"/>
              <w:left w:val="nil"/>
              <w:bottom w:val="nil"/>
              <w:right w:val="nil"/>
            </w:tcBorders>
            <w:shd w:val="clear" w:color="auto" w:fill="auto"/>
          </w:tcPr>
          <w:p w14:paraId="280314D0" w14:textId="77777777" w:rsidR="007D7633" w:rsidRPr="009E5504" w:rsidRDefault="007D7633">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19423746" w14:textId="77777777" w:rsidR="007D7633" w:rsidRPr="009E5504" w:rsidRDefault="007D7633">
            <w:pPr>
              <w:jc w:val="center"/>
              <w:rPr>
                <w:rFonts w:ascii="Arial" w:hAnsi="Arial"/>
                <w:b/>
                <w:bCs/>
                <w:sz w:val="28"/>
                <w:szCs w:val="28"/>
                <w:rtl/>
              </w:rPr>
            </w:pPr>
          </w:p>
          <w:p w14:paraId="1C4F2564" w14:textId="77777777" w:rsidR="007D7633" w:rsidRPr="009E5504" w:rsidRDefault="009E5504">
            <w:pPr>
              <w:jc w:val="center"/>
              <w:rPr>
                <w:rFonts w:ascii="Arial" w:hAnsi="Arial" w:hint="cs"/>
                <w:b/>
                <w:bCs/>
                <w:sz w:val="28"/>
                <w:szCs w:val="28"/>
                <w:rtl/>
              </w:rPr>
            </w:pPr>
            <w:r w:rsidRPr="009E5504">
              <w:rPr>
                <w:rFonts w:ascii="Arial" w:hAnsi="Arial"/>
                <w:b/>
                <w:bCs/>
                <w:sz w:val="28"/>
                <w:szCs w:val="28"/>
                <w:rtl/>
              </w:rPr>
              <w:t>נגד</w:t>
            </w:r>
            <w:r w:rsidR="005F0BB7">
              <w:rPr>
                <w:rFonts w:ascii="Arial" w:hAnsi="Arial" w:hint="cs"/>
                <w:b/>
                <w:bCs/>
                <w:sz w:val="28"/>
                <w:szCs w:val="28"/>
                <w:rtl/>
              </w:rPr>
              <w:t xml:space="preserve"> </w:t>
            </w:r>
            <w:r w:rsidR="007457B9">
              <w:rPr>
                <w:rFonts w:ascii="Arial" w:hAnsi="Arial" w:hint="cs"/>
                <w:b/>
                <w:bCs/>
                <w:sz w:val="28"/>
                <w:szCs w:val="28"/>
                <w:rtl/>
              </w:rPr>
              <w:t xml:space="preserve"> </w:t>
            </w:r>
          </w:p>
          <w:p w14:paraId="235A2035" w14:textId="77777777" w:rsidR="007D7633" w:rsidRPr="009E5504" w:rsidRDefault="007D7633">
            <w:pPr>
              <w:jc w:val="both"/>
              <w:rPr>
                <w:rFonts w:ascii="Arial" w:hAnsi="Arial"/>
                <w:b/>
                <w:bCs/>
                <w:sz w:val="28"/>
                <w:szCs w:val="28"/>
              </w:rPr>
            </w:pPr>
          </w:p>
        </w:tc>
      </w:tr>
      <w:tr w:rsidR="007D7633" w:rsidRPr="009E5504" w14:paraId="1EB58477" w14:textId="77777777">
        <w:trPr>
          <w:trHeight w:val="355"/>
          <w:jc w:val="center"/>
        </w:trPr>
        <w:tc>
          <w:tcPr>
            <w:tcW w:w="923" w:type="dxa"/>
            <w:tcBorders>
              <w:top w:val="nil"/>
              <w:left w:val="nil"/>
              <w:bottom w:val="nil"/>
              <w:right w:val="nil"/>
            </w:tcBorders>
            <w:shd w:val="clear" w:color="auto" w:fill="auto"/>
          </w:tcPr>
          <w:p w14:paraId="2F4F157E" w14:textId="77777777" w:rsidR="007D7633" w:rsidRPr="009E5504" w:rsidRDefault="007D7633">
            <w:pPr>
              <w:rPr>
                <w:rFonts w:ascii="Arial" w:hAnsi="Arial"/>
                <w:b/>
                <w:bCs/>
                <w:sz w:val="28"/>
                <w:szCs w:val="28"/>
                <w:rtl/>
              </w:rPr>
            </w:pPr>
          </w:p>
        </w:tc>
        <w:tc>
          <w:tcPr>
            <w:tcW w:w="4126" w:type="dxa"/>
            <w:tcBorders>
              <w:top w:val="nil"/>
              <w:left w:val="nil"/>
              <w:bottom w:val="nil"/>
              <w:right w:val="nil"/>
            </w:tcBorders>
            <w:shd w:val="clear" w:color="auto" w:fill="auto"/>
          </w:tcPr>
          <w:p w14:paraId="07F84E01" w14:textId="77777777" w:rsidR="007D7633" w:rsidRPr="009E5504" w:rsidRDefault="009E5504">
            <w:pPr>
              <w:rPr>
                <w:b/>
                <w:bCs/>
                <w:rtl/>
              </w:rPr>
            </w:pPr>
            <w:r w:rsidRPr="009E5504">
              <w:rPr>
                <w:rFonts w:hint="cs"/>
                <w:b/>
                <w:bCs/>
                <w:rtl/>
              </w:rPr>
              <w:t>זנבה סמעון (עציר)</w:t>
            </w:r>
          </w:p>
        </w:tc>
        <w:tc>
          <w:tcPr>
            <w:tcW w:w="3771" w:type="dxa"/>
            <w:tcBorders>
              <w:top w:val="nil"/>
              <w:left w:val="nil"/>
              <w:bottom w:val="nil"/>
              <w:right w:val="nil"/>
            </w:tcBorders>
            <w:shd w:val="clear" w:color="auto" w:fill="auto"/>
          </w:tcPr>
          <w:p w14:paraId="5BD53DED" w14:textId="77777777" w:rsidR="007D7633" w:rsidRPr="009E5504" w:rsidRDefault="007D7633">
            <w:pPr>
              <w:jc w:val="right"/>
              <w:rPr>
                <w:rFonts w:ascii="Arial" w:hAnsi="Arial"/>
                <w:b/>
                <w:bCs/>
                <w:sz w:val="28"/>
                <w:szCs w:val="28"/>
              </w:rPr>
            </w:pPr>
          </w:p>
        </w:tc>
      </w:tr>
      <w:tr w:rsidR="007D7633" w:rsidRPr="009E5504" w14:paraId="37164576" w14:textId="77777777">
        <w:trPr>
          <w:trHeight w:val="355"/>
          <w:jc w:val="center"/>
        </w:trPr>
        <w:tc>
          <w:tcPr>
            <w:tcW w:w="923" w:type="dxa"/>
            <w:tcBorders>
              <w:top w:val="nil"/>
              <w:left w:val="nil"/>
              <w:bottom w:val="nil"/>
              <w:right w:val="nil"/>
            </w:tcBorders>
            <w:shd w:val="clear" w:color="auto" w:fill="auto"/>
          </w:tcPr>
          <w:p w14:paraId="34A79B21" w14:textId="77777777" w:rsidR="007D7633" w:rsidRPr="009E5504" w:rsidRDefault="007D7633">
            <w:pPr>
              <w:jc w:val="both"/>
              <w:rPr>
                <w:rFonts w:ascii="Arial" w:hAnsi="Arial"/>
                <w:b/>
                <w:bCs/>
                <w:sz w:val="28"/>
                <w:szCs w:val="28"/>
                <w:rtl/>
              </w:rPr>
            </w:pPr>
          </w:p>
        </w:tc>
        <w:tc>
          <w:tcPr>
            <w:tcW w:w="4126" w:type="dxa"/>
            <w:tcBorders>
              <w:top w:val="nil"/>
              <w:left w:val="nil"/>
              <w:bottom w:val="nil"/>
              <w:right w:val="nil"/>
            </w:tcBorders>
            <w:shd w:val="clear" w:color="auto" w:fill="auto"/>
          </w:tcPr>
          <w:p w14:paraId="1CF708EC" w14:textId="77777777" w:rsidR="007D7633" w:rsidRPr="009E5504" w:rsidRDefault="007D7633">
            <w:pPr>
              <w:jc w:val="both"/>
              <w:rPr>
                <w:b/>
                <w:bCs/>
                <w:rtl/>
              </w:rPr>
            </w:pPr>
          </w:p>
        </w:tc>
        <w:tc>
          <w:tcPr>
            <w:tcW w:w="3771" w:type="dxa"/>
            <w:tcBorders>
              <w:top w:val="nil"/>
              <w:left w:val="nil"/>
              <w:bottom w:val="nil"/>
              <w:right w:val="nil"/>
            </w:tcBorders>
            <w:shd w:val="clear" w:color="auto" w:fill="auto"/>
          </w:tcPr>
          <w:p w14:paraId="4C1E0799" w14:textId="77777777" w:rsidR="007D7633" w:rsidRPr="009E5504" w:rsidRDefault="009E5504">
            <w:pPr>
              <w:jc w:val="right"/>
              <w:rPr>
                <w:rFonts w:ascii="Arial" w:hAnsi="Arial"/>
                <w:b/>
                <w:bCs/>
                <w:sz w:val="28"/>
                <w:szCs w:val="28"/>
              </w:rPr>
            </w:pPr>
            <w:r w:rsidRPr="009E5504">
              <w:rPr>
                <w:rFonts w:ascii="Arial" w:hAnsi="Arial" w:hint="cs"/>
                <w:b/>
                <w:bCs/>
                <w:sz w:val="28"/>
                <w:szCs w:val="28"/>
                <w:rtl/>
              </w:rPr>
              <w:t>ה</w:t>
            </w:r>
            <w:r w:rsidRPr="009E5504">
              <w:rPr>
                <w:rFonts w:hint="cs"/>
                <w:b/>
                <w:bCs/>
                <w:rtl/>
              </w:rPr>
              <w:t>נאשם</w:t>
            </w:r>
          </w:p>
        </w:tc>
      </w:tr>
    </w:tbl>
    <w:p w14:paraId="6C738147" w14:textId="77777777" w:rsidR="005F0BB7" w:rsidRDefault="005F0BB7">
      <w:pPr>
        <w:rPr>
          <w:rtl/>
        </w:rPr>
      </w:pPr>
      <w:bookmarkStart w:id="2" w:name="LawTable"/>
      <w:bookmarkEnd w:id="2"/>
    </w:p>
    <w:p w14:paraId="26337096" w14:textId="77777777" w:rsidR="005F0BB7" w:rsidRPr="005F0BB7" w:rsidRDefault="005F0BB7" w:rsidP="005F0BB7">
      <w:pPr>
        <w:spacing w:after="120" w:line="240" w:lineRule="exact"/>
        <w:ind w:left="283" w:hanging="283"/>
        <w:jc w:val="both"/>
        <w:rPr>
          <w:rFonts w:ascii="FrankRuehl" w:hAnsi="FrankRuehl" w:cs="FrankRuehl"/>
          <w:rtl/>
        </w:rPr>
      </w:pPr>
    </w:p>
    <w:p w14:paraId="1E7304A2" w14:textId="77777777" w:rsidR="005F0BB7" w:rsidRPr="005F0BB7" w:rsidRDefault="005F0BB7" w:rsidP="005F0BB7">
      <w:pPr>
        <w:spacing w:after="120" w:line="240" w:lineRule="exact"/>
        <w:ind w:left="283" w:hanging="283"/>
        <w:jc w:val="both"/>
        <w:rPr>
          <w:rFonts w:ascii="FrankRuehl" w:hAnsi="FrankRuehl" w:cs="FrankRuehl"/>
          <w:rtl/>
        </w:rPr>
      </w:pPr>
      <w:r w:rsidRPr="005F0BB7">
        <w:rPr>
          <w:rFonts w:ascii="FrankRuehl" w:hAnsi="FrankRuehl" w:cs="FrankRuehl"/>
          <w:rtl/>
        </w:rPr>
        <w:t xml:space="preserve">חקיקה שאוזכרה: </w:t>
      </w:r>
    </w:p>
    <w:p w14:paraId="3D858209" w14:textId="77777777" w:rsidR="005F0BB7" w:rsidRPr="005F0BB7" w:rsidRDefault="005F0BB7" w:rsidP="005F0BB7">
      <w:pPr>
        <w:spacing w:after="120" w:line="240" w:lineRule="exact"/>
        <w:ind w:left="283" w:hanging="283"/>
        <w:jc w:val="both"/>
        <w:rPr>
          <w:rFonts w:ascii="FrankRuehl" w:hAnsi="FrankRuehl" w:cs="FrankRuehl"/>
          <w:rtl/>
        </w:rPr>
      </w:pPr>
      <w:hyperlink r:id="rId7" w:history="1">
        <w:r w:rsidRPr="005F0BB7">
          <w:rPr>
            <w:rFonts w:ascii="FrankRuehl" w:hAnsi="FrankRuehl" w:cs="FrankRuehl"/>
            <w:color w:val="0000FF"/>
            <w:u w:val="single"/>
            <w:rtl/>
          </w:rPr>
          <w:t>פקודת הסמים המסוכנים [נוסח חדש], תשל"ג-1973</w:t>
        </w:r>
      </w:hyperlink>
      <w:r w:rsidRPr="005F0BB7">
        <w:rPr>
          <w:rFonts w:ascii="FrankRuehl" w:hAnsi="FrankRuehl" w:cs="FrankRuehl"/>
          <w:rtl/>
        </w:rPr>
        <w:t xml:space="preserve">: סע'  </w:t>
      </w:r>
      <w:hyperlink r:id="rId8" w:history="1">
        <w:r w:rsidRPr="005F0BB7">
          <w:rPr>
            <w:rFonts w:ascii="FrankRuehl" w:hAnsi="FrankRuehl" w:cs="FrankRuehl"/>
            <w:color w:val="0000FF"/>
            <w:u w:val="single"/>
            <w:rtl/>
          </w:rPr>
          <w:t>7(א)</w:t>
        </w:r>
      </w:hyperlink>
      <w:r w:rsidRPr="005F0BB7">
        <w:rPr>
          <w:rFonts w:ascii="FrankRuehl" w:hAnsi="FrankRuehl" w:cs="FrankRuehl"/>
          <w:rtl/>
        </w:rPr>
        <w:t xml:space="preserve">, </w:t>
      </w:r>
      <w:hyperlink r:id="rId9" w:history="1">
        <w:r w:rsidRPr="005F0BB7">
          <w:rPr>
            <w:rFonts w:ascii="FrankRuehl" w:hAnsi="FrankRuehl" w:cs="FrankRuehl"/>
            <w:color w:val="0000FF"/>
            <w:u w:val="single"/>
            <w:rtl/>
          </w:rPr>
          <w:t>7(ג)</w:t>
        </w:r>
      </w:hyperlink>
    </w:p>
    <w:p w14:paraId="45DA5C2D" w14:textId="77777777" w:rsidR="005F0BB7" w:rsidRPr="005F0BB7" w:rsidRDefault="005F0BB7" w:rsidP="005F0BB7">
      <w:pPr>
        <w:spacing w:after="120" w:line="240" w:lineRule="exact"/>
        <w:ind w:left="283" w:hanging="283"/>
        <w:jc w:val="both"/>
        <w:rPr>
          <w:rFonts w:ascii="FrankRuehl" w:hAnsi="FrankRuehl" w:cs="FrankRuehl"/>
          <w:rtl/>
        </w:rPr>
      </w:pPr>
      <w:hyperlink r:id="rId10" w:history="1">
        <w:r w:rsidRPr="005F0BB7">
          <w:rPr>
            <w:rFonts w:ascii="FrankRuehl" w:hAnsi="FrankRuehl" w:cs="FrankRuehl"/>
            <w:color w:val="0000FF"/>
            <w:u w:val="single"/>
            <w:rtl/>
          </w:rPr>
          <w:t>חוק הגנה על הציבור מפני ביצוע עבירות מין, תשס"ו-2006</w:t>
        </w:r>
      </w:hyperlink>
      <w:r w:rsidRPr="005F0BB7">
        <w:rPr>
          <w:rFonts w:ascii="FrankRuehl" w:hAnsi="FrankRuehl" w:cs="FrankRuehl"/>
          <w:rtl/>
        </w:rPr>
        <w:t xml:space="preserve">: סע'  </w:t>
      </w:r>
      <w:hyperlink r:id="rId11" w:history="1">
        <w:r w:rsidRPr="005F0BB7">
          <w:rPr>
            <w:rFonts w:ascii="FrankRuehl" w:hAnsi="FrankRuehl" w:cs="FrankRuehl"/>
            <w:color w:val="0000FF"/>
            <w:u w:val="single"/>
            <w:rtl/>
          </w:rPr>
          <w:t>22(א)</w:t>
        </w:r>
      </w:hyperlink>
    </w:p>
    <w:p w14:paraId="650EFA12" w14:textId="77777777" w:rsidR="005F0BB7" w:rsidRPr="005F0BB7" w:rsidRDefault="005F0BB7" w:rsidP="005F0BB7">
      <w:pPr>
        <w:spacing w:after="120" w:line="240" w:lineRule="exact"/>
        <w:ind w:left="283" w:hanging="283"/>
        <w:jc w:val="both"/>
        <w:rPr>
          <w:rFonts w:ascii="FrankRuehl" w:hAnsi="FrankRuehl" w:cs="FrankRuehl"/>
          <w:rtl/>
        </w:rPr>
      </w:pPr>
      <w:hyperlink r:id="rId12" w:history="1">
        <w:r w:rsidRPr="005F0BB7">
          <w:rPr>
            <w:rFonts w:ascii="FrankRuehl" w:hAnsi="FrankRuehl" w:cs="FrankRuehl"/>
            <w:color w:val="0000FF"/>
            <w:u w:val="single"/>
            <w:rtl/>
          </w:rPr>
          <w:t>חוק העונשין, תשל"ז-1977</w:t>
        </w:r>
      </w:hyperlink>
      <w:r w:rsidRPr="005F0BB7">
        <w:rPr>
          <w:rFonts w:ascii="FrankRuehl" w:hAnsi="FrankRuehl" w:cs="FrankRuehl"/>
          <w:rtl/>
        </w:rPr>
        <w:t xml:space="preserve">: סע'  </w:t>
      </w:r>
      <w:hyperlink r:id="rId13" w:history="1">
        <w:r w:rsidRPr="005F0BB7">
          <w:rPr>
            <w:rFonts w:ascii="FrankRuehl" w:hAnsi="FrankRuehl" w:cs="FrankRuehl"/>
            <w:color w:val="0000FF"/>
            <w:u w:val="single"/>
            <w:rtl/>
          </w:rPr>
          <w:t>40ג'</w:t>
        </w:r>
      </w:hyperlink>
      <w:r w:rsidRPr="005F0BB7">
        <w:rPr>
          <w:rFonts w:ascii="FrankRuehl" w:hAnsi="FrankRuehl" w:cs="FrankRuehl"/>
          <w:rtl/>
        </w:rPr>
        <w:t xml:space="preserve">, </w:t>
      </w:r>
      <w:hyperlink r:id="rId14" w:history="1">
        <w:r w:rsidRPr="005F0BB7">
          <w:rPr>
            <w:rFonts w:ascii="FrankRuehl" w:hAnsi="FrankRuehl" w:cs="FrankRuehl"/>
            <w:color w:val="0000FF"/>
            <w:u w:val="single"/>
            <w:rtl/>
          </w:rPr>
          <w:t>40ט'</w:t>
        </w:r>
      </w:hyperlink>
      <w:r w:rsidRPr="005F0BB7">
        <w:rPr>
          <w:rFonts w:ascii="FrankRuehl" w:hAnsi="FrankRuehl" w:cs="FrankRuehl"/>
          <w:rtl/>
        </w:rPr>
        <w:t xml:space="preserve">, </w:t>
      </w:r>
      <w:hyperlink r:id="rId15" w:history="1">
        <w:r w:rsidRPr="005F0BB7">
          <w:rPr>
            <w:rFonts w:ascii="FrankRuehl" w:hAnsi="FrankRuehl" w:cs="FrankRuehl"/>
            <w:color w:val="0000FF"/>
            <w:u w:val="single"/>
            <w:rtl/>
          </w:rPr>
          <w:t>379</w:t>
        </w:r>
      </w:hyperlink>
      <w:r w:rsidRPr="005F0BB7">
        <w:rPr>
          <w:rFonts w:ascii="FrankRuehl" w:hAnsi="FrankRuehl" w:cs="FrankRuehl"/>
          <w:rtl/>
        </w:rPr>
        <w:t xml:space="preserve">, </w:t>
      </w:r>
      <w:hyperlink r:id="rId16" w:history="1">
        <w:r w:rsidRPr="005F0BB7">
          <w:rPr>
            <w:rFonts w:ascii="FrankRuehl" w:hAnsi="FrankRuehl" w:cs="FrankRuehl"/>
            <w:color w:val="0000FF"/>
            <w:u w:val="single"/>
            <w:rtl/>
          </w:rPr>
          <w:t>40יא'</w:t>
        </w:r>
      </w:hyperlink>
    </w:p>
    <w:p w14:paraId="0A9C6892" w14:textId="77777777" w:rsidR="005F0BB7" w:rsidRPr="005F0BB7" w:rsidRDefault="005F0BB7" w:rsidP="005F0BB7">
      <w:pPr>
        <w:spacing w:after="120" w:line="240" w:lineRule="exact"/>
        <w:ind w:left="283" w:hanging="283"/>
        <w:jc w:val="both"/>
        <w:rPr>
          <w:rFonts w:ascii="FrankRuehl" w:hAnsi="FrankRuehl" w:cs="FrankRuehl"/>
          <w:rtl/>
        </w:rPr>
      </w:pPr>
      <w:hyperlink r:id="rId17" w:history="1">
        <w:r w:rsidRPr="005F0BB7">
          <w:rPr>
            <w:rFonts w:ascii="FrankRuehl" w:hAnsi="FrankRuehl" w:cs="FrankRuehl"/>
            <w:color w:val="0000FF"/>
            <w:u w:val="single"/>
            <w:rtl/>
          </w:rPr>
          <w:t>חוק הסעד (טיפול באנשים עם מוגבלות שכלית-התפתחותית), תשכ"ט-1969</w:t>
        </w:r>
      </w:hyperlink>
      <w:r w:rsidRPr="005F0BB7">
        <w:rPr>
          <w:rFonts w:ascii="FrankRuehl" w:hAnsi="FrankRuehl" w:cs="FrankRuehl"/>
          <w:rtl/>
        </w:rPr>
        <w:t xml:space="preserve">: סע'  </w:t>
      </w:r>
      <w:hyperlink r:id="rId18" w:history="1">
        <w:r w:rsidRPr="005F0BB7">
          <w:rPr>
            <w:rFonts w:ascii="FrankRuehl" w:hAnsi="FrankRuehl" w:cs="FrankRuehl"/>
            <w:color w:val="0000FF"/>
            <w:u w:val="single"/>
            <w:rtl/>
          </w:rPr>
          <w:t>19א</w:t>
        </w:r>
      </w:hyperlink>
    </w:p>
    <w:p w14:paraId="2D646F53" w14:textId="77777777" w:rsidR="005F0BB7" w:rsidRPr="005F0BB7" w:rsidRDefault="005F0BB7" w:rsidP="005F0BB7">
      <w:pPr>
        <w:spacing w:after="120" w:line="240" w:lineRule="exact"/>
        <w:ind w:left="283" w:hanging="283"/>
        <w:jc w:val="both"/>
        <w:rPr>
          <w:rFonts w:ascii="FrankRuehl" w:hAnsi="FrankRuehl" w:cs="FrankRuehl"/>
          <w:rtl/>
        </w:rPr>
      </w:pPr>
      <w:hyperlink r:id="rId19" w:history="1">
        <w:r w:rsidRPr="005F0BB7">
          <w:rPr>
            <w:rFonts w:ascii="FrankRuehl" w:hAnsi="FrankRuehl" w:cs="FrankRuehl"/>
            <w:color w:val="0000FF"/>
            <w:u w:val="single"/>
            <w:rtl/>
          </w:rPr>
          <w:t>פקודת המבחן [נוסח חדש], תשכ"ט-1969</w:t>
        </w:r>
      </w:hyperlink>
      <w:r w:rsidRPr="005F0BB7">
        <w:rPr>
          <w:rFonts w:ascii="FrankRuehl" w:hAnsi="FrankRuehl" w:cs="FrankRuehl"/>
          <w:rtl/>
        </w:rPr>
        <w:t xml:space="preserve">: סע'  </w:t>
      </w:r>
      <w:hyperlink r:id="rId20" w:history="1">
        <w:r w:rsidRPr="005F0BB7">
          <w:rPr>
            <w:rFonts w:ascii="FrankRuehl" w:hAnsi="FrankRuehl" w:cs="FrankRuehl"/>
            <w:color w:val="0000FF"/>
            <w:u w:val="single"/>
            <w:rtl/>
          </w:rPr>
          <w:t>5</w:t>
        </w:r>
      </w:hyperlink>
      <w:r w:rsidRPr="005F0BB7">
        <w:rPr>
          <w:rFonts w:ascii="FrankRuehl" w:hAnsi="FrankRuehl" w:cs="FrankRuehl"/>
          <w:rtl/>
        </w:rPr>
        <w:t xml:space="preserve">, </w:t>
      </w:r>
      <w:hyperlink r:id="rId21" w:history="1">
        <w:r w:rsidRPr="005F0BB7">
          <w:rPr>
            <w:rFonts w:ascii="FrankRuehl" w:hAnsi="FrankRuehl" w:cs="FrankRuehl"/>
            <w:color w:val="0000FF"/>
            <w:u w:val="single"/>
            <w:rtl/>
          </w:rPr>
          <w:t>6</w:t>
        </w:r>
      </w:hyperlink>
      <w:r w:rsidRPr="005F0BB7">
        <w:rPr>
          <w:rFonts w:ascii="FrankRuehl" w:hAnsi="FrankRuehl" w:cs="FrankRuehl"/>
          <w:rtl/>
        </w:rPr>
        <w:t xml:space="preserve">, </w:t>
      </w:r>
      <w:hyperlink r:id="rId22" w:history="1">
        <w:r w:rsidRPr="005F0BB7">
          <w:rPr>
            <w:rFonts w:ascii="FrankRuehl" w:hAnsi="FrankRuehl" w:cs="FrankRuehl"/>
            <w:color w:val="0000FF"/>
            <w:u w:val="single"/>
            <w:rtl/>
          </w:rPr>
          <w:t>6(ב)</w:t>
        </w:r>
      </w:hyperlink>
    </w:p>
    <w:p w14:paraId="010F852B" w14:textId="77777777" w:rsidR="005F0BB7" w:rsidRPr="005F0BB7" w:rsidRDefault="005F0BB7" w:rsidP="005F0BB7">
      <w:pPr>
        <w:spacing w:after="120" w:line="240" w:lineRule="exact"/>
        <w:ind w:left="283" w:hanging="283"/>
        <w:jc w:val="both"/>
        <w:rPr>
          <w:rFonts w:ascii="FrankRuehl" w:hAnsi="FrankRuehl" w:cs="FrankRuehl"/>
          <w:rtl/>
        </w:rPr>
      </w:pPr>
    </w:p>
    <w:p w14:paraId="4B747712" w14:textId="77777777" w:rsidR="007D7633" w:rsidRPr="009E5504" w:rsidRDefault="007D7633">
      <w:pPr>
        <w:rPr>
          <w:b/>
          <w:b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7633" w14:paraId="7AE9F0EF" w14:textId="77777777">
        <w:trPr>
          <w:trHeight w:val="355"/>
          <w:jc w:val="center"/>
        </w:trPr>
        <w:tc>
          <w:tcPr>
            <w:tcW w:w="8820" w:type="dxa"/>
            <w:tcBorders>
              <w:top w:val="nil"/>
              <w:left w:val="nil"/>
              <w:bottom w:val="nil"/>
              <w:right w:val="nil"/>
            </w:tcBorders>
            <w:shd w:val="clear" w:color="auto" w:fill="auto"/>
          </w:tcPr>
          <w:p w14:paraId="4E08CD13" w14:textId="77777777" w:rsidR="009E5504" w:rsidRPr="009E5504" w:rsidRDefault="009E5504" w:rsidP="009E5504">
            <w:pPr>
              <w:jc w:val="center"/>
              <w:rPr>
                <w:rFonts w:ascii="Arial" w:hAnsi="Arial"/>
                <w:b/>
                <w:bCs/>
                <w:sz w:val="32"/>
                <w:szCs w:val="32"/>
                <w:u w:val="single"/>
                <w:rtl/>
              </w:rPr>
            </w:pPr>
            <w:bookmarkStart w:id="4" w:name="PsakDin" w:colFirst="0" w:colLast="0"/>
            <w:bookmarkEnd w:id="0"/>
            <w:r w:rsidRPr="009E5504">
              <w:rPr>
                <w:rFonts w:ascii="Arial" w:hAnsi="Arial"/>
                <w:b/>
                <w:bCs/>
                <w:sz w:val="32"/>
                <w:szCs w:val="32"/>
                <w:u w:val="single"/>
                <w:rtl/>
              </w:rPr>
              <w:t>גזר דין</w:t>
            </w:r>
          </w:p>
          <w:p w14:paraId="42B0278C" w14:textId="77777777" w:rsidR="007D7633" w:rsidRPr="009E5504" w:rsidRDefault="007D7633" w:rsidP="009E5504">
            <w:pPr>
              <w:jc w:val="center"/>
              <w:rPr>
                <w:rFonts w:ascii="Arial" w:hAnsi="Arial"/>
                <w:bCs/>
                <w:sz w:val="32"/>
                <w:szCs w:val="32"/>
                <w:u w:val="single"/>
                <w:rtl/>
              </w:rPr>
            </w:pPr>
          </w:p>
        </w:tc>
      </w:tr>
      <w:bookmarkEnd w:id="4"/>
    </w:tbl>
    <w:p w14:paraId="7BCD012C" w14:textId="77777777" w:rsidR="007D7633" w:rsidRDefault="007D7633">
      <w:pPr>
        <w:rPr>
          <w:rFonts w:ascii="Arial" w:hAnsi="Arial"/>
          <w:rtl/>
        </w:rPr>
      </w:pPr>
    </w:p>
    <w:p w14:paraId="02B2FB09" w14:textId="77777777" w:rsidR="007D7633" w:rsidRDefault="007D7633">
      <w:pPr>
        <w:rPr>
          <w:rFonts w:ascii="Arial" w:hAnsi="Arial"/>
          <w:rtl/>
        </w:rPr>
      </w:pPr>
    </w:p>
    <w:p w14:paraId="27553A19" w14:textId="77777777" w:rsidR="007D7633" w:rsidRDefault="009E5504">
      <w:pPr>
        <w:rPr>
          <w:b/>
          <w:bCs/>
          <w:rtl/>
        </w:rPr>
      </w:pPr>
      <w:r>
        <w:rPr>
          <w:rFonts w:hint="cs"/>
          <w:b/>
          <w:bCs/>
          <w:rtl/>
        </w:rPr>
        <w:t>הכרעת הדין</w:t>
      </w:r>
    </w:p>
    <w:p w14:paraId="0BA2A2E9" w14:textId="77777777" w:rsidR="007D7633" w:rsidRDefault="007D7633">
      <w:pPr>
        <w:rPr>
          <w:b/>
          <w:bCs/>
          <w:rtl/>
        </w:rPr>
      </w:pPr>
    </w:p>
    <w:p w14:paraId="7950763E" w14:textId="77777777" w:rsidR="007D7633" w:rsidRDefault="007D7633">
      <w:pPr>
        <w:rPr>
          <w:b/>
          <w:bCs/>
          <w:rtl/>
        </w:rPr>
      </w:pPr>
    </w:p>
    <w:p w14:paraId="1ED5322B" w14:textId="77777777" w:rsidR="007D7633" w:rsidRDefault="009E5504">
      <w:pPr>
        <w:numPr>
          <w:ilvl w:val="0"/>
          <w:numId w:val="1"/>
        </w:numPr>
        <w:spacing w:line="360" w:lineRule="auto"/>
        <w:contextualSpacing/>
        <w:jc w:val="both"/>
        <w:rPr>
          <w:rFonts w:cs="Arial"/>
        </w:rPr>
      </w:pPr>
      <w:bookmarkStart w:id="5" w:name="ABSTRACT_START"/>
      <w:bookmarkEnd w:id="5"/>
      <w:r>
        <w:rPr>
          <w:rFonts w:hint="cs"/>
          <w:rtl/>
        </w:rPr>
        <w:t xml:space="preserve">ביום 23.8.16 ניתנה הכרעת דין מפורטת לאחר ניהול הליך של שמיעת ראיות בה הורשע הנאשם בעבירות של שימוש בסם מסוכן לפי </w:t>
      </w:r>
      <w:hyperlink r:id="rId23" w:history="1">
        <w:r w:rsidR="005F0BB7" w:rsidRPr="005F0BB7">
          <w:rPr>
            <w:color w:val="0000FF"/>
            <w:u w:val="single"/>
            <w:rtl/>
          </w:rPr>
          <w:t>סעיף 7(א)</w:t>
        </w:r>
      </w:hyperlink>
      <w:r>
        <w:rPr>
          <w:rFonts w:hint="cs"/>
          <w:rtl/>
        </w:rPr>
        <w:t xml:space="preserve"> בשילוב </w:t>
      </w:r>
      <w:hyperlink r:id="rId24" w:history="1">
        <w:r w:rsidR="005F0BB7" w:rsidRPr="005F0BB7">
          <w:rPr>
            <w:color w:val="0000FF"/>
            <w:u w:val="single"/>
            <w:rtl/>
          </w:rPr>
          <w:t>7(ג)</w:t>
        </w:r>
      </w:hyperlink>
      <w:r>
        <w:rPr>
          <w:rFonts w:hint="cs"/>
          <w:rtl/>
        </w:rPr>
        <w:t xml:space="preserve"> רישא ל</w:t>
      </w:r>
      <w:hyperlink r:id="rId25" w:history="1">
        <w:r w:rsidRPr="009E5504">
          <w:rPr>
            <w:color w:val="0000FF"/>
            <w:u w:val="single"/>
            <w:rtl/>
          </w:rPr>
          <w:t>פקודת הסמים המסוכנים</w:t>
        </w:r>
      </w:hyperlink>
      <w:r>
        <w:rPr>
          <w:rFonts w:hint="cs"/>
          <w:rtl/>
        </w:rPr>
        <w:t xml:space="preserve"> [נוסח חדש], התשל"ג- 1973 (להלן: </w:t>
      </w:r>
      <w:r>
        <w:rPr>
          <w:rFonts w:hint="cs"/>
          <w:b/>
          <w:bCs/>
          <w:rtl/>
        </w:rPr>
        <w:t>פקודת הסמים המסוכנים</w:t>
      </w:r>
      <w:r>
        <w:rPr>
          <w:rFonts w:hint="cs"/>
          <w:rtl/>
        </w:rPr>
        <w:t xml:space="preserve">); הפרת צו פיקוח לפי סעיף </w:t>
      </w:r>
      <w:hyperlink r:id="rId26" w:history="1">
        <w:r w:rsidR="005F0BB7" w:rsidRPr="005F0BB7">
          <w:rPr>
            <w:color w:val="0000FF"/>
            <w:u w:val="single"/>
            <w:rtl/>
          </w:rPr>
          <w:t>22(א)</w:t>
        </w:r>
      </w:hyperlink>
      <w:r>
        <w:rPr>
          <w:rFonts w:hint="cs"/>
          <w:rtl/>
        </w:rPr>
        <w:t xml:space="preserve"> ל</w:t>
      </w:r>
      <w:hyperlink r:id="rId27" w:history="1">
        <w:r w:rsidR="005F0BB7" w:rsidRPr="005F0BB7">
          <w:rPr>
            <w:color w:val="0000FF"/>
            <w:u w:val="single"/>
            <w:rtl/>
          </w:rPr>
          <w:t>חוק הגנה על הציבור מפני עברייני מין, התשס"ו-2006</w:t>
        </w:r>
      </w:hyperlink>
      <w:r>
        <w:rPr>
          <w:rFonts w:hint="cs"/>
          <w:rtl/>
        </w:rPr>
        <w:t xml:space="preserve"> (להלן: </w:t>
      </w:r>
      <w:r>
        <w:rPr>
          <w:rFonts w:hint="cs"/>
          <w:b/>
          <w:bCs/>
          <w:rtl/>
        </w:rPr>
        <w:t>חוק הגנה על הציבור</w:t>
      </w:r>
      <w:r>
        <w:rPr>
          <w:rFonts w:hint="cs"/>
          <w:rtl/>
        </w:rPr>
        <w:t xml:space="preserve">); ותקיפה לפי </w:t>
      </w:r>
      <w:hyperlink r:id="rId28" w:history="1">
        <w:r w:rsidR="005F0BB7" w:rsidRPr="005F0BB7">
          <w:rPr>
            <w:color w:val="0000FF"/>
            <w:u w:val="single"/>
            <w:rtl/>
          </w:rPr>
          <w:t>סעיף 379</w:t>
        </w:r>
      </w:hyperlink>
      <w:r>
        <w:rPr>
          <w:rFonts w:hint="cs"/>
          <w:rtl/>
        </w:rPr>
        <w:t xml:space="preserve"> ל</w:t>
      </w:r>
      <w:hyperlink r:id="rId29" w:history="1">
        <w:r w:rsidRPr="009E5504">
          <w:rPr>
            <w:color w:val="0000FF"/>
            <w:u w:val="single"/>
            <w:rtl/>
          </w:rPr>
          <w:t>חוק העונשין</w:t>
        </w:r>
      </w:hyperlink>
      <w:r>
        <w:rPr>
          <w:rFonts w:hint="cs"/>
          <w:rtl/>
        </w:rPr>
        <w:t xml:space="preserve">, התשל"ז-1977 (להלן: </w:t>
      </w:r>
      <w:r>
        <w:rPr>
          <w:rFonts w:hint="cs"/>
          <w:b/>
          <w:bCs/>
          <w:rtl/>
        </w:rPr>
        <w:t>חוק העונשין</w:t>
      </w:r>
      <w:r>
        <w:rPr>
          <w:rFonts w:hint="cs"/>
          <w:rtl/>
        </w:rPr>
        <w:t>).</w:t>
      </w:r>
    </w:p>
    <w:p w14:paraId="73F26905" w14:textId="77777777" w:rsidR="007D7633" w:rsidRDefault="007D7633">
      <w:pPr>
        <w:spacing w:line="360" w:lineRule="auto"/>
        <w:ind w:left="567"/>
        <w:contextualSpacing/>
        <w:jc w:val="both"/>
      </w:pPr>
      <w:bookmarkStart w:id="6" w:name="ABSTRACT_END"/>
      <w:bookmarkEnd w:id="6"/>
    </w:p>
    <w:p w14:paraId="35B3D702" w14:textId="77777777" w:rsidR="007D7633" w:rsidRDefault="009E5504">
      <w:pPr>
        <w:numPr>
          <w:ilvl w:val="0"/>
          <w:numId w:val="1"/>
        </w:numPr>
        <w:spacing w:line="360" w:lineRule="auto"/>
        <w:contextualSpacing/>
        <w:jc w:val="both"/>
      </w:pPr>
      <w:r>
        <w:rPr>
          <w:rFonts w:hint="cs"/>
          <w:rtl/>
        </w:rPr>
        <w:lastRenderedPageBreak/>
        <w:t xml:space="preserve">המסד העובדתי שבבסיס העבירות בהן הורשע הנאשם הוא כלהלן: ביום 30.3.2014 הטיל בית משפט השלום בקריות על הנאשם במסגרת תיק 36712-07-13 צו פיקוח מכח חוק הגנה על הציבור, שכלל בין היתר תנאי האוסר עליו להשתמש בסמים (להלן: </w:t>
      </w:r>
      <w:r>
        <w:rPr>
          <w:rFonts w:hint="cs"/>
          <w:b/>
          <w:bCs/>
          <w:rtl/>
        </w:rPr>
        <w:t>צו הפיקוח</w:t>
      </w:r>
      <w:r>
        <w:rPr>
          <w:rFonts w:hint="cs"/>
          <w:rtl/>
        </w:rPr>
        <w:t>). על פי העובדות שהוכחו, ביום 21.3.2016 בשעה שאינה ידועה למאשימה השתמש הנאשם בסמים מסוג חשיש, ובכך הפר את צו הפיקוח. עוד נקבע כי ביום 21.3.2016 בשעה 20:00 הלך הנאשם בשד' ורבורג בקרית חיים והבחין במתלוננת כשהיא צועדת לבדה ברחוב. הנאשם החל לרוץ לעבר המתלוננת ותקף אותה בכך שקפץ עליה מאחור, תפס אותה בידיו בצווארה, ותפס אותה ברגליו בגופה. אותה שעה עבר במקום בנסיעה ברכבו מ"א אשר הבחין במתרחש, עצר את הרכב, ירד מן הרכב וצעק על הנאשם שיעזוב את המתלוננת, וכך הנאשם עזב את המתלוננת. בבדיקת שתן לגילוי סמים שנערכה לנאשם התברר כי הנאשם השתמש בסמים מסוג מורפיום  ו-</w:t>
      </w:r>
      <w:r>
        <w:t>THC</w:t>
      </w:r>
      <w:r>
        <w:rPr>
          <w:rFonts w:hint="cs"/>
          <w:rtl/>
        </w:rPr>
        <w:t xml:space="preserve"> (קנביס). </w:t>
      </w:r>
    </w:p>
    <w:p w14:paraId="4F4C3AAC" w14:textId="77777777" w:rsidR="007D7633" w:rsidRDefault="007D7633">
      <w:pPr>
        <w:spacing w:line="360" w:lineRule="auto"/>
        <w:ind w:left="567"/>
        <w:contextualSpacing/>
        <w:jc w:val="both"/>
      </w:pPr>
    </w:p>
    <w:p w14:paraId="3A73B53F" w14:textId="77777777" w:rsidR="007D7633" w:rsidRDefault="009E5504">
      <w:pPr>
        <w:numPr>
          <w:ilvl w:val="0"/>
          <w:numId w:val="1"/>
        </w:numPr>
        <w:spacing w:line="360" w:lineRule="auto"/>
        <w:contextualSpacing/>
        <w:jc w:val="both"/>
      </w:pPr>
      <w:r>
        <w:rPr>
          <w:rFonts w:hint="cs"/>
          <w:rtl/>
        </w:rPr>
        <w:t xml:space="preserve">יובהר כבר עתה, כי בתשובתו לכתב האישום לא חלק הנאשם על תוקף צו הפיקוח ועל כך שהוא תקף את המתלוננת כפי שצוין בכתב האישום המתוקן. הנאשם לא כפר אפוא בעבירת התקיפה אך כפר בכך שהוא השתמש בסם מסוכן ומכאן שהפר את צו הפיקוח. כאמור בסופו של דבר ולאחר הבאת הראיות בנקודות שבמחלוקת, החלטתי להרשיע את הנאשם בכל העבירות שיוחסו לו בכתב האישום המתוקן. </w:t>
      </w:r>
    </w:p>
    <w:p w14:paraId="03FD06C9" w14:textId="77777777" w:rsidR="007D7633" w:rsidRDefault="007D7633">
      <w:pPr>
        <w:spacing w:line="360" w:lineRule="auto"/>
        <w:ind w:left="567"/>
        <w:contextualSpacing/>
        <w:jc w:val="both"/>
      </w:pPr>
    </w:p>
    <w:p w14:paraId="1CF9F8C8" w14:textId="77777777" w:rsidR="007D7633" w:rsidRDefault="009E5504">
      <w:pPr>
        <w:numPr>
          <w:ilvl w:val="0"/>
          <w:numId w:val="1"/>
        </w:numPr>
        <w:spacing w:line="360" w:lineRule="auto"/>
        <w:contextualSpacing/>
        <w:jc w:val="both"/>
      </w:pPr>
      <w:r>
        <w:rPr>
          <w:rFonts w:hint="cs"/>
          <w:rtl/>
        </w:rPr>
        <w:t xml:space="preserve">בישיבה שהתקיימה ביום 5.10.16, הודיעו הצדדים כי הגיעו להסכמה לפיה מעצרו של הנאשם יהיה מאותו שלב ואילך במעון הנעול "נווה מנשה" שליד בית החולים שער מנשה, זאת בהתאם </w:t>
      </w:r>
      <w:hyperlink r:id="rId30" w:history="1">
        <w:r w:rsidR="005F0BB7" w:rsidRPr="005F0BB7">
          <w:rPr>
            <w:color w:val="0000FF"/>
            <w:u w:val="single"/>
            <w:rtl/>
          </w:rPr>
          <w:t>לסעיף 19א</w:t>
        </w:r>
      </w:hyperlink>
      <w:r>
        <w:rPr>
          <w:rFonts w:hint="cs"/>
          <w:rtl/>
        </w:rPr>
        <w:t xml:space="preserve"> ל</w:t>
      </w:r>
      <w:hyperlink r:id="rId31" w:history="1">
        <w:r w:rsidRPr="009E5504">
          <w:rPr>
            <w:color w:val="0000FF"/>
            <w:u w:val="single"/>
            <w:rtl/>
          </w:rPr>
          <w:t>חוק הסעד (טיפול במפגרים)</w:t>
        </w:r>
      </w:hyperlink>
      <w:r>
        <w:rPr>
          <w:rFonts w:hint="cs"/>
          <w:rtl/>
        </w:rPr>
        <w:t xml:space="preserve">, תשכ"ט - 1969 (להלן: </w:t>
      </w:r>
      <w:r>
        <w:rPr>
          <w:rFonts w:hint="cs"/>
          <w:b/>
          <w:bCs/>
          <w:rtl/>
        </w:rPr>
        <w:t>חוק הסעד</w:t>
      </w:r>
      <w:r>
        <w:rPr>
          <w:rFonts w:hint="cs"/>
          <w:rtl/>
        </w:rPr>
        <w:t xml:space="preserve">). כמו כן ביקש הסניגור להפנות את הנאשם לבחינת עניינו על ידי שירות המבחן, ולבקשה זו נעתרתי. ואכן, ביום 29.11.16 הונח לפני תסקיר שירות המבחן שאביא להלן את עיקריו. </w:t>
      </w:r>
    </w:p>
    <w:p w14:paraId="3CC9C721" w14:textId="77777777" w:rsidR="007D7633" w:rsidRDefault="007D7633">
      <w:pPr>
        <w:spacing w:line="360" w:lineRule="auto"/>
        <w:ind w:left="567"/>
        <w:contextualSpacing/>
        <w:jc w:val="both"/>
        <w:rPr>
          <w:rtl/>
        </w:rPr>
      </w:pPr>
    </w:p>
    <w:p w14:paraId="23E918DA" w14:textId="77777777" w:rsidR="007D7633" w:rsidRDefault="009E5504">
      <w:pPr>
        <w:spacing w:line="360" w:lineRule="auto"/>
        <w:contextualSpacing/>
        <w:jc w:val="both"/>
        <w:rPr>
          <w:rtl/>
        </w:rPr>
      </w:pPr>
      <w:r>
        <w:rPr>
          <w:rFonts w:hint="cs"/>
          <w:b/>
          <w:bCs/>
          <w:rtl/>
        </w:rPr>
        <w:t>תסקיר שירות המבחן</w:t>
      </w:r>
    </w:p>
    <w:p w14:paraId="406B3132" w14:textId="77777777" w:rsidR="007D7633" w:rsidRDefault="007D7633">
      <w:pPr>
        <w:spacing w:line="360" w:lineRule="auto"/>
        <w:contextualSpacing/>
        <w:jc w:val="both"/>
      </w:pPr>
    </w:p>
    <w:p w14:paraId="6B4B285F" w14:textId="77777777" w:rsidR="007D7633" w:rsidRDefault="009E5504">
      <w:pPr>
        <w:numPr>
          <w:ilvl w:val="0"/>
          <w:numId w:val="1"/>
        </w:numPr>
        <w:spacing w:line="360" w:lineRule="auto"/>
        <w:contextualSpacing/>
        <w:jc w:val="both"/>
      </w:pPr>
      <w:r>
        <w:rPr>
          <w:rFonts w:hint="cs"/>
          <w:rtl/>
        </w:rPr>
        <w:t>שירות המבחן הגיש תסקיר מפורט אודות הנאשם. בתסקיר צוין כי הנאשם מוכר לשירות המבחן מחקירות קודמות שנערכו בעניינו אשר כללו גם הידרשות למצבו המנטלי. שירות המבחן הבהיר כי בבדיקות קודמות שנערכו, הונחו בפניו דוחות של וועדת אבחון לפי חוק הסעד וכן הערכת מסוכנות מינית שנערכה בעניינו ומסמכים אחרים נוספים . שירות המבחן הוסיף וציין כי במפגש הנוכחי מיעט הנאשם לשתף פעולה ואף קטע מיוזמתו את הפגישה. שירות המבחן ציין כי הנאשם רווק, עלה לישראל מאתיופיה כשהיה בן 4 ובטרם מעצרו בתיק הנוכחי התגורר בבית הוריו כשהוא נעדר כל מסגרת תפקוד, מקום שברקע מוגבלות קוגניטיבי</w:t>
      </w:r>
      <w:r>
        <w:rPr>
          <w:rFonts w:hint="eastAsia"/>
          <w:rtl/>
        </w:rPr>
        <w:t>ת</w:t>
      </w:r>
      <w:r>
        <w:rPr>
          <w:rFonts w:hint="cs"/>
          <w:rtl/>
        </w:rPr>
        <w:t xml:space="preserve"> וקשיים התנהלותיים ותפקודיים. שירות המבחן סקר את האבחונים שנערכו וציין כי הנאשם אובחן במהלך השנים כלוקה בהפרעת אישיות אנטי סוציאלית ואף כסובל </w:t>
      </w:r>
      <w:r>
        <w:rPr>
          <w:rFonts w:hint="cs"/>
          <w:rtl/>
        </w:rPr>
        <w:lastRenderedPageBreak/>
        <w:t>מתהליך סכיזופרני זאת בנוסף לשימוש בסמים. עוד צוין כי מדובר באדם שמסוכנותו המינית היא גבוהה, אינו מגלה תובנה למעצרו ואינו משתף פעולה עם תוכניות טיפול. בנוסף לכך אינו נענה לגבולות חיצוניים ולא ניתן להביאו לציות לגבולות על ידי סנקציות עונשיות. שירות המבחן אף הביא את ההערכה  כי במצב הקליני הנוכחי, הנאשם יהווה סיכון ממשי לחוסים חסרי ישע בכל מסגרת בה יושם.</w:t>
      </w:r>
    </w:p>
    <w:p w14:paraId="3D58C337" w14:textId="77777777" w:rsidR="007D7633" w:rsidRDefault="007D7633">
      <w:pPr>
        <w:spacing w:line="360" w:lineRule="auto"/>
        <w:ind w:left="567"/>
        <w:contextualSpacing/>
        <w:jc w:val="both"/>
      </w:pPr>
    </w:p>
    <w:p w14:paraId="1145F4D1" w14:textId="77777777" w:rsidR="007D7633" w:rsidRDefault="009E5504">
      <w:pPr>
        <w:numPr>
          <w:ilvl w:val="0"/>
          <w:numId w:val="1"/>
        </w:numPr>
        <w:spacing w:line="360" w:lineRule="auto"/>
        <w:contextualSpacing/>
        <w:jc w:val="both"/>
      </w:pPr>
      <w:r>
        <w:rPr>
          <w:rFonts w:hint="cs"/>
          <w:rtl/>
        </w:rPr>
        <w:t xml:space="preserve">לגבי שהייתו במעון "נווה מנשה" צוין כי ממידע שהתקבל נמצא כי הנאשם במעקב פסיכיאטרי במקום ומקבל טיפול אנטי פסיכוטי, אך שיתוף הפעולה שלו מתועד כחלקי. עוד נאמר כי הנאשם לא יוצר קשרים חברתיים ואף מסרב ליצור קשר טלפוני עם משפחתו, אך הוא זוכה לביקורים מצד אמו. לצד זאת, במהלך שהותו במעון הנאשם לוקח חלק מתורנויות, עובד באריזה ומתנהל באופן עצמאי בכל הקשור בפעולות הקשורות אליו. כן צוין שלא נצפו ממנו אירועים חריגים. שירות המבחן ציין כי המסגרת בה שוהה הנאשם כעת מתאימה למצבו הנוכחי. יובהר כי מסקנת שירות המבחן תואמת את הערכת גורמי הטיפול במעון לפיה השמתו במסגרת האמורה מתאימה לצרכיו ומהווה עבורו "בית לחיים". </w:t>
      </w:r>
    </w:p>
    <w:p w14:paraId="43CDB59D" w14:textId="77777777" w:rsidR="007D7633" w:rsidRDefault="007D7633">
      <w:pPr>
        <w:spacing w:line="360" w:lineRule="auto"/>
        <w:ind w:left="567"/>
        <w:contextualSpacing/>
        <w:jc w:val="both"/>
      </w:pPr>
    </w:p>
    <w:p w14:paraId="45BD3102" w14:textId="77777777" w:rsidR="007D7633" w:rsidRDefault="009E5504">
      <w:pPr>
        <w:numPr>
          <w:ilvl w:val="0"/>
          <w:numId w:val="1"/>
        </w:numPr>
        <w:spacing w:line="360" w:lineRule="auto"/>
        <w:contextualSpacing/>
        <w:jc w:val="both"/>
      </w:pPr>
      <w:r>
        <w:rPr>
          <w:rFonts w:hint="cs"/>
          <w:rtl/>
        </w:rPr>
        <w:t>שירות המבחן התייחס להערכת מסוכנות שנערכה לנאשם בחודש 1/16, ממנה עולה כי מדובר בעבריין מין רצידיוויס</w:t>
      </w:r>
      <w:r>
        <w:rPr>
          <w:rFonts w:hint="eastAsia"/>
          <w:rtl/>
        </w:rPr>
        <w:t>ט</w:t>
      </w:r>
      <w:r>
        <w:rPr>
          <w:rFonts w:hint="cs"/>
          <w:rtl/>
        </w:rPr>
        <w:t>. צוין כי התנהלותו העבריינית וחסרת הגבולות לאורך השנים מלמדת על קווי אישיות אלימים, על אימפולסיביות ועל קושי לשמור על גבולות. כן צוין כי מתוך הערכת המסוכנות עולה כי אצל הנאשם קיימת סטיי</w:t>
      </w:r>
      <w:r>
        <w:rPr>
          <w:rFonts w:hint="eastAsia"/>
          <w:rtl/>
        </w:rPr>
        <w:t>ה</w:t>
      </w:r>
      <w:r>
        <w:rPr>
          <w:rFonts w:hint="cs"/>
          <w:rtl/>
        </w:rPr>
        <w:t xml:space="preserve"> מינית מסוג אקסהיביציוניז</w:t>
      </w:r>
      <w:r>
        <w:rPr>
          <w:rFonts w:hint="eastAsia"/>
          <w:rtl/>
        </w:rPr>
        <w:t>ם</w:t>
      </w:r>
      <w:r>
        <w:rPr>
          <w:rFonts w:hint="cs"/>
          <w:rtl/>
        </w:rPr>
        <w:t xml:space="preserve"> (הפקת הנאה מינית מהתערטלות בפומבי). כמו כן מובאת ההתרשמות מהערכת המסוכנות לפיה הנאשם מתקשה ללמוד מניסיון העבר וענישה לא מהווה גורם הרתעתי עבורו. לפיכך ההערכה היא כי קיימת רמת מסוכנות גבוהה לרצידיוויזם מיני. </w:t>
      </w:r>
    </w:p>
    <w:p w14:paraId="060E05ED" w14:textId="77777777" w:rsidR="007D7633" w:rsidRDefault="007D7633">
      <w:pPr>
        <w:spacing w:line="360" w:lineRule="auto"/>
        <w:ind w:left="567"/>
        <w:contextualSpacing/>
        <w:jc w:val="both"/>
      </w:pPr>
    </w:p>
    <w:p w14:paraId="630613A9" w14:textId="77777777" w:rsidR="007D7633" w:rsidRDefault="009E5504">
      <w:pPr>
        <w:numPr>
          <w:ilvl w:val="0"/>
          <w:numId w:val="1"/>
        </w:numPr>
        <w:spacing w:line="360" w:lineRule="auto"/>
        <w:contextualSpacing/>
        <w:jc w:val="both"/>
      </w:pPr>
      <w:r>
        <w:rPr>
          <w:rFonts w:hint="cs"/>
          <w:rtl/>
        </w:rPr>
        <w:t xml:space="preserve">לאחר ששירות המבחן סקר את הנתונים הרלוונטיים לגביו </w:t>
      </w:r>
      <w:r>
        <w:rPr>
          <w:rtl/>
        </w:rPr>
        <w:t>–</w:t>
      </w:r>
      <w:r>
        <w:rPr>
          <w:rFonts w:hint="cs"/>
          <w:rtl/>
        </w:rPr>
        <w:t xml:space="preserve"> שיש להודות על האמת, אינם חיוביים ומצביעים על קיומם של קשיים ניכרים  </w:t>
      </w:r>
      <w:r>
        <w:rPr>
          <w:rtl/>
        </w:rPr>
        <w:t>–</w:t>
      </w:r>
      <w:r>
        <w:rPr>
          <w:rFonts w:hint="cs"/>
          <w:rtl/>
        </w:rPr>
        <w:t xml:space="preserve"> הגיע למסקנה כי הנאשם אינו מתאים להשתלב בחלופה טיפולית, בעיקר נוכח הסיכון במצבו בשל חוסר שיתוף פעולה ובשל כישלון הניסיונות הטיפוליים. זאת, על אף הנזקקות הטיפולית הגבוהה. הסיכון הנשקף מן הנאשם הוערך כחמור וגבוה ביותר להישנות התנהגות עוברת חוק ואלימה ברמת חומרה גבוהה. </w:t>
      </w:r>
    </w:p>
    <w:p w14:paraId="7B2D2DEE" w14:textId="77777777" w:rsidR="007D7633" w:rsidRDefault="007D7633">
      <w:pPr>
        <w:spacing w:line="360" w:lineRule="auto"/>
        <w:ind w:left="567"/>
        <w:contextualSpacing/>
        <w:jc w:val="both"/>
      </w:pPr>
    </w:p>
    <w:p w14:paraId="0F48071D" w14:textId="77777777" w:rsidR="007D7633" w:rsidRDefault="009E5504">
      <w:pPr>
        <w:numPr>
          <w:ilvl w:val="0"/>
          <w:numId w:val="1"/>
        </w:numPr>
        <w:spacing w:line="360" w:lineRule="auto"/>
        <w:contextualSpacing/>
        <w:jc w:val="both"/>
      </w:pPr>
      <w:r>
        <w:rPr>
          <w:rFonts w:hint="cs"/>
          <w:rtl/>
        </w:rPr>
        <w:t xml:space="preserve">לסיכום, שירות המבחן המליץ כי ככל שיוטל על הנאשם מאסר בפועל, מוטב לשקול כי העונש ירוצה במעון הנעול "נווה מנשה" </w:t>
      </w:r>
      <w:r>
        <w:rPr>
          <w:rtl/>
        </w:rPr>
        <w:t>–</w:t>
      </w:r>
      <w:r>
        <w:rPr>
          <w:rFonts w:hint="cs"/>
          <w:rtl/>
        </w:rPr>
        <w:t xml:space="preserve"> מסגרת שעונה על צרכיו ועל מסוכנותו כאמור.</w:t>
      </w:r>
    </w:p>
    <w:p w14:paraId="59459C8E" w14:textId="77777777" w:rsidR="007D7633" w:rsidRDefault="007D7633">
      <w:pPr>
        <w:spacing w:line="360" w:lineRule="auto"/>
        <w:contextualSpacing/>
        <w:jc w:val="both"/>
        <w:rPr>
          <w:rtl/>
        </w:rPr>
      </w:pPr>
    </w:p>
    <w:p w14:paraId="5E93D631" w14:textId="77777777" w:rsidR="007D7633" w:rsidRDefault="009E5504">
      <w:pPr>
        <w:spacing w:line="360" w:lineRule="auto"/>
        <w:contextualSpacing/>
        <w:jc w:val="both"/>
        <w:rPr>
          <w:b/>
          <w:bCs/>
          <w:rtl/>
        </w:rPr>
      </w:pPr>
      <w:r>
        <w:rPr>
          <w:rFonts w:hint="cs"/>
          <w:b/>
          <w:bCs/>
          <w:rtl/>
        </w:rPr>
        <w:t>טיעוני הצדדים לעונש</w:t>
      </w:r>
    </w:p>
    <w:p w14:paraId="688CF123" w14:textId="77777777" w:rsidR="007D7633" w:rsidRDefault="007D7633">
      <w:pPr>
        <w:spacing w:line="360" w:lineRule="auto"/>
        <w:contextualSpacing/>
        <w:jc w:val="both"/>
        <w:rPr>
          <w:b/>
          <w:bCs/>
        </w:rPr>
      </w:pPr>
    </w:p>
    <w:p w14:paraId="020BB5AB" w14:textId="77777777" w:rsidR="007D7633" w:rsidRDefault="009E5504">
      <w:pPr>
        <w:numPr>
          <w:ilvl w:val="0"/>
          <w:numId w:val="1"/>
        </w:numPr>
        <w:spacing w:line="360" w:lineRule="auto"/>
        <w:contextualSpacing/>
        <w:jc w:val="both"/>
      </w:pPr>
      <w:r>
        <w:rPr>
          <w:rFonts w:hint="cs"/>
          <w:rtl/>
        </w:rPr>
        <w:t>בטיעוניה לעונש ב"כ המאשימה הפנתה לנסיבות ביצוע העבירות כפי שהוכחו בהכרעת הדין ועמדה על החומרה שעולה מהעבירות בהן הורשע הנאשם וכן עמדה על הערכים המוגנים שנפגעו. כמו כן הפנתה ב"כ המאשימה למסוכנות הנשקפת מהנאשם על רקע נתוניו ובשים לב להרשעותיו הקודמות. המאשימה הציעה מתחם עונש הולם שנע בין 8-12 חודשי מאסר בפועל לצד מאסר על תנאי ופיצוי למתלוננת. ב"כ המאשימה התייחסה לאמור בתסקיר שירות המבחן וטענה כי לדידה אין המדובר באדם שסובל מפיגור שכלי אלא סובל מתחלואה כפולה. בעניין זה הפנתה המאשימה לדוח מוועדת אבחון משנת 2004. כמו כן הצביעה המאשימה על כך ששיתוף הפעולה של הנאשם עם שירות המבחן הוא חלקי, ואף שיתוף הפעולה שלו עם צוות המטפלים והעובדים במסגרת שהייתו במעון "נווה מנשה" הוא מוגבל. המאשימה סבורה שאין מקום לקבל את המלצת שירות המבחן כי המאסר שיוטל על הנאשם ירוצה במעון הנעול "נווה מנשה" שכן אין כל אינדיקציה לכך שהמדובר במי שסובל מפיגור שכלי ומכל מקום שהייתו במעון אינה מניבה כל תועלת טיפולית, שכן שיתוף הפעולה שלו הוא מוגבל. לגישת המאשימה, השמת הנאשם במעון תגרום לתפיסת מקומו של מטופל אחר שאולי זקוק לטיפול במוסד.</w:t>
      </w:r>
    </w:p>
    <w:p w14:paraId="16450E75" w14:textId="77777777" w:rsidR="007D7633" w:rsidRDefault="007D7633">
      <w:pPr>
        <w:spacing w:line="360" w:lineRule="auto"/>
        <w:ind w:left="567"/>
        <w:contextualSpacing/>
        <w:jc w:val="both"/>
      </w:pPr>
    </w:p>
    <w:p w14:paraId="72484DDC" w14:textId="77777777" w:rsidR="007D7633" w:rsidRDefault="009E5504">
      <w:pPr>
        <w:numPr>
          <w:ilvl w:val="0"/>
          <w:numId w:val="1"/>
        </w:numPr>
        <w:spacing w:line="360" w:lineRule="auto"/>
        <w:contextualSpacing/>
        <w:jc w:val="both"/>
      </w:pPr>
      <w:r>
        <w:rPr>
          <w:rFonts w:hint="cs"/>
          <w:rtl/>
        </w:rPr>
        <w:t xml:space="preserve">הסניגור טען לעונש. לדידו העבירות בהן הורשע הנאשם אינן בעלות חומרה חריגה או יתרה. עבירת התקיפה היא אירוע קצר ולא הותירה חבלות אצל המתלוננת. גם לגבי עבירת צריכת הסם נטען כי מדובר בסם קל מסוג חשיש. לגישת הסניגור אין לקבל את מתחם העונש שנטען על ידי המאשימה ולדידו מתחם העונש ההולם נע בין מאסר על תנאי לשלושה חודשי מאסר בפועל. הסניגור הפנה לנסיבותיו של הנאשם ותיאר את מצבו כמי ש"נכנס ויוצא מבתי כלא, מבצע עבירה חוזרת וחוזר לכלא". לדבריו זו פעם ראשונה שמוצעת תוכנית טיפולית כלשהי שיכולה לתת מענה ארוך טווח. הסניגור ציין כי המעון הנוכחי מוכן לכך שהנאשם ישהה במעון משך תקופה ארוכה ובמקביל יוטל עליו צו מבחן לשם הבטחת שהייתו במעון. </w:t>
      </w:r>
    </w:p>
    <w:p w14:paraId="5ADFD9F8" w14:textId="77777777" w:rsidR="007D7633" w:rsidRDefault="007D7633">
      <w:pPr>
        <w:spacing w:line="360" w:lineRule="auto"/>
        <w:contextualSpacing/>
        <w:jc w:val="both"/>
        <w:rPr>
          <w:rtl/>
        </w:rPr>
      </w:pPr>
    </w:p>
    <w:p w14:paraId="58B9F268" w14:textId="77777777" w:rsidR="007D7633" w:rsidRDefault="009E5504">
      <w:pPr>
        <w:spacing w:line="360" w:lineRule="auto"/>
        <w:contextualSpacing/>
        <w:jc w:val="both"/>
        <w:rPr>
          <w:b/>
          <w:bCs/>
          <w:rtl/>
        </w:rPr>
      </w:pPr>
      <w:r>
        <w:rPr>
          <w:rFonts w:hint="cs"/>
          <w:b/>
          <w:bCs/>
          <w:rtl/>
        </w:rPr>
        <w:t>השלמות הטיעונים לעונש</w:t>
      </w:r>
    </w:p>
    <w:p w14:paraId="70956E86" w14:textId="77777777" w:rsidR="007D7633" w:rsidRDefault="007D7633">
      <w:pPr>
        <w:spacing w:line="360" w:lineRule="auto"/>
        <w:contextualSpacing/>
        <w:jc w:val="both"/>
      </w:pPr>
    </w:p>
    <w:p w14:paraId="2FBDF65A" w14:textId="77777777" w:rsidR="007D7633" w:rsidRDefault="009E5504">
      <w:pPr>
        <w:numPr>
          <w:ilvl w:val="0"/>
          <w:numId w:val="1"/>
        </w:numPr>
        <w:spacing w:line="360" w:lineRule="auto"/>
        <w:contextualSpacing/>
        <w:jc w:val="both"/>
      </w:pPr>
      <w:r>
        <w:rPr>
          <w:rFonts w:hint="cs"/>
          <w:rtl/>
        </w:rPr>
        <w:t>לאחר הטיעונים לעונש ראיתי לבקש מספר הבהרות הן משירות המבחן והן מנציגי מעון "נווה מנשה" (ראו החלטתי מיום 13.2.2016).</w:t>
      </w:r>
    </w:p>
    <w:p w14:paraId="25A0B549" w14:textId="77777777" w:rsidR="007D7633" w:rsidRDefault="007D7633">
      <w:pPr>
        <w:spacing w:line="360" w:lineRule="auto"/>
        <w:ind w:left="567"/>
        <w:contextualSpacing/>
        <w:jc w:val="both"/>
      </w:pPr>
    </w:p>
    <w:p w14:paraId="21577C26" w14:textId="77777777" w:rsidR="007D7633" w:rsidRDefault="009E5504">
      <w:pPr>
        <w:numPr>
          <w:ilvl w:val="0"/>
          <w:numId w:val="1"/>
        </w:numPr>
        <w:spacing w:line="360" w:lineRule="auto"/>
        <w:contextualSpacing/>
        <w:jc w:val="both"/>
      </w:pPr>
      <w:r>
        <w:rPr>
          <w:rFonts w:hint="cs"/>
          <w:rtl/>
        </w:rPr>
        <w:t xml:space="preserve">שירות המבחן הגיש ביום 20.12.2016 תסקיר משלים שמבוסס על מידע שהתקבל מהמעון בו שוהה הנאשם. שירות המבחן הבהיר כי ככל שהנאשם ישהה במוסד שלא בתנאי מאסר, אלא תחת צו מבחן, תיבנה עבורו תוכנית מתאימה לצרכיו הכוללת סדר יום קבוע, תעסוקה וטיפול פסיכיאטרי </w:t>
      </w:r>
      <w:r>
        <w:rPr>
          <w:rtl/>
        </w:rPr>
        <w:t>–</w:t>
      </w:r>
      <w:r>
        <w:rPr>
          <w:rFonts w:hint="cs"/>
          <w:rtl/>
        </w:rPr>
        <w:t xml:space="preserve"> ושקילת אפשרות טיפול בתחום המיני בעתיד. עוד הובהר כי אם יועמד בצו מבחן, ניתן לאשר עבורו חופשות או יציאות מהמעון אך אפשרות זו לא רלוונטית עבורו בשלב זה. ממידע שהתקבל מהמוסד בו שוהה הנאשם עולה כי בשל מורכבות מצבו הוא נמצא במעקב של ועדה בין-משרדית וכי הוא צפוי לשהות במעון למשך כשנה עד למציאת פתרון דיור אחר עבורו.   שירות המבחן ציין כי באפשרותו לפקח על הנאשם במסגרת צו פיקוח למשך 18 חודשים.</w:t>
      </w:r>
    </w:p>
    <w:p w14:paraId="34429459" w14:textId="77777777" w:rsidR="007D7633" w:rsidRDefault="007D7633">
      <w:pPr>
        <w:spacing w:line="360" w:lineRule="auto"/>
        <w:ind w:left="567"/>
        <w:contextualSpacing/>
        <w:jc w:val="both"/>
      </w:pPr>
    </w:p>
    <w:p w14:paraId="7941EC4D" w14:textId="77777777" w:rsidR="007D7633" w:rsidRDefault="009E5504">
      <w:pPr>
        <w:spacing w:line="360" w:lineRule="auto"/>
        <w:contextualSpacing/>
        <w:jc w:val="both"/>
        <w:rPr>
          <w:rtl/>
        </w:rPr>
      </w:pPr>
      <w:r>
        <w:rPr>
          <w:rFonts w:hint="cs"/>
          <w:b/>
          <w:bCs/>
          <w:rtl/>
        </w:rPr>
        <w:t xml:space="preserve">מתחם העונש ההולם </w:t>
      </w:r>
    </w:p>
    <w:p w14:paraId="71133B3C" w14:textId="77777777" w:rsidR="007D7633" w:rsidRDefault="007D7633">
      <w:pPr>
        <w:spacing w:line="360" w:lineRule="auto"/>
        <w:contextualSpacing/>
        <w:jc w:val="both"/>
      </w:pPr>
    </w:p>
    <w:p w14:paraId="09D450FB" w14:textId="77777777" w:rsidR="007D7633" w:rsidRDefault="009E5504">
      <w:pPr>
        <w:numPr>
          <w:ilvl w:val="0"/>
          <w:numId w:val="1"/>
        </w:numPr>
        <w:spacing w:line="360" w:lineRule="auto"/>
        <w:ind w:left="720" w:hanging="720"/>
        <w:contextualSpacing/>
        <w:jc w:val="both"/>
        <w:rPr>
          <w:rFonts w:ascii="Arial" w:eastAsia="David" w:hAnsi="Arial"/>
        </w:rPr>
      </w:pPr>
      <w:r>
        <w:rPr>
          <w:rFonts w:ascii="Arial" w:eastAsia="David" w:hAnsi="Arial" w:hint="cs"/>
          <w:rtl/>
        </w:rPr>
        <w:t>כידוע, מלאכת גזירת הדין נעשית, בדרך כלל, בשני שלבים עיקריים: קביעתו של מתחם העונש הולם ולאחר מכן גזירת העונש בגדרי מתחם העונש (</w:t>
      </w:r>
      <w:hyperlink r:id="rId32" w:history="1">
        <w:r w:rsidR="005F0BB7" w:rsidRPr="005F0BB7">
          <w:rPr>
            <w:rFonts w:ascii="Arial" w:eastAsia="David" w:hAnsi="Arial"/>
            <w:color w:val="0000FF"/>
            <w:u w:val="single"/>
            <w:rtl/>
          </w:rPr>
          <w:t>סעיף 40ג'</w:t>
        </w:r>
      </w:hyperlink>
      <w:r>
        <w:rPr>
          <w:rFonts w:ascii="Arial" w:eastAsia="David" w:hAnsi="Arial" w:hint="cs"/>
          <w:rtl/>
        </w:rPr>
        <w:t xml:space="preserve"> ל</w:t>
      </w:r>
      <w:hyperlink r:id="rId33" w:history="1">
        <w:r w:rsidRPr="009E5504">
          <w:rPr>
            <w:rFonts w:ascii="Arial" w:eastAsia="David" w:hAnsi="Arial"/>
            <w:color w:val="0000FF"/>
            <w:u w:val="single"/>
            <w:rtl/>
          </w:rPr>
          <w:t>חוק העונשין</w:t>
        </w:r>
      </w:hyperlink>
      <w:r>
        <w:rPr>
          <w:rFonts w:ascii="Arial" w:eastAsia="David" w:hAnsi="Arial" w:hint="cs"/>
          <w:rtl/>
        </w:rPr>
        <w:t>), כשבתוך כך יש לבחון אם קיימים שיקולים המצדיקים סטיי</w:t>
      </w:r>
      <w:r>
        <w:rPr>
          <w:rFonts w:ascii="Arial" w:eastAsia="David" w:hAnsi="Arial" w:hint="eastAsia"/>
          <w:rtl/>
        </w:rPr>
        <w:t>ה</w:t>
      </w:r>
      <w:r>
        <w:rPr>
          <w:rFonts w:ascii="Arial" w:eastAsia="David" w:hAnsi="Arial" w:hint="cs"/>
          <w:rtl/>
        </w:rPr>
        <w:t xml:space="preserve"> מהמתחם. קביעת המתחם נעשית על פי עקרון המנחה </w:t>
      </w:r>
      <w:r>
        <w:rPr>
          <w:rFonts w:ascii="Arial" w:eastAsia="David" w:hAnsi="Arial"/>
          <w:rtl/>
        </w:rPr>
        <w:t>–</w:t>
      </w:r>
      <w:r>
        <w:rPr>
          <w:rFonts w:ascii="Arial" w:eastAsia="David" w:hAnsi="Arial" w:hint="cs"/>
          <w:rtl/>
        </w:rPr>
        <w:t xml:space="preserve"> הוא עקרון ההלימה. </w:t>
      </w:r>
      <w:hyperlink r:id="rId34" w:history="1">
        <w:r w:rsidR="005F0BB7" w:rsidRPr="005F0BB7">
          <w:rPr>
            <w:rFonts w:ascii="Arial" w:eastAsia="David" w:hAnsi="Arial"/>
            <w:color w:val="0000FF"/>
            <w:u w:val="single"/>
            <w:rtl/>
          </w:rPr>
          <w:t>סעיף 40ט'</w:t>
        </w:r>
      </w:hyperlink>
      <w:r>
        <w:rPr>
          <w:rFonts w:ascii="Arial" w:eastAsia="David" w:hAnsi="Arial" w:hint="cs"/>
          <w:rtl/>
        </w:rPr>
        <w:t xml:space="preserve"> ל</w:t>
      </w:r>
      <w:hyperlink r:id="rId35" w:history="1">
        <w:r w:rsidRPr="009E5504">
          <w:rPr>
            <w:rFonts w:ascii="Arial" w:eastAsia="David" w:hAnsi="Arial"/>
            <w:color w:val="0000FF"/>
            <w:u w:val="single"/>
            <w:rtl/>
          </w:rPr>
          <w:t>חוק העונשין</w:t>
        </w:r>
      </w:hyperlink>
      <w:r>
        <w:rPr>
          <w:rFonts w:ascii="Arial" w:eastAsia="David" w:hAnsi="Arial" w:hint="cs"/>
          <w:rtl/>
        </w:rPr>
        <w:t xml:space="preserve"> מונה את הנסיבות שיש להתחשב בהן בקביעת מתחם העונש ההולם (שהנן נסיבות שקשורות באופן ענייני לנסיבות ביצוע העבירה), </w:t>
      </w:r>
      <w:hyperlink r:id="rId36" w:history="1">
        <w:r w:rsidR="005F0BB7" w:rsidRPr="005F0BB7">
          <w:rPr>
            <w:rFonts w:ascii="Arial" w:eastAsia="David" w:hAnsi="Arial"/>
            <w:color w:val="0000FF"/>
            <w:u w:val="single"/>
            <w:rtl/>
          </w:rPr>
          <w:t>וסעיף 40יא'</w:t>
        </w:r>
      </w:hyperlink>
      <w:r>
        <w:rPr>
          <w:rFonts w:ascii="Arial" w:eastAsia="David" w:hAnsi="Arial" w:hint="cs"/>
          <w:rtl/>
        </w:rPr>
        <w:t xml:space="preserve"> לחוק העונשין מונה את הנסיבות שבית המשפט רשאי להתחשב בהן בגזירת העונש בתוך מתחם העונש ההולם.</w:t>
      </w:r>
    </w:p>
    <w:p w14:paraId="31335B1E" w14:textId="77777777" w:rsidR="007D7633" w:rsidRDefault="007D7633">
      <w:pPr>
        <w:spacing w:line="360" w:lineRule="auto"/>
        <w:ind w:left="720"/>
        <w:contextualSpacing/>
        <w:jc w:val="both"/>
        <w:rPr>
          <w:rFonts w:ascii="Arial" w:eastAsia="David" w:hAnsi="Arial"/>
        </w:rPr>
      </w:pPr>
    </w:p>
    <w:p w14:paraId="1A3B4EA4" w14:textId="77777777" w:rsidR="007D7633" w:rsidRDefault="009E5504">
      <w:pPr>
        <w:numPr>
          <w:ilvl w:val="0"/>
          <w:numId w:val="1"/>
        </w:numPr>
        <w:spacing w:line="360" w:lineRule="auto"/>
        <w:ind w:left="720" w:hanging="720"/>
        <w:contextualSpacing/>
        <w:jc w:val="both"/>
        <w:rPr>
          <w:rFonts w:ascii="Arial" w:eastAsia="David" w:hAnsi="Arial"/>
        </w:rPr>
      </w:pPr>
      <w:r>
        <w:rPr>
          <w:rFonts w:ascii="Arial" w:eastAsia="David" w:hAnsi="Arial" w:hint="cs"/>
          <w:rtl/>
        </w:rPr>
        <w:t xml:space="preserve">הנאשם הורשע בשלוש עבירות: </w:t>
      </w:r>
      <w:r>
        <w:rPr>
          <w:rFonts w:hint="cs"/>
          <w:rtl/>
        </w:rPr>
        <w:t xml:space="preserve">שימוש בסם מסוכן לפי </w:t>
      </w:r>
      <w:hyperlink r:id="rId37" w:history="1">
        <w:r w:rsidR="005F0BB7" w:rsidRPr="005F0BB7">
          <w:rPr>
            <w:color w:val="0000FF"/>
            <w:u w:val="single"/>
            <w:rtl/>
          </w:rPr>
          <w:t>סעיף 7(א)</w:t>
        </w:r>
      </w:hyperlink>
      <w:r>
        <w:rPr>
          <w:rFonts w:hint="cs"/>
          <w:rtl/>
        </w:rPr>
        <w:t xml:space="preserve"> בשילוב </w:t>
      </w:r>
      <w:hyperlink r:id="rId38" w:history="1">
        <w:r w:rsidR="005F0BB7" w:rsidRPr="005F0BB7">
          <w:rPr>
            <w:color w:val="0000FF"/>
            <w:u w:val="single"/>
            <w:rtl/>
          </w:rPr>
          <w:t>7(ג)</w:t>
        </w:r>
      </w:hyperlink>
      <w:r>
        <w:rPr>
          <w:rFonts w:hint="cs"/>
          <w:rtl/>
        </w:rPr>
        <w:t xml:space="preserve"> רישא ל</w:t>
      </w:r>
      <w:hyperlink r:id="rId39" w:history="1">
        <w:r w:rsidRPr="009E5504">
          <w:rPr>
            <w:color w:val="0000FF"/>
            <w:u w:val="single"/>
            <w:rtl/>
          </w:rPr>
          <w:t>פקודת הסמים המסוכנים</w:t>
        </w:r>
      </w:hyperlink>
      <w:r>
        <w:rPr>
          <w:rFonts w:hint="cs"/>
          <w:rtl/>
        </w:rPr>
        <w:t xml:space="preserve">; תקיפה סתם לפי </w:t>
      </w:r>
      <w:hyperlink r:id="rId40" w:history="1">
        <w:r w:rsidR="005F0BB7" w:rsidRPr="005F0BB7">
          <w:rPr>
            <w:color w:val="0000FF"/>
            <w:u w:val="single"/>
            <w:rtl/>
          </w:rPr>
          <w:t>סעיף 379</w:t>
        </w:r>
      </w:hyperlink>
      <w:r>
        <w:rPr>
          <w:rFonts w:hint="cs"/>
          <w:rtl/>
        </w:rPr>
        <w:t xml:space="preserve"> ל</w:t>
      </w:r>
      <w:hyperlink r:id="rId41" w:history="1">
        <w:r w:rsidRPr="009E5504">
          <w:rPr>
            <w:color w:val="0000FF"/>
            <w:u w:val="single"/>
            <w:rtl/>
          </w:rPr>
          <w:t>חוק העונשין</w:t>
        </w:r>
      </w:hyperlink>
      <w:r>
        <w:rPr>
          <w:rFonts w:hint="cs"/>
          <w:rtl/>
        </w:rPr>
        <w:t>. דומה כי הערכים המוגנים שבבסיס עבירות אלו ברורים ואין צורך להכביר מלים. בנוסף הורשע הנאשם בעבירה של הפרת צו פיקוח לפי סעיף 22(א) לחוק הגנה על הציבור מפני עברייני מין.</w:t>
      </w:r>
      <w:r>
        <w:rPr>
          <w:rFonts w:ascii="Arial" w:eastAsia="David" w:hAnsi="Arial" w:hint="cs"/>
          <w:rtl/>
        </w:rPr>
        <w:t xml:space="preserve"> עבירה זו מגלמת בתוכה מספר ערכים. ערך ראשון נגזר מתכליתו של חוק ההגנה על הציבור. חוק זה בא להגן על </w:t>
      </w:r>
      <w:r>
        <w:rPr>
          <w:rFonts w:ascii="Arial" w:eastAsia="David" w:hAnsi="Arial" w:hint="eastAsia"/>
          <w:rtl/>
        </w:rPr>
        <w:t>הציבור</w:t>
      </w:r>
      <w:r>
        <w:rPr>
          <w:rFonts w:ascii="Arial" w:eastAsia="David" w:hAnsi="Arial"/>
          <w:rtl/>
        </w:rPr>
        <w:t xml:space="preserve"> </w:t>
      </w:r>
      <w:r>
        <w:rPr>
          <w:rFonts w:ascii="Arial" w:eastAsia="David" w:hAnsi="Arial" w:hint="eastAsia"/>
          <w:rtl/>
        </w:rPr>
        <w:t>מפני</w:t>
      </w:r>
      <w:r>
        <w:rPr>
          <w:rFonts w:ascii="Arial" w:eastAsia="David" w:hAnsi="Arial"/>
          <w:rtl/>
        </w:rPr>
        <w:t xml:space="preserve"> </w:t>
      </w:r>
      <w:r>
        <w:rPr>
          <w:rFonts w:ascii="Arial" w:eastAsia="David" w:hAnsi="Arial" w:hint="eastAsia"/>
          <w:rtl/>
        </w:rPr>
        <w:t>ביצוע</w:t>
      </w:r>
      <w:r>
        <w:rPr>
          <w:rFonts w:ascii="Arial" w:eastAsia="David" w:hAnsi="Arial"/>
          <w:rtl/>
        </w:rPr>
        <w:t xml:space="preserve"> </w:t>
      </w:r>
      <w:r>
        <w:rPr>
          <w:rFonts w:ascii="Arial" w:eastAsia="David" w:hAnsi="Arial" w:hint="eastAsia"/>
          <w:rtl/>
        </w:rPr>
        <w:t>עבירות</w:t>
      </w:r>
      <w:r>
        <w:rPr>
          <w:rFonts w:ascii="Arial" w:eastAsia="David" w:hAnsi="Arial"/>
          <w:rtl/>
        </w:rPr>
        <w:t xml:space="preserve"> </w:t>
      </w:r>
      <w:r>
        <w:rPr>
          <w:rFonts w:ascii="Arial" w:eastAsia="David" w:hAnsi="Arial" w:hint="eastAsia"/>
          <w:rtl/>
        </w:rPr>
        <w:t>מין</w:t>
      </w:r>
      <w:r>
        <w:rPr>
          <w:rFonts w:ascii="Arial" w:eastAsia="David" w:hAnsi="Arial"/>
          <w:rtl/>
        </w:rPr>
        <w:t xml:space="preserve"> </w:t>
      </w:r>
      <w:r>
        <w:rPr>
          <w:rFonts w:ascii="Arial" w:eastAsia="David" w:hAnsi="Arial" w:hint="eastAsia"/>
          <w:rtl/>
        </w:rPr>
        <w:t>על</w:t>
      </w:r>
      <w:r>
        <w:rPr>
          <w:rFonts w:ascii="Arial" w:eastAsia="David" w:hAnsi="Arial"/>
          <w:rtl/>
        </w:rPr>
        <w:t xml:space="preserve"> </w:t>
      </w:r>
      <w:r>
        <w:rPr>
          <w:rFonts w:ascii="Arial" w:eastAsia="David" w:hAnsi="Arial" w:hint="eastAsia"/>
          <w:rtl/>
        </w:rPr>
        <w:t>ידי</w:t>
      </w:r>
      <w:r>
        <w:rPr>
          <w:rFonts w:ascii="Arial" w:eastAsia="David" w:hAnsi="Arial"/>
          <w:rtl/>
        </w:rPr>
        <w:t xml:space="preserve"> </w:t>
      </w:r>
      <w:r>
        <w:rPr>
          <w:rFonts w:ascii="Arial" w:eastAsia="David" w:hAnsi="Arial" w:hint="eastAsia"/>
          <w:rtl/>
        </w:rPr>
        <w:t>מי</w:t>
      </w:r>
      <w:r>
        <w:rPr>
          <w:rFonts w:ascii="Arial" w:eastAsia="David" w:hAnsi="Arial"/>
          <w:rtl/>
        </w:rPr>
        <w:t xml:space="preserve"> </w:t>
      </w:r>
      <w:r>
        <w:rPr>
          <w:rFonts w:ascii="Arial" w:eastAsia="David" w:hAnsi="Arial" w:hint="eastAsia"/>
          <w:rtl/>
        </w:rPr>
        <w:t>שהורשע</w:t>
      </w:r>
      <w:r>
        <w:rPr>
          <w:rFonts w:ascii="Arial" w:eastAsia="David" w:hAnsi="Arial"/>
          <w:rtl/>
        </w:rPr>
        <w:t xml:space="preserve"> </w:t>
      </w:r>
      <w:r>
        <w:rPr>
          <w:rFonts w:ascii="Arial" w:eastAsia="David" w:hAnsi="Arial" w:hint="eastAsia"/>
          <w:rtl/>
        </w:rPr>
        <w:t>בעבר</w:t>
      </w:r>
      <w:r>
        <w:rPr>
          <w:rFonts w:ascii="Arial" w:eastAsia="David" w:hAnsi="Arial"/>
          <w:rtl/>
        </w:rPr>
        <w:t xml:space="preserve"> </w:t>
      </w:r>
      <w:r>
        <w:rPr>
          <w:rFonts w:ascii="Arial" w:eastAsia="David" w:hAnsi="Arial" w:hint="eastAsia"/>
          <w:rtl/>
        </w:rPr>
        <w:t>בעבירת</w:t>
      </w:r>
      <w:r>
        <w:rPr>
          <w:rFonts w:ascii="Arial" w:eastAsia="David" w:hAnsi="Arial"/>
          <w:rtl/>
        </w:rPr>
        <w:t xml:space="preserve"> </w:t>
      </w:r>
      <w:r>
        <w:rPr>
          <w:rFonts w:ascii="Arial" w:eastAsia="David" w:hAnsi="Arial" w:hint="eastAsia"/>
          <w:rtl/>
        </w:rPr>
        <w:t>מין</w:t>
      </w:r>
      <w:r>
        <w:rPr>
          <w:rFonts w:ascii="Arial" w:eastAsia="David" w:hAnsi="Arial"/>
          <w:rtl/>
        </w:rPr>
        <w:t xml:space="preserve"> </w:t>
      </w:r>
      <w:r>
        <w:rPr>
          <w:rFonts w:ascii="Arial" w:eastAsia="David" w:hAnsi="Arial" w:hint="eastAsia"/>
          <w:rtl/>
        </w:rPr>
        <w:t>ולגביו</w:t>
      </w:r>
      <w:r>
        <w:rPr>
          <w:rFonts w:ascii="Arial" w:eastAsia="David" w:hAnsi="Arial"/>
          <w:rtl/>
        </w:rPr>
        <w:t xml:space="preserve"> </w:t>
      </w:r>
      <w:r>
        <w:rPr>
          <w:rFonts w:ascii="Arial" w:eastAsia="David" w:hAnsi="Arial" w:hint="eastAsia"/>
          <w:rtl/>
        </w:rPr>
        <w:t>מתקיים</w:t>
      </w:r>
      <w:r>
        <w:rPr>
          <w:rFonts w:ascii="Arial" w:eastAsia="David" w:hAnsi="Arial"/>
          <w:rtl/>
        </w:rPr>
        <w:t xml:space="preserve"> </w:t>
      </w:r>
      <w:r>
        <w:rPr>
          <w:rFonts w:ascii="Arial" w:eastAsia="David" w:hAnsi="Arial" w:hint="eastAsia"/>
          <w:rtl/>
        </w:rPr>
        <w:t>סיכון</w:t>
      </w:r>
      <w:r>
        <w:rPr>
          <w:rFonts w:ascii="Arial" w:eastAsia="David" w:hAnsi="Arial"/>
          <w:rtl/>
        </w:rPr>
        <w:t xml:space="preserve"> </w:t>
      </w:r>
      <w:r>
        <w:rPr>
          <w:rFonts w:ascii="Arial" w:eastAsia="David" w:hAnsi="Arial" w:hint="eastAsia"/>
          <w:rtl/>
        </w:rPr>
        <w:t>כי</w:t>
      </w:r>
      <w:r>
        <w:rPr>
          <w:rFonts w:ascii="Arial" w:eastAsia="David" w:hAnsi="Arial"/>
          <w:rtl/>
        </w:rPr>
        <w:t xml:space="preserve"> </w:t>
      </w:r>
      <w:r>
        <w:rPr>
          <w:rFonts w:ascii="Arial" w:eastAsia="David" w:hAnsi="Arial" w:hint="eastAsia"/>
          <w:rtl/>
        </w:rPr>
        <w:t>ישוב</w:t>
      </w:r>
      <w:r>
        <w:rPr>
          <w:rFonts w:ascii="Arial" w:eastAsia="David" w:hAnsi="Arial"/>
          <w:rtl/>
        </w:rPr>
        <w:t xml:space="preserve"> </w:t>
      </w:r>
      <w:r>
        <w:rPr>
          <w:rFonts w:ascii="Arial" w:eastAsia="David" w:hAnsi="Arial" w:hint="eastAsia"/>
          <w:rtl/>
        </w:rPr>
        <w:t>ויפגע</w:t>
      </w:r>
      <w:r>
        <w:rPr>
          <w:rFonts w:ascii="Arial" w:eastAsia="David" w:hAnsi="Arial"/>
          <w:rtl/>
        </w:rPr>
        <w:t xml:space="preserve"> </w:t>
      </w:r>
      <w:r>
        <w:rPr>
          <w:rFonts w:ascii="Arial" w:eastAsia="David" w:hAnsi="Arial" w:hint="eastAsia"/>
          <w:rtl/>
        </w:rPr>
        <w:t>בציבור</w:t>
      </w:r>
      <w:r>
        <w:rPr>
          <w:rFonts w:ascii="Arial" w:eastAsia="David" w:hAnsi="Arial"/>
          <w:rtl/>
        </w:rPr>
        <w:t xml:space="preserve">. </w:t>
      </w:r>
      <w:r>
        <w:rPr>
          <w:rFonts w:ascii="Arial" w:eastAsia="David" w:hAnsi="Arial" w:hint="cs"/>
          <w:rtl/>
        </w:rPr>
        <w:t xml:space="preserve">לאור המסוכנות קבע המחוקק כי בהתקיים תנאים מסוימים, </w:t>
      </w:r>
      <w:r>
        <w:rPr>
          <w:rFonts w:ascii="Arial" w:eastAsia="David" w:hAnsi="Arial" w:hint="eastAsia"/>
          <w:rtl/>
        </w:rPr>
        <w:t>עבריין</w:t>
      </w:r>
      <w:r>
        <w:rPr>
          <w:rFonts w:ascii="Arial" w:eastAsia="David" w:hAnsi="Arial"/>
          <w:rtl/>
        </w:rPr>
        <w:t xml:space="preserve"> </w:t>
      </w:r>
      <w:r>
        <w:rPr>
          <w:rFonts w:ascii="Arial" w:eastAsia="David" w:hAnsi="Arial" w:hint="eastAsia"/>
          <w:rtl/>
        </w:rPr>
        <w:t>מין</w:t>
      </w:r>
      <w:r>
        <w:rPr>
          <w:rFonts w:ascii="Arial" w:eastAsia="David" w:hAnsi="Arial"/>
          <w:rtl/>
        </w:rPr>
        <w:t xml:space="preserve"> </w:t>
      </w:r>
      <w:r>
        <w:rPr>
          <w:rFonts w:ascii="Arial" w:eastAsia="David" w:hAnsi="Arial" w:hint="eastAsia"/>
          <w:rtl/>
        </w:rPr>
        <w:t>יהיה</w:t>
      </w:r>
      <w:r>
        <w:rPr>
          <w:rFonts w:ascii="Arial" w:eastAsia="David" w:hAnsi="Arial"/>
          <w:rtl/>
        </w:rPr>
        <w:t xml:space="preserve"> </w:t>
      </w:r>
      <w:r>
        <w:rPr>
          <w:rFonts w:ascii="Arial" w:eastAsia="David" w:hAnsi="Arial" w:hint="cs"/>
          <w:rtl/>
        </w:rPr>
        <w:t>נתון בפ</w:t>
      </w:r>
      <w:r>
        <w:rPr>
          <w:rFonts w:ascii="Arial" w:eastAsia="David" w:hAnsi="Arial" w:hint="eastAsia"/>
          <w:rtl/>
        </w:rPr>
        <w:t>יקוח</w:t>
      </w:r>
      <w:r>
        <w:rPr>
          <w:rFonts w:ascii="Arial" w:eastAsia="David" w:hAnsi="Arial"/>
          <w:rtl/>
        </w:rPr>
        <w:t xml:space="preserve"> </w:t>
      </w:r>
      <w:r>
        <w:rPr>
          <w:rFonts w:ascii="Arial" w:eastAsia="David" w:hAnsi="Arial" w:hint="eastAsia"/>
          <w:rtl/>
        </w:rPr>
        <w:t>ומעקב</w:t>
      </w:r>
      <w:r>
        <w:rPr>
          <w:rFonts w:ascii="Arial" w:eastAsia="David" w:hAnsi="Arial"/>
          <w:rtl/>
        </w:rPr>
        <w:t xml:space="preserve"> </w:t>
      </w:r>
      <w:r>
        <w:rPr>
          <w:rFonts w:ascii="Arial" w:eastAsia="David" w:hAnsi="Arial" w:hint="eastAsia"/>
          <w:rtl/>
        </w:rPr>
        <w:t>במטרה</w:t>
      </w:r>
      <w:r>
        <w:rPr>
          <w:rFonts w:ascii="Arial" w:eastAsia="David" w:hAnsi="Arial"/>
          <w:rtl/>
        </w:rPr>
        <w:t xml:space="preserve"> </w:t>
      </w:r>
      <w:r>
        <w:rPr>
          <w:rFonts w:ascii="Arial" w:eastAsia="David" w:hAnsi="Arial" w:hint="eastAsia"/>
          <w:rtl/>
        </w:rPr>
        <w:t>למנוע</w:t>
      </w:r>
      <w:r>
        <w:rPr>
          <w:rFonts w:ascii="Arial" w:eastAsia="David" w:hAnsi="Arial"/>
          <w:rtl/>
        </w:rPr>
        <w:t xml:space="preserve"> </w:t>
      </w:r>
      <w:r>
        <w:rPr>
          <w:rFonts w:ascii="Arial" w:eastAsia="David" w:hAnsi="Arial" w:hint="cs"/>
          <w:rtl/>
        </w:rPr>
        <w:t xml:space="preserve">פגיעה נוספת בציבור על ידי ביצוע </w:t>
      </w:r>
      <w:r>
        <w:rPr>
          <w:rFonts w:ascii="Arial" w:eastAsia="David" w:hAnsi="Arial" w:hint="eastAsia"/>
          <w:rtl/>
        </w:rPr>
        <w:t>עבירות</w:t>
      </w:r>
      <w:r>
        <w:rPr>
          <w:rFonts w:ascii="Arial" w:eastAsia="David" w:hAnsi="Arial"/>
          <w:rtl/>
        </w:rPr>
        <w:t xml:space="preserve"> </w:t>
      </w:r>
      <w:r>
        <w:rPr>
          <w:rFonts w:ascii="Arial" w:eastAsia="David" w:hAnsi="Arial" w:hint="eastAsia"/>
          <w:rtl/>
        </w:rPr>
        <w:t>מין</w:t>
      </w:r>
      <w:r>
        <w:rPr>
          <w:rFonts w:ascii="Arial" w:eastAsia="David" w:hAnsi="Arial"/>
          <w:rtl/>
        </w:rPr>
        <w:t xml:space="preserve"> </w:t>
      </w:r>
      <w:r>
        <w:rPr>
          <w:rFonts w:ascii="Arial" w:eastAsia="David" w:hAnsi="Arial" w:hint="eastAsia"/>
          <w:rtl/>
        </w:rPr>
        <w:t>נוספות</w:t>
      </w:r>
      <w:r>
        <w:rPr>
          <w:rFonts w:ascii="Arial" w:eastAsia="David" w:hAnsi="Arial" w:hint="cs"/>
          <w:rtl/>
        </w:rPr>
        <w:t xml:space="preserve"> </w:t>
      </w:r>
      <w:r>
        <w:rPr>
          <w:rFonts w:ascii="Arial" w:eastAsia="David" w:hAnsi="Arial"/>
          <w:rtl/>
        </w:rPr>
        <w:t>(</w:t>
      </w:r>
      <w:r>
        <w:rPr>
          <w:rFonts w:ascii="Arial" w:eastAsia="David" w:hAnsi="Arial" w:hint="eastAsia"/>
          <w:rtl/>
        </w:rPr>
        <w:t>ראו</w:t>
      </w:r>
      <w:r>
        <w:rPr>
          <w:rFonts w:ascii="Arial" w:eastAsia="David" w:hAnsi="Arial"/>
          <w:rtl/>
        </w:rPr>
        <w:t xml:space="preserve">: </w:t>
      </w:r>
      <w:hyperlink r:id="rId42" w:history="1">
        <w:r w:rsidRPr="009E5504">
          <w:rPr>
            <w:rFonts w:ascii="Arial" w:eastAsia="David" w:hAnsi="Arial"/>
            <w:color w:val="0000FF"/>
            <w:u w:val="single"/>
            <w:rtl/>
          </w:rPr>
          <w:t>בש"פ 7936/10</w:t>
        </w:r>
      </w:hyperlink>
      <w:r>
        <w:rPr>
          <w:rFonts w:ascii="Arial" w:eastAsia="David" w:hAnsi="Arial"/>
          <w:rtl/>
        </w:rPr>
        <w:t xml:space="preserve"> </w:t>
      </w:r>
      <w:r>
        <w:rPr>
          <w:rFonts w:ascii="Arial" w:eastAsia="David" w:hAnsi="Arial" w:hint="eastAsia"/>
          <w:b/>
          <w:bCs/>
          <w:rtl/>
        </w:rPr>
        <w:t>פלוני</w:t>
      </w:r>
      <w:r>
        <w:rPr>
          <w:rFonts w:ascii="Arial" w:eastAsia="David" w:hAnsi="Arial"/>
          <w:b/>
          <w:bCs/>
          <w:rtl/>
        </w:rPr>
        <w:t xml:space="preserve"> </w:t>
      </w:r>
      <w:r>
        <w:rPr>
          <w:rFonts w:ascii="Arial" w:eastAsia="David" w:hAnsi="Arial" w:hint="eastAsia"/>
          <w:b/>
          <w:bCs/>
          <w:rtl/>
        </w:rPr>
        <w:t>נ</w:t>
      </w:r>
      <w:r>
        <w:rPr>
          <w:rFonts w:ascii="Arial" w:eastAsia="David" w:hAnsi="Arial"/>
          <w:b/>
          <w:bCs/>
          <w:rtl/>
        </w:rPr>
        <w:t xml:space="preserve">' </w:t>
      </w:r>
      <w:r>
        <w:rPr>
          <w:rFonts w:ascii="Arial" w:eastAsia="David" w:hAnsi="Arial" w:hint="eastAsia"/>
          <w:b/>
          <w:bCs/>
          <w:rtl/>
        </w:rPr>
        <w:t>מדינת</w:t>
      </w:r>
      <w:r>
        <w:rPr>
          <w:rFonts w:ascii="Arial" w:eastAsia="David" w:hAnsi="Arial"/>
          <w:b/>
          <w:bCs/>
          <w:rtl/>
        </w:rPr>
        <w:t xml:space="preserve"> </w:t>
      </w:r>
      <w:r>
        <w:rPr>
          <w:rFonts w:ascii="Arial" w:eastAsia="David" w:hAnsi="Arial" w:hint="eastAsia"/>
          <w:b/>
          <w:bCs/>
          <w:rtl/>
        </w:rPr>
        <w:t>ישראל</w:t>
      </w:r>
      <w:r>
        <w:rPr>
          <w:rFonts w:ascii="Arial" w:eastAsia="David" w:hAnsi="Arial"/>
          <w:rtl/>
        </w:rPr>
        <w:t xml:space="preserve"> (</w:t>
      </w:r>
      <w:r>
        <w:rPr>
          <w:rFonts w:ascii="Arial" w:eastAsia="David" w:hAnsi="Arial" w:hint="eastAsia"/>
          <w:rtl/>
        </w:rPr>
        <w:t>פורסם</w:t>
      </w:r>
      <w:r>
        <w:rPr>
          <w:rFonts w:ascii="Arial" w:eastAsia="David" w:hAnsi="Arial"/>
          <w:rtl/>
        </w:rPr>
        <w:t xml:space="preserve"> </w:t>
      </w:r>
      <w:r>
        <w:rPr>
          <w:rFonts w:ascii="Arial" w:eastAsia="David" w:hAnsi="Arial" w:hint="eastAsia"/>
          <w:rtl/>
        </w:rPr>
        <w:t>בנבו</w:t>
      </w:r>
      <w:r>
        <w:rPr>
          <w:rFonts w:ascii="Arial" w:eastAsia="David" w:hAnsi="Arial"/>
          <w:rtl/>
        </w:rPr>
        <w:t xml:space="preserve">, 8.11.2010)). </w:t>
      </w:r>
      <w:r>
        <w:rPr>
          <w:rFonts w:ascii="Arial" w:eastAsia="David" w:hAnsi="Arial" w:hint="eastAsia"/>
          <w:rtl/>
        </w:rPr>
        <w:t>בנוסף</w:t>
      </w:r>
      <w:r>
        <w:rPr>
          <w:rFonts w:ascii="Arial" w:eastAsia="David" w:hAnsi="Arial" w:hint="cs"/>
          <w:rtl/>
        </w:rPr>
        <w:t xml:space="preserve"> לערך האמור, מעצם ההגדרה </w:t>
      </w:r>
      <w:r>
        <w:rPr>
          <w:rFonts w:ascii="Arial" w:eastAsia="David" w:hAnsi="Arial" w:hint="eastAsia"/>
          <w:rtl/>
        </w:rPr>
        <w:t>הפרת</w:t>
      </w:r>
      <w:r>
        <w:rPr>
          <w:rFonts w:ascii="Arial" w:eastAsia="David" w:hAnsi="Arial"/>
          <w:rtl/>
        </w:rPr>
        <w:t xml:space="preserve"> </w:t>
      </w:r>
      <w:r>
        <w:rPr>
          <w:rFonts w:ascii="Arial" w:eastAsia="David" w:hAnsi="Arial" w:hint="eastAsia"/>
          <w:rtl/>
        </w:rPr>
        <w:t>צו</w:t>
      </w:r>
      <w:r>
        <w:rPr>
          <w:rFonts w:ascii="Arial" w:eastAsia="David" w:hAnsi="Arial"/>
          <w:rtl/>
        </w:rPr>
        <w:t xml:space="preserve"> </w:t>
      </w:r>
      <w:r>
        <w:rPr>
          <w:rFonts w:ascii="Arial" w:eastAsia="David" w:hAnsi="Arial" w:hint="eastAsia"/>
          <w:rtl/>
        </w:rPr>
        <w:t>פיקוח</w:t>
      </w:r>
      <w:r>
        <w:rPr>
          <w:rFonts w:ascii="Arial" w:eastAsia="David" w:hAnsi="Arial"/>
          <w:rtl/>
        </w:rPr>
        <w:t xml:space="preserve"> </w:t>
      </w:r>
      <w:r>
        <w:rPr>
          <w:rFonts w:ascii="Arial" w:eastAsia="David" w:hAnsi="Arial" w:hint="cs"/>
          <w:rtl/>
        </w:rPr>
        <w:t xml:space="preserve">שניתן על ידי בית המשפט </w:t>
      </w:r>
      <w:r>
        <w:rPr>
          <w:rFonts w:ascii="Arial" w:eastAsia="David" w:hAnsi="Arial" w:hint="eastAsia"/>
          <w:rtl/>
        </w:rPr>
        <w:t>יש</w:t>
      </w:r>
      <w:r>
        <w:rPr>
          <w:rFonts w:ascii="Arial" w:eastAsia="David" w:hAnsi="Arial"/>
          <w:rtl/>
        </w:rPr>
        <w:t xml:space="preserve"> </w:t>
      </w:r>
      <w:r>
        <w:rPr>
          <w:rFonts w:ascii="Arial" w:eastAsia="David" w:hAnsi="Arial" w:hint="eastAsia"/>
          <w:rtl/>
        </w:rPr>
        <w:t>בה</w:t>
      </w:r>
      <w:r>
        <w:rPr>
          <w:rFonts w:ascii="Arial" w:eastAsia="David" w:hAnsi="Arial"/>
          <w:rtl/>
        </w:rPr>
        <w:t xml:space="preserve"> </w:t>
      </w:r>
      <w:r>
        <w:rPr>
          <w:rFonts w:ascii="Arial" w:eastAsia="David" w:hAnsi="Arial" w:hint="eastAsia"/>
          <w:rtl/>
        </w:rPr>
        <w:t>משום</w:t>
      </w:r>
      <w:r>
        <w:rPr>
          <w:rFonts w:ascii="Arial" w:eastAsia="David" w:hAnsi="Arial"/>
          <w:rtl/>
        </w:rPr>
        <w:t xml:space="preserve"> </w:t>
      </w:r>
      <w:r>
        <w:rPr>
          <w:rFonts w:ascii="Arial" w:eastAsia="David" w:hAnsi="Arial" w:hint="eastAsia"/>
          <w:rtl/>
        </w:rPr>
        <w:t>פגיעה</w:t>
      </w:r>
      <w:r>
        <w:rPr>
          <w:rFonts w:ascii="Arial" w:eastAsia="David" w:hAnsi="Arial"/>
          <w:rtl/>
        </w:rPr>
        <w:t xml:space="preserve"> </w:t>
      </w:r>
      <w:r>
        <w:rPr>
          <w:rFonts w:ascii="Arial" w:eastAsia="David" w:hAnsi="Arial" w:hint="eastAsia"/>
          <w:rtl/>
        </w:rPr>
        <w:t>בשלטון</w:t>
      </w:r>
      <w:r>
        <w:rPr>
          <w:rFonts w:ascii="Arial" w:eastAsia="David" w:hAnsi="Arial"/>
          <w:rtl/>
        </w:rPr>
        <w:t xml:space="preserve"> </w:t>
      </w:r>
      <w:r>
        <w:rPr>
          <w:rFonts w:ascii="Arial" w:eastAsia="David" w:hAnsi="Arial" w:hint="eastAsia"/>
          <w:rtl/>
        </w:rPr>
        <w:t>החוק</w:t>
      </w:r>
      <w:r>
        <w:rPr>
          <w:rFonts w:ascii="Arial" w:eastAsia="David" w:hAnsi="Arial"/>
          <w:rtl/>
        </w:rPr>
        <w:t xml:space="preserve"> </w:t>
      </w:r>
      <w:r>
        <w:rPr>
          <w:rFonts w:ascii="Arial" w:eastAsia="David" w:hAnsi="Arial" w:hint="eastAsia"/>
          <w:rtl/>
        </w:rPr>
        <w:t>ובערך</w:t>
      </w:r>
      <w:r>
        <w:rPr>
          <w:rFonts w:ascii="Arial" w:eastAsia="David" w:hAnsi="Arial"/>
          <w:rtl/>
        </w:rPr>
        <w:t xml:space="preserve"> </w:t>
      </w:r>
      <w:r>
        <w:rPr>
          <w:rFonts w:ascii="Arial" w:eastAsia="David" w:hAnsi="Arial" w:hint="eastAsia"/>
          <w:rtl/>
        </w:rPr>
        <w:t>של</w:t>
      </w:r>
      <w:r>
        <w:rPr>
          <w:rFonts w:ascii="Arial" w:eastAsia="David" w:hAnsi="Arial"/>
          <w:rtl/>
        </w:rPr>
        <w:t xml:space="preserve"> </w:t>
      </w:r>
      <w:r>
        <w:rPr>
          <w:rFonts w:ascii="Arial" w:eastAsia="David" w:hAnsi="Arial" w:hint="eastAsia"/>
          <w:rtl/>
        </w:rPr>
        <w:t>כיבוד</w:t>
      </w:r>
      <w:r>
        <w:rPr>
          <w:rFonts w:ascii="Arial" w:eastAsia="David" w:hAnsi="Arial"/>
          <w:rtl/>
        </w:rPr>
        <w:t xml:space="preserve"> </w:t>
      </w:r>
      <w:r>
        <w:rPr>
          <w:rFonts w:ascii="Arial" w:eastAsia="David" w:hAnsi="Arial" w:hint="eastAsia"/>
          <w:rtl/>
        </w:rPr>
        <w:t>החלטות</w:t>
      </w:r>
      <w:r>
        <w:rPr>
          <w:rFonts w:ascii="Arial" w:eastAsia="David" w:hAnsi="Arial"/>
          <w:rtl/>
        </w:rPr>
        <w:t xml:space="preserve"> </w:t>
      </w:r>
      <w:r>
        <w:rPr>
          <w:rFonts w:ascii="Arial" w:eastAsia="David" w:hAnsi="Arial" w:hint="eastAsia"/>
          <w:rtl/>
        </w:rPr>
        <w:t>וצווים</w:t>
      </w:r>
      <w:r>
        <w:rPr>
          <w:rFonts w:ascii="Arial" w:eastAsia="David" w:hAnsi="Arial"/>
          <w:rtl/>
        </w:rPr>
        <w:t xml:space="preserve"> </w:t>
      </w:r>
      <w:r>
        <w:rPr>
          <w:rFonts w:ascii="Arial" w:eastAsia="David" w:hAnsi="Arial" w:hint="eastAsia"/>
          <w:rtl/>
        </w:rPr>
        <w:t>שיפוטיים</w:t>
      </w:r>
      <w:r>
        <w:rPr>
          <w:rFonts w:ascii="Arial" w:eastAsia="David" w:hAnsi="Arial"/>
          <w:rtl/>
        </w:rPr>
        <w:t>.</w:t>
      </w:r>
    </w:p>
    <w:p w14:paraId="70449AA7" w14:textId="77777777" w:rsidR="007D7633" w:rsidRDefault="007D7633">
      <w:pPr>
        <w:spacing w:line="360" w:lineRule="auto"/>
        <w:ind w:left="720"/>
        <w:contextualSpacing/>
        <w:jc w:val="both"/>
        <w:rPr>
          <w:rFonts w:ascii="Arial" w:eastAsia="David" w:hAnsi="Arial"/>
        </w:rPr>
      </w:pPr>
    </w:p>
    <w:p w14:paraId="12EDF7E6" w14:textId="77777777" w:rsidR="007D7633" w:rsidRDefault="009E5504">
      <w:pPr>
        <w:numPr>
          <w:ilvl w:val="0"/>
          <w:numId w:val="1"/>
        </w:numPr>
        <w:spacing w:line="360" w:lineRule="auto"/>
        <w:ind w:left="720" w:hanging="720"/>
        <w:contextualSpacing/>
        <w:jc w:val="both"/>
        <w:rPr>
          <w:rFonts w:ascii="Arial" w:eastAsia="David" w:hAnsi="Arial"/>
        </w:rPr>
      </w:pPr>
      <w:r>
        <w:rPr>
          <w:rFonts w:ascii="Arial" w:eastAsia="David" w:hAnsi="Arial" w:hint="cs"/>
          <w:rtl/>
        </w:rPr>
        <w:t>לפי הנסיבות המפורטות בכתב האישום המתוקן, הנאשם הפר את צו הפיקוח בכך שצרך סמים בניגוד למגבלות שהוטלו עליו בצו הפיקוח. כידוע, צריכת סמים היא גורם סיכון משמעותי משום שהיא מסירה עכבות ומכפילה את הסיכון שנשקף מעבריין המין. זו התכלית שלשמה נאסר על הנאשם להשתמש בסמים מסוכנים (מה שמובן מאליו). מעצם האיסור והרעיון שבבסיסו נגזרת גם החומרה. אמנם במקרה שלפנינו הפרת הצו לא כללה ביצוע עבירת מין, אולם אין להקל ראש בעבירת האלימות אשר בוצעה בשל השימוש בסמים. יתרה מכך, את נקודת המבט בנסיבות המקרה יש להפנות אל הסיכון הפוטנציאלי שנשקף מהנאשם לאחר שהשתמש בסמים, חלף הסיכון שהתממש. בשים לב לתמונת המסוכנות החמורה העולה ממאפייניו של הנאשם, נראה כי בהתנהגותו היה פוטנציאל חמור ומסוכן.</w:t>
      </w:r>
    </w:p>
    <w:p w14:paraId="4E4BF684" w14:textId="77777777" w:rsidR="007D7633" w:rsidRDefault="007D7633">
      <w:pPr>
        <w:spacing w:line="360" w:lineRule="auto"/>
        <w:ind w:left="720"/>
        <w:contextualSpacing/>
        <w:jc w:val="both"/>
        <w:rPr>
          <w:rFonts w:ascii="Arial" w:eastAsia="David" w:hAnsi="Arial"/>
        </w:rPr>
      </w:pPr>
    </w:p>
    <w:p w14:paraId="533CF620" w14:textId="77777777" w:rsidR="007D7633" w:rsidRDefault="009E5504">
      <w:pPr>
        <w:numPr>
          <w:ilvl w:val="0"/>
          <w:numId w:val="1"/>
        </w:numPr>
        <w:spacing w:line="360" w:lineRule="auto"/>
        <w:ind w:left="720" w:hanging="720"/>
        <w:contextualSpacing/>
        <w:jc w:val="both"/>
        <w:rPr>
          <w:rFonts w:ascii="Arial" w:eastAsia="David" w:hAnsi="Arial"/>
        </w:rPr>
      </w:pPr>
      <w:r>
        <w:rPr>
          <w:rFonts w:ascii="Arial" w:eastAsia="David" w:hAnsi="Arial"/>
          <w:rtl/>
        </w:rPr>
        <w:t>בחינת מדיניות הענישה הנוהגת מלמדת כי בתי המשפט מטילים בגין ביצוע עבירות של הפרת צו פיקוח עונש הכולל מאסר בפועל לתקופות שונות בשים לב לחומרת ההפרה. ניתן למצוא פסיקה בה הוטלו על נאשמים עונשי מאסר בפועל לתקופות לא קצרות, לצד פסיקה מקלה יותר</w:t>
      </w:r>
      <w:r>
        <w:rPr>
          <w:rFonts w:ascii="Arial" w:eastAsia="David" w:hAnsi="Arial" w:hint="cs"/>
          <w:rtl/>
        </w:rPr>
        <w:t>.</w:t>
      </w:r>
      <w:r>
        <w:rPr>
          <w:rFonts w:ascii="Arial" w:eastAsia="David" w:hAnsi="Arial"/>
          <w:rtl/>
        </w:rPr>
        <w:t xml:space="preserve"> ראו </w:t>
      </w:r>
      <w:r>
        <w:rPr>
          <w:rFonts w:ascii="Arial" w:eastAsia="David" w:hAnsi="Arial" w:hint="cs"/>
          <w:rtl/>
        </w:rPr>
        <w:t>גזר הדין שניתן על ידי ב</w:t>
      </w:r>
      <w:hyperlink r:id="rId43" w:history="1">
        <w:r w:rsidRPr="009E5504">
          <w:rPr>
            <w:rFonts w:ascii="Arial" w:eastAsia="David" w:hAnsi="Arial"/>
            <w:color w:val="0000FF"/>
            <w:u w:val="single"/>
            <w:rtl/>
          </w:rPr>
          <w:t>ת"פ (קריות) 60917-03-14</w:t>
        </w:r>
      </w:hyperlink>
      <w:r>
        <w:rPr>
          <w:rFonts w:ascii="Arial" w:eastAsia="David" w:hAnsi="Arial"/>
          <w:rtl/>
        </w:rPr>
        <w:t xml:space="preserve"> </w:t>
      </w:r>
      <w:r>
        <w:rPr>
          <w:rFonts w:ascii="Arial" w:eastAsia="David" w:hAnsi="Arial"/>
          <w:b/>
          <w:bCs/>
          <w:rtl/>
        </w:rPr>
        <w:t>פרקליטות מחוז חיפה - פלילי נ' פלוטקין</w:t>
      </w:r>
      <w:r>
        <w:rPr>
          <w:rFonts w:ascii="Arial" w:eastAsia="David" w:hAnsi="Arial" w:hint="cs"/>
          <w:rtl/>
        </w:rPr>
        <w:t xml:space="preserve"> (פורסם בנבו, 6.8.2015) </w:t>
      </w:r>
      <w:r>
        <w:rPr>
          <w:rFonts w:ascii="Arial" w:eastAsia="David" w:hAnsi="Arial"/>
          <w:rtl/>
        </w:rPr>
        <w:t>וסקירת הפסיקה שהובאה שם.</w:t>
      </w:r>
    </w:p>
    <w:p w14:paraId="64BB1119" w14:textId="77777777" w:rsidR="007D7633" w:rsidRDefault="007D7633">
      <w:pPr>
        <w:spacing w:line="360" w:lineRule="auto"/>
        <w:ind w:left="720"/>
        <w:contextualSpacing/>
        <w:jc w:val="both"/>
        <w:rPr>
          <w:rFonts w:ascii="Arial" w:eastAsia="David" w:hAnsi="Arial"/>
        </w:rPr>
      </w:pPr>
    </w:p>
    <w:p w14:paraId="778BE65D" w14:textId="77777777" w:rsidR="007D7633" w:rsidRDefault="009E5504">
      <w:pPr>
        <w:numPr>
          <w:ilvl w:val="0"/>
          <w:numId w:val="1"/>
        </w:numPr>
        <w:spacing w:line="360" w:lineRule="auto"/>
        <w:ind w:left="720" w:hanging="720"/>
        <w:contextualSpacing/>
        <w:jc w:val="both"/>
        <w:rPr>
          <w:rFonts w:ascii="Arial" w:eastAsia="David" w:hAnsi="Arial"/>
        </w:rPr>
      </w:pPr>
      <w:r>
        <w:rPr>
          <w:rFonts w:hint="cs"/>
          <w:rtl/>
        </w:rPr>
        <w:t xml:space="preserve">לאור המובא לעיל, אני סבור כי מתחם העונש ההולם נע בין  3-10 חודשי מאסר בפועל בנוסף למאסר על תנאי. בשל מצבו האישי של הנאשם אשר ממנו נגזר מצבו הכלכלי </w:t>
      </w:r>
      <w:r>
        <w:rPr>
          <w:rtl/>
        </w:rPr>
        <w:t>–</w:t>
      </w:r>
      <w:r>
        <w:rPr>
          <w:rFonts w:hint="cs"/>
          <w:rtl/>
        </w:rPr>
        <w:t xml:space="preserve"> לא ראיתי לכלול במתחם רכיב עונש בעל השלכה כספית.</w:t>
      </w:r>
    </w:p>
    <w:p w14:paraId="4D116868" w14:textId="77777777" w:rsidR="007D7633" w:rsidRDefault="007D7633">
      <w:pPr>
        <w:spacing w:line="360" w:lineRule="auto"/>
        <w:contextualSpacing/>
        <w:jc w:val="both"/>
        <w:rPr>
          <w:rtl/>
        </w:rPr>
      </w:pPr>
    </w:p>
    <w:p w14:paraId="2FDF49E7" w14:textId="77777777" w:rsidR="007D7633" w:rsidRDefault="009E5504">
      <w:pPr>
        <w:spacing w:line="360" w:lineRule="auto"/>
        <w:contextualSpacing/>
        <w:jc w:val="both"/>
        <w:rPr>
          <w:b/>
          <w:bCs/>
          <w:rtl/>
        </w:rPr>
      </w:pPr>
      <w:r>
        <w:rPr>
          <w:rFonts w:hint="cs"/>
          <w:b/>
          <w:bCs/>
          <w:rtl/>
        </w:rPr>
        <w:t>שיקולים לגזירת העונש בתוך המתחם</w:t>
      </w:r>
    </w:p>
    <w:p w14:paraId="242300E1" w14:textId="77777777" w:rsidR="007D7633" w:rsidRDefault="007D7633">
      <w:pPr>
        <w:spacing w:line="360" w:lineRule="auto"/>
        <w:ind w:left="567"/>
        <w:contextualSpacing/>
        <w:jc w:val="both"/>
        <w:rPr>
          <w:rFonts w:ascii="Arial" w:eastAsia="David" w:hAnsi="Arial"/>
        </w:rPr>
      </w:pPr>
    </w:p>
    <w:p w14:paraId="6DE58908" w14:textId="77777777" w:rsidR="007D7633" w:rsidRDefault="009E5504">
      <w:pPr>
        <w:numPr>
          <w:ilvl w:val="0"/>
          <w:numId w:val="1"/>
        </w:numPr>
        <w:spacing w:line="360" w:lineRule="auto"/>
        <w:contextualSpacing/>
        <w:jc w:val="both"/>
        <w:rPr>
          <w:rFonts w:ascii="Arial" w:eastAsia="David" w:hAnsi="Arial"/>
        </w:rPr>
      </w:pPr>
      <w:r>
        <w:rPr>
          <w:rFonts w:hint="cs"/>
          <w:rtl/>
        </w:rPr>
        <w:t xml:space="preserve">בגזירת העונש בגדרי מתחם העונש ההולם, יש לשקול את </w:t>
      </w:r>
      <w:r>
        <w:rPr>
          <w:rFonts w:hint="cs"/>
          <w:b/>
          <w:bCs/>
          <w:rtl/>
        </w:rPr>
        <w:t>הנסיבות שאינן קשורות בביצוע העבירה</w:t>
      </w:r>
      <w:r>
        <w:rPr>
          <w:rFonts w:hint="cs"/>
          <w:rtl/>
        </w:rPr>
        <w:t xml:space="preserve"> (</w:t>
      </w:r>
      <w:hyperlink r:id="rId44" w:history="1">
        <w:r w:rsidR="005F0BB7" w:rsidRPr="005F0BB7">
          <w:rPr>
            <w:color w:val="0000FF"/>
            <w:u w:val="single"/>
            <w:rtl/>
          </w:rPr>
          <w:t>סעיף 40יא'</w:t>
        </w:r>
      </w:hyperlink>
      <w:r>
        <w:rPr>
          <w:rFonts w:hint="cs"/>
          <w:rtl/>
        </w:rPr>
        <w:t xml:space="preserve"> ל</w:t>
      </w:r>
      <w:hyperlink r:id="rId45" w:history="1">
        <w:r w:rsidRPr="009E5504">
          <w:rPr>
            <w:color w:val="0000FF"/>
            <w:u w:val="single"/>
            <w:rtl/>
          </w:rPr>
          <w:t>חוק העונשין</w:t>
        </w:r>
      </w:hyperlink>
      <w:r>
        <w:rPr>
          <w:rFonts w:hint="cs"/>
          <w:rtl/>
        </w:rPr>
        <w:t xml:space="preserve">). </w:t>
      </w:r>
    </w:p>
    <w:p w14:paraId="19C6FB2F" w14:textId="77777777" w:rsidR="007D7633" w:rsidRDefault="007D7633">
      <w:pPr>
        <w:spacing w:line="360" w:lineRule="auto"/>
        <w:ind w:left="567"/>
        <w:contextualSpacing/>
        <w:jc w:val="both"/>
        <w:rPr>
          <w:rFonts w:ascii="Arial" w:eastAsia="David" w:hAnsi="Arial"/>
        </w:rPr>
      </w:pPr>
    </w:p>
    <w:p w14:paraId="019EF68C"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אין לכחד, התמונה העולה מנתוניו של הנאשם קשה ומטרידה ביותר. זהו אחד המקרים בהם בית המשפט עומד בפני קושי הנובע מן הפער בין הכללים הפורמליים של הטלת העונש, קביעת מתחם העונש והעונש בתוכו, לבין הסתכלות כוללת על מצבו של הנאשם והסיכון הנשקף ממנו.</w:t>
      </w:r>
    </w:p>
    <w:p w14:paraId="4A64FC60" w14:textId="77777777" w:rsidR="007D7633" w:rsidRDefault="007D7633">
      <w:pPr>
        <w:spacing w:line="360" w:lineRule="auto"/>
        <w:ind w:left="567"/>
        <w:contextualSpacing/>
        <w:jc w:val="both"/>
        <w:rPr>
          <w:rFonts w:ascii="Arial" w:eastAsia="David" w:hAnsi="Arial"/>
        </w:rPr>
      </w:pPr>
    </w:p>
    <w:p w14:paraId="1F32CC77"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מצב הדברים לעת הזו הוא כלהלן: הנאשם עצור מאז יום 21.3.2016 משך תקופה של כתשעה חודשים וחצי. תקופת מאסר זו אף מצויה במתחם לו טענה המאשימה (8-12 חודשים). מעבר להטלת העונש, מחשבות מטרידות עולות לגבי היום שאחרי שהנאשם ישוחרר ממאסרו.</w:t>
      </w:r>
    </w:p>
    <w:p w14:paraId="7ADAAB26" w14:textId="77777777" w:rsidR="007D7633" w:rsidRDefault="007D7633">
      <w:pPr>
        <w:spacing w:line="360" w:lineRule="auto"/>
        <w:ind w:left="567"/>
        <w:contextualSpacing/>
        <w:jc w:val="both"/>
        <w:rPr>
          <w:rFonts w:ascii="Arial" w:eastAsia="David" w:hAnsi="Arial"/>
        </w:rPr>
      </w:pPr>
    </w:p>
    <w:p w14:paraId="31E4BA4E"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נתוני הנאשם מלמדים כי ללא מסגרת מתאימה וטיפול ראוי, הסיכון כי ישוב ויבצע עבירות הוא גבוה, ואכן זו ההערכה המובאת בהערכת המסוכנות. גם שירות המבחן העריך כי הסיכון הנשקף מן הנאשם לביצוע עבירות בעתיד הוא גבוה וקיים אף סיכון לביצוע עבירות חמורות. הערכה זו של שירות המבחן התאששה עד כה (למרבה הצער) בהתבסס על ניסיון העבר. עיון בגיליון ההרשעות הקודמות מגלה כי הוא רצוף עבירות מכל התחומים. הרשעתו האחרונה של הנאשם היא משנת 2015 בגין עבירה של מעשה מגונה בגינה ריצה 7 חודשי מאסר; קדמה לה הרשעה בעבירה דומה משנת 2013 בגינה נדון לתקופת מאסר דומה. קיימות עבירות מין נוספות בעברו של הנאשם משנת 2011 </w:t>
      </w:r>
      <w:r>
        <w:rPr>
          <w:rFonts w:ascii="Arial" w:eastAsia="David" w:hAnsi="Arial"/>
          <w:rtl/>
        </w:rPr>
        <w:t>–</w:t>
      </w:r>
      <w:r>
        <w:rPr>
          <w:rFonts w:ascii="Arial" w:eastAsia="David" w:hAnsi="Arial" w:hint="cs"/>
          <w:rtl/>
        </w:rPr>
        <w:t xml:space="preserve"> עבירות של מעשה מגונה בפומבי ומעשה מגונה תוך שימוש בכח או איומים. בנוסף לכך הורשע הנאשם בעבר בין היתר בעבירות רכוש, אלימות, סמים והפרת הוראה חוקית.</w:t>
      </w:r>
    </w:p>
    <w:p w14:paraId="2ECC1296" w14:textId="77777777" w:rsidR="007D7633" w:rsidRDefault="007D7633">
      <w:pPr>
        <w:spacing w:line="360" w:lineRule="auto"/>
        <w:ind w:left="567"/>
        <w:contextualSpacing/>
        <w:jc w:val="both"/>
        <w:rPr>
          <w:rFonts w:ascii="Arial" w:eastAsia="David" w:hAnsi="Arial"/>
        </w:rPr>
      </w:pPr>
    </w:p>
    <w:p w14:paraId="65F1CC92"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הנאשם הוא יליד 1986 וכפי שעולה מתסקיר שירות המבחן ומהמסמכים שהונחו לפניי, הוא סובל מקשיים מנטליים ונפשיים כלל לא פשוטים אליהם נלווה שימוש בסמים. מהמסמכים שהוגשו על ידי הסניגור (נ/1) עולה תמונה קודרת באשר למצבו של הנאשם. במסמך מיום 17.8.2016 שנערך על ידי מב"ן צוין כי קיים אצל הנאשם "תהליך מנטלי איטי. אפקט מצומצם. חשיבה דלה מאד...רמת אינטליגנצי</w:t>
      </w:r>
      <w:r>
        <w:rPr>
          <w:rFonts w:ascii="Arial" w:eastAsia="David" w:hAnsi="Arial" w:hint="eastAsia"/>
          <w:rtl/>
        </w:rPr>
        <w:t>ה</w:t>
      </w:r>
      <w:r>
        <w:rPr>
          <w:rFonts w:ascii="Arial" w:eastAsia="David" w:hAnsi="Arial" w:hint="cs"/>
          <w:rtl/>
        </w:rPr>
        <w:t xml:space="preserve"> ירודה. מתפקד ברמה בסיסית. תובנה חלקית". במסמך נוסף שנערך על ידי פסיכיאטר צוין "רמת אינטליגנצי</w:t>
      </w:r>
      <w:r>
        <w:rPr>
          <w:rFonts w:ascii="Arial" w:eastAsia="David" w:hAnsi="Arial" w:hint="eastAsia"/>
          <w:rtl/>
        </w:rPr>
        <w:t>ה</w:t>
      </w:r>
      <w:r>
        <w:rPr>
          <w:rFonts w:ascii="Arial" w:eastAsia="David" w:hAnsi="Arial" w:hint="cs"/>
          <w:rtl/>
        </w:rPr>
        <w:t xml:space="preserve"> נמוכה. קונקרטי במהלך חשיפה. אין תובנה למצבו והתנהגותו. מגלה תמונה של פיגור שכלי". במסמכים של המוסד לביטוח לאומי צוין כי מדובר במי שסובל מפיגור שכלי קל והפרעות באישיות. </w:t>
      </w:r>
    </w:p>
    <w:p w14:paraId="0841F334" w14:textId="77777777" w:rsidR="007D7633" w:rsidRDefault="009E5504">
      <w:pPr>
        <w:spacing w:line="360" w:lineRule="auto"/>
        <w:ind w:left="567"/>
        <w:contextualSpacing/>
        <w:jc w:val="both"/>
        <w:rPr>
          <w:rFonts w:ascii="Arial" w:eastAsia="David" w:hAnsi="Arial"/>
        </w:rPr>
      </w:pPr>
      <w:r>
        <w:rPr>
          <w:rFonts w:ascii="Arial" w:eastAsia="David" w:hAnsi="Arial" w:hint="cs"/>
          <w:rtl/>
        </w:rPr>
        <w:t xml:space="preserve"> </w:t>
      </w:r>
    </w:p>
    <w:p w14:paraId="651BD686"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בנוסף לתמונת המצב באשר לקושי המנטלי, וללא קשר לכך </w:t>
      </w:r>
      <w:r>
        <w:rPr>
          <w:rFonts w:ascii="Arial" w:eastAsia="David" w:hAnsi="Arial"/>
          <w:rtl/>
        </w:rPr>
        <w:t>–</w:t>
      </w:r>
      <w:r>
        <w:rPr>
          <w:rFonts w:ascii="Arial" w:eastAsia="David" w:hAnsi="Arial" w:hint="cs"/>
          <w:rtl/>
        </w:rPr>
        <w:t xml:space="preserve"> נסיבות חייו של הנאשם אינן קלות. מהתסקיר עולה כי הנאשם עלה עם משפחתו מאתיופיה בהיותו בגיל 4, וניכר כי הוא נעדר מנגנוני תמיכה חברתיים ומשפחתיים ואין בנמצא מסגרת אחרת שתתאים לו ותעניק לו טיפול על רקע מגבלותיו. </w:t>
      </w:r>
    </w:p>
    <w:p w14:paraId="7801BB34" w14:textId="77777777" w:rsidR="007D7633" w:rsidRDefault="007D7633">
      <w:pPr>
        <w:spacing w:line="360" w:lineRule="auto"/>
        <w:ind w:left="567"/>
        <w:contextualSpacing/>
        <w:jc w:val="both"/>
        <w:rPr>
          <w:rFonts w:ascii="Arial" w:eastAsia="David" w:hAnsi="Arial"/>
        </w:rPr>
      </w:pPr>
    </w:p>
    <w:p w14:paraId="7577A2A3"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במסגרת התסקירים שהוגשו הוצע </w:t>
      </w:r>
      <w:r>
        <w:rPr>
          <w:rFonts w:ascii="Arial" w:eastAsia="David" w:hAnsi="Arial"/>
          <w:rtl/>
        </w:rPr>
        <w:t>–</w:t>
      </w:r>
      <w:r>
        <w:rPr>
          <w:rFonts w:ascii="Arial" w:eastAsia="David" w:hAnsi="Arial" w:hint="cs"/>
          <w:rtl/>
        </w:rPr>
        <w:t xml:space="preserve"> למעשה </w:t>
      </w:r>
      <w:r>
        <w:rPr>
          <w:rFonts w:ascii="Arial" w:eastAsia="David" w:hAnsi="Arial"/>
          <w:rtl/>
        </w:rPr>
        <w:t>–</w:t>
      </w:r>
      <w:r>
        <w:rPr>
          <w:rFonts w:ascii="Arial" w:eastAsia="David" w:hAnsi="Arial" w:hint="cs"/>
          <w:rtl/>
        </w:rPr>
        <w:t xml:space="preserve"> כי הנאשם ימשיך לשהות במעון "נווה מנשה" בתנאי המקום. יובהר כי הנאשם מצוי במעון "נווה מנשה" בתנאי מעצר החל מיום 13.10.2016 והוא שוהה במקום עד למועד מתן גזר הדין. התקופה המצטברת בה מצוי הנאשם הן במעצר בבית מעצר והן במעון "נווה מנשה" היא כתשעה חודשים וחצי. לכל הדעות תקופה זו (ככל שמנכים מתקופת המאסר שתוטל על הנאשם) מהווה עונש הולם לעבירות בהן הורשע הנאשם והיא אף נופלת במתחם העונש שהמאשימה טענה לו. </w:t>
      </w:r>
    </w:p>
    <w:p w14:paraId="09A74506" w14:textId="77777777" w:rsidR="007D7633" w:rsidRDefault="007D7633">
      <w:pPr>
        <w:spacing w:line="360" w:lineRule="auto"/>
        <w:ind w:left="567"/>
        <w:contextualSpacing/>
        <w:jc w:val="both"/>
        <w:rPr>
          <w:rFonts w:ascii="Arial" w:eastAsia="David" w:hAnsi="Arial"/>
        </w:rPr>
      </w:pPr>
    </w:p>
    <w:p w14:paraId="710FA9C1"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יכולנו לעצור את הילוכנו כאן, לעשות את מלאכתנו קלה ולחתום על גזר הדין בתוצאה עונשית זו. ואולם בכך תהיה מלאכתנו חסרה.  </w:t>
      </w:r>
    </w:p>
    <w:p w14:paraId="00F04242" w14:textId="77777777" w:rsidR="007D7633" w:rsidRDefault="007D7633">
      <w:pPr>
        <w:spacing w:line="360" w:lineRule="auto"/>
        <w:ind w:left="567"/>
        <w:contextualSpacing/>
        <w:jc w:val="both"/>
        <w:rPr>
          <w:rFonts w:ascii="Arial" w:eastAsia="David" w:hAnsi="Arial"/>
        </w:rPr>
      </w:pPr>
    </w:p>
    <w:p w14:paraId="1C2A9C3F"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שירות המבחן ציין בתסקיר שהוגש על ידו בהסתמך על עמדת נציגי המעון כי השהיה במעון היא מסגרת שיכולה לתת מענה למסוכנות הנשקפת מן הנאשם. המאשימה התנגדה לאפשרות זו, והיה זה דווקא הסניגור </w:t>
      </w:r>
      <w:r>
        <w:rPr>
          <w:rFonts w:ascii="Arial" w:eastAsia="David" w:hAnsi="Arial"/>
          <w:rtl/>
        </w:rPr>
        <w:t>–</w:t>
      </w:r>
      <w:r>
        <w:rPr>
          <w:rFonts w:ascii="Arial" w:eastAsia="David" w:hAnsi="Arial" w:hint="cs"/>
          <w:rtl/>
        </w:rPr>
        <w:t xml:space="preserve"> באחריות רבה יש לומר </w:t>
      </w:r>
      <w:r>
        <w:rPr>
          <w:rFonts w:ascii="Arial" w:eastAsia="David" w:hAnsi="Arial"/>
          <w:rtl/>
        </w:rPr>
        <w:t>–</w:t>
      </w:r>
      <w:r>
        <w:rPr>
          <w:rFonts w:ascii="Arial" w:eastAsia="David" w:hAnsi="Arial" w:hint="cs"/>
          <w:rtl/>
        </w:rPr>
        <w:t xml:space="preserve"> שביקש לאמץ את המתווה שהוצע על ידי שירות המבחן. יודגש כי הסניגור יכל אף הוא לעשות את מלאכתו קלה ולטעון כי די בתקופת המעצר </w:t>
      </w:r>
      <w:r>
        <w:rPr>
          <w:rFonts w:ascii="Arial" w:eastAsia="David" w:hAnsi="Arial"/>
          <w:rtl/>
        </w:rPr>
        <w:t>–</w:t>
      </w:r>
      <w:r>
        <w:rPr>
          <w:rFonts w:ascii="Arial" w:eastAsia="David" w:hAnsi="Arial" w:hint="cs"/>
          <w:rtl/>
        </w:rPr>
        <w:t xml:space="preserve"> ואידך זיל גמור. אולם חלף זאת, ביקש הסניגור להעמיד את הנאשם בצו מבחן במסגרתו ימשיך לשהות במעון. אכן, עמדה זו מיטיבה עם הנאשם, אשר עד כה, מלבד היותו בבתי סוהר, לא נמצאה לו מסגרת כלשהו. אך יחד עם זאת, היא מיטיבה </w:t>
      </w:r>
      <w:r>
        <w:rPr>
          <w:rFonts w:ascii="Arial" w:eastAsia="David" w:hAnsi="Arial"/>
          <w:rtl/>
        </w:rPr>
        <w:t>–</w:t>
      </w:r>
      <w:r>
        <w:rPr>
          <w:rFonts w:ascii="Arial" w:eastAsia="David" w:hAnsi="Arial" w:hint="cs"/>
          <w:rtl/>
        </w:rPr>
        <w:t xml:space="preserve"> לא פחות </w:t>
      </w:r>
      <w:r>
        <w:rPr>
          <w:rFonts w:ascii="Arial" w:eastAsia="David" w:hAnsi="Arial"/>
          <w:rtl/>
        </w:rPr>
        <w:t>–</w:t>
      </w:r>
      <w:r>
        <w:rPr>
          <w:rFonts w:ascii="Arial" w:eastAsia="David" w:hAnsi="Arial" w:hint="cs"/>
          <w:rtl/>
        </w:rPr>
        <w:t xml:space="preserve"> גם עם האינטרס הציבורי, מכיוון שיש בכך כדי להפחית ולו במעט את המסוכנות הנשקפת מן הנאשם. יודגש כי מן העבר האחר אין חלופה טובה יותר וכאמור, אם נעשה את מלאכתנו קלה, ההילוך יהיה כי על הנאשם תוטל תקופת מאסר שמשמעותה כי אם לא היום אז בעוד תקופה קצרה ישוחרר, ללא כל ערובות להפחתת המסוכנות הנשקפת ממנו על ידי מתן טיפול מתאים.  </w:t>
      </w:r>
    </w:p>
    <w:p w14:paraId="29B8CE31" w14:textId="77777777" w:rsidR="007D7633" w:rsidRDefault="007D7633">
      <w:pPr>
        <w:spacing w:line="360" w:lineRule="auto"/>
        <w:ind w:left="567"/>
        <w:contextualSpacing/>
        <w:jc w:val="both"/>
        <w:rPr>
          <w:rFonts w:ascii="Arial" w:eastAsia="David" w:hAnsi="Arial"/>
        </w:rPr>
      </w:pPr>
    </w:p>
    <w:p w14:paraId="31CB00B6"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אינני מתעלם מהקשיים הלא מבוטלים עליהם מצביע שירות המבחן בתסקירים שהוגשו על ידו, בין היתר לגבי השתלבותו הלא מלאה של הנאשם במעון. אולם נראה כי במציאות העגומה שתוארה </w:t>
      </w:r>
      <w:r>
        <w:rPr>
          <w:rFonts w:ascii="Arial" w:eastAsia="David" w:hAnsi="Arial"/>
          <w:rtl/>
        </w:rPr>
        <w:t>–</w:t>
      </w:r>
      <w:r>
        <w:rPr>
          <w:rFonts w:ascii="Arial" w:eastAsia="David" w:hAnsi="Arial" w:hint="cs"/>
          <w:rtl/>
        </w:rPr>
        <w:t xml:space="preserve"> קיים סוף סוף צוהר של תקווה כי נמצאת (אולי) מסגרת שיכולה להתאים לנאשם, ואין אלא לברך על כך.</w:t>
      </w:r>
    </w:p>
    <w:p w14:paraId="53E70C36" w14:textId="77777777" w:rsidR="007D7633" w:rsidRDefault="007D7633">
      <w:pPr>
        <w:spacing w:line="360" w:lineRule="auto"/>
        <w:ind w:left="567"/>
        <w:contextualSpacing/>
        <w:jc w:val="both"/>
        <w:rPr>
          <w:rFonts w:ascii="Arial" w:eastAsia="David" w:hAnsi="Arial"/>
        </w:rPr>
      </w:pPr>
    </w:p>
    <w:p w14:paraId="61CC5DC0"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ודוק, אין באימוץ המלצת שירות המבחן כדי לוותר על מטרות הענישה האחרות. כפי שצוין, הנאשם מצוי במעצר תקופה הקרובה לעשרה חודשים (חלק מן התקופה במעצר במעון "נווה מנשה"), כאשר תקופה זו מצויה ברף העליון של מתחם העונש שנקבע. האפשרות המוצעת היא תוספת שהיא בבחינת זה (הציבור) נהנה וזה (הנאשם) במקרה הטוב נהנה ובמקרה הפחות טוב לא חסר.</w:t>
      </w:r>
    </w:p>
    <w:p w14:paraId="78358715" w14:textId="77777777" w:rsidR="007D7633" w:rsidRDefault="007D7633">
      <w:pPr>
        <w:spacing w:line="360" w:lineRule="auto"/>
        <w:ind w:left="567"/>
        <w:contextualSpacing/>
        <w:jc w:val="both"/>
        <w:rPr>
          <w:rFonts w:ascii="Arial" w:eastAsia="David" w:hAnsi="Arial"/>
        </w:rPr>
      </w:pPr>
    </w:p>
    <w:p w14:paraId="388C25E4"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לסיכום, נראה כי התוצאה העונשית המיטבית היא הטלת עונש של מאסר בפועל לתקופה שתחפוף את ימי מעצרו (כולל במעון "נווה מנשה") וכן הטלת עונשי מאסר על תנאי, לצד העמדת הנאשם בצו מבחן למשך 18 חודשים. צו המבחן נועד למעשה להבטיח כי הנאשם ישהה במעון לפי תנאי המקום בפיקוח שירות המבחן. </w:t>
      </w:r>
    </w:p>
    <w:p w14:paraId="73968001" w14:textId="77777777" w:rsidR="007D7633" w:rsidRDefault="007D7633">
      <w:pPr>
        <w:spacing w:line="360" w:lineRule="auto"/>
        <w:ind w:left="567"/>
        <w:contextualSpacing/>
        <w:jc w:val="both"/>
        <w:rPr>
          <w:rFonts w:ascii="Arial" w:eastAsia="David" w:hAnsi="Arial"/>
        </w:rPr>
      </w:pPr>
    </w:p>
    <w:p w14:paraId="6FB9A0F2"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 xml:space="preserve">יוער כי הקביעה כי תקופת הפיקוח תכלול שהיית הנאשם במעון היא בסמכות בית המשפט. </w:t>
      </w:r>
      <w:hyperlink r:id="rId46" w:history="1">
        <w:r w:rsidR="005F0BB7" w:rsidRPr="005F0BB7">
          <w:rPr>
            <w:rFonts w:ascii="Arial" w:eastAsia="David" w:hAnsi="Arial"/>
            <w:color w:val="0000FF"/>
            <w:u w:val="single"/>
            <w:rtl/>
          </w:rPr>
          <w:t>סעיף 5</w:t>
        </w:r>
      </w:hyperlink>
      <w:r>
        <w:rPr>
          <w:rFonts w:ascii="Arial" w:eastAsia="David" w:hAnsi="Arial" w:hint="cs"/>
          <w:rtl/>
        </w:rPr>
        <w:t xml:space="preserve"> ל</w:t>
      </w:r>
      <w:hyperlink r:id="rId47" w:history="1">
        <w:r w:rsidRPr="009E5504">
          <w:rPr>
            <w:rFonts w:ascii="Arial" w:eastAsia="David" w:hAnsi="Arial"/>
            <w:color w:val="0000FF"/>
            <w:u w:val="single"/>
            <w:rtl/>
          </w:rPr>
          <w:t>פקודת המבחן</w:t>
        </w:r>
      </w:hyperlink>
      <w:r>
        <w:rPr>
          <w:rFonts w:ascii="Arial" w:eastAsia="David" w:hAnsi="Arial" w:hint="cs"/>
          <w:rtl/>
        </w:rPr>
        <w:t xml:space="preserve"> </w:t>
      </w:r>
      <w:r>
        <w:rPr>
          <w:rFonts w:ascii="Arial" w:eastAsia="David" w:hAnsi="Arial"/>
          <w:rtl/>
        </w:rPr>
        <w:t>[נוסח חדש], תשכ"ט-1969</w:t>
      </w:r>
      <w:r>
        <w:rPr>
          <w:rFonts w:ascii="Arial" w:eastAsia="David" w:hAnsi="Arial" w:hint="cs"/>
          <w:rtl/>
        </w:rPr>
        <w:t xml:space="preserve"> (להלן: </w:t>
      </w:r>
      <w:r>
        <w:rPr>
          <w:rFonts w:ascii="Arial" w:eastAsia="David" w:hAnsi="Arial" w:hint="cs"/>
          <w:b/>
          <w:bCs/>
          <w:rtl/>
        </w:rPr>
        <w:t>פקודת המבחן</w:t>
      </w:r>
      <w:r>
        <w:rPr>
          <w:rFonts w:ascii="Arial" w:eastAsia="David" w:hAnsi="Arial" w:hint="cs"/>
          <w:rtl/>
        </w:rPr>
        <w:t>)</w:t>
      </w:r>
      <w:r>
        <w:rPr>
          <w:rFonts w:ascii="Arial" w:eastAsia="David" w:hAnsi="Arial" w:hint="cs"/>
          <w:b/>
          <w:bCs/>
          <w:rtl/>
        </w:rPr>
        <w:t xml:space="preserve"> </w:t>
      </w:r>
      <w:r>
        <w:rPr>
          <w:rFonts w:ascii="Arial" w:eastAsia="David" w:hAnsi="Arial" w:hint="cs"/>
          <w:rtl/>
        </w:rPr>
        <w:t>קובע בין היתר כי צו המבחן יכיל בין היתר גם "</w:t>
      </w:r>
      <w:r>
        <w:rPr>
          <w:rFonts w:ascii="Arial" w:eastAsia="David" w:hAnsi="Arial"/>
          <w:b/>
          <w:bCs/>
          <w:rtl/>
        </w:rPr>
        <w:t>תנאים נוספים בדבר מגורים וענינים אחרים, לרבות חובת הנבחן לקבל טיפול רפואי, ככל שבית המשפט, בהתחשב עם נסיבות הענין, יראה אותם נחוצים כדי להבטיח את שלומו הנפשי והגופני של הנבחן, את שיקומו החברתי וחינוכו להתנהגות טובה, ולמנוע אותו מלשוב ולעבור את העבירה שעבר או מלעבור עבירה אחרת</w:t>
      </w:r>
      <w:r>
        <w:rPr>
          <w:rFonts w:ascii="Arial" w:eastAsia="David" w:hAnsi="Arial" w:hint="cs"/>
          <w:rtl/>
        </w:rPr>
        <w:t xml:space="preserve">". בנוסף לכך </w:t>
      </w:r>
      <w:hyperlink r:id="rId48" w:history="1">
        <w:r w:rsidR="005F0BB7" w:rsidRPr="005F0BB7">
          <w:rPr>
            <w:rFonts w:ascii="Arial" w:eastAsia="David" w:hAnsi="Arial"/>
            <w:color w:val="0000FF"/>
            <w:u w:val="single"/>
            <w:rtl/>
          </w:rPr>
          <w:t>סעיף 6(ב)</w:t>
        </w:r>
      </w:hyperlink>
      <w:r>
        <w:rPr>
          <w:rFonts w:ascii="Arial" w:eastAsia="David" w:hAnsi="Arial" w:hint="cs"/>
          <w:rtl/>
        </w:rPr>
        <w:t xml:space="preserve"> ל</w:t>
      </w:r>
      <w:hyperlink r:id="rId49" w:history="1">
        <w:r w:rsidRPr="009E5504">
          <w:rPr>
            <w:rFonts w:ascii="Arial" w:eastAsia="David" w:hAnsi="Arial"/>
            <w:color w:val="0000FF"/>
            <w:u w:val="single"/>
            <w:rtl/>
          </w:rPr>
          <w:t>פקודת המבחן</w:t>
        </w:r>
      </w:hyperlink>
      <w:r>
        <w:rPr>
          <w:rFonts w:ascii="Arial" w:eastAsia="David" w:hAnsi="Arial" w:hint="cs"/>
          <w:rtl/>
        </w:rPr>
        <w:t xml:space="preserve"> קובע כי "</w:t>
      </w:r>
      <w:r>
        <w:rPr>
          <w:rFonts w:ascii="Arial" w:eastAsia="David" w:hAnsi="Arial"/>
          <w:rtl/>
        </w:rPr>
        <w:t xml:space="preserve"> </w:t>
      </w:r>
      <w:r>
        <w:rPr>
          <w:rFonts w:ascii="Arial" w:eastAsia="David" w:hAnsi="Arial"/>
          <w:b/>
          <w:bCs/>
          <w:rtl/>
        </w:rPr>
        <w:t>הוכח לבית המשפט, בדרך שתיראה לו, כי יש מוסד המסכים לקבל את הנבחן ושהסכמתו מספקת כדי לחייבו בכך, רשאי בית המשפט להורות בצו המבחן שהנבחן יגור באותו מוסד תקופה שתפורש בצו ושלא תימשך מעבר לתקופת תקפו של צו המבחן</w:t>
      </w:r>
      <w:r>
        <w:rPr>
          <w:rFonts w:ascii="Arial" w:eastAsia="David" w:hAnsi="Arial" w:hint="cs"/>
          <w:rtl/>
        </w:rPr>
        <w:t xml:space="preserve">"  וראו גם יתר הוראות </w:t>
      </w:r>
      <w:hyperlink r:id="rId50" w:history="1">
        <w:r w:rsidR="005F0BB7" w:rsidRPr="005F0BB7">
          <w:rPr>
            <w:rFonts w:ascii="Arial" w:eastAsia="David" w:hAnsi="Arial"/>
            <w:color w:val="0000FF"/>
            <w:u w:val="single"/>
            <w:rtl/>
          </w:rPr>
          <w:t>סעיף 6</w:t>
        </w:r>
      </w:hyperlink>
      <w:r>
        <w:rPr>
          <w:rFonts w:ascii="Arial" w:eastAsia="David" w:hAnsi="Arial" w:hint="cs"/>
          <w:rtl/>
        </w:rPr>
        <w:t xml:space="preserve"> לפקודת המבחן.</w:t>
      </w:r>
      <w:bookmarkStart w:id="7" w:name="Seif6"/>
      <w:bookmarkEnd w:id="7"/>
    </w:p>
    <w:p w14:paraId="3F60440C" w14:textId="77777777" w:rsidR="007D7633" w:rsidRDefault="007D7633">
      <w:pPr>
        <w:spacing w:line="360" w:lineRule="auto"/>
        <w:ind w:left="567"/>
        <w:contextualSpacing/>
        <w:jc w:val="both"/>
        <w:rPr>
          <w:rFonts w:ascii="Arial" w:eastAsia="David" w:hAnsi="Arial"/>
        </w:rPr>
      </w:pPr>
    </w:p>
    <w:p w14:paraId="6B1F5BFF" w14:textId="77777777" w:rsidR="007D7633" w:rsidRDefault="009E5504">
      <w:pPr>
        <w:numPr>
          <w:ilvl w:val="0"/>
          <w:numId w:val="1"/>
        </w:numPr>
        <w:spacing w:line="360" w:lineRule="auto"/>
        <w:contextualSpacing/>
        <w:jc w:val="both"/>
        <w:rPr>
          <w:rFonts w:ascii="Arial" w:eastAsia="David" w:hAnsi="Arial"/>
        </w:rPr>
      </w:pPr>
      <w:r>
        <w:rPr>
          <w:rFonts w:ascii="Arial" w:eastAsia="David" w:hAnsi="Arial" w:hint="cs"/>
          <w:rtl/>
        </w:rPr>
        <w:t>לאור התוצאה אליה הגעתי אינני נדרש לשאלה אם ניתן לקבוע כי הנאשם יוכל לרצות מאסר בפועל במעון "נווה מנשה", זאת לאור טענת המאשימה כי הנאשם אינו מוכר כסובל מפיגור. שאלה זו אינה רלוונטית כעת, לאור ההוראה בדבר ניכוי ימי המעצר מתקופת המאסר.</w:t>
      </w:r>
    </w:p>
    <w:p w14:paraId="2D192519" w14:textId="77777777" w:rsidR="007D7633" w:rsidRDefault="007D7633">
      <w:pPr>
        <w:spacing w:line="360" w:lineRule="auto"/>
        <w:contextualSpacing/>
        <w:jc w:val="both"/>
        <w:rPr>
          <w:rFonts w:ascii="Arial" w:eastAsia="David" w:hAnsi="Arial"/>
          <w:rtl/>
        </w:rPr>
      </w:pPr>
    </w:p>
    <w:p w14:paraId="38B0F371" w14:textId="77777777" w:rsidR="007D7633" w:rsidRDefault="009E5504">
      <w:pPr>
        <w:spacing w:line="360" w:lineRule="auto"/>
        <w:contextualSpacing/>
        <w:jc w:val="both"/>
        <w:rPr>
          <w:rFonts w:ascii="Arial" w:eastAsia="David" w:hAnsi="Arial"/>
          <w:b/>
          <w:bCs/>
          <w:rtl/>
        </w:rPr>
      </w:pPr>
      <w:r>
        <w:rPr>
          <w:rFonts w:ascii="Arial" w:eastAsia="David" w:hAnsi="Arial" w:hint="cs"/>
          <w:b/>
          <w:bCs/>
          <w:rtl/>
        </w:rPr>
        <w:t>גזר הדין</w:t>
      </w:r>
    </w:p>
    <w:p w14:paraId="77781B33" w14:textId="77777777" w:rsidR="007D7633" w:rsidRDefault="007D7633">
      <w:pPr>
        <w:spacing w:line="360" w:lineRule="auto"/>
        <w:contextualSpacing/>
        <w:jc w:val="both"/>
        <w:rPr>
          <w:rFonts w:ascii="Arial" w:eastAsia="David" w:hAnsi="Arial"/>
        </w:rPr>
      </w:pPr>
    </w:p>
    <w:p w14:paraId="55B87BF9" w14:textId="77777777" w:rsidR="007D7633" w:rsidRDefault="009E5504">
      <w:pPr>
        <w:numPr>
          <w:ilvl w:val="0"/>
          <w:numId w:val="1"/>
        </w:numPr>
        <w:spacing w:line="360" w:lineRule="auto"/>
        <w:contextualSpacing/>
        <w:jc w:val="both"/>
        <w:rPr>
          <w:rFonts w:ascii="Arial" w:eastAsia="David" w:hAnsi="Arial"/>
        </w:rPr>
      </w:pPr>
      <w:r>
        <w:rPr>
          <w:rFonts w:hint="cs"/>
          <w:rtl/>
        </w:rPr>
        <w:t>לאור האמור לעיל, בשים לב למתחם העונש שקבעתי ולשיקולים הקשורים לגזירת העונש, אני גוזר על הנאשם את העונשים הבאים:</w:t>
      </w:r>
    </w:p>
    <w:p w14:paraId="2178D075" w14:textId="77777777" w:rsidR="007D7633" w:rsidRDefault="007D7633">
      <w:pPr>
        <w:spacing w:line="360" w:lineRule="auto"/>
        <w:rPr>
          <w:rtl/>
        </w:rPr>
      </w:pPr>
    </w:p>
    <w:p w14:paraId="32E1D98B" w14:textId="77777777" w:rsidR="007D7633" w:rsidRDefault="009E5504">
      <w:pPr>
        <w:spacing w:line="360" w:lineRule="auto"/>
        <w:ind w:left="992" w:hanging="425"/>
        <w:jc w:val="both"/>
        <w:rPr>
          <w:rtl/>
        </w:rPr>
      </w:pPr>
      <w:r>
        <w:rPr>
          <w:rFonts w:hint="cs"/>
          <w:rtl/>
        </w:rPr>
        <w:t>א.</w:t>
      </w:r>
      <w:r>
        <w:rPr>
          <w:rtl/>
        </w:rPr>
        <w:tab/>
      </w:r>
      <w:r>
        <w:rPr>
          <w:rFonts w:hint="cs"/>
          <w:rtl/>
        </w:rPr>
        <w:t xml:space="preserve">מאסר בפועל לתקופה של 9 חודשים ו- 10 ימים בניכוי ימי מעצרו, מיום 21.3.2016 ועוד להיום. מובהר כי ימי המעצר במעון הנעול "נווה מנשה" יימנו אף הם. </w:t>
      </w:r>
    </w:p>
    <w:p w14:paraId="1D637673" w14:textId="77777777" w:rsidR="007D7633" w:rsidRDefault="007D7633">
      <w:pPr>
        <w:spacing w:line="360" w:lineRule="auto"/>
        <w:ind w:left="992" w:hanging="425"/>
        <w:jc w:val="both"/>
        <w:rPr>
          <w:rtl/>
        </w:rPr>
      </w:pPr>
    </w:p>
    <w:p w14:paraId="0BC3E229" w14:textId="77777777" w:rsidR="007D7633" w:rsidRDefault="009E5504">
      <w:pPr>
        <w:spacing w:line="360" w:lineRule="auto"/>
        <w:ind w:left="992"/>
        <w:jc w:val="both"/>
        <w:rPr>
          <w:b/>
          <w:bCs/>
          <w:rtl/>
        </w:rPr>
      </w:pPr>
      <w:r>
        <w:rPr>
          <w:rFonts w:hint="cs"/>
          <w:b/>
          <w:bCs/>
          <w:rtl/>
        </w:rPr>
        <w:t>התוצאה היא אפוא כי הנאשם השלים את ריצוי עונש המאסר שהוטל עליו בגזר דין זה.</w:t>
      </w:r>
    </w:p>
    <w:p w14:paraId="74C80433" w14:textId="77777777" w:rsidR="007D7633" w:rsidRDefault="007D7633">
      <w:pPr>
        <w:spacing w:line="360" w:lineRule="auto"/>
        <w:ind w:left="992" w:hanging="425"/>
        <w:rPr>
          <w:b/>
          <w:bCs/>
          <w:u w:val="single"/>
          <w:rtl/>
        </w:rPr>
      </w:pPr>
    </w:p>
    <w:p w14:paraId="38561968" w14:textId="77777777" w:rsidR="007D7633" w:rsidRDefault="009E5504">
      <w:pPr>
        <w:spacing w:line="360" w:lineRule="auto"/>
        <w:ind w:left="992" w:hanging="425"/>
        <w:jc w:val="both"/>
        <w:rPr>
          <w:rtl/>
        </w:rPr>
      </w:pPr>
      <w:r>
        <w:rPr>
          <w:rFonts w:hint="cs"/>
          <w:rtl/>
        </w:rPr>
        <w:t>ב.</w:t>
      </w:r>
      <w:r>
        <w:rPr>
          <w:rFonts w:hint="cs"/>
          <w:rtl/>
        </w:rPr>
        <w:tab/>
        <w:t xml:space="preserve">6 חודשי מאסר על תנאי, שלא יעבור בתוך שלוש שנים, עבירה של הפרת צו פיקוח לפי חוק פיקוח על עברייני מין או עבירה מסוג פשע לפי </w:t>
      </w:r>
      <w:hyperlink r:id="rId51" w:history="1">
        <w:r w:rsidRPr="009E5504">
          <w:rPr>
            <w:color w:val="0000FF"/>
            <w:u w:val="single"/>
            <w:rtl/>
          </w:rPr>
          <w:t>פקודת הסמים המסוכנים</w:t>
        </w:r>
      </w:hyperlink>
      <w:r>
        <w:rPr>
          <w:rFonts w:hint="cs"/>
          <w:rtl/>
        </w:rPr>
        <w:t>, או עבירת אלימות ויורשע בה.</w:t>
      </w:r>
    </w:p>
    <w:p w14:paraId="5A196E71" w14:textId="77777777" w:rsidR="007D7633" w:rsidRDefault="007D7633">
      <w:pPr>
        <w:spacing w:line="360" w:lineRule="auto"/>
        <w:ind w:left="992" w:hanging="425"/>
        <w:rPr>
          <w:rtl/>
        </w:rPr>
      </w:pPr>
    </w:p>
    <w:p w14:paraId="1CAEBFB7" w14:textId="77777777" w:rsidR="007D7633" w:rsidRDefault="009E5504">
      <w:pPr>
        <w:spacing w:line="360" w:lineRule="auto"/>
        <w:ind w:left="992" w:hanging="425"/>
        <w:jc w:val="both"/>
        <w:rPr>
          <w:rtl/>
        </w:rPr>
      </w:pPr>
      <w:r>
        <w:rPr>
          <w:rFonts w:hint="cs"/>
          <w:rtl/>
        </w:rPr>
        <w:t>ג.</w:t>
      </w:r>
      <w:r>
        <w:rPr>
          <w:rtl/>
        </w:rPr>
        <w:tab/>
      </w:r>
      <w:r>
        <w:rPr>
          <w:rFonts w:hint="cs"/>
          <w:rtl/>
        </w:rPr>
        <w:t>2</w:t>
      </w:r>
      <w:r>
        <w:rPr>
          <w:rtl/>
        </w:rPr>
        <w:t xml:space="preserve"> </w:t>
      </w:r>
      <w:r>
        <w:rPr>
          <w:rFonts w:ascii="Calibri" w:hAnsi="Calibri" w:hint="eastAsia"/>
          <w:rtl/>
        </w:rPr>
        <w:t>חודש</w:t>
      </w:r>
      <w:r>
        <w:rPr>
          <w:rtl/>
        </w:rPr>
        <w:t xml:space="preserve"> </w:t>
      </w:r>
      <w:r>
        <w:rPr>
          <w:rFonts w:hint="eastAsia"/>
          <w:rtl/>
        </w:rPr>
        <w:t>מאסר</w:t>
      </w:r>
      <w:r>
        <w:rPr>
          <w:rFonts w:hint="cs"/>
          <w:rtl/>
        </w:rPr>
        <w:t xml:space="preserve"> על תנאי, שלא </w:t>
      </w:r>
      <w:r>
        <w:rPr>
          <w:rFonts w:hint="eastAsia"/>
          <w:rtl/>
        </w:rPr>
        <w:t>יעבור</w:t>
      </w:r>
      <w:r>
        <w:rPr>
          <w:rtl/>
        </w:rPr>
        <w:t xml:space="preserve"> </w:t>
      </w:r>
      <w:r>
        <w:rPr>
          <w:rFonts w:hint="eastAsia"/>
          <w:rtl/>
        </w:rPr>
        <w:t>בתוך</w:t>
      </w:r>
      <w:r>
        <w:rPr>
          <w:rtl/>
        </w:rPr>
        <w:t xml:space="preserve"> </w:t>
      </w:r>
      <w:r>
        <w:rPr>
          <w:rFonts w:hint="eastAsia"/>
          <w:rtl/>
        </w:rPr>
        <w:t>ש</w:t>
      </w:r>
      <w:r>
        <w:rPr>
          <w:rFonts w:hint="cs"/>
          <w:rtl/>
        </w:rPr>
        <w:t>נתיים</w:t>
      </w:r>
      <w:r>
        <w:rPr>
          <w:rtl/>
        </w:rPr>
        <w:t xml:space="preserve">, </w:t>
      </w:r>
      <w:r>
        <w:rPr>
          <w:rFonts w:hint="eastAsia"/>
          <w:rtl/>
        </w:rPr>
        <w:t>עבירה</w:t>
      </w:r>
      <w:r>
        <w:rPr>
          <w:rtl/>
        </w:rPr>
        <w:t xml:space="preserve"> </w:t>
      </w:r>
      <w:r>
        <w:rPr>
          <w:rFonts w:hint="cs"/>
          <w:rtl/>
        </w:rPr>
        <w:t xml:space="preserve">מסוג עוון </w:t>
      </w:r>
      <w:r>
        <w:rPr>
          <w:rFonts w:hint="eastAsia"/>
          <w:rtl/>
        </w:rPr>
        <w:t>לפי</w:t>
      </w:r>
      <w:r>
        <w:rPr>
          <w:rtl/>
        </w:rPr>
        <w:t xml:space="preserve"> </w:t>
      </w:r>
      <w:hyperlink r:id="rId52" w:history="1">
        <w:r w:rsidRPr="009E5504">
          <w:rPr>
            <w:color w:val="0000FF"/>
            <w:u w:val="single"/>
            <w:rtl/>
          </w:rPr>
          <w:t>פקודת הסמים המסוכנים</w:t>
        </w:r>
      </w:hyperlink>
      <w:r>
        <w:rPr>
          <w:rtl/>
        </w:rPr>
        <w:t xml:space="preserve"> </w:t>
      </w:r>
      <w:r>
        <w:rPr>
          <w:rFonts w:hint="eastAsia"/>
          <w:rtl/>
        </w:rPr>
        <w:t>ויורשע</w:t>
      </w:r>
      <w:r>
        <w:rPr>
          <w:rtl/>
        </w:rPr>
        <w:t xml:space="preserve"> </w:t>
      </w:r>
      <w:r>
        <w:rPr>
          <w:rFonts w:hint="eastAsia"/>
          <w:rtl/>
        </w:rPr>
        <w:t>בה</w:t>
      </w:r>
      <w:r>
        <w:rPr>
          <w:rtl/>
        </w:rPr>
        <w:t>.</w:t>
      </w:r>
    </w:p>
    <w:p w14:paraId="76FDA113" w14:textId="77777777" w:rsidR="007D7633" w:rsidRDefault="007D7633">
      <w:pPr>
        <w:pStyle w:val="a6"/>
        <w:spacing w:line="280" w:lineRule="exact"/>
        <w:ind w:left="992" w:hanging="425"/>
        <w:rPr>
          <w:rtl/>
        </w:rPr>
      </w:pPr>
    </w:p>
    <w:p w14:paraId="7B194EAF" w14:textId="77777777" w:rsidR="007D7633" w:rsidRDefault="009E5504">
      <w:pPr>
        <w:spacing w:line="360" w:lineRule="auto"/>
        <w:ind w:left="992" w:hanging="425"/>
        <w:jc w:val="both"/>
        <w:rPr>
          <w:rtl/>
        </w:rPr>
      </w:pPr>
      <w:r>
        <w:rPr>
          <w:rFonts w:hint="cs"/>
          <w:rtl/>
        </w:rPr>
        <w:t>ד.</w:t>
      </w:r>
      <w:r>
        <w:rPr>
          <w:rtl/>
        </w:rPr>
        <w:tab/>
        <w:t>הנני מחייב את הנאשם לעמוד בפיקוח  קצין מבחן למשך</w:t>
      </w:r>
      <w:r>
        <w:rPr>
          <w:rFonts w:hint="cs"/>
          <w:rtl/>
        </w:rPr>
        <w:t xml:space="preserve"> 18</w:t>
      </w:r>
      <w:r>
        <w:rPr>
          <w:rtl/>
        </w:rPr>
        <w:t xml:space="preserve"> חודשים החל מ</w:t>
      </w:r>
      <w:r>
        <w:rPr>
          <w:rFonts w:hint="cs"/>
          <w:rtl/>
        </w:rPr>
        <w:t>ה</w:t>
      </w:r>
      <w:r>
        <w:rPr>
          <w:rtl/>
        </w:rPr>
        <w:t>יום</w:t>
      </w:r>
      <w:r>
        <w:rPr>
          <w:rFonts w:hint="cs"/>
          <w:rtl/>
        </w:rPr>
        <w:t xml:space="preserve"> </w:t>
      </w:r>
      <w:r>
        <w:rPr>
          <w:rtl/>
        </w:rPr>
        <w:t>בהתאם לתכנית ולתנאים</w:t>
      </w:r>
      <w:r>
        <w:rPr>
          <w:rFonts w:hint="cs"/>
          <w:rtl/>
        </w:rPr>
        <w:t xml:space="preserve"> המפורטים בתסקיר שירות המבחן מיום 20.12.2016. למען הסר ספק במהלך תקופת המבחן יתגורר הנאשם במעון הנעול "נווה מנשה" בהתאם לתנאים שייקבעו על ידי מוסד זה או במקום מגורים אחר שייקבע על ידי המוסד; או על ידי שירות המבחן; כן יהיה על הנאשם לקבל טיפול פסיכיאטרי וכל טיפול אחר עליו יוחלט על ידי המעון או על ידי שירות המבחן; כמו כן, יהיה על הנאשם להשתלב בתכניות טיפוליות שיקבעו עבורו. </w:t>
      </w:r>
    </w:p>
    <w:p w14:paraId="14EC8849" w14:textId="77777777" w:rsidR="007D7633" w:rsidRDefault="007D7633">
      <w:pPr>
        <w:spacing w:line="360" w:lineRule="auto"/>
        <w:ind w:left="992" w:hanging="425"/>
        <w:jc w:val="both"/>
        <w:rPr>
          <w:rtl/>
        </w:rPr>
      </w:pPr>
    </w:p>
    <w:p w14:paraId="513523F9" w14:textId="77777777" w:rsidR="007D7633" w:rsidRDefault="009E5504">
      <w:pPr>
        <w:spacing w:line="360" w:lineRule="auto"/>
        <w:ind w:left="992"/>
        <w:jc w:val="both"/>
        <w:rPr>
          <w:rtl/>
        </w:rPr>
      </w:pPr>
      <w:r>
        <w:rPr>
          <w:rtl/>
        </w:rPr>
        <w:t>בית</w:t>
      </w:r>
      <w:r>
        <w:rPr>
          <w:rFonts w:hint="cs"/>
          <w:rtl/>
        </w:rPr>
        <w:t xml:space="preserve"> </w:t>
      </w:r>
      <w:r>
        <w:rPr>
          <w:rtl/>
        </w:rPr>
        <w:t>המשפט הסביר לנאשם בלשון פשוטה המובנת לו את משמעות צו</w:t>
      </w:r>
      <w:r>
        <w:rPr>
          <w:rFonts w:hint="cs"/>
          <w:rtl/>
        </w:rPr>
        <w:t xml:space="preserve"> ה</w:t>
      </w:r>
      <w:r>
        <w:rPr>
          <w:rtl/>
        </w:rPr>
        <w:t>מבחן והזהירו שאם לא ימלא אחרי הצו מכל בחינה שהיא או יעבור עבירה נוספת, יהיה צפוי ל</w:t>
      </w:r>
      <w:r>
        <w:rPr>
          <w:rFonts w:hint="cs"/>
          <w:rtl/>
        </w:rPr>
        <w:t>עונש נוסף על</w:t>
      </w:r>
      <w:r>
        <w:rPr>
          <w:rtl/>
        </w:rPr>
        <w:t xml:space="preserve"> העביר</w:t>
      </w:r>
      <w:r>
        <w:rPr>
          <w:rFonts w:hint="cs"/>
          <w:rtl/>
        </w:rPr>
        <w:t>ות בהן הורשע בתי</w:t>
      </w:r>
      <w:r>
        <w:rPr>
          <w:rtl/>
        </w:rPr>
        <w:t>ק זה.</w:t>
      </w:r>
    </w:p>
    <w:p w14:paraId="7EB1DDEC" w14:textId="77777777" w:rsidR="007D7633" w:rsidRDefault="007D7633">
      <w:pPr>
        <w:spacing w:line="360" w:lineRule="auto"/>
        <w:ind w:left="992" w:hanging="425"/>
        <w:jc w:val="both"/>
        <w:rPr>
          <w:rtl/>
        </w:rPr>
      </w:pPr>
    </w:p>
    <w:p w14:paraId="089B981B" w14:textId="77777777" w:rsidR="007D7633" w:rsidRDefault="009E5504">
      <w:pPr>
        <w:spacing w:line="360" w:lineRule="auto"/>
        <w:ind w:left="992" w:hanging="425"/>
        <w:jc w:val="both"/>
        <w:rPr>
          <w:rtl/>
        </w:rPr>
      </w:pPr>
      <w:r>
        <w:rPr>
          <w:rtl/>
        </w:rPr>
        <w:tab/>
      </w:r>
      <w:r>
        <w:rPr>
          <w:rFonts w:hint="cs"/>
          <w:rtl/>
        </w:rPr>
        <w:t>שירות המבחן יגיש תסקיר בכל ששה חודשים בו יעדכן את בית המשפט לגבי קיום תנאי צו המבחן.</w:t>
      </w:r>
    </w:p>
    <w:p w14:paraId="5426F08A" w14:textId="77777777" w:rsidR="007D7633" w:rsidRDefault="007D7633">
      <w:pPr>
        <w:spacing w:line="360" w:lineRule="auto"/>
        <w:ind w:left="992" w:hanging="425"/>
        <w:jc w:val="both"/>
        <w:rPr>
          <w:rtl/>
        </w:rPr>
      </w:pPr>
    </w:p>
    <w:p w14:paraId="74E6C8D4" w14:textId="77777777" w:rsidR="007D7633" w:rsidRDefault="009E5504">
      <w:pPr>
        <w:spacing w:line="360" w:lineRule="auto"/>
        <w:jc w:val="both"/>
        <w:rPr>
          <w:rtl/>
        </w:rPr>
      </w:pPr>
      <w:r>
        <w:rPr>
          <w:rFonts w:hint="cs"/>
          <w:rtl/>
        </w:rPr>
        <w:t>שב"ס יעביר את הנאשם ממקום מעצרו למעון "נווה מנשה".</w:t>
      </w:r>
    </w:p>
    <w:p w14:paraId="54B36008" w14:textId="77777777" w:rsidR="007D7633" w:rsidRDefault="007D7633">
      <w:pPr>
        <w:ind w:left="992" w:hanging="425"/>
      </w:pPr>
    </w:p>
    <w:p w14:paraId="0077E5DB" w14:textId="77777777" w:rsidR="007D7633" w:rsidRDefault="009E5504">
      <w:pPr>
        <w:spacing w:line="360" w:lineRule="auto"/>
        <w:rPr>
          <w:b/>
          <w:bCs/>
          <w:rtl/>
        </w:rPr>
      </w:pPr>
      <w:r>
        <w:rPr>
          <w:rFonts w:hint="cs"/>
          <w:b/>
          <w:bCs/>
          <w:rtl/>
        </w:rPr>
        <w:t>זכות ערעור לבית המשפט המחוזי תוך 45 ימים מהיום.</w:t>
      </w:r>
    </w:p>
    <w:p w14:paraId="12B9B8F6" w14:textId="77777777" w:rsidR="007D7633" w:rsidRDefault="007D7633">
      <w:pPr>
        <w:rPr>
          <w:rtl/>
        </w:rPr>
      </w:pPr>
    </w:p>
    <w:p w14:paraId="79F963E5" w14:textId="77777777" w:rsidR="007D7633" w:rsidRDefault="007D7633"/>
    <w:p w14:paraId="6F7A4C2D" w14:textId="77777777" w:rsidR="007D7633" w:rsidRDefault="009E5504">
      <w:pPr>
        <w:spacing w:line="360" w:lineRule="auto"/>
        <w:jc w:val="both"/>
        <w:rPr>
          <w:b/>
          <w:bCs/>
          <w:u w:val="single"/>
          <w:rtl/>
        </w:rPr>
      </w:pPr>
      <w:r>
        <w:rPr>
          <w:rFonts w:hint="cs"/>
          <w:b/>
          <w:bCs/>
          <w:u w:val="single"/>
          <w:rtl/>
        </w:rPr>
        <w:t>עותק מגזר הדין יועבר על ידי המזכירות לגורמים הבאים:</w:t>
      </w:r>
    </w:p>
    <w:p w14:paraId="41C945DF" w14:textId="77777777" w:rsidR="007D7633" w:rsidRDefault="009E5504">
      <w:pPr>
        <w:spacing w:line="360" w:lineRule="auto"/>
        <w:jc w:val="both"/>
        <w:rPr>
          <w:rtl/>
        </w:rPr>
      </w:pPr>
      <w:r>
        <w:rPr>
          <w:rFonts w:hint="cs"/>
          <w:rtl/>
        </w:rPr>
        <w:t>1. שירות המבחן.</w:t>
      </w:r>
    </w:p>
    <w:p w14:paraId="618A48A9" w14:textId="77777777" w:rsidR="007D7633" w:rsidRDefault="009E5504">
      <w:pPr>
        <w:spacing w:line="360" w:lineRule="auto"/>
        <w:jc w:val="both"/>
        <w:rPr>
          <w:rtl/>
        </w:rPr>
      </w:pPr>
      <w:r>
        <w:rPr>
          <w:rFonts w:hint="cs"/>
          <w:rtl/>
        </w:rPr>
        <w:t>2. מעון נווה מנשה.</w:t>
      </w:r>
    </w:p>
    <w:p w14:paraId="111274A2" w14:textId="77777777" w:rsidR="007D7633" w:rsidRDefault="009E5504">
      <w:pPr>
        <w:spacing w:line="360" w:lineRule="auto"/>
        <w:jc w:val="both"/>
      </w:pPr>
      <w:r>
        <w:rPr>
          <w:rFonts w:hint="cs"/>
          <w:rtl/>
        </w:rPr>
        <w:t xml:space="preserve">3. מנכ"ל משרד העבודה והרווחה (כאמור </w:t>
      </w:r>
      <w:hyperlink r:id="rId53" w:history="1">
        <w:r w:rsidR="005F0BB7" w:rsidRPr="005F0BB7">
          <w:rPr>
            <w:color w:val="0000FF"/>
            <w:u w:val="single"/>
            <w:rtl/>
          </w:rPr>
          <w:t>בסעיף 6(ב)</w:t>
        </w:r>
      </w:hyperlink>
      <w:r>
        <w:rPr>
          <w:rFonts w:hint="cs"/>
          <w:rtl/>
        </w:rPr>
        <w:t xml:space="preserve"> ל</w:t>
      </w:r>
      <w:hyperlink r:id="rId54" w:history="1">
        <w:r w:rsidRPr="009E5504">
          <w:rPr>
            <w:color w:val="0000FF"/>
            <w:u w:val="single"/>
            <w:rtl/>
          </w:rPr>
          <w:t>פקודת המבחן</w:t>
        </w:r>
      </w:hyperlink>
      <w:r>
        <w:rPr>
          <w:rFonts w:hint="cs"/>
          <w:rtl/>
        </w:rPr>
        <w:t>).</w:t>
      </w:r>
    </w:p>
    <w:p w14:paraId="0C111A49" w14:textId="77777777" w:rsidR="007D7633" w:rsidRDefault="007D7633">
      <w:pPr>
        <w:rPr>
          <w:rtl/>
        </w:rPr>
      </w:pPr>
    </w:p>
    <w:p w14:paraId="072A152D" w14:textId="77777777" w:rsidR="007D7633" w:rsidRDefault="007D7633">
      <w:pPr>
        <w:rPr>
          <w:rtl/>
        </w:rPr>
      </w:pPr>
    </w:p>
    <w:p w14:paraId="747B0ABA" w14:textId="77777777" w:rsidR="007D7633" w:rsidRDefault="007D7633">
      <w:pPr>
        <w:rPr>
          <w:rtl/>
        </w:rPr>
      </w:pPr>
    </w:p>
    <w:p w14:paraId="2F57884B" w14:textId="77777777" w:rsidR="007D7633" w:rsidRDefault="007D7633">
      <w:pPr>
        <w:rPr>
          <w:rtl/>
        </w:rPr>
      </w:pPr>
    </w:p>
    <w:p w14:paraId="4C146F80" w14:textId="77777777" w:rsidR="007D7633" w:rsidRPr="009E5504" w:rsidRDefault="009E5504">
      <w:pPr>
        <w:rPr>
          <w:color w:val="FFFFFF"/>
          <w:sz w:val="2"/>
          <w:szCs w:val="2"/>
          <w:rtl/>
        </w:rPr>
      </w:pPr>
      <w:r w:rsidRPr="009E5504">
        <w:rPr>
          <w:color w:val="FFFFFF"/>
          <w:sz w:val="2"/>
          <w:szCs w:val="2"/>
          <w:rtl/>
        </w:rPr>
        <w:t>5129371</w:t>
      </w:r>
    </w:p>
    <w:p w14:paraId="47065B90" w14:textId="77777777" w:rsidR="007D7633" w:rsidRDefault="009E5504">
      <w:pPr>
        <w:rPr>
          <w:rFonts w:cs="FrankRuehl"/>
          <w:sz w:val="28"/>
          <w:szCs w:val="28"/>
          <w:rtl/>
        </w:rPr>
      </w:pPr>
      <w:r w:rsidRPr="009E5504">
        <w:rPr>
          <w:rFonts w:ascii="Arial" w:hAnsi="Arial"/>
          <w:color w:val="FFFFFF"/>
          <w:sz w:val="2"/>
          <w:szCs w:val="2"/>
          <w:rtl/>
        </w:rPr>
        <w:t>54678313</w:t>
      </w:r>
      <w:r>
        <w:rPr>
          <w:rFonts w:ascii="Arial" w:hAnsi="Arial"/>
          <w:rtl/>
        </w:rPr>
        <w:t xml:space="preserve">ניתן היום,  י"ג טבת תשע"ז, 11 ינואר 2017, במעמד ב"כ הצדדים והנאשם. </w:t>
      </w:r>
    </w:p>
    <w:p w14:paraId="59F389E3" w14:textId="77777777" w:rsidR="007D7633" w:rsidRDefault="009E550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EFDBCDA" w14:textId="77777777" w:rsidR="007D7633" w:rsidRDefault="007D7633">
      <w:pPr>
        <w:jc w:val="center"/>
        <w:rPr>
          <w:rFonts w:ascii="Arial" w:hAnsi="Arial" w:cs="FrankRuehl"/>
          <w:sz w:val="28"/>
          <w:szCs w:val="28"/>
          <w:rtl/>
        </w:rPr>
      </w:pPr>
    </w:p>
    <w:p w14:paraId="1742ECE9" w14:textId="77777777" w:rsidR="007D7633" w:rsidRDefault="007D7633">
      <w:pPr>
        <w:rPr>
          <w:rFonts w:cs="FrankRuehl"/>
          <w:sz w:val="28"/>
          <w:szCs w:val="28"/>
          <w:rtl/>
        </w:rPr>
      </w:pPr>
    </w:p>
    <w:p w14:paraId="7D8767E7" w14:textId="77777777" w:rsidR="007D7633" w:rsidRDefault="007D7633">
      <w:pPr>
        <w:pStyle w:val="a3"/>
        <w:jc w:val="center"/>
        <w:rPr>
          <w:rtl/>
        </w:rPr>
      </w:pPr>
    </w:p>
    <w:p w14:paraId="4EAA1123" w14:textId="77777777" w:rsidR="009E5504" w:rsidRPr="009E5504" w:rsidRDefault="009E5504" w:rsidP="009E5504">
      <w:pPr>
        <w:keepNext/>
        <w:rPr>
          <w:rFonts w:ascii="David" w:hAnsi="David"/>
          <w:color w:val="000000"/>
          <w:sz w:val="22"/>
          <w:szCs w:val="22"/>
          <w:rtl/>
        </w:rPr>
      </w:pPr>
    </w:p>
    <w:p w14:paraId="6D604E3E" w14:textId="77777777" w:rsidR="009E5504" w:rsidRPr="009E5504" w:rsidRDefault="009E5504" w:rsidP="009E5504">
      <w:pPr>
        <w:keepNext/>
        <w:rPr>
          <w:rFonts w:ascii="David" w:hAnsi="David"/>
          <w:color w:val="000000"/>
          <w:sz w:val="22"/>
          <w:szCs w:val="22"/>
          <w:rtl/>
        </w:rPr>
      </w:pPr>
      <w:r w:rsidRPr="009E5504">
        <w:rPr>
          <w:rFonts w:ascii="David" w:hAnsi="David"/>
          <w:color w:val="000000"/>
          <w:sz w:val="22"/>
          <w:szCs w:val="22"/>
          <w:rtl/>
        </w:rPr>
        <w:t>מוחמד עלי 54678313</w:t>
      </w:r>
    </w:p>
    <w:p w14:paraId="22A69B42" w14:textId="77777777" w:rsidR="009E5504" w:rsidRDefault="009E5504" w:rsidP="009E5504">
      <w:r w:rsidRPr="009E5504">
        <w:rPr>
          <w:color w:val="000000"/>
          <w:rtl/>
        </w:rPr>
        <w:t>נוסח מסמך זה כפוף לשינויי ניסוח ועריכה</w:t>
      </w:r>
    </w:p>
    <w:p w14:paraId="6C9EFAD5" w14:textId="77777777" w:rsidR="009E5504" w:rsidRDefault="009E5504" w:rsidP="009E5504">
      <w:pPr>
        <w:rPr>
          <w:rtl/>
        </w:rPr>
      </w:pPr>
    </w:p>
    <w:p w14:paraId="2A099EA3" w14:textId="77777777" w:rsidR="009E5504" w:rsidRDefault="009E5504" w:rsidP="009E5504">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4E17A45D" w14:textId="77777777" w:rsidR="007D7633" w:rsidRPr="009E5504" w:rsidRDefault="00E22F32" w:rsidP="009E5504">
      <w:pPr>
        <w:jc w:val="center"/>
        <w:rPr>
          <w:color w:val="0000FF"/>
          <w:u w:val="single"/>
        </w:rPr>
      </w:pPr>
      <w:r>
        <w:rPr>
          <w:rFonts w:hint="cs"/>
          <w:color w:val="0000FF"/>
          <w:u w:val="single"/>
          <w:rtl/>
        </w:rPr>
        <w:t xml:space="preserve">  </w:t>
      </w:r>
    </w:p>
    <w:sectPr w:rsidR="007D7633" w:rsidRPr="009E5504" w:rsidSect="009E5504">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98CE6" w14:textId="77777777" w:rsidR="00B4706B" w:rsidRDefault="00B4706B">
      <w:r>
        <w:separator/>
      </w:r>
    </w:p>
  </w:endnote>
  <w:endnote w:type="continuationSeparator" w:id="0">
    <w:p w14:paraId="1F1E8C97" w14:textId="77777777" w:rsidR="00B4706B" w:rsidRDefault="00B4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D7F74" w14:textId="77777777" w:rsidR="003115B5" w:rsidRDefault="003115B5" w:rsidP="009E55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BF4E33" w14:textId="77777777" w:rsidR="003115B5" w:rsidRPr="009E5504" w:rsidRDefault="003115B5" w:rsidP="009E5504">
    <w:pPr>
      <w:pStyle w:val="a4"/>
      <w:pBdr>
        <w:top w:val="single" w:sz="4" w:space="1" w:color="auto"/>
        <w:between w:val="single" w:sz="4" w:space="0" w:color="auto"/>
      </w:pBdr>
      <w:spacing w:after="60"/>
      <w:jc w:val="center"/>
      <w:rPr>
        <w:rFonts w:ascii="FrankRuehl" w:hAnsi="FrankRuehl" w:cs="FrankRuehl"/>
        <w:color w:val="000000"/>
      </w:rPr>
    </w:pPr>
    <w:r w:rsidRPr="009E55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DC770" w14:textId="77777777" w:rsidR="003115B5" w:rsidRDefault="003115B5" w:rsidP="009E55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5BC5">
      <w:rPr>
        <w:rFonts w:ascii="FrankRuehl" w:hAnsi="FrankRuehl" w:cs="FrankRuehl"/>
        <w:noProof/>
        <w:rtl/>
      </w:rPr>
      <w:t>1</w:t>
    </w:r>
    <w:r>
      <w:rPr>
        <w:rFonts w:ascii="FrankRuehl" w:hAnsi="FrankRuehl" w:cs="FrankRuehl"/>
        <w:rtl/>
      </w:rPr>
      <w:fldChar w:fldCharType="end"/>
    </w:r>
  </w:p>
  <w:p w14:paraId="6F390115" w14:textId="77777777" w:rsidR="003115B5" w:rsidRPr="009E5504" w:rsidRDefault="003115B5" w:rsidP="009E5504">
    <w:pPr>
      <w:pStyle w:val="a4"/>
      <w:pBdr>
        <w:top w:val="single" w:sz="4" w:space="1" w:color="auto"/>
        <w:between w:val="single" w:sz="4" w:space="0" w:color="auto"/>
      </w:pBdr>
      <w:spacing w:after="60"/>
      <w:jc w:val="center"/>
      <w:rPr>
        <w:rFonts w:ascii="FrankRuehl" w:hAnsi="FrankRuehl" w:cs="FrankRuehl"/>
        <w:color w:val="000000"/>
      </w:rPr>
    </w:pPr>
    <w:r w:rsidRPr="009E5504">
      <w:rPr>
        <w:rFonts w:ascii="FrankRuehl" w:hAnsi="FrankRuehl" w:cs="FrankRuehl"/>
        <w:color w:val="000000"/>
      </w:rPr>
      <w:pict w14:anchorId="72F0F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8C78D" w14:textId="77777777" w:rsidR="00B4706B" w:rsidRDefault="00B4706B">
      <w:r>
        <w:separator/>
      </w:r>
    </w:p>
  </w:footnote>
  <w:footnote w:type="continuationSeparator" w:id="0">
    <w:p w14:paraId="602A8231" w14:textId="77777777" w:rsidR="00B4706B" w:rsidRDefault="00B47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E7CB" w14:textId="77777777" w:rsidR="003115B5" w:rsidRPr="009E5504" w:rsidRDefault="003115B5" w:rsidP="009E55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61380-03-16</w:t>
    </w:r>
    <w:r>
      <w:rPr>
        <w:rFonts w:ascii="David" w:hAnsi="David"/>
        <w:color w:val="000000"/>
        <w:sz w:val="22"/>
        <w:szCs w:val="22"/>
        <w:rtl/>
      </w:rPr>
      <w:tab/>
      <w:t xml:space="preserve"> פרקליטות מחוז חיפה - פלילי נ' זנבה סמעון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78B0" w14:textId="77777777" w:rsidR="003115B5" w:rsidRPr="009E5504" w:rsidRDefault="003115B5" w:rsidP="009E55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61380-03-16</w:t>
    </w:r>
    <w:r>
      <w:rPr>
        <w:rFonts w:ascii="David" w:hAnsi="David"/>
        <w:color w:val="000000"/>
        <w:sz w:val="22"/>
        <w:szCs w:val="22"/>
        <w:rtl/>
      </w:rPr>
      <w:tab/>
      <w:t xml:space="preserve"> פרקליטות מחוז חיפה - פלילי נ' זנבה סמעון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E2E99"/>
    <w:multiLevelType w:val="hybridMultilevel"/>
    <w:tmpl w:val="3550A9C8"/>
    <w:lvl w:ilvl="0" w:tplc="0409000F">
      <w:start w:val="1"/>
      <w:numFmt w:val="decimal"/>
      <w:lvlText w:val="%1."/>
      <w:lvlJc w:val="left"/>
      <w:pPr>
        <w:ind w:left="567" w:hanging="567"/>
      </w:pPr>
      <w:rPr>
        <w:rFonts w:hint="default"/>
        <w:szCs w:val="2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168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7633"/>
    <w:rsid w:val="00003733"/>
    <w:rsid w:val="0006160C"/>
    <w:rsid w:val="003115B5"/>
    <w:rsid w:val="00312284"/>
    <w:rsid w:val="005F0BB7"/>
    <w:rsid w:val="007457B9"/>
    <w:rsid w:val="007D7633"/>
    <w:rsid w:val="00815BC5"/>
    <w:rsid w:val="009E5504"/>
    <w:rsid w:val="00B4706B"/>
    <w:rsid w:val="00C376A0"/>
    <w:rsid w:val="00C823FC"/>
    <w:rsid w:val="00E22F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18CF9C"/>
  <w15:chartTrackingRefBased/>
  <w15:docId w15:val="{35DB2CF2-059E-4900-A533-F3731B23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19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7192"/>
    <w:pPr>
      <w:tabs>
        <w:tab w:val="center" w:pos="4153"/>
        <w:tab w:val="right" w:pos="8306"/>
      </w:tabs>
    </w:pPr>
  </w:style>
  <w:style w:type="paragraph" w:styleId="a4">
    <w:name w:val="footer"/>
    <w:basedOn w:val="a"/>
    <w:rsid w:val="00AC7192"/>
    <w:pPr>
      <w:tabs>
        <w:tab w:val="center" w:pos="4153"/>
        <w:tab w:val="right" w:pos="8306"/>
      </w:tabs>
    </w:pPr>
  </w:style>
  <w:style w:type="character" w:styleId="a5">
    <w:name w:val="page number"/>
    <w:basedOn w:val="a0"/>
    <w:rsid w:val="00AC7192"/>
  </w:style>
  <w:style w:type="paragraph" w:styleId="a6">
    <w:name w:val="Title"/>
    <w:basedOn w:val="a"/>
    <w:next w:val="a"/>
    <w:link w:val="a7"/>
    <w:qFormat/>
    <w:rsid w:val="00AC7192"/>
    <w:pPr>
      <w:contextualSpacing/>
    </w:pPr>
    <w:rPr>
      <w:rFonts w:ascii="Cambria" w:hAnsi="Cambria" w:cs="Times New Roman"/>
      <w:spacing w:val="-10"/>
      <w:kern w:val="28"/>
      <w:sz w:val="56"/>
      <w:szCs w:val="56"/>
    </w:rPr>
  </w:style>
  <w:style w:type="character" w:customStyle="1" w:styleId="a7">
    <w:name w:val="כותרת טקסט תו"/>
    <w:link w:val="a6"/>
    <w:rsid w:val="00AC7192"/>
    <w:rPr>
      <w:rFonts w:ascii="Cambria" w:hAnsi="Cambria"/>
      <w:spacing w:val="-10"/>
      <w:kern w:val="28"/>
      <w:sz w:val="56"/>
      <w:szCs w:val="56"/>
      <w:lang w:val="en-US" w:eastAsia="en-US" w:bidi="he-IL"/>
    </w:rPr>
  </w:style>
  <w:style w:type="character" w:styleId="Hyperlink">
    <w:name w:val="Hyperlink"/>
    <w:rsid w:val="009E5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law/74247/19a" TargetMode="External"/><Relationship Id="rId26" Type="http://schemas.openxmlformats.org/officeDocument/2006/relationships/hyperlink" Target="http://www.nevo.co.il/law/90730/22.a" TargetMode="External"/><Relationship Id="rId39" Type="http://schemas.openxmlformats.org/officeDocument/2006/relationships/hyperlink" Target="http://www.nevo.co.il/law/4216" TargetMode="External"/><Relationship Id="rId21" Type="http://schemas.openxmlformats.org/officeDocument/2006/relationships/hyperlink" Target="http://www.nevo.co.il/law/71553/6" TargetMode="External"/><Relationship Id="rId34" Type="http://schemas.openxmlformats.org/officeDocument/2006/relationships/hyperlink" Target="http://www.nevo.co.il/law/70301/40i" TargetMode="External"/><Relationship Id="rId42" Type="http://schemas.openxmlformats.org/officeDocument/2006/relationships/hyperlink" Target="http://www.nevo.co.il/case/6248140" TargetMode="External"/><Relationship Id="rId47" Type="http://schemas.openxmlformats.org/officeDocument/2006/relationships/hyperlink" Target="http://www.nevo.co.il/law/71553" TargetMode="External"/><Relationship Id="rId50" Type="http://schemas.openxmlformats.org/officeDocument/2006/relationships/hyperlink" Target="http://www.nevo.co.il/law/71553/6"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90730/22.a" TargetMode="External"/><Relationship Id="rId24" Type="http://schemas.openxmlformats.org/officeDocument/2006/relationships/hyperlink" Target="http://www.nevo.co.il/law/4216/7.c" TargetMode="External"/><Relationship Id="rId32" Type="http://schemas.openxmlformats.org/officeDocument/2006/relationships/hyperlink" Target="http://www.nevo.co.il/law/70301/40c" TargetMode="External"/><Relationship Id="rId37" Type="http://schemas.openxmlformats.org/officeDocument/2006/relationships/hyperlink" Target="http://www.nevo.co.il/law/4216/7.a" TargetMode="External"/><Relationship Id="rId40" Type="http://schemas.openxmlformats.org/officeDocument/2006/relationships/hyperlink" Target="http://www.nevo.co.il/law/70301/379"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1553/6.b"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155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1553/6.b" TargetMode="External"/><Relationship Id="rId27" Type="http://schemas.openxmlformats.org/officeDocument/2006/relationships/hyperlink" Target="http://www.nevo.co.il/law/90730" TargetMode="External"/><Relationship Id="rId30" Type="http://schemas.openxmlformats.org/officeDocument/2006/relationships/hyperlink" Target="http://www.nevo.co.il/law/74247/19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17058332" TargetMode="External"/><Relationship Id="rId48" Type="http://schemas.openxmlformats.org/officeDocument/2006/relationships/hyperlink" Target="http://www.nevo.co.il/law/71553/6.b" TargetMode="External"/><Relationship Id="rId56"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4247"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71553/5" TargetMode="External"/><Relationship Id="rId59" Type="http://schemas.openxmlformats.org/officeDocument/2006/relationships/footer" Target="footer2.xml"/><Relationship Id="rId20" Type="http://schemas.openxmlformats.org/officeDocument/2006/relationships/hyperlink" Target="http://www.nevo.co.il/law/71553/5"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155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79"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379" TargetMode="External"/><Relationship Id="rId36" Type="http://schemas.openxmlformats.org/officeDocument/2006/relationships/hyperlink" Target="http://www.nevo.co.il/law/70301/40ja" TargetMode="External"/><Relationship Id="rId49" Type="http://schemas.openxmlformats.org/officeDocument/2006/relationships/hyperlink" Target="http://www.nevo.co.il/law/71553" TargetMode="External"/><Relationship Id="rId57" Type="http://schemas.openxmlformats.org/officeDocument/2006/relationships/header" Target="header2.xml"/><Relationship Id="rId10" Type="http://schemas.openxmlformats.org/officeDocument/2006/relationships/hyperlink" Target="http://www.nevo.co.il/law/90730" TargetMode="External"/><Relationship Id="rId31" Type="http://schemas.openxmlformats.org/officeDocument/2006/relationships/hyperlink" Target="http://www.nevo.co.il/law/74247" TargetMode="External"/><Relationship Id="rId44" Type="http://schemas.openxmlformats.org/officeDocument/2006/relationships/hyperlink" Target="http://www.nevo.co.il/law/70301/40ja" TargetMode="External"/><Relationship Id="rId52" Type="http://schemas.openxmlformats.org/officeDocument/2006/relationships/hyperlink" Target="http://www.nevo.co.il/law/421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3349</Words>
  <Characters>16745</Characters>
  <Application>Microsoft Office Word</Application>
  <DocSecurity>0</DocSecurity>
  <Lines>139</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20054</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8257634</vt:i4>
      </vt:variant>
      <vt:variant>
        <vt:i4>141</vt:i4>
      </vt:variant>
      <vt:variant>
        <vt:i4>0</vt:i4>
      </vt:variant>
      <vt:variant>
        <vt:i4>5</vt:i4>
      </vt:variant>
      <vt:variant>
        <vt:lpwstr>http://www.nevo.co.il/law/71553</vt:lpwstr>
      </vt:variant>
      <vt:variant>
        <vt:lpwstr/>
      </vt:variant>
      <vt:variant>
        <vt:i4>8323175</vt:i4>
      </vt:variant>
      <vt:variant>
        <vt:i4>138</vt:i4>
      </vt:variant>
      <vt:variant>
        <vt:i4>0</vt:i4>
      </vt:variant>
      <vt:variant>
        <vt:i4>5</vt:i4>
      </vt:variant>
      <vt:variant>
        <vt:lpwstr>http://www.nevo.co.il/law/71553/6.b</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5308497</vt:i4>
      </vt:variant>
      <vt:variant>
        <vt:i4>129</vt:i4>
      </vt:variant>
      <vt:variant>
        <vt:i4>0</vt:i4>
      </vt:variant>
      <vt:variant>
        <vt:i4>5</vt:i4>
      </vt:variant>
      <vt:variant>
        <vt:lpwstr>http://www.nevo.co.il/law/71553/6</vt:lpwstr>
      </vt:variant>
      <vt:variant>
        <vt:lpwstr/>
      </vt:variant>
      <vt:variant>
        <vt:i4>8257634</vt:i4>
      </vt:variant>
      <vt:variant>
        <vt:i4>126</vt:i4>
      </vt:variant>
      <vt:variant>
        <vt:i4>0</vt:i4>
      </vt:variant>
      <vt:variant>
        <vt:i4>5</vt:i4>
      </vt:variant>
      <vt:variant>
        <vt:lpwstr>http://www.nevo.co.il/law/71553</vt:lpwstr>
      </vt:variant>
      <vt:variant>
        <vt:lpwstr/>
      </vt:variant>
      <vt:variant>
        <vt:i4>8323175</vt:i4>
      </vt:variant>
      <vt:variant>
        <vt:i4>123</vt:i4>
      </vt:variant>
      <vt:variant>
        <vt:i4>0</vt:i4>
      </vt:variant>
      <vt:variant>
        <vt:i4>5</vt:i4>
      </vt:variant>
      <vt:variant>
        <vt:lpwstr>http://www.nevo.co.il/law/71553/6.b</vt:lpwstr>
      </vt:variant>
      <vt:variant>
        <vt:lpwstr/>
      </vt:variant>
      <vt:variant>
        <vt:i4>8257634</vt:i4>
      </vt:variant>
      <vt:variant>
        <vt:i4>120</vt:i4>
      </vt:variant>
      <vt:variant>
        <vt:i4>0</vt:i4>
      </vt:variant>
      <vt:variant>
        <vt:i4>5</vt:i4>
      </vt:variant>
      <vt:variant>
        <vt:lpwstr>http://www.nevo.co.il/law/71553</vt:lpwstr>
      </vt:variant>
      <vt:variant>
        <vt:lpwstr/>
      </vt:variant>
      <vt:variant>
        <vt:i4>5308497</vt:i4>
      </vt:variant>
      <vt:variant>
        <vt:i4>117</vt:i4>
      </vt:variant>
      <vt:variant>
        <vt:i4>0</vt:i4>
      </vt:variant>
      <vt:variant>
        <vt:i4>5</vt:i4>
      </vt:variant>
      <vt:variant>
        <vt:lpwstr>http://www.nevo.co.il/law/71553/5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3801205</vt:i4>
      </vt:variant>
      <vt:variant>
        <vt:i4>108</vt:i4>
      </vt:variant>
      <vt:variant>
        <vt:i4>0</vt:i4>
      </vt:variant>
      <vt:variant>
        <vt:i4>5</vt:i4>
      </vt:variant>
      <vt:variant>
        <vt:lpwstr>http://www.nevo.co.il/case/17058332</vt:lpwstr>
      </vt:variant>
      <vt:variant>
        <vt:lpwstr/>
      </vt:variant>
      <vt:variant>
        <vt:i4>3342458</vt:i4>
      </vt:variant>
      <vt:variant>
        <vt:i4>105</vt:i4>
      </vt:variant>
      <vt:variant>
        <vt:i4>0</vt:i4>
      </vt:variant>
      <vt:variant>
        <vt:i4>5</vt:i4>
      </vt:variant>
      <vt:variant>
        <vt:lpwstr>http://www.nevo.co.il/case/6248140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6422630</vt:i4>
      </vt:variant>
      <vt:variant>
        <vt:i4>99</vt:i4>
      </vt:variant>
      <vt:variant>
        <vt:i4>0</vt:i4>
      </vt:variant>
      <vt:variant>
        <vt:i4>5</vt:i4>
      </vt:variant>
      <vt:variant>
        <vt:lpwstr>http://www.nevo.co.il/law/70301/379</vt:lpwstr>
      </vt:variant>
      <vt:variant>
        <vt:lpwstr/>
      </vt:variant>
      <vt:variant>
        <vt:i4>8257637</vt:i4>
      </vt:variant>
      <vt:variant>
        <vt:i4>96</vt:i4>
      </vt:variant>
      <vt:variant>
        <vt:i4>0</vt:i4>
      </vt:variant>
      <vt:variant>
        <vt:i4>5</vt:i4>
      </vt:variant>
      <vt:variant>
        <vt:lpwstr>http://www.nevo.co.il/law/4216</vt:lpwstr>
      </vt:variant>
      <vt:variant>
        <vt:lpwstr/>
      </vt:variant>
      <vt:variant>
        <vt:i4>2752612</vt:i4>
      </vt:variant>
      <vt:variant>
        <vt:i4>93</vt:i4>
      </vt:variant>
      <vt:variant>
        <vt:i4>0</vt:i4>
      </vt:variant>
      <vt:variant>
        <vt:i4>5</vt:i4>
      </vt:variant>
      <vt:variant>
        <vt:lpwstr>http://www.nevo.co.il/law/4216/7.c</vt:lpwstr>
      </vt:variant>
      <vt:variant>
        <vt:lpwstr/>
      </vt:variant>
      <vt:variant>
        <vt:i4>2621540</vt:i4>
      </vt:variant>
      <vt:variant>
        <vt:i4>90</vt:i4>
      </vt:variant>
      <vt:variant>
        <vt:i4>0</vt:i4>
      </vt:variant>
      <vt:variant>
        <vt:i4>5</vt:i4>
      </vt:variant>
      <vt:variant>
        <vt:lpwstr>http://www.nevo.co.il/law/4216/7.a</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http://www.nevo.co.il/law/70301/40c</vt:lpwstr>
      </vt:variant>
      <vt:variant>
        <vt:lpwstr/>
      </vt:variant>
      <vt:variant>
        <vt:i4>7995493</vt:i4>
      </vt:variant>
      <vt:variant>
        <vt:i4>72</vt:i4>
      </vt:variant>
      <vt:variant>
        <vt:i4>0</vt:i4>
      </vt:variant>
      <vt:variant>
        <vt:i4>5</vt:i4>
      </vt:variant>
      <vt:variant>
        <vt:lpwstr>http://www.nevo.co.il/law/74247</vt:lpwstr>
      </vt:variant>
      <vt:variant>
        <vt:lpwstr/>
      </vt:variant>
      <vt:variant>
        <vt:i4>7077987</vt:i4>
      </vt:variant>
      <vt:variant>
        <vt:i4>69</vt:i4>
      </vt:variant>
      <vt:variant>
        <vt:i4>0</vt:i4>
      </vt:variant>
      <vt:variant>
        <vt:i4>5</vt:i4>
      </vt:variant>
      <vt:variant>
        <vt:lpwstr>http://www.nevo.co.il/law/74247/19a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7929966</vt:i4>
      </vt:variant>
      <vt:variant>
        <vt:i4>60</vt:i4>
      </vt:variant>
      <vt:variant>
        <vt:i4>0</vt:i4>
      </vt:variant>
      <vt:variant>
        <vt:i4>5</vt:i4>
      </vt:variant>
      <vt:variant>
        <vt:lpwstr>http://www.nevo.co.il/law/90730</vt:lpwstr>
      </vt:variant>
      <vt:variant>
        <vt:lpwstr/>
      </vt:variant>
      <vt:variant>
        <vt:i4>327746</vt:i4>
      </vt:variant>
      <vt:variant>
        <vt:i4>57</vt:i4>
      </vt:variant>
      <vt:variant>
        <vt:i4>0</vt:i4>
      </vt:variant>
      <vt:variant>
        <vt:i4>5</vt:i4>
      </vt:variant>
      <vt:variant>
        <vt:lpwstr>http://www.nevo.co.il/law/90730/22.a</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8323175</vt:i4>
      </vt:variant>
      <vt:variant>
        <vt:i4>45</vt:i4>
      </vt:variant>
      <vt:variant>
        <vt:i4>0</vt:i4>
      </vt:variant>
      <vt:variant>
        <vt:i4>5</vt:i4>
      </vt:variant>
      <vt:variant>
        <vt:lpwstr>http://www.nevo.co.il/law/71553/6.b</vt:lpwstr>
      </vt:variant>
      <vt:variant>
        <vt:lpwstr/>
      </vt:variant>
      <vt:variant>
        <vt:i4>5308497</vt:i4>
      </vt:variant>
      <vt:variant>
        <vt:i4>42</vt:i4>
      </vt:variant>
      <vt:variant>
        <vt:i4>0</vt:i4>
      </vt:variant>
      <vt:variant>
        <vt:i4>5</vt:i4>
      </vt:variant>
      <vt:variant>
        <vt:lpwstr>http://www.nevo.co.il/law/71553/6</vt:lpwstr>
      </vt:variant>
      <vt:variant>
        <vt:lpwstr/>
      </vt:variant>
      <vt:variant>
        <vt:i4>5308497</vt:i4>
      </vt:variant>
      <vt:variant>
        <vt:i4>39</vt:i4>
      </vt:variant>
      <vt:variant>
        <vt:i4>0</vt:i4>
      </vt:variant>
      <vt:variant>
        <vt:i4>5</vt:i4>
      </vt:variant>
      <vt:variant>
        <vt:lpwstr>http://www.nevo.co.il/law/71553/5</vt:lpwstr>
      </vt:variant>
      <vt:variant>
        <vt:lpwstr/>
      </vt:variant>
      <vt:variant>
        <vt:i4>8257634</vt:i4>
      </vt:variant>
      <vt:variant>
        <vt:i4>36</vt:i4>
      </vt:variant>
      <vt:variant>
        <vt:i4>0</vt:i4>
      </vt:variant>
      <vt:variant>
        <vt:i4>5</vt:i4>
      </vt:variant>
      <vt:variant>
        <vt:lpwstr>http://www.nevo.co.il/law/71553</vt:lpwstr>
      </vt:variant>
      <vt:variant>
        <vt:lpwstr/>
      </vt:variant>
      <vt:variant>
        <vt:i4>7077987</vt:i4>
      </vt:variant>
      <vt:variant>
        <vt:i4>33</vt:i4>
      </vt:variant>
      <vt:variant>
        <vt:i4>0</vt:i4>
      </vt:variant>
      <vt:variant>
        <vt:i4>5</vt:i4>
      </vt:variant>
      <vt:variant>
        <vt:lpwstr>http://www.nevo.co.il/law/74247/19a</vt:lpwstr>
      </vt:variant>
      <vt:variant>
        <vt:lpwstr/>
      </vt:variant>
      <vt:variant>
        <vt:i4>7995493</vt:i4>
      </vt:variant>
      <vt:variant>
        <vt:i4>30</vt:i4>
      </vt:variant>
      <vt:variant>
        <vt:i4>0</vt:i4>
      </vt:variant>
      <vt:variant>
        <vt:i4>5</vt:i4>
      </vt:variant>
      <vt:variant>
        <vt:lpwstr>http://www.nevo.co.il/law/74247</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327746</vt:i4>
      </vt:variant>
      <vt:variant>
        <vt:i4>12</vt:i4>
      </vt:variant>
      <vt:variant>
        <vt:i4>0</vt:i4>
      </vt:variant>
      <vt:variant>
        <vt:i4>5</vt:i4>
      </vt:variant>
      <vt:variant>
        <vt:lpwstr>http://www.nevo.co.il/law/90730/22.a</vt:lpwstr>
      </vt:variant>
      <vt:variant>
        <vt:lpwstr/>
      </vt:variant>
      <vt:variant>
        <vt:i4>7929966</vt:i4>
      </vt:variant>
      <vt:variant>
        <vt:i4>9</vt:i4>
      </vt:variant>
      <vt:variant>
        <vt:i4>0</vt:i4>
      </vt:variant>
      <vt:variant>
        <vt:i4>5</vt:i4>
      </vt:variant>
      <vt:variant>
        <vt:lpwstr>http://www.nevo.co.il/law/90730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61380</vt:lpwstr>
  </property>
  <property fmtid="{D5CDD505-2E9C-101B-9397-08002B2CF9AE}" pid="6" name="NEWPARTB">
    <vt:lpwstr>03</vt:lpwstr>
  </property>
  <property fmtid="{D5CDD505-2E9C-101B-9397-08002B2CF9AE}" pid="7" name="NEWPARTC">
    <vt:lpwstr>16</vt:lpwstr>
  </property>
  <property fmtid="{D5CDD505-2E9C-101B-9397-08002B2CF9AE}" pid="8" name="APPELLANT">
    <vt:lpwstr>פרקליטות מחוז חיפה - פלילי</vt:lpwstr>
  </property>
  <property fmtid="{D5CDD505-2E9C-101B-9397-08002B2CF9AE}" pid="9" name="APPELLEE">
    <vt:lpwstr>זנבה סמעון</vt:lpwstr>
  </property>
  <property fmtid="{D5CDD505-2E9C-101B-9397-08002B2CF9AE}" pid="10" name="JUDGE">
    <vt:lpwstr>מוחמד עלי</vt:lpwstr>
  </property>
  <property fmtid="{D5CDD505-2E9C-101B-9397-08002B2CF9AE}" pid="11" name="CITY">
    <vt:lpwstr>קריות</vt:lpwstr>
  </property>
  <property fmtid="{D5CDD505-2E9C-101B-9397-08002B2CF9AE}" pid="12" name="DATE">
    <vt:lpwstr>20170111</vt:lpwstr>
  </property>
  <property fmtid="{D5CDD505-2E9C-101B-9397-08002B2CF9AE}" pid="13" name="TYPE_N_DATE">
    <vt:lpwstr>38020170111</vt:lpwstr>
  </property>
  <property fmtid="{D5CDD505-2E9C-101B-9397-08002B2CF9AE}" pid="14" name="CASESLISTTMP1">
    <vt:lpwstr>6248140;17058332</vt:lpwstr>
  </property>
  <property fmtid="{D5CDD505-2E9C-101B-9397-08002B2CF9AE}" pid="15" name="CASENOTES1">
    <vt:lpwstr>ProcID=179&amp;PartA=1&amp;PartC=16</vt:lpwstr>
  </property>
  <property fmtid="{D5CDD505-2E9C-101B-9397-08002B2CF9AE}" pid="16" name="WORDNUMPAGES">
    <vt:lpwstr>10</vt:lpwstr>
  </property>
  <property fmtid="{D5CDD505-2E9C-101B-9397-08002B2CF9AE}" pid="17" name="TYPE_ABS_DATE">
    <vt:lpwstr>380020170111</vt:lpwstr>
  </property>
  <property fmtid="{D5CDD505-2E9C-101B-9397-08002B2CF9AE}" pid="18" name="ISABSTRACT">
    <vt:lpwstr>Y</vt:lpwstr>
  </property>
  <property fmtid="{D5CDD505-2E9C-101B-9397-08002B2CF9AE}" pid="19" name="LAWLISTTMP1">
    <vt:lpwstr>4216/007.a:2;007.c:2</vt:lpwstr>
  </property>
  <property fmtid="{D5CDD505-2E9C-101B-9397-08002B2CF9AE}" pid="20" name="LAWLISTTMP2">
    <vt:lpwstr>90730/022.a</vt:lpwstr>
  </property>
  <property fmtid="{D5CDD505-2E9C-101B-9397-08002B2CF9AE}" pid="21" name="LAWLISTTMP3">
    <vt:lpwstr>70301/379:2;040c;040i;40ja:2</vt:lpwstr>
  </property>
  <property fmtid="{D5CDD505-2E9C-101B-9397-08002B2CF9AE}" pid="22" name="LAWLISTTMP4">
    <vt:lpwstr>74247/019a</vt:lpwstr>
  </property>
  <property fmtid="{D5CDD505-2E9C-101B-9397-08002B2CF9AE}" pid="23" name="LAWLISTTMP5">
    <vt:lpwstr>71553/005;006.b:2;006</vt:lpwstr>
  </property>
  <property fmtid="{D5CDD505-2E9C-101B-9397-08002B2CF9AE}" pid="24" name="LAWYER">
    <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ies>
</file>