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2F1229" w:rsidRPr="00F87A17" w14:paraId="56DEC9BA" w14:textId="77777777">
        <w:trPr>
          <w:trHeight w:hRule="exact" w:val="418"/>
          <w:jc w:val="center"/>
        </w:trPr>
        <w:tc>
          <w:tcPr>
            <w:tcW w:w="8721" w:type="dxa"/>
            <w:gridSpan w:val="2"/>
          </w:tcPr>
          <w:p w14:paraId="5FDA5AEB" w14:textId="77777777" w:rsidR="002F1229" w:rsidRPr="00F87A17" w:rsidRDefault="00F87A17">
            <w:pPr>
              <w:pStyle w:val="a3"/>
              <w:jc w:val="center"/>
              <w:rPr>
                <w:rFonts w:ascii="Tahoma" w:hAnsi="Tahoma" w:cs="Tahoma"/>
                <w:color w:val="000080"/>
                <w:rtl/>
              </w:rPr>
            </w:pPr>
            <w:bookmarkStart w:id="0" w:name="LastJudge"/>
            <w:r w:rsidRPr="00F87A17">
              <w:rPr>
                <w:rFonts w:ascii="Tahoma" w:hAnsi="Tahoma" w:cs="Tahoma"/>
                <w:b/>
                <w:bCs/>
                <w:color w:val="000080"/>
                <w:rtl/>
              </w:rPr>
              <w:t>בית משפט השלום בתל אביב - יפו</w:t>
            </w:r>
          </w:p>
        </w:tc>
      </w:tr>
      <w:tr w:rsidR="002F1229" w:rsidRPr="00F87A17" w14:paraId="7F2598E2" w14:textId="77777777">
        <w:trPr>
          <w:trHeight w:val="337"/>
          <w:jc w:val="center"/>
        </w:trPr>
        <w:tc>
          <w:tcPr>
            <w:tcW w:w="5059" w:type="dxa"/>
          </w:tcPr>
          <w:p w14:paraId="3BEDD50A" w14:textId="77777777" w:rsidR="002F1229" w:rsidRPr="00F87A17" w:rsidRDefault="00F87A17">
            <w:pPr>
              <w:rPr>
                <w:rFonts w:cs="FrankRuehl"/>
                <w:sz w:val="28"/>
                <w:szCs w:val="28"/>
                <w:rtl/>
              </w:rPr>
            </w:pPr>
            <w:r w:rsidRPr="00F87A17">
              <w:rPr>
                <w:rFonts w:cs="FrankRuehl"/>
                <w:sz w:val="28"/>
                <w:szCs w:val="28"/>
                <w:rtl/>
              </w:rPr>
              <w:t>ת"פ</w:t>
            </w:r>
            <w:r w:rsidRPr="00F87A17">
              <w:rPr>
                <w:rFonts w:cs="FrankRuehl" w:hint="cs"/>
                <w:sz w:val="28"/>
                <w:szCs w:val="28"/>
                <w:rtl/>
              </w:rPr>
              <w:t xml:space="preserve"> </w:t>
            </w:r>
            <w:r w:rsidRPr="00F87A17">
              <w:rPr>
                <w:rFonts w:cs="FrankRuehl"/>
                <w:sz w:val="28"/>
                <w:szCs w:val="28"/>
                <w:rtl/>
              </w:rPr>
              <w:t>64384-03-16</w:t>
            </w:r>
            <w:r w:rsidRPr="00F87A17">
              <w:rPr>
                <w:rFonts w:cs="FrankRuehl" w:hint="cs"/>
                <w:sz w:val="28"/>
                <w:szCs w:val="28"/>
                <w:rtl/>
              </w:rPr>
              <w:t xml:space="preserve"> </w:t>
            </w:r>
            <w:r w:rsidRPr="00F87A17">
              <w:rPr>
                <w:rFonts w:cs="FrankRuehl"/>
                <w:sz w:val="28"/>
                <w:szCs w:val="28"/>
                <w:rtl/>
              </w:rPr>
              <w:t>פרקליטות מחוז תל אביב  פלילי נ' אלאלא(עציר)</w:t>
            </w:r>
          </w:p>
          <w:p w14:paraId="2E12ACC3" w14:textId="77777777" w:rsidR="002F1229" w:rsidRPr="00F87A17" w:rsidRDefault="002F1229">
            <w:pPr>
              <w:pStyle w:val="a3"/>
              <w:rPr>
                <w:rFonts w:cs="FrankRuehl"/>
                <w:sz w:val="28"/>
                <w:szCs w:val="28"/>
                <w:rtl/>
              </w:rPr>
            </w:pPr>
          </w:p>
        </w:tc>
        <w:tc>
          <w:tcPr>
            <w:tcW w:w="3662" w:type="dxa"/>
          </w:tcPr>
          <w:p w14:paraId="1D7A7D4C" w14:textId="77777777" w:rsidR="002F1229" w:rsidRPr="00F87A17" w:rsidRDefault="002F1229">
            <w:pPr>
              <w:pStyle w:val="a3"/>
              <w:jc w:val="right"/>
              <w:rPr>
                <w:rFonts w:cs="FrankRuehl"/>
                <w:sz w:val="28"/>
                <w:szCs w:val="28"/>
                <w:rtl/>
              </w:rPr>
            </w:pPr>
          </w:p>
        </w:tc>
      </w:tr>
    </w:tbl>
    <w:p w14:paraId="606712DB" w14:textId="77777777" w:rsidR="002F1229" w:rsidRPr="00F87A17" w:rsidRDefault="00F87A17">
      <w:pPr>
        <w:pStyle w:val="a3"/>
        <w:rPr>
          <w:rtl/>
        </w:rPr>
      </w:pPr>
      <w:r w:rsidRPr="00F87A17">
        <w:rPr>
          <w:rFonts w:hint="cs"/>
          <w:rtl/>
        </w:rPr>
        <w:t xml:space="preserve"> </w:t>
      </w:r>
    </w:p>
    <w:p w14:paraId="6D4B4607" w14:textId="77777777" w:rsidR="002F1229" w:rsidRPr="00F87A17" w:rsidRDefault="002F1229">
      <w:pPr>
        <w:rPr>
          <w:rtl/>
        </w:rPr>
      </w:pPr>
    </w:p>
    <w:p w14:paraId="7BCA7F03" w14:textId="77777777" w:rsidR="002F1229" w:rsidRPr="00F87A17" w:rsidRDefault="002F1229">
      <w:pPr>
        <w:rPr>
          <w:rtl/>
        </w:rPr>
      </w:pPr>
    </w:p>
    <w:tbl>
      <w:tblPr>
        <w:bidiVisual/>
        <w:tblW w:w="8798" w:type="dxa"/>
        <w:tblLayout w:type="fixed"/>
        <w:tblLook w:val="0000" w:firstRow="0" w:lastRow="0" w:firstColumn="0" w:lastColumn="0" w:noHBand="0" w:noVBand="0"/>
      </w:tblPr>
      <w:tblGrid>
        <w:gridCol w:w="790"/>
        <w:gridCol w:w="5001"/>
        <w:gridCol w:w="848"/>
        <w:gridCol w:w="2159"/>
      </w:tblGrid>
      <w:tr w:rsidR="002F1229" w:rsidRPr="00F87A17" w14:paraId="38D711B3" w14:textId="77777777">
        <w:trPr>
          <w:cantSplit/>
          <w:trHeight w:val="338"/>
        </w:trPr>
        <w:tc>
          <w:tcPr>
            <w:tcW w:w="790" w:type="dxa"/>
          </w:tcPr>
          <w:p w14:paraId="22779BB0" w14:textId="77777777" w:rsidR="002F1229" w:rsidRPr="00F87A17" w:rsidRDefault="00F87A17">
            <w:pPr>
              <w:spacing w:line="360" w:lineRule="auto"/>
              <w:jc w:val="both"/>
              <w:rPr>
                <w:bCs/>
                <w:sz w:val="28"/>
                <w:szCs w:val="28"/>
                <w:lang w:eastAsia="he-IL"/>
              </w:rPr>
            </w:pPr>
            <w:bookmarkStart w:id="1" w:name="תאריך" w:colFirst="3" w:colLast="3"/>
            <w:bookmarkStart w:id="2" w:name="שם_שופט" w:colFirst="1" w:colLast="1"/>
            <w:r w:rsidRPr="00F87A17">
              <w:rPr>
                <w:bCs/>
                <w:sz w:val="28"/>
                <w:szCs w:val="28"/>
                <w:rtl/>
                <w:lang w:eastAsia="he-IL"/>
              </w:rPr>
              <w:t>בפני</w:t>
            </w:r>
            <w:r w:rsidRPr="00F87A17">
              <w:rPr>
                <w:rFonts w:hint="cs"/>
                <w:bCs/>
                <w:sz w:val="28"/>
                <w:szCs w:val="28"/>
                <w:rtl/>
                <w:lang w:eastAsia="he-IL"/>
              </w:rPr>
              <w:t>:</w:t>
            </w:r>
          </w:p>
        </w:tc>
        <w:tc>
          <w:tcPr>
            <w:tcW w:w="5001" w:type="dxa"/>
          </w:tcPr>
          <w:p w14:paraId="619C83AE" w14:textId="77777777" w:rsidR="002F1229" w:rsidRPr="00F87A17" w:rsidRDefault="00F87A17">
            <w:pPr>
              <w:spacing w:line="360" w:lineRule="auto"/>
              <w:jc w:val="both"/>
              <w:rPr>
                <w:bCs/>
                <w:sz w:val="28"/>
                <w:szCs w:val="28"/>
                <w:lang w:eastAsia="he-IL"/>
              </w:rPr>
            </w:pPr>
            <w:r w:rsidRPr="00F87A17">
              <w:rPr>
                <w:bCs/>
                <w:sz w:val="28"/>
                <w:szCs w:val="28"/>
                <w:rtl/>
                <w:lang w:eastAsia="he-IL"/>
              </w:rPr>
              <w:t>כב' השופטת הדסה נאור</w:t>
            </w:r>
          </w:p>
        </w:tc>
        <w:tc>
          <w:tcPr>
            <w:tcW w:w="848" w:type="dxa"/>
            <w:tcMar>
              <w:left w:w="28" w:type="dxa"/>
              <w:right w:w="28" w:type="dxa"/>
            </w:tcMar>
          </w:tcPr>
          <w:p w14:paraId="4C7494C2" w14:textId="77777777" w:rsidR="002F1229" w:rsidRPr="00F87A17" w:rsidRDefault="00F87A17">
            <w:pPr>
              <w:spacing w:line="360" w:lineRule="auto"/>
              <w:jc w:val="both"/>
              <w:rPr>
                <w:bCs/>
                <w:sz w:val="28"/>
                <w:szCs w:val="28"/>
                <w:lang w:eastAsia="he-IL"/>
              </w:rPr>
            </w:pPr>
            <w:r w:rsidRPr="00F87A17">
              <w:rPr>
                <w:bCs/>
                <w:sz w:val="28"/>
                <w:szCs w:val="28"/>
                <w:rtl/>
                <w:lang w:eastAsia="he-IL"/>
              </w:rPr>
              <w:t>תאריך</w:t>
            </w:r>
            <w:r w:rsidRPr="00F87A17">
              <w:rPr>
                <w:rFonts w:hint="cs"/>
                <w:bCs/>
                <w:sz w:val="28"/>
                <w:szCs w:val="28"/>
                <w:rtl/>
                <w:lang w:eastAsia="he-IL"/>
              </w:rPr>
              <w:t>:</w:t>
            </w:r>
          </w:p>
        </w:tc>
        <w:tc>
          <w:tcPr>
            <w:tcW w:w="2159" w:type="dxa"/>
          </w:tcPr>
          <w:p w14:paraId="2F7BBB8E" w14:textId="77777777" w:rsidR="002F1229" w:rsidRPr="00F87A17" w:rsidRDefault="00F87A17">
            <w:pPr>
              <w:spacing w:line="360" w:lineRule="auto"/>
              <w:jc w:val="both"/>
              <w:rPr>
                <w:bCs/>
                <w:sz w:val="28"/>
                <w:szCs w:val="28"/>
                <w:lang w:eastAsia="he-IL"/>
              </w:rPr>
            </w:pPr>
            <w:r w:rsidRPr="00F87A17">
              <w:rPr>
                <w:bCs/>
                <w:sz w:val="28"/>
                <w:szCs w:val="28"/>
                <w:rtl/>
                <w:lang w:eastAsia="he-IL"/>
              </w:rPr>
              <w:t>27/10/16</w:t>
            </w:r>
          </w:p>
        </w:tc>
      </w:tr>
      <w:bookmarkEnd w:id="1"/>
      <w:bookmarkEnd w:id="2"/>
    </w:tbl>
    <w:p w14:paraId="2DCED513" w14:textId="77777777" w:rsidR="002F1229" w:rsidRPr="00F87A17" w:rsidRDefault="002F1229">
      <w:pPr>
        <w:spacing w:line="360" w:lineRule="auto"/>
        <w:jc w:val="both"/>
        <w:rPr>
          <w:bCs/>
          <w:sz w:val="28"/>
          <w:szCs w:val="28"/>
          <w:rtl/>
          <w:lang w:eastAsia="he-I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2F1229" w:rsidRPr="00F87A17" w14:paraId="12698733" w14:textId="77777777">
        <w:tc>
          <w:tcPr>
            <w:tcW w:w="1362" w:type="dxa"/>
          </w:tcPr>
          <w:p w14:paraId="72D0F398" w14:textId="77777777" w:rsidR="002F1229" w:rsidRPr="00F87A17" w:rsidRDefault="00F87A17">
            <w:pPr>
              <w:spacing w:line="360" w:lineRule="auto"/>
              <w:jc w:val="both"/>
              <w:rPr>
                <w:b/>
                <w:bCs/>
                <w:sz w:val="28"/>
                <w:szCs w:val="28"/>
                <w:lang w:eastAsia="he-IL"/>
              </w:rPr>
            </w:pPr>
            <w:bookmarkStart w:id="3" w:name="FirstAppellant"/>
            <w:r w:rsidRPr="00F87A17">
              <w:rPr>
                <w:b/>
                <w:bCs/>
                <w:sz w:val="28"/>
                <w:szCs w:val="28"/>
                <w:rtl/>
                <w:lang w:eastAsia="he-IL"/>
              </w:rPr>
              <w:t>בעניין:</w:t>
            </w:r>
          </w:p>
        </w:tc>
        <w:tc>
          <w:tcPr>
            <w:tcW w:w="4820" w:type="dxa"/>
            <w:gridSpan w:val="2"/>
          </w:tcPr>
          <w:p w14:paraId="551E092D" w14:textId="77777777" w:rsidR="002F1229" w:rsidRPr="00F87A17" w:rsidRDefault="00F87A17">
            <w:pPr>
              <w:suppressLineNumbers/>
              <w:spacing w:line="360" w:lineRule="auto"/>
              <w:jc w:val="both"/>
              <w:rPr>
                <w:b/>
                <w:bCs/>
                <w:sz w:val="28"/>
                <w:szCs w:val="28"/>
                <w:lang w:eastAsia="he-IL"/>
              </w:rPr>
            </w:pPr>
            <w:r w:rsidRPr="00F87A17">
              <w:rPr>
                <w:b/>
                <w:bCs/>
                <w:sz w:val="28"/>
                <w:szCs w:val="28"/>
                <w:rtl/>
                <w:lang w:eastAsia="he-IL"/>
              </w:rPr>
              <w:t>מדינת ישראל</w:t>
            </w:r>
          </w:p>
        </w:tc>
        <w:tc>
          <w:tcPr>
            <w:tcW w:w="2409" w:type="dxa"/>
          </w:tcPr>
          <w:p w14:paraId="7C52E008" w14:textId="77777777" w:rsidR="002F1229" w:rsidRPr="00F87A17" w:rsidRDefault="002F1229">
            <w:pPr>
              <w:suppressLineNumbers/>
              <w:spacing w:line="360" w:lineRule="auto"/>
              <w:jc w:val="both"/>
              <w:rPr>
                <w:b/>
                <w:bCs/>
                <w:sz w:val="28"/>
                <w:szCs w:val="28"/>
                <w:lang w:eastAsia="he-IL"/>
              </w:rPr>
            </w:pPr>
          </w:p>
        </w:tc>
      </w:tr>
      <w:tr w:rsidR="002F1229" w:rsidRPr="00F87A17" w14:paraId="6F32FB95" w14:textId="77777777">
        <w:tc>
          <w:tcPr>
            <w:tcW w:w="1362" w:type="dxa"/>
          </w:tcPr>
          <w:p w14:paraId="75745F67" w14:textId="77777777" w:rsidR="002F1229" w:rsidRPr="00F87A17" w:rsidRDefault="002F1229">
            <w:pPr>
              <w:suppressLineNumbers/>
              <w:spacing w:line="360" w:lineRule="auto"/>
              <w:jc w:val="both"/>
              <w:rPr>
                <w:b/>
                <w:bCs/>
                <w:sz w:val="28"/>
                <w:szCs w:val="28"/>
                <w:lang w:eastAsia="he-IL"/>
              </w:rPr>
            </w:pPr>
            <w:bookmarkStart w:id="4" w:name="בא_כוח_א" w:colFirst="2" w:colLast="2"/>
            <w:bookmarkStart w:id="5" w:name="FirstLawyer"/>
            <w:bookmarkEnd w:id="3"/>
          </w:p>
        </w:tc>
        <w:tc>
          <w:tcPr>
            <w:tcW w:w="1757" w:type="dxa"/>
          </w:tcPr>
          <w:p w14:paraId="0C7CF53F" w14:textId="77777777" w:rsidR="002F1229" w:rsidRPr="00F87A17" w:rsidRDefault="00F87A17">
            <w:pPr>
              <w:suppressLineNumbers/>
              <w:spacing w:line="360" w:lineRule="auto"/>
              <w:jc w:val="both"/>
              <w:rPr>
                <w:b/>
                <w:bCs/>
                <w:sz w:val="28"/>
                <w:szCs w:val="28"/>
                <w:lang w:eastAsia="he-IL"/>
              </w:rPr>
            </w:pPr>
            <w:r w:rsidRPr="00F87A17">
              <w:rPr>
                <w:b/>
                <w:bCs/>
                <w:sz w:val="28"/>
                <w:szCs w:val="28"/>
                <w:rtl/>
                <w:lang w:eastAsia="he-IL"/>
              </w:rPr>
              <w:t>ע"י ב"כ עו"ד</w:t>
            </w:r>
          </w:p>
        </w:tc>
        <w:tc>
          <w:tcPr>
            <w:tcW w:w="3063" w:type="dxa"/>
          </w:tcPr>
          <w:p w14:paraId="30D92B0F" w14:textId="77777777" w:rsidR="002F1229" w:rsidRPr="00F87A17" w:rsidRDefault="00F87A17">
            <w:pPr>
              <w:suppressLineNumbers/>
              <w:spacing w:line="360" w:lineRule="auto"/>
              <w:jc w:val="both"/>
              <w:rPr>
                <w:b/>
                <w:bCs/>
                <w:sz w:val="28"/>
                <w:szCs w:val="28"/>
                <w:lang w:eastAsia="he-IL"/>
              </w:rPr>
            </w:pPr>
            <w:r w:rsidRPr="00F87A17">
              <w:rPr>
                <w:b/>
                <w:bCs/>
                <w:sz w:val="28"/>
                <w:szCs w:val="28"/>
                <w:rtl/>
                <w:lang w:eastAsia="he-IL"/>
              </w:rPr>
              <w:t>אלון סיון</w:t>
            </w:r>
          </w:p>
        </w:tc>
        <w:tc>
          <w:tcPr>
            <w:tcW w:w="2409" w:type="dxa"/>
          </w:tcPr>
          <w:p w14:paraId="1655A8A2" w14:textId="77777777" w:rsidR="002F1229" w:rsidRPr="00F87A17" w:rsidRDefault="00F87A17">
            <w:pPr>
              <w:suppressLineNumbers/>
              <w:spacing w:line="360" w:lineRule="auto"/>
              <w:jc w:val="both"/>
              <w:rPr>
                <w:b/>
                <w:bCs/>
                <w:sz w:val="28"/>
                <w:szCs w:val="28"/>
                <w:lang w:eastAsia="he-IL"/>
              </w:rPr>
            </w:pPr>
            <w:r w:rsidRPr="00F87A17">
              <w:rPr>
                <w:b/>
                <w:bCs/>
                <w:sz w:val="28"/>
                <w:szCs w:val="28"/>
                <w:rtl/>
                <w:lang w:eastAsia="he-IL"/>
              </w:rPr>
              <w:t>המאשימה</w:t>
            </w:r>
          </w:p>
        </w:tc>
      </w:tr>
      <w:bookmarkEnd w:id="4"/>
      <w:bookmarkEnd w:id="5"/>
      <w:tr w:rsidR="002F1229" w:rsidRPr="00F87A17" w14:paraId="5A0AF48C" w14:textId="77777777">
        <w:tc>
          <w:tcPr>
            <w:tcW w:w="1362" w:type="dxa"/>
          </w:tcPr>
          <w:p w14:paraId="11EA6DD4" w14:textId="77777777" w:rsidR="002F1229" w:rsidRPr="00F87A17" w:rsidRDefault="002F1229">
            <w:pPr>
              <w:suppressLineNumbers/>
              <w:spacing w:line="360" w:lineRule="auto"/>
              <w:jc w:val="both"/>
              <w:rPr>
                <w:b/>
                <w:bCs/>
                <w:sz w:val="28"/>
                <w:szCs w:val="28"/>
                <w:lang w:eastAsia="he-IL"/>
              </w:rPr>
            </w:pPr>
          </w:p>
        </w:tc>
        <w:tc>
          <w:tcPr>
            <w:tcW w:w="4820" w:type="dxa"/>
            <w:gridSpan w:val="2"/>
          </w:tcPr>
          <w:p w14:paraId="69842AAA" w14:textId="77777777" w:rsidR="002F1229" w:rsidRPr="00F87A17" w:rsidRDefault="002F1229">
            <w:pPr>
              <w:suppressLineNumbers/>
              <w:spacing w:line="360" w:lineRule="auto"/>
              <w:jc w:val="center"/>
              <w:rPr>
                <w:b/>
                <w:bCs/>
                <w:sz w:val="28"/>
                <w:szCs w:val="28"/>
                <w:rtl/>
                <w:lang w:eastAsia="he-IL"/>
              </w:rPr>
            </w:pPr>
          </w:p>
          <w:p w14:paraId="0E65B4FF" w14:textId="77777777" w:rsidR="002F1229" w:rsidRPr="00F87A17" w:rsidRDefault="002F1229">
            <w:pPr>
              <w:suppressLineNumbers/>
              <w:spacing w:line="360" w:lineRule="auto"/>
              <w:jc w:val="center"/>
              <w:rPr>
                <w:b/>
                <w:bCs/>
                <w:sz w:val="28"/>
                <w:szCs w:val="28"/>
                <w:rtl/>
                <w:lang w:eastAsia="he-IL"/>
              </w:rPr>
            </w:pPr>
          </w:p>
          <w:p w14:paraId="6EDD4A10" w14:textId="77777777" w:rsidR="002F1229" w:rsidRPr="00F87A17" w:rsidRDefault="00F87A17">
            <w:pPr>
              <w:suppressLineNumbers/>
              <w:spacing w:line="360" w:lineRule="auto"/>
              <w:jc w:val="center"/>
              <w:rPr>
                <w:b/>
                <w:bCs/>
                <w:sz w:val="28"/>
                <w:szCs w:val="28"/>
                <w:lang w:eastAsia="he-IL"/>
              </w:rPr>
            </w:pPr>
            <w:r w:rsidRPr="00F87A17">
              <w:rPr>
                <w:b/>
                <w:bCs/>
                <w:sz w:val="28"/>
                <w:szCs w:val="28"/>
                <w:rtl/>
                <w:lang w:eastAsia="he-IL"/>
              </w:rPr>
              <w:t>נ  ג  ד</w:t>
            </w:r>
          </w:p>
        </w:tc>
        <w:tc>
          <w:tcPr>
            <w:tcW w:w="2409" w:type="dxa"/>
          </w:tcPr>
          <w:p w14:paraId="3A6F4731" w14:textId="77777777" w:rsidR="002F1229" w:rsidRPr="00F87A17" w:rsidRDefault="002F1229">
            <w:pPr>
              <w:suppressLineNumbers/>
              <w:spacing w:line="360" w:lineRule="auto"/>
              <w:jc w:val="both"/>
              <w:rPr>
                <w:b/>
                <w:bCs/>
                <w:sz w:val="28"/>
                <w:szCs w:val="28"/>
                <w:lang w:eastAsia="he-IL"/>
              </w:rPr>
            </w:pPr>
          </w:p>
        </w:tc>
      </w:tr>
      <w:tr w:rsidR="002F1229" w:rsidRPr="00F87A17" w14:paraId="6BEA33C8" w14:textId="77777777">
        <w:tc>
          <w:tcPr>
            <w:tcW w:w="1362" w:type="dxa"/>
          </w:tcPr>
          <w:p w14:paraId="71547F37" w14:textId="77777777" w:rsidR="002F1229" w:rsidRPr="00F87A17" w:rsidRDefault="002F1229">
            <w:pPr>
              <w:suppressLineNumbers/>
              <w:spacing w:line="360" w:lineRule="auto"/>
              <w:jc w:val="both"/>
              <w:rPr>
                <w:rFonts w:hint="cs"/>
                <w:b/>
                <w:bCs/>
                <w:sz w:val="28"/>
                <w:szCs w:val="28"/>
                <w:lang w:eastAsia="he-IL"/>
              </w:rPr>
            </w:pPr>
            <w:bookmarkStart w:id="6" w:name="שם_ב" w:colFirst="1" w:colLast="1"/>
          </w:p>
        </w:tc>
        <w:tc>
          <w:tcPr>
            <w:tcW w:w="4820" w:type="dxa"/>
            <w:gridSpan w:val="2"/>
          </w:tcPr>
          <w:p w14:paraId="51A15172" w14:textId="77777777" w:rsidR="002F1229" w:rsidRPr="00F87A17" w:rsidRDefault="002F1229">
            <w:pPr>
              <w:suppressLineNumbers/>
              <w:spacing w:line="360" w:lineRule="auto"/>
              <w:jc w:val="both"/>
              <w:rPr>
                <w:b/>
                <w:bCs/>
                <w:sz w:val="28"/>
                <w:szCs w:val="28"/>
                <w:rtl/>
                <w:lang w:eastAsia="he-IL"/>
              </w:rPr>
            </w:pPr>
          </w:p>
          <w:p w14:paraId="34BE74FB" w14:textId="77777777" w:rsidR="002F1229" w:rsidRPr="00F87A17" w:rsidRDefault="002F1229">
            <w:pPr>
              <w:suppressLineNumbers/>
              <w:spacing w:line="360" w:lineRule="auto"/>
              <w:jc w:val="both"/>
              <w:rPr>
                <w:b/>
                <w:bCs/>
                <w:sz w:val="28"/>
                <w:szCs w:val="28"/>
                <w:rtl/>
                <w:lang w:eastAsia="he-IL"/>
              </w:rPr>
            </w:pPr>
          </w:p>
          <w:p w14:paraId="099A909C" w14:textId="77777777" w:rsidR="002F1229" w:rsidRPr="00F87A17" w:rsidRDefault="00F87A17">
            <w:pPr>
              <w:suppressLineNumbers/>
              <w:spacing w:line="360" w:lineRule="auto"/>
              <w:jc w:val="both"/>
              <w:rPr>
                <w:b/>
                <w:bCs/>
                <w:sz w:val="28"/>
                <w:szCs w:val="28"/>
                <w:lang w:eastAsia="he-IL"/>
              </w:rPr>
            </w:pPr>
            <w:r w:rsidRPr="00F87A17">
              <w:rPr>
                <w:b/>
                <w:bCs/>
                <w:sz w:val="28"/>
                <w:szCs w:val="28"/>
                <w:rtl/>
                <w:lang w:eastAsia="he-IL"/>
              </w:rPr>
              <w:t>ראיד אלאלא</w:t>
            </w:r>
          </w:p>
        </w:tc>
        <w:tc>
          <w:tcPr>
            <w:tcW w:w="2409" w:type="dxa"/>
          </w:tcPr>
          <w:p w14:paraId="09AA78D5" w14:textId="77777777" w:rsidR="002F1229" w:rsidRPr="00F87A17" w:rsidRDefault="002F1229">
            <w:pPr>
              <w:suppressLineNumbers/>
              <w:spacing w:line="360" w:lineRule="auto"/>
              <w:jc w:val="both"/>
              <w:rPr>
                <w:b/>
                <w:bCs/>
                <w:sz w:val="28"/>
                <w:szCs w:val="28"/>
                <w:lang w:eastAsia="he-IL"/>
              </w:rPr>
            </w:pPr>
          </w:p>
        </w:tc>
      </w:tr>
      <w:tr w:rsidR="002F1229" w:rsidRPr="00F87A17" w14:paraId="143F2ACB" w14:textId="77777777">
        <w:tc>
          <w:tcPr>
            <w:tcW w:w="1362" w:type="dxa"/>
          </w:tcPr>
          <w:p w14:paraId="12D16689" w14:textId="77777777" w:rsidR="002F1229" w:rsidRPr="00F87A17" w:rsidRDefault="002F1229">
            <w:pPr>
              <w:suppressLineNumbers/>
              <w:spacing w:line="360" w:lineRule="auto"/>
              <w:jc w:val="both"/>
              <w:rPr>
                <w:b/>
                <w:bCs/>
                <w:sz w:val="28"/>
                <w:szCs w:val="28"/>
                <w:lang w:eastAsia="he-IL"/>
              </w:rPr>
            </w:pPr>
            <w:bookmarkStart w:id="7" w:name="בא_כוח_ב" w:colFirst="2" w:colLast="2"/>
            <w:bookmarkEnd w:id="6"/>
          </w:p>
        </w:tc>
        <w:tc>
          <w:tcPr>
            <w:tcW w:w="1757" w:type="dxa"/>
          </w:tcPr>
          <w:p w14:paraId="06575862" w14:textId="77777777" w:rsidR="002F1229" w:rsidRPr="00F87A17" w:rsidRDefault="00F87A17">
            <w:pPr>
              <w:suppressLineNumbers/>
              <w:spacing w:line="360" w:lineRule="auto"/>
              <w:jc w:val="both"/>
              <w:rPr>
                <w:b/>
                <w:bCs/>
                <w:sz w:val="28"/>
                <w:szCs w:val="28"/>
                <w:lang w:eastAsia="he-IL"/>
              </w:rPr>
            </w:pPr>
            <w:r w:rsidRPr="00F87A17">
              <w:rPr>
                <w:b/>
                <w:bCs/>
                <w:sz w:val="28"/>
                <w:szCs w:val="28"/>
                <w:rtl/>
                <w:lang w:eastAsia="he-IL"/>
              </w:rPr>
              <w:t>ע"י ב"כ עו"ד</w:t>
            </w:r>
          </w:p>
        </w:tc>
        <w:tc>
          <w:tcPr>
            <w:tcW w:w="3063" w:type="dxa"/>
          </w:tcPr>
          <w:p w14:paraId="5FE66D6F" w14:textId="77777777" w:rsidR="002F1229" w:rsidRPr="00F87A17" w:rsidRDefault="00F87A17">
            <w:pPr>
              <w:suppressLineNumbers/>
              <w:spacing w:line="360" w:lineRule="auto"/>
              <w:jc w:val="both"/>
              <w:rPr>
                <w:b/>
                <w:bCs/>
                <w:sz w:val="28"/>
                <w:szCs w:val="28"/>
                <w:lang w:eastAsia="he-IL"/>
              </w:rPr>
            </w:pPr>
            <w:r w:rsidRPr="00F87A17">
              <w:rPr>
                <w:b/>
                <w:bCs/>
                <w:sz w:val="28"/>
                <w:szCs w:val="28"/>
                <w:rtl/>
                <w:lang w:eastAsia="he-IL"/>
              </w:rPr>
              <w:t>יקי קהן</w:t>
            </w:r>
          </w:p>
        </w:tc>
        <w:tc>
          <w:tcPr>
            <w:tcW w:w="2409" w:type="dxa"/>
          </w:tcPr>
          <w:p w14:paraId="26012041" w14:textId="77777777" w:rsidR="002F1229" w:rsidRPr="00F87A17" w:rsidRDefault="00F87A17">
            <w:pPr>
              <w:suppressLineNumbers/>
              <w:spacing w:line="360" w:lineRule="auto"/>
              <w:jc w:val="both"/>
              <w:rPr>
                <w:b/>
                <w:bCs/>
                <w:sz w:val="28"/>
                <w:szCs w:val="28"/>
                <w:lang w:eastAsia="he-IL"/>
              </w:rPr>
            </w:pPr>
            <w:r w:rsidRPr="00F87A17">
              <w:rPr>
                <w:b/>
                <w:bCs/>
                <w:sz w:val="28"/>
                <w:szCs w:val="28"/>
                <w:rtl/>
                <w:lang w:eastAsia="he-IL"/>
              </w:rPr>
              <w:t>הנאשם</w:t>
            </w:r>
          </w:p>
        </w:tc>
      </w:tr>
    </w:tbl>
    <w:p w14:paraId="565964AB" w14:textId="77777777" w:rsidR="00494CE5" w:rsidRPr="00494CE5" w:rsidRDefault="00494CE5" w:rsidP="00494CE5">
      <w:pPr>
        <w:spacing w:after="120" w:line="240" w:lineRule="exact"/>
        <w:ind w:left="283" w:hanging="283"/>
        <w:jc w:val="both"/>
        <w:rPr>
          <w:rFonts w:ascii="FrankRuehl" w:hAnsi="FrankRuehl" w:cs="FrankRuehl"/>
          <w:rtl/>
          <w:lang w:eastAsia="he-IL"/>
        </w:rPr>
      </w:pPr>
      <w:bookmarkStart w:id="8" w:name="סוג_מסמך"/>
      <w:bookmarkStart w:id="9" w:name="LawTable"/>
      <w:bookmarkEnd w:id="7"/>
      <w:bookmarkEnd w:id="8"/>
      <w:bookmarkEnd w:id="9"/>
    </w:p>
    <w:p w14:paraId="3E77D36E" w14:textId="77777777" w:rsidR="00494CE5" w:rsidRPr="00494CE5" w:rsidRDefault="00494CE5" w:rsidP="00494CE5">
      <w:pPr>
        <w:spacing w:after="120" w:line="240" w:lineRule="exact"/>
        <w:ind w:left="283" w:hanging="283"/>
        <w:jc w:val="both"/>
        <w:rPr>
          <w:rFonts w:ascii="FrankRuehl" w:hAnsi="FrankRuehl" w:cs="FrankRuehl"/>
          <w:rtl/>
          <w:lang w:eastAsia="he-IL"/>
        </w:rPr>
      </w:pPr>
      <w:r w:rsidRPr="00494CE5">
        <w:rPr>
          <w:rFonts w:ascii="FrankRuehl" w:hAnsi="FrankRuehl" w:cs="FrankRuehl"/>
          <w:rtl/>
          <w:lang w:eastAsia="he-IL"/>
        </w:rPr>
        <w:t xml:space="preserve">חקיקה שאוזכרה: </w:t>
      </w:r>
    </w:p>
    <w:p w14:paraId="15F6FE9A" w14:textId="77777777" w:rsidR="00494CE5" w:rsidRPr="00494CE5" w:rsidRDefault="00494CE5" w:rsidP="00494CE5">
      <w:pPr>
        <w:spacing w:after="120" w:line="240" w:lineRule="exact"/>
        <w:ind w:left="283" w:hanging="283"/>
        <w:jc w:val="both"/>
        <w:rPr>
          <w:rFonts w:ascii="FrankRuehl" w:hAnsi="FrankRuehl" w:cs="FrankRuehl"/>
          <w:rtl/>
          <w:lang w:eastAsia="he-IL"/>
        </w:rPr>
      </w:pPr>
      <w:hyperlink r:id="rId7" w:history="1">
        <w:r w:rsidRPr="00494CE5">
          <w:rPr>
            <w:rFonts w:ascii="FrankRuehl" w:hAnsi="FrankRuehl" w:cs="FrankRuehl"/>
            <w:color w:val="0000FF"/>
            <w:u w:val="single"/>
            <w:rtl/>
            <w:lang w:eastAsia="he-IL"/>
          </w:rPr>
          <w:t>פקודת הסמים המסוכנים [נוסח חדש], תשל"ג-1973</w:t>
        </w:r>
      </w:hyperlink>
      <w:r w:rsidRPr="00494CE5">
        <w:rPr>
          <w:rFonts w:ascii="FrankRuehl" w:hAnsi="FrankRuehl" w:cs="FrankRuehl"/>
          <w:rtl/>
          <w:lang w:eastAsia="he-IL"/>
        </w:rPr>
        <w:t xml:space="preserve">: סע'  </w:t>
      </w:r>
      <w:hyperlink r:id="rId8" w:history="1">
        <w:r w:rsidRPr="00494CE5">
          <w:rPr>
            <w:rFonts w:ascii="FrankRuehl" w:hAnsi="FrankRuehl" w:cs="FrankRuehl"/>
            <w:color w:val="0000FF"/>
            <w:u w:val="single"/>
            <w:rtl/>
            <w:lang w:eastAsia="he-IL"/>
          </w:rPr>
          <w:t>7(א)</w:t>
        </w:r>
      </w:hyperlink>
      <w:r w:rsidRPr="00494CE5">
        <w:rPr>
          <w:rFonts w:ascii="FrankRuehl" w:hAnsi="FrankRuehl" w:cs="FrankRuehl"/>
          <w:rtl/>
          <w:lang w:eastAsia="he-IL"/>
        </w:rPr>
        <w:t xml:space="preserve">, </w:t>
      </w:r>
      <w:hyperlink r:id="rId9" w:history="1">
        <w:r w:rsidRPr="00494CE5">
          <w:rPr>
            <w:rFonts w:ascii="FrankRuehl" w:hAnsi="FrankRuehl" w:cs="FrankRuehl"/>
            <w:color w:val="0000FF"/>
            <w:u w:val="single"/>
            <w:rtl/>
            <w:lang w:eastAsia="he-IL"/>
          </w:rPr>
          <w:t>13</w:t>
        </w:r>
      </w:hyperlink>
    </w:p>
    <w:p w14:paraId="3F92130B" w14:textId="77777777" w:rsidR="00494CE5" w:rsidRPr="00494CE5" w:rsidRDefault="00494CE5" w:rsidP="00494CE5">
      <w:pPr>
        <w:spacing w:after="120" w:line="240" w:lineRule="exact"/>
        <w:ind w:left="283" w:hanging="283"/>
        <w:jc w:val="both"/>
        <w:rPr>
          <w:rFonts w:ascii="FrankRuehl" w:hAnsi="FrankRuehl" w:cs="FrankRuehl"/>
          <w:rtl/>
          <w:lang w:eastAsia="he-IL"/>
        </w:rPr>
      </w:pPr>
      <w:hyperlink r:id="rId10" w:history="1">
        <w:r w:rsidRPr="00494CE5">
          <w:rPr>
            <w:rFonts w:ascii="FrankRuehl" w:hAnsi="FrankRuehl" w:cs="FrankRuehl"/>
            <w:color w:val="0000FF"/>
            <w:u w:val="single"/>
            <w:rtl/>
            <w:lang w:eastAsia="he-IL"/>
          </w:rPr>
          <w:t>חוק העונשין, תשל"ז-1977</w:t>
        </w:r>
      </w:hyperlink>
      <w:r w:rsidRPr="00494CE5">
        <w:rPr>
          <w:rFonts w:ascii="FrankRuehl" w:hAnsi="FrankRuehl" w:cs="FrankRuehl"/>
          <w:rtl/>
          <w:lang w:eastAsia="he-IL"/>
        </w:rPr>
        <w:t xml:space="preserve">: סע'  </w:t>
      </w:r>
      <w:hyperlink r:id="rId11" w:history="1">
        <w:r w:rsidRPr="00494CE5">
          <w:rPr>
            <w:rFonts w:ascii="FrankRuehl" w:hAnsi="FrankRuehl" w:cs="FrankRuehl"/>
            <w:color w:val="0000FF"/>
            <w:u w:val="single"/>
            <w:rtl/>
            <w:lang w:eastAsia="he-IL"/>
          </w:rPr>
          <w:t>287(א)</w:t>
        </w:r>
      </w:hyperlink>
    </w:p>
    <w:p w14:paraId="61F15034" w14:textId="77777777" w:rsidR="00494CE5" w:rsidRPr="00494CE5" w:rsidRDefault="00494CE5" w:rsidP="00494CE5">
      <w:pPr>
        <w:spacing w:after="120" w:line="240" w:lineRule="exact"/>
        <w:ind w:left="283" w:hanging="283"/>
        <w:jc w:val="both"/>
        <w:rPr>
          <w:rFonts w:ascii="FrankRuehl" w:hAnsi="FrankRuehl" w:cs="FrankRuehl"/>
          <w:rtl/>
          <w:lang w:eastAsia="he-IL"/>
        </w:rPr>
      </w:pPr>
    </w:p>
    <w:p w14:paraId="019ED879" w14:textId="77777777" w:rsidR="00F87A17" w:rsidRPr="00F87A17" w:rsidRDefault="00F87A17" w:rsidP="00F87A17">
      <w:pPr>
        <w:spacing w:line="360" w:lineRule="auto"/>
        <w:jc w:val="center"/>
        <w:rPr>
          <w:b/>
          <w:bCs/>
          <w:sz w:val="36"/>
          <w:szCs w:val="36"/>
          <w:u w:val="single"/>
          <w:rtl/>
          <w:lang w:eastAsia="he-IL"/>
        </w:rPr>
      </w:pPr>
      <w:bookmarkStart w:id="10" w:name="LawTable_End"/>
      <w:bookmarkStart w:id="11" w:name="PsakDin"/>
      <w:bookmarkEnd w:id="0"/>
      <w:bookmarkEnd w:id="10"/>
      <w:r w:rsidRPr="00F87A17">
        <w:rPr>
          <w:b/>
          <w:bCs/>
          <w:sz w:val="36"/>
          <w:szCs w:val="36"/>
          <w:u w:val="single"/>
          <w:rtl/>
          <w:lang w:eastAsia="he-IL"/>
        </w:rPr>
        <w:t>גזר - דין</w:t>
      </w:r>
    </w:p>
    <w:bookmarkEnd w:id="11"/>
    <w:p w14:paraId="45E35DEB" w14:textId="77777777" w:rsidR="002F1229" w:rsidRDefault="002F1229">
      <w:pPr>
        <w:spacing w:line="360" w:lineRule="auto"/>
        <w:jc w:val="both"/>
        <w:rPr>
          <w:sz w:val="28"/>
          <w:szCs w:val="28"/>
          <w:rtl/>
          <w:lang w:eastAsia="he-IL"/>
        </w:rPr>
      </w:pPr>
    </w:p>
    <w:p w14:paraId="3E96D08C" w14:textId="77777777" w:rsidR="002F1229" w:rsidRDefault="00F87A17">
      <w:pPr>
        <w:numPr>
          <w:ilvl w:val="0"/>
          <w:numId w:val="1"/>
        </w:numPr>
        <w:tabs>
          <w:tab w:val="clear" w:pos="1080"/>
          <w:tab w:val="num" w:pos="540"/>
        </w:tabs>
        <w:spacing w:line="360" w:lineRule="auto"/>
        <w:ind w:left="540" w:hanging="540"/>
        <w:jc w:val="both"/>
        <w:rPr>
          <w:sz w:val="28"/>
          <w:szCs w:val="28"/>
          <w:lang w:eastAsia="he-IL"/>
        </w:rPr>
      </w:pPr>
      <w:bookmarkStart w:id="12" w:name="ABSTRACT_START"/>
      <w:bookmarkEnd w:id="12"/>
      <w:r>
        <w:rPr>
          <w:sz w:val="28"/>
          <w:szCs w:val="28"/>
          <w:rtl/>
          <w:lang w:eastAsia="he-IL"/>
        </w:rPr>
        <w:t xml:space="preserve">הנאשם הורשע, על יסוד הודאתו בעובדות כתב האישום הכולל שלושה אישומים, בשתי עבירות של סחר בסם מסוכן מסוג קוקאין - על פי </w:t>
      </w:r>
      <w:hyperlink r:id="rId12" w:history="1">
        <w:r w:rsidR="00494CE5" w:rsidRPr="00494CE5">
          <w:rPr>
            <w:color w:val="0000FF"/>
            <w:sz w:val="28"/>
            <w:szCs w:val="28"/>
            <w:u w:val="single"/>
            <w:rtl/>
            <w:lang w:eastAsia="he-IL"/>
          </w:rPr>
          <w:t>סעיף 13</w:t>
        </w:r>
      </w:hyperlink>
      <w:r>
        <w:rPr>
          <w:sz w:val="28"/>
          <w:szCs w:val="28"/>
          <w:rtl/>
          <w:lang w:eastAsia="he-IL"/>
        </w:rPr>
        <w:t xml:space="preserve"> ל</w:t>
      </w:r>
      <w:hyperlink r:id="rId13" w:history="1">
        <w:r w:rsidRPr="00F87A17">
          <w:rPr>
            <w:color w:val="0000FF"/>
            <w:sz w:val="28"/>
            <w:szCs w:val="28"/>
            <w:u w:val="single"/>
            <w:rtl/>
            <w:lang w:eastAsia="he-IL"/>
          </w:rPr>
          <w:t>פקודת הסמים המסוכנים</w:t>
        </w:r>
      </w:hyperlink>
      <w:r>
        <w:rPr>
          <w:sz w:val="28"/>
          <w:szCs w:val="28"/>
          <w:rtl/>
          <w:lang w:eastAsia="he-IL"/>
        </w:rPr>
        <w:t xml:space="preserve"> [נוסח חדש], התשל"ג – 1973 (להלן: "</w:t>
      </w:r>
      <w:r>
        <w:rPr>
          <w:b/>
          <w:bCs/>
          <w:sz w:val="28"/>
          <w:szCs w:val="28"/>
          <w:rtl/>
          <w:lang w:eastAsia="he-IL"/>
        </w:rPr>
        <w:t>הפקודה</w:t>
      </w:r>
      <w:r>
        <w:rPr>
          <w:sz w:val="28"/>
          <w:szCs w:val="28"/>
          <w:rtl/>
          <w:lang w:eastAsia="he-IL"/>
        </w:rPr>
        <w:t xml:space="preserve">"), בשתי עבירות של החזקת סם מסוכן שלא לצריכה עצמית - על פי </w:t>
      </w:r>
      <w:hyperlink r:id="rId14" w:history="1">
        <w:r w:rsidR="00494CE5" w:rsidRPr="00494CE5">
          <w:rPr>
            <w:color w:val="0000FF"/>
            <w:sz w:val="28"/>
            <w:szCs w:val="28"/>
            <w:u w:val="single"/>
            <w:rtl/>
            <w:lang w:eastAsia="he-IL"/>
          </w:rPr>
          <w:t>סעיף 7(א)</w:t>
        </w:r>
      </w:hyperlink>
      <w:r>
        <w:rPr>
          <w:sz w:val="28"/>
          <w:szCs w:val="28"/>
          <w:rtl/>
          <w:lang w:eastAsia="he-IL"/>
        </w:rPr>
        <w:t xml:space="preserve"> לפקודה, ובעבירה של הפרת הוראה חוקית – על פי </w:t>
      </w:r>
      <w:hyperlink r:id="rId15" w:history="1">
        <w:r w:rsidR="00494CE5" w:rsidRPr="00494CE5">
          <w:rPr>
            <w:color w:val="0000FF"/>
            <w:sz w:val="28"/>
            <w:szCs w:val="28"/>
            <w:u w:val="single"/>
            <w:rtl/>
            <w:lang w:eastAsia="he-IL"/>
          </w:rPr>
          <w:t>סעיף 287(א)</w:t>
        </w:r>
      </w:hyperlink>
      <w:r>
        <w:rPr>
          <w:sz w:val="28"/>
          <w:szCs w:val="28"/>
          <w:rtl/>
          <w:lang w:eastAsia="he-IL"/>
        </w:rPr>
        <w:t xml:space="preserve"> ל</w:t>
      </w:r>
      <w:hyperlink r:id="rId16" w:history="1">
        <w:r w:rsidRPr="00F87A17">
          <w:rPr>
            <w:color w:val="0000FF"/>
            <w:sz w:val="28"/>
            <w:szCs w:val="28"/>
            <w:u w:val="single"/>
            <w:rtl/>
            <w:lang w:eastAsia="he-IL"/>
          </w:rPr>
          <w:t>חוק העונשין</w:t>
        </w:r>
      </w:hyperlink>
      <w:r>
        <w:rPr>
          <w:sz w:val="28"/>
          <w:szCs w:val="28"/>
          <w:rtl/>
          <w:lang w:eastAsia="he-IL"/>
        </w:rPr>
        <w:t>, תשל"ז – 1977 (להלן: "</w:t>
      </w:r>
      <w:r>
        <w:rPr>
          <w:b/>
          <w:bCs/>
          <w:sz w:val="28"/>
          <w:szCs w:val="28"/>
          <w:rtl/>
          <w:lang w:eastAsia="he-IL"/>
        </w:rPr>
        <w:t>החוק</w:t>
      </w:r>
      <w:r>
        <w:rPr>
          <w:sz w:val="28"/>
          <w:szCs w:val="28"/>
          <w:rtl/>
          <w:lang w:eastAsia="he-IL"/>
        </w:rPr>
        <w:t>").</w:t>
      </w:r>
    </w:p>
    <w:p w14:paraId="3ACB5770" w14:textId="77777777" w:rsidR="002F1229" w:rsidRDefault="002F1229">
      <w:pPr>
        <w:spacing w:line="360" w:lineRule="auto"/>
        <w:ind w:left="540"/>
        <w:jc w:val="both"/>
        <w:rPr>
          <w:sz w:val="28"/>
          <w:szCs w:val="28"/>
          <w:lang w:eastAsia="he-IL"/>
        </w:rPr>
      </w:pPr>
      <w:bookmarkStart w:id="13" w:name="ABSTRACT_END"/>
      <w:bookmarkEnd w:id="13"/>
    </w:p>
    <w:p w14:paraId="25E62F97" w14:textId="77777777" w:rsidR="002F1229" w:rsidRDefault="00F87A17">
      <w:pPr>
        <w:spacing w:line="360" w:lineRule="auto"/>
        <w:ind w:left="540"/>
        <w:jc w:val="both"/>
        <w:rPr>
          <w:sz w:val="28"/>
          <w:szCs w:val="28"/>
          <w:rtl/>
          <w:lang w:eastAsia="he-IL"/>
        </w:rPr>
      </w:pPr>
      <w:r>
        <w:rPr>
          <w:sz w:val="28"/>
          <w:szCs w:val="28"/>
          <w:rtl/>
          <w:lang w:eastAsia="he-IL"/>
        </w:rPr>
        <w:lastRenderedPageBreak/>
        <w:t xml:space="preserve">עובדות </w:t>
      </w:r>
      <w:r>
        <w:rPr>
          <w:b/>
          <w:bCs/>
          <w:sz w:val="28"/>
          <w:szCs w:val="28"/>
          <w:rtl/>
          <w:lang w:eastAsia="he-IL"/>
        </w:rPr>
        <w:t>האישום הראשון</w:t>
      </w:r>
      <w:r>
        <w:rPr>
          <w:sz w:val="28"/>
          <w:szCs w:val="28"/>
          <w:rtl/>
          <w:lang w:eastAsia="he-IL"/>
        </w:rPr>
        <w:t xml:space="preserve"> - בין המועדים 15.9.13-14.10.13 נפגש סוכן סמוי, בשליחות משטרת ישראל, מספר פעמים עם הנאשם, עמו הייתה לו היכרות מוקדמת. במהלך המפגשים הציע הנאשם לסוכן לרכוש ממנו סם מסוכן מסוג קוקאין במשקלים הגבוהים מ- 15 גרם, לסייע לו בהפצת סמים מסוכנים באזור יפו תמורת תשלום וכן לרכוש ממנו כלי נשק ותחמושת.</w:t>
      </w:r>
    </w:p>
    <w:p w14:paraId="0ABC8DC6" w14:textId="77777777" w:rsidR="002F1229" w:rsidRDefault="00F87A17">
      <w:pPr>
        <w:spacing w:line="360" w:lineRule="auto"/>
        <w:ind w:left="540"/>
        <w:jc w:val="both"/>
        <w:rPr>
          <w:sz w:val="28"/>
          <w:szCs w:val="28"/>
          <w:rtl/>
          <w:lang w:eastAsia="he-IL"/>
        </w:rPr>
      </w:pPr>
      <w:r>
        <w:rPr>
          <w:sz w:val="28"/>
          <w:szCs w:val="28"/>
          <w:rtl/>
          <w:lang w:eastAsia="he-IL"/>
        </w:rPr>
        <w:t>בתאריך 14.10.13, שוחח הסוכן עם הנאשם בטלפון ומאוחר יותר נפגשו השניים בביתו של הסוכן בתל אביב. הנאשם אמר לסוכן כי ברשותו כעת כמות גדולה של סם מסוכן מסוג קוקאין והציע לו לרוכשו.</w:t>
      </w:r>
    </w:p>
    <w:p w14:paraId="7E979734" w14:textId="77777777" w:rsidR="002F1229" w:rsidRDefault="00F87A17">
      <w:pPr>
        <w:spacing w:line="360" w:lineRule="auto"/>
        <w:ind w:left="540"/>
        <w:jc w:val="both"/>
        <w:rPr>
          <w:sz w:val="28"/>
          <w:szCs w:val="28"/>
          <w:rtl/>
          <w:lang w:eastAsia="he-IL"/>
        </w:rPr>
      </w:pPr>
      <w:r>
        <w:rPr>
          <w:sz w:val="28"/>
          <w:szCs w:val="28"/>
          <w:rtl/>
          <w:lang w:eastAsia="he-IL"/>
        </w:rPr>
        <w:t>בתאריך 16.10.13 בשעה 16:00 או בסמוך לכך, הגיע הנאשם שוב אל ביתו של הסוכן ושב והציע לסוכן לרכוש ממנו סם מסוכן מסוג קוקאין.</w:t>
      </w:r>
    </w:p>
    <w:p w14:paraId="1890A186" w14:textId="77777777" w:rsidR="002F1229" w:rsidRDefault="00F87A17">
      <w:pPr>
        <w:spacing w:line="360" w:lineRule="auto"/>
        <w:ind w:left="540"/>
        <w:jc w:val="both"/>
        <w:rPr>
          <w:sz w:val="28"/>
          <w:szCs w:val="28"/>
          <w:rtl/>
          <w:lang w:eastAsia="he-IL"/>
        </w:rPr>
      </w:pPr>
      <w:r>
        <w:rPr>
          <w:sz w:val="28"/>
          <w:szCs w:val="28"/>
          <w:rtl/>
          <w:lang w:eastAsia="he-IL"/>
        </w:rPr>
        <w:t>בתאריך 17.10.13 בשעה 14:30 או בסמוך לכך, שוחח הסוכן טלפונית עם הנאשם וביקש לרכוש ממנו סם מסוכן מסוג קוקאין במשקל 15 גר' והנאשם הסכים לכך. השניים קבעו להיפגש בהמשך היום ברחוב סלמה בתל אביב, וזאת לצורך הוצאת העסקה לפועל (להלן: "מקום המפגש").</w:t>
      </w:r>
    </w:p>
    <w:p w14:paraId="7F91606D" w14:textId="77777777" w:rsidR="002F1229" w:rsidRDefault="00F87A17">
      <w:pPr>
        <w:spacing w:line="360" w:lineRule="auto"/>
        <w:ind w:left="540"/>
        <w:jc w:val="both"/>
        <w:rPr>
          <w:sz w:val="28"/>
          <w:szCs w:val="28"/>
          <w:rtl/>
          <w:lang w:eastAsia="he-IL"/>
        </w:rPr>
      </w:pPr>
      <w:r>
        <w:rPr>
          <w:sz w:val="28"/>
          <w:szCs w:val="28"/>
          <w:rtl/>
          <w:lang w:eastAsia="he-IL"/>
        </w:rPr>
        <w:t>בהמשך לאמור, נפגשו הנאשם והסוכן בשעה 15:00, או בסמוך לכך, במקום המפגש, שם מסר הנאשם לסוכן סם מסוכן מסוג קוקאין במשקל 14.34 גרם ודרש תמורתו סכום של 5,500 ₪. במעמד המפגש מסר הסוכן לנאשם סכום של 4,500 ₪, כספה של משטרת ישראל, ונותר חייב לנאשם סכום של 1,000 ₪. סוכם בין השניים כי הסוכן ישלם את החוב בתוך מספר ימים.</w:t>
      </w:r>
    </w:p>
    <w:p w14:paraId="072D3222" w14:textId="77777777" w:rsidR="002F1229" w:rsidRDefault="00F87A17">
      <w:pPr>
        <w:spacing w:line="360" w:lineRule="auto"/>
        <w:ind w:left="540"/>
        <w:jc w:val="both"/>
        <w:rPr>
          <w:sz w:val="28"/>
          <w:szCs w:val="28"/>
          <w:rtl/>
          <w:lang w:eastAsia="he-IL"/>
        </w:rPr>
      </w:pPr>
      <w:r>
        <w:rPr>
          <w:sz w:val="28"/>
          <w:szCs w:val="28"/>
          <w:rtl/>
          <w:lang w:eastAsia="he-IL"/>
        </w:rPr>
        <w:t>בתאריך 22.10.13 בשעה 15:00 או בסמוך לכך, הגיע הנאשם לביתו של הסוכן, שם מסר לו הסוכן סכום של 1,000 ₪ כהמשך לעסקה מתאריך 17.10.13.</w:t>
      </w:r>
    </w:p>
    <w:p w14:paraId="6BE8F1A1" w14:textId="77777777" w:rsidR="002F1229" w:rsidRDefault="002F1229">
      <w:pPr>
        <w:spacing w:line="360" w:lineRule="auto"/>
        <w:ind w:left="540"/>
        <w:jc w:val="both"/>
        <w:rPr>
          <w:sz w:val="28"/>
          <w:szCs w:val="28"/>
          <w:rtl/>
          <w:lang w:eastAsia="he-IL"/>
        </w:rPr>
      </w:pPr>
    </w:p>
    <w:p w14:paraId="628A9EEE" w14:textId="77777777" w:rsidR="002F1229" w:rsidRDefault="00F87A17">
      <w:pPr>
        <w:spacing w:line="360" w:lineRule="auto"/>
        <w:ind w:left="540"/>
        <w:jc w:val="both"/>
        <w:rPr>
          <w:sz w:val="28"/>
          <w:szCs w:val="28"/>
          <w:rtl/>
          <w:lang w:eastAsia="he-IL"/>
        </w:rPr>
      </w:pPr>
      <w:r>
        <w:rPr>
          <w:sz w:val="28"/>
          <w:szCs w:val="28"/>
          <w:rtl/>
          <w:lang w:eastAsia="he-IL"/>
        </w:rPr>
        <w:t xml:space="preserve">עובדות </w:t>
      </w:r>
      <w:r>
        <w:rPr>
          <w:b/>
          <w:bCs/>
          <w:sz w:val="28"/>
          <w:szCs w:val="28"/>
          <w:rtl/>
          <w:lang w:eastAsia="he-IL"/>
        </w:rPr>
        <w:t>האישום השני</w:t>
      </w:r>
      <w:r>
        <w:rPr>
          <w:sz w:val="28"/>
          <w:szCs w:val="28"/>
          <w:rtl/>
          <w:lang w:eastAsia="he-IL"/>
        </w:rPr>
        <w:t xml:space="preserve"> - בתאריך 23.10.13 בשעה 15:20 או בסמוך לכך, פגש הנאשם את הסוכן בשכונת פלורנטין בתל אביב והציע לו לרכוש ממנו סם מסוכן מסוג קוקאין והסוכן השיב לו כי במידה ויצטרך יפנה אליו.</w:t>
      </w:r>
    </w:p>
    <w:p w14:paraId="7AFFEA99" w14:textId="77777777" w:rsidR="002F1229" w:rsidRDefault="00F87A17">
      <w:pPr>
        <w:spacing w:line="360" w:lineRule="auto"/>
        <w:ind w:left="540"/>
        <w:jc w:val="both"/>
        <w:rPr>
          <w:sz w:val="28"/>
          <w:szCs w:val="28"/>
          <w:rtl/>
          <w:lang w:eastAsia="he-IL"/>
        </w:rPr>
      </w:pPr>
      <w:r>
        <w:rPr>
          <w:sz w:val="28"/>
          <w:szCs w:val="28"/>
          <w:rtl/>
          <w:lang w:eastAsia="he-IL"/>
        </w:rPr>
        <w:t>בתאריך 23.10.13 בשעה 21:00 או בסמוך לכך, פגש הנאשם את הסוכן בשכונת פלורנטין בתל אביב והציע לו לסחור עבורו בסם מסוכן מסוג קוקאין בתמורה לתשלום והסוכן סירב להצעתו.</w:t>
      </w:r>
    </w:p>
    <w:p w14:paraId="46D7DD21" w14:textId="77777777" w:rsidR="002F1229" w:rsidRDefault="00F87A17">
      <w:pPr>
        <w:spacing w:line="360" w:lineRule="auto"/>
        <w:ind w:left="540"/>
        <w:jc w:val="both"/>
        <w:rPr>
          <w:sz w:val="28"/>
          <w:szCs w:val="28"/>
          <w:rtl/>
          <w:lang w:eastAsia="he-IL"/>
        </w:rPr>
      </w:pPr>
      <w:r>
        <w:rPr>
          <w:sz w:val="28"/>
          <w:szCs w:val="28"/>
          <w:rtl/>
          <w:lang w:eastAsia="he-IL"/>
        </w:rPr>
        <w:lastRenderedPageBreak/>
        <w:t>בהמשך לאמור, בתאריך 25.10.13 בשעה 19:00 או בסמוך לכך, הגיע הנאשם לביתו של הסוכן בתל אביב והציע לו 10 גר' סם מסוכן מסוג קוקאין, על מנת שהסוכן ימכור את הסם המסוכן לאנשים בשכונה, אולם הסוכן סירב להצעתו.</w:t>
      </w:r>
    </w:p>
    <w:p w14:paraId="624B040B" w14:textId="77777777" w:rsidR="002F1229" w:rsidRDefault="00F87A17">
      <w:pPr>
        <w:spacing w:line="360" w:lineRule="auto"/>
        <w:ind w:left="540"/>
        <w:jc w:val="both"/>
        <w:rPr>
          <w:sz w:val="28"/>
          <w:szCs w:val="28"/>
          <w:rtl/>
          <w:lang w:eastAsia="he-IL"/>
        </w:rPr>
      </w:pPr>
      <w:r>
        <w:rPr>
          <w:sz w:val="28"/>
          <w:szCs w:val="28"/>
          <w:rtl/>
          <w:lang w:eastAsia="he-IL"/>
        </w:rPr>
        <w:t>במועדים 6.11.13 ו- 11.11.13 נפגש הסוכן עם הנאשם וכן שוחח עמו בטלפון והנאשם אמר לו כי יש לו קוקאין זמין, בכל רגע נתון, למכירה.</w:t>
      </w:r>
    </w:p>
    <w:p w14:paraId="72E6F7A7" w14:textId="77777777" w:rsidR="002F1229" w:rsidRDefault="00F87A17">
      <w:pPr>
        <w:spacing w:line="360" w:lineRule="auto"/>
        <w:ind w:left="540"/>
        <w:jc w:val="both"/>
        <w:rPr>
          <w:sz w:val="28"/>
          <w:szCs w:val="28"/>
          <w:rtl/>
          <w:lang w:eastAsia="he-IL"/>
        </w:rPr>
      </w:pPr>
      <w:r>
        <w:rPr>
          <w:sz w:val="28"/>
          <w:szCs w:val="28"/>
          <w:rtl/>
          <w:lang w:eastAsia="he-IL"/>
        </w:rPr>
        <w:t xml:space="preserve">בהמשך לאמור, בתאריך 12.11.13 בשעה 10:40 או בסמוך לכך, שוחח הסוכן עם הנאשם בטלפון והשניים סיכמו כי הסוכן ירכוש מהנאשם 10 גר' קוקאין תמורת 3,700 ₪. לצורך הוצאת העסקה לפועל קבעו השניים להיפגש במקום המפגש נשוא האישום הראשון. </w:t>
      </w:r>
    </w:p>
    <w:p w14:paraId="21B7C3D2" w14:textId="77777777" w:rsidR="002F1229" w:rsidRDefault="00F87A17">
      <w:pPr>
        <w:spacing w:line="360" w:lineRule="auto"/>
        <w:ind w:left="540"/>
        <w:jc w:val="both"/>
        <w:rPr>
          <w:sz w:val="28"/>
          <w:szCs w:val="28"/>
          <w:rtl/>
          <w:lang w:eastAsia="he-IL"/>
        </w:rPr>
      </w:pPr>
      <w:r>
        <w:rPr>
          <w:sz w:val="28"/>
          <w:szCs w:val="28"/>
          <w:rtl/>
          <w:lang w:eastAsia="he-IL"/>
        </w:rPr>
        <w:t xml:space="preserve">בתאריך 12.11.13 בשעה 11:30 או בסמוך לכך, הגיע הסוכן למקום המפגש והנאשם ביקש ממנו להגיע לביתו. בשעה 11:50 או בסמוך לכך, הגיע הסוכן לביתו של הנאשם, שם מסר לו הנאשם סם מסוכן מסוג קוקאין במשקל של 10.03 גרם נטו וקיבל בתמורה סכום של 3,700 ₪ מידי הסוכן. </w:t>
      </w:r>
    </w:p>
    <w:p w14:paraId="21E01666" w14:textId="77777777" w:rsidR="002F1229" w:rsidRDefault="00F87A17">
      <w:pPr>
        <w:spacing w:line="360" w:lineRule="auto"/>
        <w:ind w:left="540"/>
        <w:jc w:val="both"/>
        <w:rPr>
          <w:sz w:val="28"/>
          <w:szCs w:val="28"/>
          <w:rtl/>
          <w:lang w:eastAsia="he-IL"/>
        </w:rPr>
      </w:pPr>
      <w:r>
        <w:rPr>
          <w:sz w:val="28"/>
          <w:szCs w:val="28"/>
          <w:rtl/>
          <w:lang w:eastAsia="he-IL"/>
        </w:rPr>
        <w:t xml:space="preserve">עובדות </w:t>
      </w:r>
      <w:r>
        <w:rPr>
          <w:b/>
          <w:bCs/>
          <w:sz w:val="28"/>
          <w:szCs w:val="28"/>
          <w:rtl/>
          <w:lang w:eastAsia="he-IL"/>
        </w:rPr>
        <w:t>האישום השלישי</w:t>
      </w:r>
      <w:r>
        <w:rPr>
          <w:sz w:val="28"/>
          <w:szCs w:val="28"/>
          <w:rtl/>
          <w:lang w:eastAsia="he-IL"/>
        </w:rPr>
        <w:t xml:space="preserve"> - בתאריך 29.5.14 שוחרר הנאשם לקהילה הטיפולית "מלכישוע" (להלן: "הקהילה") במסגרת החלטת כבוד השופטת מעין בן ארי ב</w:t>
      </w:r>
      <w:hyperlink r:id="rId17" w:history="1">
        <w:r w:rsidRPr="00F87A17">
          <w:rPr>
            <w:color w:val="0000FF"/>
            <w:sz w:val="28"/>
            <w:szCs w:val="28"/>
            <w:u w:val="single"/>
            <w:rtl/>
            <w:lang w:eastAsia="he-IL"/>
          </w:rPr>
          <w:t>מ"ת 59336-01-14</w:t>
        </w:r>
      </w:hyperlink>
      <w:r>
        <w:rPr>
          <w:sz w:val="28"/>
          <w:szCs w:val="28"/>
          <w:rtl/>
          <w:lang w:eastAsia="he-IL"/>
        </w:rPr>
        <w:t xml:space="preserve"> (להלן: "ההחלטה").</w:t>
      </w:r>
    </w:p>
    <w:p w14:paraId="2CC808FE" w14:textId="77777777" w:rsidR="002F1229" w:rsidRDefault="00F87A17">
      <w:pPr>
        <w:spacing w:line="360" w:lineRule="auto"/>
        <w:ind w:left="540"/>
        <w:jc w:val="both"/>
        <w:rPr>
          <w:sz w:val="28"/>
          <w:szCs w:val="28"/>
          <w:rtl/>
          <w:lang w:eastAsia="he-IL"/>
        </w:rPr>
      </w:pPr>
      <w:r>
        <w:rPr>
          <w:sz w:val="28"/>
          <w:szCs w:val="28"/>
          <w:rtl/>
          <w:lang w:eastAsia="he-IL"/>
        </w:rPr>
        <w:t>במסגרת ההחלטה נקבע על ידי בית המשפט כי "המשיב ישהה בקהילה בהתאם לתנאי המקום. ככל שיעזוב את הקהילה, או יורחק ממנה, עליו להתייצב מיד בתחנת המשטרה".</w:t>
      </w:r>
    </w:p>
    <w:p w14:paraId="110DCC1F" w14:textId="77777777" w:rsidR="002F1229" w:rsidRDefault="00F87A17">
      <w:pPr>
        <w:spacing w:line="360" w:lineRule="auto"/>
        <w:ind w:left="540"/>
        <w:jc w:val="both"/>
        <w:rPr>
          <w:sz w:val="28"/>
          <w:szCs w:val="28"/>
          <w:rtl/>
          <w:lang w:eastAsia="he-IL"/>
        </w:rPr>
      </w:pPr>
      <w:r>
        <w:rPr>
          <w:sz w:val="28"/>
          <w:szCs w:val="28"/>
          <w:rtl/>
          <w:lang w:eastAsia="he-IL"/>
        </w:rPr>
        <w:t>בתאריך 31.7.14 הורחק הנאשם מהקהילה עקב אי עמידה בתנאי המקום.</w:t>
      </w:r>
    </w:p>
    <w:p w14:paraId="595C7E8D" w14:textId="77777777" w:rsidR="002F1229" w:rsidRDefault="00F87A17">
      <w:pPr>
        <w:spacing w:line="360" w:lineRule="auto"/>
        <w:ind w:left="540"/>
        <w:jc w:val="both"/>
        <w:rPr>
          <w:sz w:val="28"/>
          <w:szCs w:val="28"/>
          <w:rtl/>
          <w:lang w:eastAsia="he-IL"/>
        </w:rPr>
      </w:pPr>
      <w:r>
        <w:rPr>
          <w:sz w:val="28"/>
          <w:szCs w:val="28"/>
          <w:rtl/>
          <w:lang w:eastAsia="he-IL"/>
        </w:rPr>
        <w:t>חרף האמור לעיל, הפר הנאשם את תנאי שחרורו, שכן לא התייצב בתחנת המשטרה כפי שחוייב בהחלטה, וזאת עד לתאריך 29.3.16, המועד בו הסגיר עצמו למשטרה.</w:t>
      </w:r>
    </w:p>
    <w:p w14:paraId="4C6FD764" w14:textId="77777777" w:rsidR="002F1229" w:rsidRDefault="002F1229">
      <w:pPr>
        <w:spacing w:line="360" w:lineRule="auto"/>
        <w:ind w:left="540"/>
        <w:jc w:val="both"/>
        <w:rPr>
          <w:sz w:val="28"/>
          <w:szCs w:val="28"/>
          <w:rtl/>
          <w:lang w:eastAsia="he-IL"/>
        </w:rPr>
      </w:pPr>
    </w:p>
    <w:p w14:paraId="79A6EDF1" w14:textId="77777777" w:rsidR="002F1229" w:rsidRDefault="00F87A17">
      <w:pPr>
        <w:numPr>
          <w:ilvl w:val="0"/>
          <w:numId w:val="1"/>
        </w:numPr>
        <w:tabs>
          <w:tab w:val="clear" w:pos="1080"/>
          <w:tab w:val="num" w:pos="540"/>
        </w:tabs>
        <w:spacing w:line="360" w:lineRule="auto"/>
        <w:ind w:left="540" w:hanging="540"/>
        <w:jc w:val="both"/>
        <w:rPr>
          <w:b/>
          <w:bCs/>
          <w:sz w:val="28"/>
          <w:szCs w:val="28"/>
          <w:lang w:eastAsia="he-IL"/>
        </w:rPr>
      </w:pPr>
      <w:r>
        <w:rPr>
          <w:b/>
          <w:bCs/>
          <w:sz w:val="28"/>
          <w:szCs w:val="28"/>
          <w:rtl/>
          <w:lang w:eastAsia="he-IL"/>
        </w:rPr>
        <w:t>ראיות לעונש:</w:t>
      </w:r>
    </w:p>
    <w:p w14:paraId="140335DB" w14:textId="77777777" w:rsidR="002F1229" w:rsidRDefault="002F1229">
      <w:pPr>
        <w:spacing w:line="360" w:lineRule="auto"/>
        <w:ind w:left="540"/>
        <w:jc w:val="both"/>
        <w:rPr>
          <w:b/>
          <w:bCs/>
          <w:sz w:val="28"/>
          <w:szCs w:val="28"/>
          <w:rtl/>
          <w:lang w:eastAsia="he-IL"/>
        </w:rPr>
      </w:pPr>
    </w:p>
    <w:p w14:paraId="5A35DD69" w14:textId="77777777" w:rsidR="002F1229" w:rsidRDefault="00F87A17">
      <w:pPr>
        <w:spacing w:line="360" w:lineRule="auto"/>
        <w:ind w:left="540"/>
        <w:jc w:val="both"/>
        <w:rPr>
          <w:sz w:val="28"/>
          <w:szCs w:val="28"/>
          <w:rtl/>
          <w:lang w:eastAsia="he-IL"/>
        </w:rPr>
      </w:pPr>
      <w:r>
        <w:rPr>
          <w:sz w:val="28"/>
          <w:szCs w:val="28"/>
          <w:u w:val="single"/>
          <w:rtl/>
          <w:lang w:eastAsia="he-IL"/>
        </w:rPr>
        <w:t>המאשימה</w:t>
      </w:r>
      <w:r>
        <w:rPr>
          <w:sz w:val="28"/>
          <w:szCs w:val="28"/>
          <w:rtl/>
          <w:lang w:eastAsia="he-IL"/>
        </w:rPr>
        <w:t xml:space="preserve"> הגישה את גיליון הרשעותיו הקודמות של הנאשם. מגיליון ההרשעות ניתן ללמוד שלנאשם, שהינו יליד 1982, שמונה רישומים פליליים, הראשון מבית משפט לנוער, שהסתיים ללא הרשעה, בגין עבירת אלימות שביצע בשנת 1997 ושבעה הליכים שהסתיימו בהרשעה, בהן עבירות אלימות, רכוש, הפרת הוראה חוקית ועל פקודת הסמים המסכנים, כשההרשעה האחרונה הינה בגין עבירות של איומים והעלבת עובד ציבור שביצע בשנת 2009. עבירות הסמים בוצעו בשנים 2000 ו-2003.</w:t>
      </w:r>
    </w:p>
    <w:p w14:paraId="5F7BF097" w14:textId="77777777" w:rsidR="002F1229" w:rsidRDefault="002F1229">
      <w:pPr>
        <w:spacing w:line="360" w:lineRule="auto"/>
        <w:ind w:left="540"/>
        <w:jc w:val="both"/>
        <w:rPr>
          <w:sz w:val="28"/>
          <w:szCs w:val="28"/>
          <w:rtl/>
          <w:lang w:eastAsia="he-IL"/>
        </w:rPr>
      </w:pPr>
    </w:p>
    <w:p w14:paraId="30C9BCD4" w14:textId="77777777" w:rsidR="002F1229" w:rsidRDefault="00F87A17">
      <w:pPr>
        <w:spacing w:line="360" w:lineRule="auto"/>
        <w:ind w:left="540"/>
        <w:jc w:val="both"/>
        <w:rPr>
          <w:sz w:val="28"/>
          <w:szCs w:val="28"/>
          <w:rtl/>
          <w:lang w:eastAsia="he-IL"/>
        </w:rPr>
      </w:pPr>
      <w:r>
        <w:rPr>
          <w:sz w:val="28"/>
          <w:szCs w:val="28"/>
          <w:rtl/>
          <w:lang w:eastAsia="he-IL"/>
        </w:rPr>
        <w:t xml:space="preserve">מטעם </w:t>
      </w:r>
      <w:r>
        <w:rPr>
          <w:sz w:val="28"/>
          <w:szCs w:val="28"/>
          <w:u w:val="single"/>
          <w:rtl/>
          <w:lang w:eastAsia="he-IL"/>
        </w:rPr>
        <w:t>ההגנה</w:t>
      </w:r>
      <w:r>
        <w:rPr>
          <w:sz w:val="28"/>
          <w:szCs w:val="28"/>
          <w:rtl/>
          <w:lang w:eastAsia="he-IL"/>
        </w:rPr>
        <w:t xml:space="preserve"> התייצב עו"ד שדי כבהא שבטיעוניו פרש את נסיבותיו האישיות של הנאשם ואת הרקע המשפחתי ומציאות החיים הקשה בה גדל, כפי שאלה ידועים לו מייצוגו בעבר את אחיו של הנאשם, אשר נרצח בעת שהנאשם שהה במעצר בגין תיק זה.</w:t>
      </w:r>
    </w:p>
    <w:p w14:paraId="465DE10A" w14:textId="77777777" w:rsidR="002F1229" w:rsidRDefault="00F87A17">
      <w:pPr>
        <w:spacing w:line="360" w:lineRule="auto"/>
        <w:ind w:left="540"/>
        <w:jc w:val="both"/>
        <w:rPr>
          <w:sz w:val="28"/>
          <w:szCs w:val="28"/>
          <w:rtl/>
          <w:lang w:eastAsia="he-IL"/>
        </w:rPr>
      </w:pPr>
      <w:r>
        <w:rPr>
          <w:sz w:val="28"/>
          <w:szCs w:val="28"/>
          <w:rtl/>
          <w:lang w:eastAsia="he-IL"/>
        </w:rPr>
        <w:t xml:space="preserve">בעקבות הטרגדיה המשפחתית, נאות בית המשפט לשחרר את הנאשם למסגרת קהילה טיפולית, שחרור שעומד בבסיס האישום השלישי. </w:t>
      </w:r>
    </w:p>
    <w:p w14:paraId="1A8F162D" w14:textId="77777777" w:rsidR="002F1229" w:rsidRDefault="00F87A17">
      <w:pPr>
        <w:spacing w:line="360" w:lineRule="auto"/>
        <w:ind w:left="540"/>
        <w:jc w:val="both"/>
        <w:rPr>
          <w:sz w:val="28"/>
          <w:szCs w:val="28"/>
          <w:rtl/>
          <w:lang w:eastAsia="he-IL"/>
        </w:rPr>
      </w:pPr>
      <w:r>
        <w:rPr>
          <w:sz w:val="28"/>
          <w:szCs w:val="28"/>
          <w:rtl/>
          <w:lang w:eastAsia="he-IL"/>
        </w:rPr>
        <w:t xml:space="preserve">לדברי עו"ד כבהא, הנאשם לא הצליח להסתגל לקהילה הטיפולית נוכח רצח אחיו ומצבה הכלכלי של המשפחה ונפלט ממנה, אולם בתקופת אי התייצבותו למעצר ניסה לעבוד ולהיגמל מסמים, על מנת שילדיו לא יגדלו ברחוב. </w:t>
      </w:r>
    </w:p>
    <w:p w14:paraId="7E527225" w14:textId="77777777" w:rsidR="002F1229" w:rsidRDefault="00F87A17">
      <w:pPr>
        <w:spacing w:line="360" w:lineRule="auto"/>
        <w:ind w:left="540"/>
        <w:jc w:val="both"/>
        <w:rPr>
          <w:sz w:val="28"/>
          <w:szCs w:val="28"/>
          <w:rtl/>
          <w:lang w:eastAsia="he-IL"/>
        </w:rPr>
      </w:pPr>
      <w:r>
        <w:rPr>
          <w:sz w:val="28"/>
          <w:szCs w:val="28"/>
          <w:rtl/>
          <w:lang w:eastAsia="he-IL"/>
        </w:rPr>
        <w:t xml:space="preserve">במסגרת טיעוניו, שיש לראותם יותר כעדות, הגיש עו"ד כבהא שתי כתבות שהתפרסמו בעיתון "הארץ" בהן תוארו תנאי חייהם של הנאשם (במ/2 ו- במ/3) ובני משפחתו. </w:t>
      </w:r>
    </w:p>
    <w:p w14:paraId="3BF1DF51" w14:textId="77777777" w:rsidR="002F1229" w:rsidRDefault="00F87A17">
      <w:pPr>
        <w:spacing w:line="360" w:lineRule="auto"/>
        <w:ind w:left="540"/>
        <w:jc w:val="both"/>
        <w:rPr>
          <w:sz w:val="28"/>
          <w:szCs w:val="28"/>
          <w:rtl/>
          <w:lang w:eastAsia="he-IL"/>
        </w:rPr>
      </w:pPr>
      <w:r>
        <w:rPr>
          <w:sz w:val="28"/>
          <w:szCs w:val="28"/>
          <w:rtl/>
          <w:lang w:eastAsia="he-IL"/>
        </w:rPr>
        <w:t xml:space="preserve">מהכתבות ומטיעוני עו"ד כבהא עלה שאמו של הנאשם חוותה ניכור משפחתי ואלימות ונאלצה למעשה לגדל את חמשת ילדיה לבד תוך שהתמודדה עם קשיים כלכליים ועם מחלת האפילפסיה. </w:t>
      </w:r>
    </w:p>
    <w:p w14:paraId="4910F33A" w14:textId="77777777" w:rsidR="002F1229" w:rsidRDefault="00F87A17">
      <w:pPr>
        <w:spacing w:line="360" w:lineRule="auto"/>
        <w:ind w:left="540"/>
        <w:jc w:val="both"/>
        <w:rPr>
          <w:sz w:val="28"/>
          <w:szCs w:val="28"/>
          <w:rtl/>
          <w:lang w:eastAsia="he-IL"/>
        </w:rPr>
      </w:pPr>
      <w:r>
        <w:rPr>
          <w:sz w:val="28"/>
          <w:szCs w:val="28"/>
          <w:rtl/>
          <w:lang w:eastAsia="he-IL"/>
        </w:rPr>
        <w:t xml:space="preserve">לסיכום ביקש עו"ד כבהא להתחשב, במסגרת גזירת דינו של הנאשם, בנסיבות חייו הקשות. </w:t>
      </w:r>
    </w:p>
    <w:p w14:paraId="2A4FD8E1" w14:textId="77777777" w:rsidR="002F1229" w:rsidRDefault="002F1229">
      <w:pPr>
        <w:ind w:left="720"/>
        <w:contextualSpacing/>
        <w:rPr>
          <w:sz w:val="28"/>
          <w:szCs w:val="28"/>
          <w:rtl/>
          <w:lang w:eastAsia="he-IL"/>
        </w:rPr>
      </w:pPr>
    </w:p>
    <w:p w14:paraId="543FFD4A" w14:textId="77777777" w:rsidR="002F1229" w:rsidRDefault="00F87A17">
      <w:pPr>
        <w:numPr>
          <w:ilvl w:val="0"/>
          <w:numId w:val="1"/>
        </w:numPr>
        <w:tabs>
          <w:tab w:val="clear" w:pos="1080"/>
          <w:tab w:val="num" w:pos="540"/>
        </w:tabs>
        <w:spacing w:line="360" w:lineRule="auto"/>
        <w:ind w:left="540" w:hanging="540"/>
        <w:jc w:val="both"/>
        <w:rPr>
          <w:sz w:val="28"/>
          <w:szCs w:val="28"/>
          <w:lang w:eastAsia="he-IL"/>
        </w:rPr>
      </w:pPr>
      <w:r>
        <w:rPr>
          <w:b/>
          <w:bCs/>
          <w:sz w:val="28"/>
          <w:szCs w:val="28"/>
          <w:rtl/>
          <w:lang w:eastAsia="he-IL"/>
        </w:rPr>
        <w:t>טענות הצדדים</w:t>
      </w:r>
      <w:r>
        <w:rPr>
          <w:sz w:val="28"/>
          <w:szCs w:val="28"/>
          <w:rtl/>
          <w:lang w:eastAsia="he-IL"/>
        </w:rPr>
        <w:t>:</w:t>
      </w:r>
    </w:p>
    <w:p w14:paraId="35E4D9A6" w14:textId="77777777" w:rsidR="002F1229" w:rsidRDefault="002F1229">
      <w:pPr>
        <w:spacing w:line="360" w:lineRule="auto"/>
        <w:ind w:left="540"/>
        <w:jc w:val="both"/>
        <w:rPr>
          <w:sz w:val="28"/>
          <w:szCs w:val="28"/>
          <w:u w:val="single"/>
          <w:rtl/>
          <w:lang w:eastAsia="he-IL"/>
        </w:rPr>
      </w:pPr>
    </w:p>
    <w:p w14:paraId="277E8003" w14:textId="77777777" w:rsidR="002F1229" w:rsidRDefault="00F87A17">
      <w:pPr>
        <w:spacing w:line="360" w:lineRule="auto"/>
        <w:ind w:left="540"/>
        <w:jc w:val="both"/>
        <w:rPr>
          <w:sz w:val="28"/>
          <w:szCs w:val="28"/>
          <w:rtl/>
          <w:lang w:eastAsia="he-IL"/>
        </w:rPr>
      </w:pPr>
      <w:r>
        <w:rPr>
          <w:sz w:val="28"/>
          <w:szCs w:val="28"/>
          <w:u w:val="single"/>
          <w:rtl/>
          <w:lang w:eastAsia="he-IL"/>
        </w:rPr>
        <w:t>ב"כ המאשימה</w:t>
      </w:r>
      <w:r>
        <w:rPr>
          <w:sz w:val="28"/>
          <w:szCs w:val="28"/>
          <w:rtl/>
          <w:lang w:eastAsia="he-IL"/>
        </w:rPr>
        <w:t xml:space="preserve"> טען כי הערכים המוגנים שנפגעו, כתוצאה מביצוע עבירות הסמים, הם בעיקרם בריאות הציבור, כשבנוסף יש לראות בכל חוליה בשרשרת הפצת הסם כמי שפוגעת לא רק בצרכני הסמים אלא בכלל החברה, לאור תוצאות הלוואי של עבירות הסמים המובילות לא אחת לביצוע עבירות נוספות, כדוגמת עבירות רכוש. </w:t>
      </w:r>
    </w:p>
    <w:p w14:paraId="3B01AA3D" w14:textId="77777777" w:rsidR="002F1229" w:rsidRDefault="00F87A17">
      <w:pPr>
        <w:spacing w:line="360" w:lineRule="auto"/>
        <w:ind w:left="540"/>
        <w:jc w:val="both"/>
        <w:rPr>
          <w:sz w:val="28"/>
          <w:szCs w:val="28"/>
          <w:rtl/>
          <w:lang w:eastAsia="he-IL"/>
        </w:rPr>
      </w:pPr>
      <w:r>
        <w:rPr>
          <w:sz w:val="28"/>
          <w:szCs w:val="28"/>
          <w:rtl/>
          <w:lang w:eastAsia="he-IL"/>
        </w:rPr>
        <w:t xml:space="preserve">עוד הוסיף ב"כ המאשימה כי הנאשם החזיק וסחר בכמות מצטברת של 25 גר' קוקאין וביצע עסקאות באלפי שקלים, כאשר הוא היה החוט המקשר בין הסוכן לספק הסמים. </w:t>
      </w:r>
    </w:p>
    <w:p w14:paraId="49ECB403" w14:textId="77777777" w:rsidR="002F1229" w:rsidRDefault="00F87A17">
      <w:pPr>
        <w:spacing w:line="360" w:lineRule="auto"/>
        <w:ind w:left="540"/>
        <w:jc w:val="both"/>
        <w:rPr>
          <w:sz w:val="28"/>
          <w:szCs w:val="28"/>
          <w:rtl/>
          <w:lang w:eastAsia="he-IL"/>
        </w:rPr>
      </w:pPr>
      <w:r>
        <w:rPr>
          <w:sz w:val="28"/>
          <w:szCs w:val="28"/>
          <w:rtl/>
          <w:lang w:eastAsia="he-IL"/>
        </w:rPr>
        <w:t xml:space="preserve">לסיכום טען, כי לאור כל האמור, בהתחשב בעובדה שהנאשם עסק בסחר בסמים מסוג קוקאין, הנמצא ברשימת הסמים הנחשבים קשים, כמו גם לאור ההצעות החוזרות ונשנות של הנאשם לסוכן לבצע עסקאות סמים נוספות ועסקאות בנשק, ובהתחשב בחלקו המרכזי של הנאשם בביצוע עבירות הסמים – גם היה בקשר עם הסוכן וגם מסר לו את הסמים – יש לקבוע כי מידת הפגיעה בערכים המוגנים היא גבוהה. </w:t>
      </w:r>
    </w:p>
    <w:p w14:paraId="18C2A65E" w14:textId="77777777" w:rsidR="002F1229" w:rsidRDefault="00F87A17">
      <w:pPr>
        <w:spacing w:line="360" w:lineRule="auto"/>
        <w:ind w:left="540"/>
        <w:jc w:val="both"/>
        <w:rPr>
          <w:sz w:val="28"/>
          <w:szCs w:val="28"/>
          <w:rtl/>
          <w:lang w:eastAsia="he-IL"/>
        </w:rPr>
      </w:pPr>
      <w:r>
        <w:rPr>
          <w:sz w:val="28"/>
          <w:szCs w:val="28"/>
          <w:rtl/>
          <w:lang w:eastAsia="he-IL"/>
        </w:rPr>
        <w:t>העבירות אותן ביצע הנאשם נחשפו במסגרת פרשייה גדולה, בה הופעל הסוכן המשטרתי כנגד סוחרי סמים, בהם הנאשם כשבסופה נעצרו סוחרי סמים נוספים בביצוע עבירות סמים וסחר בנשק, שדינם כבר נגזר.</w:t>
      </w:r>
    </w:p>
    <w:p w14:paraId="7E751E5D" w14:textId="77777777" w:rsidR="002F1229" w:rsidRDefault="00F87A17">
      <w:pPr>
        <w:spacing w:line="360" w:lineRule="auto"/>
        <w:ind w:left="540"/>
        <w:jc w:val="both"/>
        <w:rPr>
          <w:sz w:val="28"/>
          <w:szCs w:val="28"/>
          <w:rtl/>
          <w:lang w:eastAsia="he-IL"/>
        </w:rPr>
      </w:pPr>
      <w:r>
        <w:rPr>
          <w:sz w:val="28"/>
          <w:szCs w:val="28"/>
          <w:rtl/>
          <w:lang w:eastAsia="he-IL"/>
        </w:rPr>
        <w:t xml:space="preserve">לאור זאת ביקש ב"כ המאשימה לקבל את מתחמי הענישה שנקבעו בעניינם של האחרים בפרשה זו, כהולמים גם את עבירות הסמים אותן ביצע הנאשם. </w:t>
      </w:r>
    </w:p>
    <w:p w14:paraId="6E1ADB28" w14:textId="77777777" w:rsidR="002F1229" w:rsidRDefault="002F1229">
      <w:pPr>
        <w:spacing w:line="360" w:lineRule="auto"/>
        <w:ind w:left="540"/>
        <w:jc w:val="both"/>
        <w:rPr>
          <w:sz w:val="28"/>
          <w:szCs w:val="28"/>
          <w:rtl/>
          <w:lang w:eastAsia="he-IL"/>
        </w:rPr>
      </w:pPr>
    </w:p>
    <w:p w14:paraId="175673A9" w14:textId="77777777" w:rsidR="002F1229" w:rsidRDefault="00F87A17">
      <w:pPr>
        <w:spacing w:line="360" w:lineRule="auto"/>
        <w:ind w:left="540"/>
        <w:jc w:val="both"/>
        <w:rPr>
          <w:sz w:val="28"/>
          <w:szCs w:val="28"/>
          <w:rtl/>
          <w:lang w:eastAsia="he-IL"/>
        </w:rPr>
      </w:pPr>
      <w:r>
        <w:rPr>
          <w:sz w:val="28"/>
          <w:szCs w:val="28"/>
          <w:rtl/>
          <w:lang w:eastAsia="he-IL"/>
        </w:rPr>
        <w:t xml:space="preserve">ב"כ המאשימה הפנה לעניינו של </w:t>
      </w:r>
      <w:r>
        <w:rPr>
          <w:b/>
          <w:bCs/>
          <w:sz w:val="28"/>
          <w:szCs w:val="28"/>
          <w:rtl/>
          <w:lang w:eastAsia="he-IL"/>
        </w:rPr>
        <w:t>אנזורי מודזגברישבילי</w:t>
      </w:r>
      <w:r>
        <w:rPr>
          <w:sz w:val="28"/>
          <w:szCs w:val="28"/>
          <w:rtl/>
          <w:lang w:eastAsia="he-IL"/>
        </w:rPr>
        <w:t>, ב</w:t>
      </w:r>
      <w:hyperlink r:id="rId18" w:history="1">
        <w:r w:rsidRPr="00F87A17">
          <w:rPr>
            <w:color w:val="0000FF"/>
            <w:sz w:val="28"/>
            <w:szCs w:val="28"/>
            <w:u w:val="single"/>
            <w:rtl/>
            <w:lang w:eastAsia="he-IL"/>
          </w:rPr>
          <w:t>ת.פ. 59489-01-14</w:t>
        </w:r>
      </w:hyperlink>
      <w:r>
        <w:rPr>
          <w:sz w:val="28"/>
          <w:szCs w:val="28"/>
          <w:rtl/>
          <w:lang w:eastAsia="he-IL"/>
        </w:rPr>
        <w:t xml:space="preserve">, אשר הורשע על יסוד הודאתו, כבר בהזדמנות הראשונה, בביצוע שתי עבירות של סחר בסם מסוכן מסוג קוקאין במשקל של כ-20 גר' בכל עסקה. </w:t>
      </w:r>
    </w:p>
    <w:p w14:paraId="6A9FE40C" w14:textId="77777777" w:rsidR="002F1229" w:rsidRDefault="00F87A17">
      <w:pPr>
        <w:spacing w:line="360" w:lineRule="auto"/>
        <w:ind w:left="540"/>
        <w:jc w:val="both"/>
        <w:rPr>
          <w:sz w:val="28"/>
          <w:szCs w:val="28"/>
          <w:rtl/>
          <w:lang w:eastAsia="he-IL"/>
        </w:rPr>
      </w:pPr>
      <w:r>
        <w:rPr>
          <w:sz w:val="28"/>
          <w:szCs w:val="28"/>
          <w:rtl/>
          <w:lang w:eastAsia="he-IL"/>
        </w:rPr>
        <w:t xml:space="preserve">בית המשפט  קבע כי מתחם העונש הראוי בהתחשב במהות העבירה, בסוג הסם ובכמותו נע בין 15 חודש ברף התחתון ועד 30 חודש ברף העליון. </w:t>
      </w:r>
    </w:p>
    <w:p w14:paraId="12FC8F68" w14:textId="77777777" w:rsidR="002F1229" w:rsidRDefault="00F87A17">
      <w:pPr>
        <w:spacing w:line="360" w:lineRule="auto"/>
        <w:ind w:left="540"/>
        <w:jc w:val="both"/>
        <w:rPr>
          <w:sz w:val="28"/>
          <w:szCs w:val="28"/>
          <w:rtl/>
          <w:lang w:eastAsia="he-IL"/>
        </w:rPr>
      </w:pPr>
      <w:r>
        <w:rPr>
          <w:sz w:val="28"/>
          <w:szCs w:val="28"/>
          <w:rtl/>
          <w:lang w:eastAsia="he-IL"/>
        </w:rPr>
        <w:t xml:space="preserve">בסופו של יום בהתחשב בעברו של הנאשם, אשר ריצה כעשור טרם ביצוע העבירות הנוכחיות 56 חודשי מאסר בפועל בגין עבירות דומות וביצע עבירות נוספות, מחד גיסא ומאידך גיסא, בהתחשב בנסיבותיו האישיות, כפי שאלה עלו בתסקיר שהתקבל בעניינו הוטלו עליו 30 חודשי מאסר בפועל. </w:t>
      </w:r>
    </w:p>
    <w:p w14:paraId="7E164399" w14:textId="77777777" w:rsidR="002F1229" w:rsidRDefault="00F87A17">
      <w:pPr>
        <w:spacing w:line="360" w:lineRule="auto"/>
        <w:ind w:left="540"/>
        <w:jc w:val="both"/>
        <w:rPr>
          <w:sz w:val="28"/>
          <w:szCs w:val="28"/>
          <w:rtl/>
          <w:lang w:eastAsia="he-IL"/>
        </w:rPr>
      </w:pPr>
      <w:r>
        <w:rPr>
          <w:sz w:val="28"/>
          <w:szCs w:val="28"/>
          <w:rtl/>
          <w:lang w:eastAsia="he-IL"/>
        </w:rPr>
        <w:t xml:space="preserve">עוד הפנה ב"כ המאשימה לעניינו של </w:t>
      </w:r>
      <w:r>
        <w:rPr>
          <w:b/>
          <w:bCs/>
          <w:sz w:val="28"/>
          <w:szCs w:val="28"/>
          <w:rtl/>
          <w:lang w:eastAsia="he-IL"/>
        </w:rPr>
        <w:t>משה כהן</w:t>
      </w:r>
      <w:r>
        <w:rPr>
          <w:sz w:val="28"/>
          <w:szCs w:val="28"/>
          <w:rtl/>
          <w:lang w:eastAsia="he-IL"/>
        </w:rPr>
        <w:t>, ב</w:t>
      </w:r>
      <w:hyperlink r:id="rId19" w:history="1">
        <w:r w:rsidRPr="00F87A17">
          <w:rPr>
            <w:color w:val="0000FF"/>
            <w:sz w:val="28"/>
            <w:szCs w:val="28"/>
            <w:u w:val="single"/>
            <w:rtl/>
            <w:lang w:eastAsia="he-IL"/>
          </w:rPr>
          <w:t>ת.פ 59629-01-14</w:t>
        </w:r>
      </w:hyperlink>
      <w:r>
        <w:rPr>
          <w:sz w:val="28"/>
          <w:szCs w:val="28"/>
          <w:rtl/>
          <w:lang w:eastAsia="he-IL"/>
        </w:rPr>
        <w:t xml:space="preserve">, אשר אף הוא הורשע בביצוע שתי עבירות של סחר בסם מסוכן ונגזרו עליו, בהסכמת המאשימה במסגרת הסדר טיעון 24 חודשי מאסר בפועל כולל הפעלת 3 חודשי מע"ת בחופף, וזאת על אף שלא ריצה מאסרים בפועל בעבר. </w:t>
      </w:r>
    </w:p>
    <w:p w14:paraId="372C34FA" w14:textId="77777777" w:rsidR="002F1229" w:rsidRDefault="00F87A17">
      <w:pPr>
        <w:spacing w:line="360" w:lineRule="auto"/>
        <w:ind w:left="540"/>
        <w:jc w:val="both"/>
        <w:rPr>
          <w:sz w:val="28"/>
          <w:szCs w:val="28"/>
          <w:rtl/>
          <w:lang w:eastAsia="he-IL"/>
        </w:rPr>
      </w:pPr>
      <w:r>
        <w:rPr>
          <w:sz w:val="28"/>
          <w:szCs w:val="28"/>
          <w:rtl/>
          <w:lang w:eastAsia="he-IL"/>
        </w:rPr>
        <w:t xml:space="preserve">בנוסף הפנה ב"כ המאשימה לעניינו של </w:t>
      </w:r>
      <w:r>
        <w:rPr>
          <w:b/>
          <w:bCs/>
          <w:sz w:val="28"/>
          <w:szCs w:val="28"/>
          <w:rtl/>
          <w:lang w:eastAsia="he-IL"/>
        </w:rPr>
        <w:t>מחמוד דכה</w:t>
      </w:r>
      <w:r>
        <w:rPr>
          <w:sz w:val="28"/>
          <w:szCs w:val="28"/>
          <w:rtl/>
          <w:lang w:eastAsia="he-IL"/>
        </w:rPr>
        <w:t xml:space="preserve">, שותפו של אנזורי, בביצוע שתי עבירות של סחר בסם מסוכן מסוג קוקאין במשקל של כ-20 גר' כל עסקה. על דכה הוטלו, במסגרת מתחם הענישה, כפי שנקבע בעניינו של אנזורי, 17 חודשי מאסר בפועל. </w:t>
      </w:r>
    </w:p>
    <w:p w14:paraId="35F91FFB" w14:textId="77777777" w:rsidR="002F1229" w:rsidRDefault="002F1229">
      <w:pPr>
        <w:spacing w:line="360" w:lineRule="auto"/>
        <w:ind w:left="540"/>
        <w:jc w:val="both"/>
        <w:rPr>
          <w:sz w:val="28"/>
          <w:szCs w:val="28"/>
          <w:rtl/>
          <w:lang w:eastAsia="he-IL"/>
        </w:rPr>
      </w:pPr>
    </w:p>
    <w:p w14:paraId="314CACC3" w14:textId="77777777" w:rsidR="002F1229" w:rsidRDefault="00F87A17">
      <w:pPr>
        <w:spacing w:line="360" w:lineRule="auto"/>
        <w:ind w:left="540"/>
        <w:jc w:val="both"/>
        <w:rPr>
          <w:sz w:val="28"/>
          <w:szCs w:val="28"/>
          <w:rtl/>
          <w:lang w:eastAsia="he-IL"/>
        </w:rPr>
      </w:pPr>
      <w:r>
        <w:rPr>
          <w:sz w:val="28"/>
          <w:szCs w:val="28"/>
          <w:rtl/>
          <w:lang w:eastAsia="he-IL"/>
        </w:rPr>
        <w:t>לאור כל האמור ביקש ב"כ המאשימה לקבוע מתחם ענישה אשר נע בין 15 ל-30 חודשי מאסר בפועל לכל אחת מעבירות הסמים.</w:t>
      </w:r>
    </w:p>
    <w:p w14:paraId="658C80BE" w14:textId="77777777" w:rsidR="002F1229" w:rsidRDefault="00F87A17">
      <w:pPr>
        <w:spacing w:line="360" w:lineRule="auto"/>
        <w:ind w:left="540"/>
        <w:jc w:val="both"/>
        <w:rPr>
          <w:sz w:val="28"/>
          <w:szCs w:val="28"/>
          <w:rtl/>
          <w:lang w:eastAsia="he-IL"/>
        </w:rPr>
      </w:pPr>
      <w:r>
        <w:rPr>
          <w:sz w:val="28"/>
          <w:szCs w:val="28"/>
          <w:rtl/>
          <w:lang w:eastAsia="he-IL"/>
        </w:rPr>
        <w:t>לעניין עבירת הפרת הוראה חוקית הפנה ב"כ המאשימה ל</w:t>
      </w:r>
      <w:hyperlink r:id="rId20" w:history="1">
        <w:r w:rsidRPr="00F87A17">
          <w:rPr>
            <w:color w:val="0000FF"/>
            <w:sz w:val="28"/>
            <w:szCs w:val="28"/>
            <w:u w:val="single"/>
            <w:rtl/>
            <w:lang w:eastAsia="he-IL"/>
          </w:rPr>
          <w:t>ת"פ 17198-01-09</w:t>
        </w:r>
      </w:hyperlink>
      <w:r>
        <w:rPr>
          <w:sz w:val="28"/>
          <w:szCs w:val="28"/>
          <w:rtl/>
          <w:lang w:eastAsia="he-IL"/>
        </w:rPr>
        <w:t xml:space="preserve"> וביקש לקבוע מתחם הנע בין מאסר על תנאי ל- 6 חודשי מאסר. </w:t>
      </w:r>
    </w:p>
    <w:p w14:paraId="5A33D2F0" w14:textId="77777777" w:rsidR="002F1229" w:rsidRDefault="002F1229">
      <w:pPr>
        <w:spacing w:line="360" w:lineRule="auto"/>
        <w:ind w:left="540"/>
        <w:jc w:val="both"/>
        <w:rPr>
          <w:sz w:val="28"/>
          <w:szCs w:val="28"/>
          <w:rtl/>
          <w:lang w:eastAsia="he-IL"/>
        </w:rPr>
      </w:pPr>
    </w:p>
    <w:p w14:paraId="113019D5" w14:textId="77777777" w:rsidR="002F1229" w:rsidRDefault="00F87A17">
      <w:pPr>
        <w:spacing w:line="360" w:lineRule="auto"/>
        <w:ind w:left="540"/>
        <w:jc w:val="both"/>
        <w:rPr>
          <w:sz w:val="28"/>
          <w:szCs w:val="28"/>
          <w:rtl/>
          <w:lang w:eastAsia="he-IL"/>
        </w:rPr>
      </w:pPr>
      <w:r>
        <w:rPr>
          <w:sz w:val="28"/>
          <w:szCs w:val="28"/>
          <w:rtl/>
          <w:lang w:eastAsia="he-IL"/>
        </w:rPr>
        <w:t xml:space="preserve">ב"כ המאשימה ביקש שלא לתת משקל רב לנסיבותיו האישיות של הנאשם, כפי שאלה פורטו על ידי עו"ד כבהא. מבלי להמעיט בנסיבות חייו הקשות של הנאשם והטרגדיה שפקדה את המשפחה, טען כי אין לייחס להן משקל של ממש במצבור הנתונים הכללי, כשהוא מפנה גם לנסיבות חייהם הקשות של הנאשמים אנזורי ודכה. </w:t>
      </w:r>
    </w:p>
    <w:p w14:paraId="7D5BAF48" w14:textId="77777777" w:rsidR="002F1229" w:rsidRDefault="00F87A17">
      <w:pPr>
        <w:spacing w:line="360" w:lineRule="auto"/>
        <w:ind w:left="540"/>
        <w:jc w:val="both"/>
        <w:rPr>
          <w:sz w:val="28"/>
          <w:szCs w:val="28"/>
          <w:rtl/>
          <w:lang w:eastAsia="he-IL"/>
        </w:rPr>
      </w:pPr>
      <w:r>
        <w:rPr>
          <w:sz w:val="28"/>
          <w:szCs w:val="28"/>
          <w:rtl/>
          <w:lang w:eastAsia="he-IL"/>
        </w:rPr>
        <w:t xml:space="preserve">בהתייחסו לאירוע הטרגי של רצח אחיו של הנאשם, היפנה לעובדה כי האירוע ארע לאחר שהנאשם ביצע את העבירות עליהן הוא נותן את הדין היום, בעת ששהה במעצר, לאחר שורה של עבירות קודמות, כשבית המשפט נתן משקל לנסיבותיו האישיות ולהירצחו של אחיו, כשאפשר לו להשתלב בהליך טיפולי כחלופת מעצר, אך הנאשם לא רק שלא ניצל את ההזדמנות שניתנה לו והשתתפותו בהליך השיקומי, במסגרת הקהילה הטיפולית הופסקה, אלא נעלם למשך תקופה של קרוב לשנתיים. </w:t>
      </w:r>
    </w:p>
    <w:p w14:paraId="4160521F" w14:textId="77777777" w:rsidR="002F1229" w:rsidRDefault="00F87A17">
      <w:pPr>
        <w:spacing w:line="360" w:lineRule="auto"/>
        <w:ind w:left="540"/>
        <w:jc w:val="both"/>
        <w:rPr>
          <w:sz w:val="28"/>
          <w:szCs w:val="28"/>
          <w:rtl/>
          <w:lang w:eastAsia="he-IL"/>
        </w:rPr>
      </w:pPr>
      <w:r>
        <w:rPr>
          <w:sz w:val="28"/>
          <w:szCs w:val="28"/>
          <w:u w:val="single"/>
          <w:rtl/>
          <w:lang w:eastAsia="he-IL"/>
        </w:rPr>
        <w:t>לסיכום ביקש ב"כ המאשימה</w:t>
      </w:r>
      <w:r>
        <w:rPr>
          <w:sz w:val="28"/>
          <w:szCs w:val="28"/>
          <w:rtl/>
          <w:lang w:eastAsia="he-IL"/>
        </w:rPr>
        <w:t xml:space="preserve"> להטיל על הנאשם את העונשים בגין כל אחת מהעסקאות והפרת ההוראה החוקית, במסגרת מתחם הענישה, במצטבר, כך שעונשו ייגזר ברף הגבוה של המתחם ולא יפחת מ- 36 חודשי מאסר בפועל, לצד מאסר על תנאי וקנס משמעותיים. </w:t>
      </w:r>
    </w:p>
    <w:p w14:paraId="273B3792" w14:textId="77777777" w:rsidR="002F1229" w:rsidRDefault="002F1229">
      <w:pPr>
        <w:spacing w:line="360" w:lineRule="auto"/>
        <w:ind w:left="540"/>
        <w:jc w:val="both"/>
        <w:rPr>
          <w:sz w:val="28"/>
          <w:szCs w:val="28"/>
          <w:u w:val="single"/>
          <w:rtl/>
          <w:lang w:eastAsia="he-IL"/>
        </w:rPr>
      </w:pPr>
    </w:p>
    <w:p w14:paraId="25CF9A62" w14:textId="77777777" w:rsidR="002F1229" w:rsidRDefault="00F87A17">
      <w:pPr>
        <w:spacing w:line="360" w:lineRule="auto"/>
        <w:ind w:left="540"/>
        <w:jc w:val="both"/>
        <w:rPr>
          <w:sz w:val="28"/>
          <w:szCs w:val="28"/>
          <w:rtl/>
          <w:lang w:eastAsia="he-IL"/>
        </w:rPr>
      </w:pPr>
      <w:r>
        <w:rPr>
          <w:sz w:val="28"/>
          <w:szCs w:val="28"/>
          <w:u w:val="single"/>
          <w:rtl/>
          <w:lang w:eastAsia="he-IL"/>
        </w:rPr>
        <w:t>ב"כ הנאשם</w:t>
      </w:r>
      <w:r>
        <w:rPr>
          <w:sz w:val="28"/>
          <w:szCs w:val="28"/>
          <w:rtl/>
          <w:lang w:eastAsia="he-IL"/>
        </w:rPr>
        <w:t xml:space="preserve"> ביקש לדחות את מתחמי הענישה שהציג ב"כ המאשימה וטען כי מדובר בענישה מחמירה ביותר, בייחוד בהינתן העונש שהוטל על אנזורי, אשר  כאמור הורשע במכירה של 40 גר' קוקאין סה"כ בשתי הזדמנויות שונות. </w:t>
      </w:r>
    </w:p>
    <w:p w14:paraId="286259E0" w14:textId="77777777" w:rsidR="002F1229" w:rsidRDefault="00F87A17">
      <w:pPr>
        <w:spacing w:line="360" w:lineRule="auto"/>
        <w:ind w:left="540"/>
        <w:jc w:val="both"/>
        <w:rPr>
          <w:sz w:val="28"/>
          <w:szCs w:val="28"/>
          <w:rtl/>
          <w:lang w:eastAsia="he-IL"/>
        </w:rPr>
      </w:pPr>
      <w:r>
        <w:rPr>
          <w:sz w:val="28"/>
          <w:szCs w:val="28"/>
          <w:rtl/>
          <w:lang w:eastAsia="he-IL"/>
        </w:rPr>
        <w:t xml:space="preserve">עוד טען כי ב"תיקי סוכן" למשטרה יש כוח רב להחליט איזו כמות סם וכמה עסקאות מספיקות מבחינתה על מנת לבסס תיק. </w:t>
      </w:r>
    </w:p>
    <w:p w14:paraId="601EA9A9" w14:textId="77777777" w:rsidR="002F1229" w:rsidRDefault="00F87A17">
      <w:pPr>
        <w:spacing w:line="360" w:lineRule="auto"/>
        <w:ind w:left="540"/>
        <w:jc w:val="both"/>
        <w:rPr>
          <w:sz w:val="28"/>
          <w:szCs w:val="28"/>
          <w:rtl/>
          <w:lang w:eastAsia="he-IL"/>
        </w:rPr>
      </w:pPr>
      <w:r>
        <w:rPr>
          <w:sz w:val="28"/>
          <w:szCs w:val="28"/>
          <w:rtl/>
          <w:lang w:eastAsia="he-IL"/>
        </w:rPr>
        <w:t xml:space="preserve">בהמשך הפנה ב"כ הנאשם לנסיבות חייו של הנאשם, אשר גדל במציאות קשה, בסביבה שהסחר בסמים היה חזיון נפרץ ודבר שכיח ומאחר שלא היה כסף בבית הוא היה צריך לעזור לאמו לכלכל את המשפחה. </w:t>
      </w:r>
    </w:p>
    <w:p w14:paraId="135F9695" w14:textId="77777777" w:rsidR="002F1229" w:rsidRDefault="00F87A17">
      <w:pPr>
        <w:spacing w:line="360" w:lineRule="auto"/>
        <w:ind w:left="540"/>
        <w:jc w:val="both"/>
        <w:rPr>
          <w:sz w:val="28"/>
          <w:szCs w:val="28"/>
          <w:rtl/>
          <w:lang w:eastAsia="he-IL"/>
        </w:rPr>
      </w:pPr>
      <w:r>
        <w:rPr>
          <w:sz w:val="28"/>
          <w:szCs w:val="28"/>
          <w:rtl/>
          <w:lang w:eastAsia="he-IL"/>
        </w:rPr>
        <w:t>ב"כ הנאשם היה ער לבעייתיות שבטיעון זה ולכן הוסיף כי אין באמור כדי לפטור את הנאשם מאחריות "אבל כן אפשר להבין, אולי קצת, את המקום שממנו הוא בא ולהקל עליו".</w:t>
      </w:r>
    </w:p>
    <w:p w14:paraId="552091F8" w14:textId="77777777" w:rsidR="002F1229" w:rsidRDefault="00F87A17">
      <w:pPr>
        <w:spacing w:line="360" w:lineRule="auto"/>
        <w:ind w:left="540"/>
        <w:jc w:val="both"/>
        <w:rPr>
          <w:sz w:val="28"/>
          <w:szCs w:val="28"/>
          <w:rtl/>
          <w:lang w:eastAsia="he-IL"/>
        </w:rPr>
      </w:pPr>
      <w:r>
        <w:rPr>
          <w:sz w:val="28"/>
          <w:szCs w:val="28"/>
          <w:rtl/>
          <w:lang w:eastAsia="he-IL"/>
        </w:rPr>
        <w:t xml:space="preserve">לטענתו, הנאשם מתפקד בצורה חיובית מזה מספר חודשים, ובסופו של יום הסגיר עצמו למשטרה לאחר שהתנקה מסמים ועמד על רגליו. </w:t>
      </w:r>
    </w:p>
    <w:p w14:paraId="5D8CA7A4" w14:textId="77777777" w:rsidR="002F1229" w:rsidRDefault="002F1229">
      <w:pPr>
        <w:spacing w:line="360" w:lineRule="auto"/>
        <w:ind w:left="540"/>
        <w:jc w:val="both"/>
        <w:rPr>
          <w:sz w:val="28"/>
          <w:szCs w:val="28"/>
          <w:rtl/>
          <w:lang w:eastAsia="he-IL"/>
        </w:rPr>
      </w:pPr>
    </w:p>
    <w:p w14:paraId="78082288" w14:textId="77777777" w:rsidR="002F1229" w:rsidRDefault="00F87A17">
      <w:pPr>
        <w:spacing w:line="360" w:lineRule="auto"/>
        <w:ind w:left="540"/>
        <w:jc w:val="both"/>
        <w:rPr>
          <w:sz w:val="28"/>
          <w:szCs w:val="28"/>
          <w:rtl/>
          <w:lang w:eastAsia="he-IL"/>
        </w:rPr>
      </w:pPr>
      <w:r>
        <w:rPr>
          <w:sz w:val="28"/>
          <w:szCs w:val="28"/>
          <w:u w:val="single"/>
          <w:rtl/>
          <w:lang w:eastAsia="he-IL"/>
        </w:rPr>
        <w:t>לסיכום ביקש ב"כ הנאשם</w:t>
      </w:r>
      <w:r>
        <w:rPr>
          <w:sz w:val="28"/>
          <w:szCs w:val="28"/>
          <w:rtl/>
          <w:lang w:eastAsia="he-IL"/>
        </w:rPr>
        <w:t xml:space="preserve"> לתת לנאשם הזדמנות, לאחר שלא חזר לסורו בשנים האחרונות ולהטיל עליו עונש מתון.</w:t>
      </w:r>
    </w:p>
    <w:p w14:paraId="6B21A115" w14:textId="77777777" w:rsidR="002F1229" w:rsidRDefault="002F1229">
      <w:pPr>
        <w:spacing w:line="360" w:lineRule="auto"/>
        <w:ind w:left="540"/>
        <w:jc w:val="both"/>
        <w:rPr>
          <w:sz w:val="28"/>
          <w:szCs w:val="28"/>
          <w:rtl/>
          <w:lang w:eastAsia="he-IL"/>
        </w:rPr>
      </w:pPr>
    </w:p>
    <w:p w14:paraId="042D8F34" w14:textId="77777777" w:rsidR="002F1229" w:rsidRDefault="00F87A17">
      <w:pPr>
        <w:spacing w:line="360" w:lineRule="auto"/>
        <w:ind w:left="540"/>
        <w:jc w:val="both"/>
        <w:rPr>
          <w:sz w:val="28"/>
          <w:szCs w:val="28"/>
          <w:rtl/>
          <w:lang w:eastAsia="he-IL"/>
        </w:rPr>
      </w:pPr>
      <w:r>
        <w:rPr>
          <w:sz w:val="28"/>
          <w:szCs w:val="28"/>
          <w:u w:val="single"/>
          <w:rtl/>
          <w:lang w:eastAsia="he-IL"/>
        </w:rPr>
        <w:t xml:space="preserve">הנאשם </w:t>
      </w:r>
      <w:r>
        <w:rPr>
          <w:sz w:val="28"/>
          <w:szCs w:val="28"/>
          <w:rtl/>
          <w:lang w:eastAsia="he-IL"/>
        </w:rPr>
        <w:t xml:space="preserve">הקריא בקול נרגש מכתב שכתב והוגש (במ/5), בו תיאר בקצרה את נסיבות חייו ואת התפנית שביצע בחייו ובתפיסת עולמו, כשלטענתו פתח עסק והתחיל להשתקם. </w:t>
      </w:r>
      <w:r>
        <w:rPr>
          <w:rFonts w:hint="cs"/>
          <w:sz w:val="28"/>
          <w:szCs w:val="28"/>
          <w:rtl/>
          <w:lang w:eastAsia="he-IL"/>
        </w:rPr>
        <w:t xml:space="preserve">הנאשם </w:t>
      </w:r>
      <w:r>
        <w:rPr>
          <w:sz w:val="28"/>
          <w:szCs w:val="28"/>
          <w:rtl/>
          <w:lang w:eastAsia="he-IL"/>
        </w:rPr>
        <w:t>ביקש לתת לו הזדמנות להוכיח עצמו, להיות עם משפחתו ולגדל את ילדיו בדרך אחרת ולחיות "כאחד מן הישוב".</w:t>
      </w:r>
    </w:p>
    <w:p w14:paraId="62DB7902" w14:textId="77777777" w:rsidR="002F1229" w:rsidRDefault="002F1229">
      <w:pPr>
        <w:ind w:left="720"/>
        <w:contextualSpacing/>
        <w:rPr>
          <w:sz w:val="28"/>
          <w:szCs w:val="28"/>
          <w:rtl/>
          <w:lang w:eastAsia="he-IL"/>
        </w:rPr>
      </w:pPr>
    </w:p>
    <w:p w14:paraId="18BE27A2" w14:textId="77777777" w:rsidR="002F1229" w:rsidRDefault="00F87A17">
      <w:pPr>
        <w:numPr>
          <w:ilvl w:val="0"/>
          <w:numId w:val="1"/>
        </w:numPr>
        <w:tabs>
          <w:tab w:val="clear" w:pos="1080"/>
          <w:tab w:val="num" w:pos="540"/>
        </w:tabs>
        <w:spacing w:line="360" w:lineRule="auto"/>
        <w:ind w:left="540" w:hanging="540"/>
        <w:jc w:val="both"/>
        <w:rPr>
          <w:sz w:val="28"/>
          <w:szCs w:val="28"/>
          <w:lang w:eastAsia="he-IL"/>
        </w:rPr>
      </w:pPr>
      <w:r>
        <w:rPr>
          <w:b/>
          <w:bCs/>
          <w:sz w:val="28"/>
          <w:szCs w:val="28"/>
          <w:rtl/>
          <w:lang w:eastAsia="he-IL"/>
        </w:rPr>
        <w:t>קביעת העונש ההולם</w:t>
      </w:r>
      <w:r>
        <w:rPr>
          <w:sz w:val="28"/>
          <w:szCs w:val="28"/>
          <w:rtl/>
          <w:lang w:eastAsia="he-IL"/>
        </w:rPr>
        <w:t>:</w:t>
      </w:r>
    </w:p>
    <w:p w14:paraId="52032686" w14:textId="77777777" w:rsidR="002F1229" w:rsidRDefault="002F1229">
      <w:pPr>
        <w:spacing w:line="360" w:lineRule="auto"/>
        <w:ind w:left="540"/>
        <w:jc w:val="both"/>
        <w:rPr>
          <w:sz w:val="28"/>
          <w:szCs w:val="28"/>
          <w:rtl/>
          <w:lang w:eastAsia="he-IL"/>
        </w:rPr>
      </w:pPr>
    </w:p>
    <w:p w14:paraId="5DE9D71E" w14:textId="77777777" w:rsidR="002F1229" w:rsidRDefault="00F87A17">
      <w:pPr>
        <w:spacing w:line="360" w:lineRule="auto"/>
        <w:ind w:left="540"/>
        <w:jc w:val="both"/>
        <w:rPr>
          <w:sz w:val="28"/>
          <w:szCs w:val="28"/>
          <w:rtl/>
          <w:lang w:eastAsia="he-IL"/>
        </w:rPr>
      </w:pPr>
      <w:r>
        <w:rPr>
          <w:sz w:val="28"/>
          <w:szCs w:val="28"/>
          <w:rtl/>
          <w:lang w:eastAsia="he-IL"/>
        </w:rPr>
        <w:t>עיקרון ההלימה הינו העיקרון המנחה בקביעת סוג ומידת העונש הראוי למעשה העבירה בנסיבותיו ומידת אשמו של הנאשם.</w:t>
      </w:r>
    </w:p>
    <w:p w14:paraId="6EEE7E13" w14:textId="77777777" w:rsidR="002F1229" w:rsidRDefault="00F87A17">
      <w:pPr>
        <w:spacing w:line="360" w:lineRule="auto"/>
        <w:ind w:left="540"/>
        <w:jc w:val="both"/>
        <w:rPr>
          <w:sz w:val="28"/>
          <w:szCs w:val="28"/>
          <w:rtl/>
          <w:lang w:eastAsia="he-IL"/>
        </w:rPr>
      </w:pPr>
      <w:r>
        <w:rPr>
          <w:sz w:val="28"/>
          <w:szCs w:val="28"/>
          <w:rtl/>
          <w:lang w:eastAsia="he-IL"/>
        </w:rPr>
        <w:t>לצורך קביעת מתחם העונש ההולם יש להתחשב בערכים החברתיים שנפגעו ומידת הפגיעה בהם, בנסיבות הקשורות בעבירה ובמדיניות הענישה.</w:t>
      </w:r>
    </w:p>
    <w:p w14:paraId="4E67997C" w14:textId="77777777" w:rsidR="002F1229" w:rsidRDefault="00F87A17">
      <w:pPr>
        <w:spacing w:line="360" w:lineRule="auto"/>
        <w:ind w:left="540"/>
        <w:jc w:val="both"/>
        <w:rPr>
          <w:sz w:val="28"/>
          <w:szCs w:val="28"/>
          <w:rtl/>
          <w:lang w:eastAsia="he-IL"/>
        </w:rPr>
      </w:pPr>
      <w:r>
        <w:rPr>
          <w:sz w:val="28"/>
          <w:szCs w:val="28"/>
          <w:rtl/>
          <w:lang w:eastAsia="he-IL"/>
        </w:rPr>
        <w:t>ב"כ המאשימה עמד על הערכים המוגנים שנפגעו מביצוע עבירות הסמים ועל מידת הפגיעה בהם ועל כך יש להוסיף את הערכים שנפגעו כתוצאה מביצוע העבירה של הפרת הוראה חוקית.</w:t>
      </w:r>
    </w:p>
    <w:p w14:paraId="77780A2D" w14:textId="77777777" w:rsidR="002F1229" w:rsidRDefault="00F87A17">
      <w:pPr>
        <w:spacing w:line="360" w:lineRule="auto"/>
        <w:ind w:left="540"/>
        <w:jc w:val="both"/>
        <w:rPr>
          <w:sz w:val="28"/>
          <w:szCs w:val="28"/>
          <w:rtl/>
          <w:lang w:eastAsia="he-IL"/>
        </w:rPr>
      </w:pPr>
      <w:r>
        <w:rPr>
          <w:sz w:val="28"/>
          <w:szCs w:val="28"/>
          <w:rtl/>
          <w:lang w:eastAsia="he-IL"/>
        </w:rPr>
        <w:t>בעבירה אחרונה זו נפגע הערך של כיבוד החלטות בית המשפט וערך שלטון החוק.</w:t>
      </w:r>
    </w:p>
    <w:p w14:paraId="532B6246" w14:textId="77777777" w:rsidR="002F1229" w:rsidRDefault="00F87A17">
      <w:pPr>
        <w:spacing w:line="360" w:lineRule="auto"/>
        <w:ind w:left="540"/>
        <w:jc w:val="both"/>
        <w:rPr>
          <w:sz w:val="28"/>
          <w:szCs w:val="28"/>
          <w:rtl/>
          <w:lang w:eastAsia="he-IL"/>
        </w:rPr>
      </w:pPr>
      <w:r>
        <w:rPr>
          <w:sz w:val="28"/>
          <w:szCs w:val="28"/>
          <w:rtl/>
          <w:lang w:eastAsia="he-IL"/>
        </w:rPr>
        <w:t>העובדה שהנאשם עשה דין לעצמו ולאחר שהורחק מהקהילה הטיפולית נעלם למשך קרוב לשנתיים ולא התייצב במשטרה מיד עם עזיבת הקהילה הטיפולית, בהתאם להוראה שניתנה, אלא רק כעבור כשנתיים, מצביעה על כך כי מדובר במידת פגיעה גבוהה בערכים המוגנים.</w:t>
      </w:r>
    </w:p>
    <w:p w14:paraId="4265F012" w14:textId="77777777" w:rsidR="002F1229" w:rsidRDefault="002F1229">
      <w:pPr>
        <w:spacing w:line="360" w:lineRule="auto"/>
        <w:ind w:left="540"/>
        <w:jc w:val="both"/>
        <w:rPr>
          <w:sz w:val="28"/>
          <w:szCs w:val="28"/>
          <w:rtl/>
          <w:lang w:eastAsia="he-IL"/>
        </w:rPr>
      </w:pPr>
    </w:p>
    <w:p w14:paraId="5BB7B7CE" w14:textId="77777777" w:rsidR="002F1229" w:rsidRDefault="00F87A17">
      <w:pPr>
        <w:spacing w:line="360" w:lineRule="auto"/>
        <w:ind w:left="540"/>
        <w:jc w:val="both"/>
        <w:rPr>
          <w:sz w:val="28"/>
          <w:szCs w:val="28"/>
          <w:rtl/>
          <w:lang w:eastAsia="he-IL"/>
        </w:rPr>
      </w:pPr>
      <w:r>
        <w:rPr>
          <w:sz w:val="28"/>
          <w:szCs w:val="28"/>
          <w:rtl/>
          <w:lang w:eastAsia="he-IL"/>
        </w:rPr>
        <w:t>במסגרת הפעלת הסוכן המשטרתי הסמוי, עמו ביצע הנאשם את שתי עסקאות הסמים, הועמדו לדין נאשמים נוספים בעבירות של סחר בסם מסוכן, בסדרי גודל הדומים לאלה של הנאשם, כפי שפורט לעיל בטיעוני ב"כ המאשימה, ובית המשפט קבע בעניינם מתחם ענישה הולם.</w:t>
      </w:r>
    </w:p>
    <w:p w14:paraId="32134ECD" w14:textId="77777777" w:rsidR="002F1229" w:rsidRDefault="002F1229">
      <w:pPr>
        <w:spacing w:line="360" w:lineRule="auto"/>
        <w:ind w:left="540"/>
        <w:jc w:val="both"/>
        <w:rPr>
          <w:sz w:val="28"/>
          <w:szCs w:val="28"/>
          <w:rtl/>
          <w:lang w:eastAsia="he-IL"/>
        </w:rPr>
      </w:pPr>
    </w:p>
    <w:p w14:paraId="29C2D6B5" w14:textId="77777777" w:rsidR="002F1229" w:rsidRDefault="00F87A17">
      <w:pPr>
        <w:spacing w:line="360" w:lineRule="auto"/>
        <w:ind w:left="540"/>
        <w:jc w:val="both"/>
        <w:rPr>
          <w:sz w:val="28"/>
          <w:szCs w:val="28"/>
          <w:lang w:eastAsia="he-IL"/>
        </w:rPr>
      </w:pPr>
      <w:r>
        <w:rPr>
          <w:sz w:val="28"/>
          <w:szCs w:val="28"/>
          <w:rtl/>
          <w:lang w:eastAsia="he-IL"/>
        </w:rPr>
        <w:t>לא מצאתי שיש מקום לסטות ממתחם הענישה שנקבע במסגרת הפעלת הסוכן בפרשה זו ואף לא השתכנעתי, בהעדר מסמכים רלוונטיים, שהנאשם עבר או עובר הליך גמילה, המאפשר לסטות לקולא ממתחם העונש ההולם.</w:t>
      </w:r>
    </w:p>
    <w:p w14:paraId="32B39521" w14:textId="77777777" w:rsidR="002F1229" w:rsidRDefault="00F87A17">
      <w:pPr>
        <w:spacing w:line="360" w:lineRule="auto"/>
        <w:ind w:left="540"/>
        <w:jc w:val="both"/>
        <w:rPr>
          <w:sz w:val="28"/>
          <w:szCs w:val="28"/>
          <w:rtl/>
          <w:lang w:eastAsia="he-IL"/>
        </w:rPr>
      </w:pPr>
      <w:r>
        <w:rPr>
          <w:sz w:val="28"/>
          <w:szCs w:val="28"/>
          <w:rtl/>
          <w:lang w:eastAsia="he-IL"/>
        </w:rPr>
        <w:t>אף שמדובר בעסקאות בהן מכר הנאשם סם מסוכן מסוג קוקאין בכמויות מעט נמוכות מאלה עליהן נתנו את הדין אנזורי ודכה, איני סבורה שיש בכך כדי להטות את הכף לקביעת מתחם ענישה שונה. עדיין מדובר במכירה של סה"כ 25 גר' קוקאין בשתי הזדמנויות, כשעל פי נסיבות ביצוען של העבירות, מדובר בסוחר סמים, שלצד ביצוע העסקאות עמדו הצעות חוזרות ונשנות של הנאשם למכירת כמויות סם נוספות ונשק, כפי שפורט בעובדות כתב האישום בהן הודה הנאשם.</w:t>
      </w:r>
    </w:p>
    <w:p w14:paraId="2E6CCF62" w14:textId="77777777" w:rsidR="002F1229" w:rsidRDefault="002F1229">
      <w:pPr>
        <w:spacing w:line="360" w:lineRule="auto"/>
        <w:ind w:left="540"/>
        <w:jc w:val="both"/>
        <w:rPr>
          <w:sz w:val="28"/>
          <w:szCs w:val="28"/>
          <w:rtl/>
          <w:lang w:eastAsia="he-IL"/>
        </w:rPr>
      </w:pPr>
    </w:p>
    <w:p w14:paraId="1F5CA584" w14:textId="77777777" w:rsidR="002F1229" w:rsidRDefault="00F87A17">
      <w:pPr>
        <w:spacing w:line="360" w:lineRule="auto"/>
        <w:ind w:left="540"/>
        <w:jc w:val="both"/>
        <w:rPr>
          <w:sz w:val="28"/>
          <w:szCs w:val="28"/>
          <w:rtl/>
          <w:lang w:eastAsia="he-IL"/>
        </w:rPr>
      </w:pPr>
      <w:r>
        <w:rPr>
          <w:sz w:val="28"/>
          <w:szCs w:val="28"/>
          <w:rtl/>
          <w:lang w:eastAsia="he-IL"/>
        </w:rPr>
        <w:t>איני רואה לאבחן לחומרא עניינו של הנאשם שלפניי על כך שלא הודה בהזדמנות הראשונה, עדיין העובדה שהודה בטרם החלו להישמע הראיות בתיק יש בה כדי לבטא נטילת אחריות של הנאשם על מעשיו ועובדה זו תעמוד לצד הזכות בעת שקילת העונש הראוי בתוך מתחם העונש ההולם.</w:t>
      </w:r>
    </w:p>
    <w:p w14:paraId="4046744C" w14:textId="77777777" w:rsidR="002F1229" w:rsidRDefault="002F1229">
      <w:pPr>
        <w:spacing w:line="360" w:lineRule="auto"/>
        <w:ind w:left="540"/>
        <w:jc w:val="both"/>
        <w:rPr>
          <w:sz w:val="28"/>
          <w:szCs w:val="28"/>
          <w:rtl/>
          <w:lang w:eastAsia="he-IL"/>
        </w:rPr>
      </w:pPr>
    </w:p>
    <w:p w14:paraId="69E85C0D" w14:textId="77777777" w:rsidR="002F1229" w:rsidRDefault="00F87A17">
      <w:pPr>
        <w:spacing w:line="360" w:lineRule="auto"/>
        <w:ind w:left="540"/>
        <w:jc w:val="both"/>
        <w:rPr>
          <w:sz w:val="28"/>
          <w:szCs w:val="28"/>
          <w:rtl/>
          <w:lang w:eastAsia="he-IL"/>
        </w:rPr>
      </w:pPr>
      <w:r>
        <w:rPr>
          <w:sz w:val="28"/>
          <w:szCs w:val="28"/>
          <w:rtl/>
          <w:lang w:eastAsia="he-IL"/>
        </w:rPr>
        <w:t xml:space="preserve">אני מעריכה ומכבדת את עו"ד כבהא, שבתוך רצף עיסוקיו התפנה כדי להתייצב בפני בית המשפט במטרה לסייע לנאשם לפרוש את נתוניו האישיים ונסיבות חייו הקשות, כפי שנחשף אליהם מהיכרותו עם הנאשם ואחיו שנרצח. </w:t>
      </w:r>
    </w:p>
    <w:p w14:paraId="122053C4" w14:textId="77777777" w:rsidR="002F1229" w:rsidRDefault="002F1229">
      <w:pPr>
        <w:spacing w:line="360" w:lineRule="auto"/>
        <w:ind w:left="540"/>
        <w:jc w:val="both"/>
        <w:rPr>
          <w:sz w:val="28"/>
          <w:szCs w:val="28"/>
          <w:rtl/>
          <w:lang w:eastAsia="he-IL"/>
        </w:rPr>
      </w:pPr>
    </w:p>
    <w:p w14:paraId="7D3A2F09" w14:textId="77777777" w:rsidR="002F1229" w:rsidRDefault="00F87A17">
      <w:pPr>
        <w:spacing w:line="360" w:lineRule="auto"/>
        <w:ind w:left="540"/>
        <w:jc w:val="both"/>
        <w:rPr>
          <w:sz w:val="28"/>
          <w:szCs w:val="28"/>
          <w:rtl/>
          <w:lang w:eastAsia="he-IL"/>
        </w:rPr>
      </w:pPr>
      <w:r>
        <w:rPr>
          <w:sz w:val="28"/>
          <w:szCs w:val="28"/>
          <w:rtl/>
          <w:lang w:eastAsia="he-IL"/>
        </w:rPr>
        <w:t xml:space="preserve">עם זאת, מקובלת עליי עמדת המאשימה לפיה אין לייחס משקל של ממש לאותן נסיבות אישיות. </w:t>
      </w:r>
    </w:p>
    <w:p w14:paraId="3C2B6C3F" w14:textId="77777777" w:rsidR="002F1229" w:rsidRDefault="002F1229">
      <w:pPr>
        <w:spacing w:line="360" w:lineRule="auto"/>
        <w:ind w:left="540"/>
        <w:jc w:val="both"/>
        <w:rPr>
          <w:sz w:val="28"/>
          <w:szCs w:val="28"/>
          <w:rtl/>
          <w:lang w:eastAsia="he-IL"/>
        </w:rPr>
      </w:pPr>
    </w:p>
    <w:p w14:paraId="68E49004" w14:textId="77777777" w:rsidR="002F1229" w:rsidRDefault="00F87A17">
      <w:pPr>
        <w:spacing w:line="360" w:lineRule="auto"/>
        <w:ind w:left="540"/>
        <w:jc w:val="both"/>
        <w:rPr>
          <w:sz w:val="28"/>
          <w:szCs w:val="28"/>
          <w:rtl/>
          <w:lang w:eastAsia="he-IL"/>
        </w:rPr>
      </w:pPr>
      <w:r>
        <w:rPr>
          <w:sz w:val="28"/>
          <w:szCs w:val="28"/>
          <w:rtl/>
          <w:lang w:eastAsia="he-IL"/>
        </w:rPr>
        <w:t>בהתחשב בחומרת מעשיו של הנאשם ובהזדמנות שניתנה לו לצאת ממעגל הסמים והעבריינות, על רקע אותה מסכת חיים טרגית וקשה שהייתה מנת חלקו, הזדמנות אותה דחה, כאמור, ואף ניצל כדי להימלט למשך תקופה ארוכה מאימת הדין, מתגמדות הנסיבות האישיות ועניינו הפרטי של הנאשם אל מול האינטרס הציבורי המובהק והצורך של בתי המשפט לתת ידם למלחמה בנגע הסמים.</w:t>
      </w:r>
    </w:p>
    <w:p w14:paraId="2375CF35" w14:textId="77777777" w:rsidR="002F1229" w:rsidRDefault="00F87A17">
      <w:pPr>
        <w:spacing w:line="360" w:lineRule="auto"/>
        <w:ind w:left="540"/>
        <w:jc w:val="both"/>
        <w:rPr>
          <w:sz w:val="28"/>
          <w:szCs w:val="28"/>
          <w:rtl/>
          <w:lang w:eastAsia="he-IL"/>
        </w:rPr>
      </w:pPr>
      <w:r>
        <w:rPr>
          <w:sz w:val="28"/>
          <w:szCs w:val="28"/>
          <w:rtl/>
          <w:lang w:eastAsia="he-IL"/>
        </w:rPr>
        <w:t xml:space="preserve">אני רוצה להאמין שהנאשם אכן החליט לשנות מאורח חייו העברייני, כפי שהצהיר על כך, על מנת שיוכל להנחות את ילדיו ללכת בדרך הישר, אך לא הובאה לפניי כל ראייה לפיה הנאשם אכן החל בהליך שיקומי כלשהו, על תהליך גמילה כלשהו שעבר או עובר או על השתלבות בעבודה כזו או אחרת לאחר שנפלט מהקהילה הטיפולית ונראה כי קצינת המבחן אבחנה נכון את מצבו של הנאשם, כפי שהוזכר על ידו במכתבו לבית המשפט "יש פער משמעותי בין רצונותיו ליכולותיו". </w:t>
      </w:r>
    </w:p>
    <w:p w14:paraId="799AF15A" w14:textId="77777777" w:rsidR="002F1229" w:rsidRDefault="002F1229">
      <w:pPr>
        <w:spacing w:line="360" w:lineRule="auto"/>
        <w:ind w:left="540"/>
        <w:jc w:val="both"/>
        <w:rPr>
          <w:sz w:val="28"/>
          <w:szCs w:val="28"/>
          <w:rtl/>
          <w:lang w:eastAsia="he-IL"/>
        </w:rPr>
      </w:pPr>
    </w:p>
    <w:p w14:paraId="482A0660" w14:textId="77777777" w:rsidR="002F1229" w:rsidRDefault="00F87A17">
      <w:pPr>
        <w:spacing w:line="360" w:lineRule="auto"/>
        <w:ind w:left="540"/>
        <w:jc w:val="both"/>
        <w:rPr>
          <w:sz w:val="28"/>
          <w:szCs w:val="28"/>
          <w:lang w:eastAsia="he-IL"/>
        </w:rPr>
      </w:pPr>
      <w:r>
        <w:rPr>
          <w:sz w:val="28"/>
          <w:szCs w:val="28"/>
          <w:rtl/>
          <w:lang w:eastAsia="he-IL"/>
        </w:rPr>
        <w:t xml:space="preserve">התוצאה היא שעונשו של הנאשם ייגזר בתוך מתחם העונש שנקבע בין 15 ל-30 חודשי מאסר על כל אחת מעבירות הסמים בצירוף תקופת מאסר בגין העבירה של הפרת הוראה חוקית, בתוך מתחם עונש הנע בין מאסר על תנאי ל-6 חודשי מאסר בפועל, כהצעת המאשימה. בנסיבות רגילות ראוי היה למצות את הדין עם הנאשם בגין העבירה של הפרת הוראה חוקית בהתחשב בנסיבות ביצועה, עם זאת יינתן משקל לעובדה שבסופו של יום הסגיר הנאשם עצמו למשטרה ויהא בכך כדי להקל בעונשו בגין עבירה זו במידת מה. </w:t>
      </w:r>
    </w:p>
    <w:p w14:paraId="0F43744F" w14:textId="77777777" w:rsidR="002F1229" w:rsidRDefault="002F1229">
      <w:pPr>
        <w:ind w:left="720"/>
        <w:contextualSpacing/>
        <w:rPr>
          <w:sz w:val="28"/>
          <w:szCs w:val="28"/>
          <w:rtl/>
          <w:lang w:eastAsia="he-IL"/>
        </w:rPr>
      </w:pPr>
    </w:p>
    <w:p w14:paraId="29D1AF9A" w14:textId="77777777" w:rsidR="002F1229" w:rsidRDefault="00F87A17">
      <w:pPr>
        <w:numPr>
          <w:ilvl w:val="0"/>
          <w:numId w:val="1"/>
        </w:numPr>
        <w:tabs>
          <w:tab w:val="clear" w:pos="1080"/>
          <w:tab w:val="num" w:pos="540"/>
        </w:tabs>
        <w:spacing w:line="360" w:lineRule="auto"/>
        <w:ind w:left="540" w:hanging="540"/>
        <w:jc w:val="both"/>
        <w:rPr>
          <w:sz w:val="28"/>
          <w:szCs w:val="28"/>
          <w:lang w:eastAsia="he-IL"/>
        </w:rPr>
      </w:pPr>
      <w:r>
        <w:rPr>
          <w:sz w:val="28"/>
          <w:szCs w:val="28"/>
          <w:rtl/>
          <w:lang w:eastAsia="he-IL"/>
        </w:rPr>
        <w:t xml:space="preserve">לאחר ששקלתי מצד אחד את הנסיבות לחומרא, בהם העובדה שמדובר בשתי עסקאות, בסוג הסם שמכר, בכמות הסם, בהצעות לביצוע עסקאות נוספות בסם ובנשק וחלקו של הנאשם בביצוע העבירות, כמו גם עברו הפלילי ומצד שני את הנסיבות לקולא ובהן הודאתו בעובדות כתב האישום כפי שהן, המלמדות על נטילת אחריות, החיסכון בזמן השיפוטי, היחס בין כמויות הסם שמכר לאלה שנמכרו על ידי נאשמים אחרים בפרשה כפי שהוצג לפניי, במידת מה את נסיבותיו האישיות והטרגדיות המשפחתיות שחווה ורצונו, לפחות המוצהר, להשתקם, אני מטילה עליו את העונשים הבאים: </w:t>
      </w:r>
    </w:p>
    <w:p w14:paraId="6C4A638F" w14:textId="77777777" w:rsidR="002F1229" w:rsidRDefault="002F1229">
      <w:pPr>
        <w:spacing w:line="360" w:lineRule="auto"/>
        <w:ind w:left="540"/>
        <w:jc w:val="both"/>
        <w:rPr>
          <w:sz w:val="28"/>
          <w:szCs w:val="28"/>
          <w:lang w:eastAsia="he-IL"/>
        </w:rPr>
      </w:pPr>
    </w:p>
    <w:p w14:paraId="7CDA6320" w14:textId="77777777" w:rsidR="002F1229" w:rsidRDefault="00F87A17">
      <w:pPr>
        <w:numPr>
          <w:ilvl w:val="0"/>
          <w:numId w:val="2"/>
        </w:numPr>
        <w:spacing w:line="360" w:lineRule="auto"/>
        <w:contextualSpacing/>
        <w:jc w:val="both"/>
        <w:rPr>
          <w:sz w:val="28"/>
          <w:szCs w:val="28"/>
          <w:lang w:eastAsia="he-IL"/>
        </w:rPr>
      </w:pPr>
      <w:r>
        <w:rPr>
          <w:sz w:val="28"/>
          <w:szCs w:val="28"/>
          <w:rtl/>
          <w:lang w:eastAsia="he-IL"/>
        </w:rPr>
        <w:t>28 חודשי מאסר בפועל בגין עבירות הסמים;</w:t>
      </w:r>
    </w:p>
    <w:p w14:paraId="6119BE54" w14:textId="77777777" w:rsidR="002F1229" w:rsidRDefault="002F1229">
      <w:pPr>
        <w:spacing w:line="360" w:lineRule="auto"/>
        <w:ind w:left="900"/>
        <w:contextualSpacing/>
        <w:jc w:val="both"/>
        <w:rPr>
          <w:sz w:val="28"/>
          <w:szCs w:val="28"/>
          <w:lang w:eastAsia="he-IL"/>
        </w:rPr>
      </w:pPr>
    </w:p>
    <w:p w14:paraId="33A79886" w14:textId="77777777" w:rsidR="002F1229" w:rsidRDefault="00F87A17">
      <w:pPr>
        <w:numPr>
          <w:ilvl w:val="0"/>
          <w:numId w:val="2"/>
        </w:numPr>
        <w:spacing w:line="360" w:lineRule="auto"/>
        <w:contextualSpacing/>
        <w:jc w:val="both"/>
        <w:rPr>
          <w:sz w:val="28"/>
          <w:szCs w:val="28"/>
          <w:rtl/>
          <w:lang w:eastAsia="he-IL"/>
        </w:rPr>
      </w:pPr>
      <w:r>
        <w:rPr>
          <w:sz w:val="28"/>
          <w:szCs w:val="28"/>
          <w:rtl/>
          <w:lang w:eastAsia="he-IL"/>
        </w:rPr>
        <w:t>4 חודשי מאסר בפועל בגין העבירה של הפרת הוראה חוקית;</w:t>
      </w:r>
    </w:p>
    <w:p w14:paraId="3F9317C2" w14:textId="77777777" w:rsidR="002F1229" w:rsidRDefault="00F87A17">
      <w:pPr>
        <w:spacing w:line="360" w:lineRule="auto"/>
        <w:ind w:left="900"/>
        <w:contextualSpacing/>
        <w:jc w:val="both"/>
        <w:rPr>
          <w:sz w:val="28"/>
          <w:szCs w:val="28"/>
          <w:rtl/>
          <w:lang w:eastAsia="he-IL"/>
        </w:rPr>
      </w:pPr>
      <w:r>
        <w:rPr>
          <w:sz w:val="28"/>
          <w:szCs w:val="28"/>
          <w:rtl/>
          <w:lang w:eastAsia="he-IL"/>
        </w:rPr>
        <w:t>עונשי המאסר ירוצו במצטבר זל"ז כך שסה"כ ירצה הנאשם 32 חודשי מאסר בפועל החל מיום מעצרו</w:t>
      </w:r>
      <w:r>
        <w:rPr>
          <w:rFonts w:hint="cs"/>
          <w:sz w:val="28"/>
          <w:szCs w:val="28"/>
          <w:rtl/>
          <w:lang w:eastAsia="he-IL"/>
        </w:rPr>
        <w:t xml:space="preserve"> 29.3.16 </w:t>
      </w:r>
      <w:r>
        <w:rPr>
          <w:sz w:val="28"/>
          <w:szCs w:val="28"/>
          <w:rtl/>
          <w:lang w:eastAsia="he-IL"/>
        </w:rPr>
        <w:t xml:space="preserve"> ובניכוי ימי מעצרו </w:t>
      </w:r>
      <w:r>
        <w:rPr>
          <w:rFonts w:hint="cs"/>
          <w:sz w:val="28"/>
          <w:szCs w:val="28"/>
          <w:rtl/>
          <w:lang w:eastAsia="he-IL"/>
        </w:rPr>
        <w:t>מיום 21.1.14 ועד ליום 29.5.14.</w:t>
      </w:r>
    </w:p>
    <w:p w14:paraId="09034778" w14:textId="77777777" w:rsidR="002F1229" w:rsidRDefault="002F1229">
      <w:pPr>
        <w:spacing w:line="360" w:lineRule="auto"/>
        <w:ind w:left="900"/>
        <w:contextualSpacing/>
        <w:jc w:val="both"/>
        <w:rPr>
          <w:sz w:val="28"/>
          <w:szCs w:val="28"/>
          <w:rtl/>
          <w:lang w:eastAsia="he-IL"/>
        </w:rPr>
      </w:pPr>
    </w:p>
    <w:p w14:paraId="5DD97FD6" w14:textId="77777777" w:rsidR="002F1229" w:rsidRDefault="00F87A17">
      <w:pPr>
        <w:numPr>
          <w:ilvl w:val="0"/>
          <w:numId w:val="2"/>
        </w:numPr>
        <w:spacing w:line="360" w:lineRule="auto"/>
        <w:contextualSpacing/>
        <w:jc w:val="both"/>
        <w:rPr>
          <w:sz w:val="28"/>
          <w:szCs w:val="28"/>
          <w:lang w:eastAsia="he-IL"/>
        </w:rPr>
      </w:pPr>
      <w:r>
        <w:rPr>
          <w:sz w:val="28"/>
          <w:szCs w:val="28"/>
          <w:rtl/>
          <w:lang w:eastAsia="he-IL"/>
        </w:rPr>
        <w:t xml:space="preserve">6 חודשי מאסר על תנאי והתנאי הוא שהנאשם לא יעבור תוך 3 שנים מיום שחרורו עבירה על </w:t>
      </w:r>
      <w:hyperlink r:id="rId21" w:history="1">
        <w:r w:rsidRPr="00F87A17">
          <w:rPr>
            <w:color w:val="0000FF"/>
            <w:sz w:val="28"/>
            <w:szCs w:val="28"/>
            <w:u w:val="single"/>
            <w:rtl/>
            <w:lang w:eastAsia="he-IL"/>
          </w:rPr>
          <w:t>פקודת הסמים המסוכנים</w:t>
        </w:r>
      </w:hyperlink>
      <w:r>
        <w:rPr>
          <w:sz w:val="28"/>
          <w:szCs w:val="28"/>
          <w:rtl/>
          <w:lang w:eastAsia="he-IL"/>
        </w:rPr>
        <w:t xml:space="preserve"> מסוג פשע; </w:t>
      </w:r>
    </w:p>
    <w:p w14:paraId="7C0A2C40" w14:textId="77777777" w:rsidR="002F1229" w:rsidRDefault="002F1229">
      <w:pPr>
        <w:spacing w:line="360" w:lineRule="auto"/>
        <w:ind w:left="900"/>
        <w:contextualSpacing/>
        <w:jc w:val="both"/>
        <w:rPr>
          <w:sz w:val="28"/>
          <w:szCs w:val="28"/>
          <w:lang w:eastAsia="he-IL"/>
        </w:rPr>
      </w:pPr>
    </w:p>
    <w:p w14:paraId="2D508897" w14:textId="77777777" w:rsidR="002F1229" w:rsidRDefault="00F87A17">
      <w:pPr>
        <w:numPr>
          <w:ilvl w:val="0"/>
          <w:numId w:val="2"/>
        </w:numPr>
        <w:spacing w:line="360" w:lineRule="auto"/>
        <w:contextualSpacing/>
        <w:jc w:val="both"/>
        <w:rPr>
          <w:sz w:val="28"/>
          <w:szCs w:val="28"/>
          <w:lang w:eastAsia="he-IL"/>
        </w:rPr>
      </w:pPr>
      <w:r>
        <w:rPr>
          <w:sz w:val="28"/>
          <w:szCs w:val="28"/>
          <w:rtl/>
          <w:lang w:eastAsia="he-IL"/>
        </w:rPr>
        <w:t>3 חודשי מאסר על תנאי והתנאי הוא שהנאשם לא יעבור תוך 3 שנים מיום שחרורו עבירה של הפרת הוראה חוקית;</w:t>
      </w:r>
    </w:p>
    <w:p w14:paraId="0594CDB8" w14:textId="77777777" w:rsidR="002F1229" w:rsidRDefault="002F1229">
      <w:pPr>
        <w:spacing w:line="360" w:lineRule="auto"/>
        <w:ind w:left="900"/>
        <w:contextualSpacing/>
        <w:jc w:val="both"/>
        <w:rPr>
          <w:sz w:val="28"/>
          <w:szCs w:val="28"/>
          <w:lang w:eastAsia="he-IL"/>
        </w:rPr>
      </w:pPr>
    </w:p>
    <w:p w14:paraId="38A4BC8C" w14:textId="77777777" w:rsidR="002F1229" w:rsidRDefault="00F87A17">
      <w:pPr>
        <w:numPr>
          <w:ilvl w:val="0"/>
          <w:numId w:val="2"/>
        </w:numPr>
        <w:spacing w:line="360" w:lineRule="auto"/>
        <w:contextualSpacing/>
        <w:jc w:val="both"/>
        <w:rPr>
          <w:sz w:val="28"/>
          <w:szCs w:val="28"/>
          <w:lang w:eastAsia="he-IL"/>
        </w:rPr>
      </w:pPr>
      <w:r>
        <w:rPr>
          <w:sz w:val="28"/>
          <w:szCs w:val="28"/>
          <w:rtl/>
          <w:lang w:eastAsia="he-IL"/>
        </w:rPr>
        <w:t>הנאשם ישלם קנס בסך 10,000 ₪ או 4 חודשי מאסר תמורתו.</w:t>
      </w:r>
      <w:r>
        <w:rPr>
          <w:sz w:val="28"/>
          <w:szCs w:val="28"/>
          <w:rtl/>
          <w:lang w:eastAsia="he-IL"/>
        </w:rPr>
        <w:tab/>
      </w:r>
    </w:p>
    <w:p w14:paraId="22E22340" w14:textId="77777777" w:rsidR="002F1229" w:rsidRDefault="002F1229">
      <w:pPr>
        <w:ind w:left="720"/>
        <w:contextualSpacing/>
        <w:rPr>
          <w:sz w:val="28"/>
          <w:szCs w:val="28"/>
          <w:rtl/>
          <w:lang w:eastAsia="he-IL"/>
        </w:rPr>
      </w:pPr>
    </w:p>
    <w:p w14:paraId="586F004D" w14:textId="77777777" w:rsidR="002F1229" w:rsidRDefault="00F87A17">
      <w:pPr>
        <w:spacing w:line="360" w:lineRule="auto"/>
        <w:ind w:left="900"/>
        <w:contextualSpacing/>
        <w:jc w:val="both"/>
        <w:rPr>
          <w:sz w:val="28"/>
          <w:szCs w:val="28"/>
          <w:lang w:eastAsia="he-IL"/>
        </w:rPr>
      </w:pPr>
      <w:r>
        <w:rPr>
          <w:sz w:val="28"/>
          <w:szCs w:val="28"/>
          <w:rtl/>
          <w:lang w:eastAsia="he-IL"/>
        </w:rPr>
        <w:t xml:space="preserve">הקנס ישולם בעשרה תשלומים שווים, חודשיים ורצופים בסך 1,000 ₪ החל מיום </w:t>
      </w:r>
      <w:r>
        <w:rPr>
          <w:rFonts w:hint="cs"/>
          <w:b/>
          <w:bCs/>
          <w:sz w:val="28"/>
          <w:szCs w:val="28"/>
          <w:rtl/>
          <w:lang w:eastAsia="he-IL"/>
        </w:rPr>
        <w:t>1.1.19</w:t>
      </w:r>
      <w:r>
        <w:rPr>
          <w:sz w:val="28"/>
          <w:szCs w:val="28"/>
          <w:rtl/>
          <w:lang w:eastAsia="he-IL"/>
        </w:rPr>
        <w:t xml:space="preserve"> ובכל ראשון לחודש שאחריו.</w:t>
      </w:r>
    </w:p>
    <w:p w14:paraId="356B70B3" w14:textId="77777777" w:rsidR="002F1229" w:rsidRDefault="002F1229">
      <w:pPr>
        <w:rPr>
          <w:sz w:val="20"/>
          <w:lang w:eastAsia="he-IL"/>
        </w:rPr>
      </w:pPr>
    </w:p>
    <w:p w14:paraId="75CF5DFD" w14:textId="77777777" w:rsidR="002F1229" w:rsidRDefault="002F1229">
      <w:pPr>
        <w:rPr>
          <w:rtl/>
        </w:rPr>
      </w:pPr>
    </w:p>
    <w:p w14:paraId="2F55A062" w14:textId="77777777" w:rsidR="002F1229" w:rsidRDefault="002F1229">
      <w:pPr>
        <w:rPr>
          <w:rtl/>
        </w:rPr>
      </w:pPr>
    </w:p>
    <w:p w14:paraId="02F6919E" w14:textId="77777777" w:rsidR="002F1229" w:rsidRDefault="00F87A17">
      <w:pPr>
        <w:rPr>
          <w:rtl/>
        </w:rPr>
      </w:pPr>
      <w:r>
        <w:rPr>
          <w:rFonts w:hint="cs"/>
          <w:rtl/>
        </w:rPr>
        <w:t>זכות ערעור תוך 45 יום.</w:t>
      </w:r>
    </w:p>
    <w:p w14:paraId="483D0ED9" w14:textId="77777777" w:rsidR="002F1229" w:rsidRDefault="002F1229">
      <w:pPr>
        <w:rPr>
          <w:rtl/>
        </w:rPr>
      </w:pPr>
    </w:p>
    <w:p w14:paraId="696F7A5E" w14:textId="77777777" w:rsidR="002F1229" w:rsidRDefault="002F1229">
      <w:pPr>
        <w:rPr>
          <w:rtl/>
        </w:rPr>
      </w:pPr>
    </w:p>
    <w:p w14:paraId="74B64954" w14:textId="77777777" w:rsidR="002F1229" w:rsidRDefault="002F1229">
      <w:pPr>
        <w:rPr>
          <w:rtl/>
        </w:rPr>
      </w:pPr>
    </w:p>
    <w:p w14:paraId="10280BE9" w14:textId="77777777" w:rsidR="002F1229" w:rsidRDefault="00F87A17">
      <w:pPr>
        <w:rPr>
          <w:rFonts w:cs="FrankRuehl"/>
          <w:sz w:val="28"/>
          <w:szCs w:val="28"/>
          <w:rtl/>
        </w:rPr>
      </w:pPr>
      <w:r>
        <w:rPr>
          <w:rFonts w:ascii="Arial" w:hAnsi="Arial"/>
          <w:rtl/>
        </w:rPr>
        <w:t xml:space="preserve">ניתן היום,  כ"ה תשרי תשע"ז, 27 אוקטובר 2016, במעמד הצדדים. </w:t>
      </w:r>
    </w:p>
    <w:p w14:paraId="6B5DAECD" w14:textId="77777777" w:rsidR="002F1229" w:rsidRDefault="002F1229">
      <w:pPr>
        <w:rPr>
          <w:rFonts w:cs="FrankRuehl"/>
          <w:sz w:val="28"/>
          <w:szCs w:val="28"/>
          <w:rtl/>
        </w:rPr>
      </w:pPr>
    </w:p>
    <w:p w14:paraId="0407E16B" w14:textId="77777777" w:rsidR="002F1229" w:rsidRPr="00F87A17" w:rsidRDefault="00F87A17">
      <w:pPr>
        <w:rPr>
          <w:rFonts w:cs="FrankRuehl"/>
          <w:color w:val="FFFFFF"/>
          <w:sz w:val="2"/>
          <w:szCs w:val="2"/>
          <w:rtl/>
        </w:rPr>
      </w:pPr>
      <w:r w:rsidRPr="00F87A17">
        <w:rPr>
          <w:rFonts w:cs="FrankRuehl"/>
          <w:color w:val="FFFFFF"/>
          <w:sz w:val="2"/>
          <w:szCs w:val="2"/>
          <w:rtl/>
        </w:rPr>
        <w:t>5129371</w:t>
      </w:r>
    </w:p>
    <w:p w14:paraId="3D5F6B8F" w14:textId="77777777" w:rsidR="002F1229" w:rsidRPr="00F87A17" w:rsidRDefault="00F87A17">
      <w:pPr>
        <w:rPr>
          <w:rFonts w:cs="FrankRuehl"/>
          <w:color w:val="FFFFFF"/>
          <w:sz w:val="2"/>
          <w:szCs w:val="2"/>
          <w:rtl/>
        </w:rPr>
      </w:pPr>
      <w:r w:rsidRPr="00F87A17">
        <w:rPr>
          <w:rFonts w:cs="FrankRuehl"/>
          <w:color w:val="FFFFFF"/>
          <w:sz w:val="2"/>
          <w:szCs w:val="2"/>
          <w:rtl/>
        </w:rPr>
        <w:t>54678313</w:t>
      </w:r>
    </w:p>
    <w:p w14:paraId="10AE34CE" w14:textId="77777777" w:rsidR="002F1229" w:rsidRDefault="00F87A1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62C6CE0" w14:textId="77777777" w:rsidR="002F1229" w:rsidRDefault="002F1229">
      <w:pPr>
        <w:jc w:val="center"/>
        <w:rPr>
          <w:rFonts w:ascii="Arial" w:hAnsi="Arial" w:cs="FrankRuehl"/>
          <w:sz w:val="28"/>
          <w:szCs w:val="28"/>
          <w:rtl/>
        </w:rPr>
      </w:pPr>
    </w:p>
    <w:p w14:paraId="71597D07" w14:textId="77777777" w:rsidR="002F1229" w:rsidRDefault="002F1229">
      <w:pPr>
        <w:rPr>
          <w:rFonts w:cs="FrankRuehl"/>
          <w:sz w:val="28"/>
          <w:szCs w:val="28"/>
          <w:rtl/>
        </w:rPr>
      </w:pPr>
    </w:p>
    <w:p w14:paraId="111E6377" w14:textId="77777777" w:rsidR="002F1229" w:rsidRDefault="002F1229">
      <w:pPr>
        <w:pStyle w:val="a3"/>
        <w:jc w:val="center"/>
        <w:rPr>
          <w:rtl/>
        </w:rPr>
      </w:pPr>
    </w:p>
    <w:p w14:paraId="55DA91B0" w14:textId="77777777" w:rsidR="00F87A17" w:rsidRPr="00F87A17" w:rsidRDefault="00F87A17" w:rsidP="00F87A17">
      <w:pPr>
        <w:keepNext/>
        <w:rPr>
          <w:rFonts w:ascii="David" w:hAnsi="David"/>
          <w:color w:val="000000"/>
          <w:sz w:val="22"/>
          <w:szCs w:val="22"/>
          <w:rtl/>
        </w:rPr>
      </w:pPr>
    </w:p>
    <w:p w14:paraId="3D13F563" w14:textId="77777777" w:rsidR="00F87A17" w:rsidRPr="00F87A17" w:rsidRDefault="00F87A17" w:rsidP="00F87A17">
      <w:pPr>
        <w:keepNext/>
        <w:rPr>
          <w:rFonts w:ascii="David" w:hAnsi="David"/>
          <w:color w:val="000000"/>
          <w:sz w:val="22"/>
          <w:szCs w:val="22"/>
          <w:rtl/>
        </w:rPr>
      </w:pPr>
      <w:r w:rsidRPr="00F87A17">
        <w:rPr>
          <w:rFonts w:ascii="David" w:hAnsi="David"/>
          <w:color w:val="000000"/>
          <w:sz w:val="22"/>
          <w:szCs w:val="22"/>
          <w:rtl/>
        </w:rPr>
        <w:t>הדסה נאור 54678313</w:t>
      </w:r>
    </w:p>
    <w:p w14:paraId="41B9B8BF" w14:textId="77777777" w:rsidR="00F87A17" w:rsidRDefault="00F87A17" w:rsidP="00F87A17">
      <w:r w:rsidRPr="00F87A17">
        <w:rPr>
          <w:color w:val="000000"/>
          <w:rtl/>
        </w:rPr>
        <w:t>נוסח מסמך זה כפוף לשינויי ניסוח ועריכה</w:t>
      </w:r>
    </w:p>
    <w:p w14:paraId="0CF152CD" w14:textId="77777777" w:rsidR="00F87A17" w:rsidRDefault="00F87A17" w:rsidP="00F87A17">
      <w:pPr>
        <w:rPr>
          <w:rtl/>
        </w:rPr>
      </w:pPr>
    </w:p>
    <w:p w14:paraId="21024D07" w14:textId="77777777" w:rsidR="00F87A17" w:rsidRDefault="00F87A17" w:rsidP="00F87A17">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r w:rsidR="00E100FB">
        <w:rPr>
          <w:rFonts w:hint="cs"/>
          <w:color w:val="0000FF"/>
          <w:u w:val="single"/>
          <w:rtl/>
        </w:rPr>
        <w:t xml:space="preserve"> </w:t>
      </w:r>
    </w:p>
    <w:p w14:paraId="7051D51D" w14:textId="77777777" w:rsidR="002F1229" w:rsidRPr="00F87A17" w:rsidRDefault="002F1229" w:rsidP="00F87A17">
      <w:pPr>
        <w:jc w:val="center"/>
        <w:rPr>
          <w:color w:val="0000FF"/>
          <w:u w:val="single"/>
        </w:rPr>
      </w:pPr>
    </w:p>
    <w:sectPr w:rsidR="002F1229" w:rsidRPr="00F87A17" w:rsidSect="00F87A17">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45AF7" w14:textId="77777777" w:rsidR="00EC5F6A" w:rsidRDefault="00EC5F6A">
      <w:r>
        <w:separator/>
      </w:r>
    </w:p>
  </w:endnote>
  <w:endnote w:type="continuationSeparator" w:id="0">
    <w:p w14:paraId="100850F4" w14:textId="77777777" w:rsidR="00EC5F6A" w:rsidRDefault="00EC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3E018" w14:textId="77777777" w:rsidR="00957AFF" w:rsidRDefault="00957AFF" w:rsidP="00F87A1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88C78A" w14:textId="77777777" w:rsidR="00957AFF" w:rsidRPr="00F87A17" w:rsidRDefault="00957AFF" w:rsidP="00F87A17">
    <w:pPr>
      <w:pStyle w:val="a4"/>
      <w:pBdr>
        <w:top w:val="single" w:sz="4" w:space="1" w:color="auto"/>
        <w:between w:val="single" w:sz="4" w:space="0" w:color="auto"/>
      </w:pBdr>
      <w:spacing w:after="60"/>
      <w:jc w:val="center"/>
      <w:rPr>
        <w:rFonts w:ascii="FrankRuehl" w:hAnsi="FrankRuehl" w:cs="FrankRuehl"/>
        <w:color w:val="000000"/>
      </w:rPr>
    </w:pPr>
    <w:r w:rsidRPr="00F87A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7A44D" w14:textId="77777777" w:rsidR="00957AFF" w:rsidRDefault="00957AFF" w:rsidP="00F87A1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623A">
      <w:rPr>
        <w:rFonts w:ascii="FrankRuehl" w:hAnsi="FrankRuehl" w:cs="FrankRuehl"/>
        <w:noProof/>
        <w:rtl/>
      </w:rPr>
      <w:t>1</w:t>
    </w:r>
    <w:r>
      <w:rPr>
        <w:rFonts w:ascii="FrankRuehl" w:hAnsi="FrankRuehl" w:cs="FrankRuehl"/>
        <w:rtl/>
      </w:rPr>
      <w:fldChar w:fldCharType="end"/>
    </w:r>
  </w:p>
  <w:p w14:paraId="7066E274" w14:textId="77777777" w:rsidR="00957AFF" w:rsidRPr="00F87A17" w:rsidRDefault="00957AFF" w:rsidP="00F87A17">
    <w:pPr>
      <w:pStyle w:val="a4"/>
      <w:pBdr>
        <w:top w:val="single" w:sz="4" w:space="1" w:color="auto"/>
        <w:between w:val="single" w:sz="4" w:space="0" w:color="auto"/>
      </w:pBdr>
      <w:spacing w:after="60"/>
      <w:jc w:val="center"/>
      <w:rPr>
        <w:rFonts w:ascii="FrankRuehl" w:hAnsi="FrankRuehl" w:cs="FrankRuehl"/>
        <w:color w:val="000000"/>
      </w:rPr>
    </w:pPr>
    <w:r w:rsidRPr="00F87A17">
      <w:rPr>
        <w:rFonts w:ascii="FrankRuehl" w:hAnsi="FrankRuehl" w:cs="FrankRuehl"/>
        <w:color w:val="000000"/>
      </w:rPr>
      <w:pict w14:anchorId="4E482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79FE0" w14:textId="77777777" w:rsidR="00EC5F6A" w:rsidRDefault="00EC5F6A">
      <w:r>
        <w:separator/>
      </w:r>
    </w:p>
  </w:footnote>
  <w:footnote w:type="continuationSeparator" w:id="0">
    <w:p w14:paraId="737F440B" w14:textId="77777777" w:rsidR="00EC5F6A" w:rsidRDefault="00EC5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E085C" w14:textId="77777777" w:rsidR="00957AFF" w:rsidRPr="00F87A17" w:rsidRDefault="00957AFF" w:rsidP="00F87A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64384-03-16</w:t>
    </w:r>
    <w:r>
      <w:rPr>
        <w:rFonts w:ascii="David" w:hAnsi="David"/>
        <w:color w:val="000000"/>
        <w:sz w:val="22"/>
        <w:szCs w:val="22"/>
        <w:rtl/>
      </w:rPr>
      <w:tab/>
      <w:t xml:space="preserve"> מדינת ישראל נ' ראיד אלאלא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26129" w14:textId="77777777" w:rsidR="00957AFF" w:rsidRPr="00F87A17" w:rsidRDefault="00957AFF" w:rsidP="00F87A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64384-03-16</w:t>
    </w:r>
    <w:r>
      <w:rPr>
        <w:rFonts w:ascii="David" w:hAnsi="David"/>
        <w:color w:val="000000"/>
        <w:sz w:val="22"/>
        <w:szCs w:val="22"/>
        <w:rtl/>
      </w:rPr>
      <w:tab/>
      <w:t xml:space="preserve"> מדינת ישראל נ' ראיד אלאלא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072E0"/>
    <w:multiLevelType w:val="hybridMultilevel"/>
    <w:tmpl w:val="429CCFB0"/>
    <w:lvl w:ilvl="0" w:tplc="21A07E24">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C0954A1"/>
    <w:multiLevelType w:val="hybridMultilevel"/>
    <w:tmpl w:val="CFE6510C"/>
    <w:lvl w:ilvl="0" w:tplc="45067362">
      <w:start w:val="1"/>
      <w:numFmt w:val="hebrew1"/>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num w:numId="1" w16cid:durableId="413206402">
    <w:abstractNumId w:val="0"/>
  </w:num>
  <w:num w:numId="2" w16cid:durableId="771438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1229"/>
    <w:rsid w:val="00273AA7"/>
    <w:rsid w:val="002C60B6"/>
    <w:rsid w:val="002F1229"/>
    <w:rsid w:val="00360B95"/>
    <w:rsid w:val="00494CE5"/>
    <w:rsid w:val="005D3624"/>
    <w:rsid w:val="006B623A"/>
    <w:rsid w:val="00957AFF"/>
    <w:rsid w:val="00E100FB"/>
    <w:rsid w:val="00EC5F6A"/>
    <w:rsid w:val="00F87A17"/>
    <w:rsid w:val="00FA1E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7FF46F"/>
  <w15:chartTrackingRefBased/>
  <w15:docId w15:val="{088027E4-11B8-444D-8D66-D2CC5F1A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122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F1229"/>
    <w:pPr>
      <w:tabs>
        <w:tab w:val="center" w:pos="4153"/>
        <w:tab w:val="right" w:pos="8306"/>
      </w:tabs>
    </w:pPr>
  </w:style>
  <w:style w:type="paragraph" w:styleId="a4">
    <w:name w:val="footer"/>
    <w:basedOn w:val="a"/>
    <w:rsid w:val="002F1229"/>
    <w:pPr>
      <w:tabs>
        <w:tab w:val="center" w:pos="4153"/>
        <w:tab w:val="right" w:pos="8306"/>
      </w:tabs>
    </w:pPr>
  </w:style>
  <w:style w:type="character" w:styleId="a5">
    <w:name w:val="page number"/>
    <w:basedOn w:val="a0"/>
    <w:rsid w:val="002F1229"/>
  </w:style>
  <w:style w:type="character" w:styleId="Hyperlink">
    <w:name w:val="Hyperlink"/>
    <w:rsid w:val="00F87A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11280375"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11280197"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253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87.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87.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11280513"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7.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2465</Words>
  <Characters>12325</Characters>
  <Application>Microsoft Office Word</Application>
  <DocSecurity>0</DocSecurity>
  <Lines>102</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14761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3735668</vt:i4>
      </vt:variant>
      <vt:variant>
        <vt:i4>39</vt:i4>
      </vt:variant>
      <vt:variant>
        <vt:i4>0</vt:i4>
      </vt:variant>
      <vt:variant>
        <vt:i4>5</vt:i4>
      </vt:variant>
      <vt:variant>
        <vt:lpwstr>http://www.nevo.co.il/case/5253118</vt:lpwstr>
      </vt:variant>
      <vt:variant>
        <vt:lpwstr/>
      </vt:variant>
      <vt:variant>
        <vt:i4>3276920</vt:i4>
      </vt:variant>
      <vt:variant>
        <vt:i4>36</vt:i4>
      </vt:variant>
      <vt:variant>
        <vt:i4>0</vt:i4>
      </vt:variant>
      <vt:variant>
        <vt:i4>5</vt:i4>
      </vt:variant>
      <vt:variant>
        <vt:lpwstr>http://www.nevo.co.il/case/11280513</vt:lpwstr>
      </vt:variant>
      <vt:variant>
        <vt:lpwstr/>
      </vt:variant>
      <vt:variant>
        <vt:i4>3407998</vt:i4>
      </vt:variant>
      <vt:variant>
        <vt:i4>33</vt:i4>
      </vt:variant>
      <vt:variant>
        <vt:i4>0</vt:i4>
      </vt:variant>
      <vt:variant>
        <vt:i4>5</vt:i4>
      </vt:variant>
      <vt:variant>
        <vt:lpwstr>http://www.nevo.co.il/case/11280375</vt:lpwstr>
      </vt:variant>
      <vt:variant>
        <vt:lpwstr/>
      </vt:variant>
      <vt:variant>
        <vt:i4>3801212</vt:i4>
      </vt:variant>
      <vt:variant>
        <vt:i4>30</vt:i4>
      </vt:variant>
      <vt:variant>
        <vt:i4>0</vt:i4>
      </vt:variant>
      <vt:variant>
        <vt:i4>5</vt:i4>
      </vt:variant>
      <vt:variant>
        <vt:lpwstr>http://www.nevo.co.il/case/11280197</vt:lpwstr>
      </vt:variant>
      <vt:variant>
        <vt:lpwstr/>
      </vt:variant>
      <vt:variant>
        <vt:i4>7995492</vt:i4>
      </vt:variant>
      <vt:variant>
        <vt:i4>27</vt:i4>
      </vt:variant>
      <vt:variant>
        <vt:i4>0</vt:i4>
      </vt:variant>
      <vt:variant>
        <vt:i4>5</vt:i4>
      </vt:variant>
      <vt:variant>
        <vt:lpwstr>http://www.nevo.co.il/law/70301</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64384</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ראיד אלאלא</vt:lpwstr>
  </property>
  <property fmtid="{D5CDD505-2E9C-101B-9397-08002B2CF9AE}" pid="10" name="LAWYER">
    <vt:lpwstr>אלון סיון;יקי קהן</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20161027</vt:lpwstr>
  </property>
  <property fmtid="{D5CDD505-2E9C-101B-9397-08002B2CF9AE}" pid="14" name="TYPE_N_DATE">
    <vt:lpwstr>38020161027</vt:lpwstr>
  </property>
  <property fmtid="{D5CDD505-2E9C-101B-9397-08002B2CF9AE}" pid="15" name="CASESLISTTMP1">
    <vt:lpwstr>11280197;11280375;11280513;5253118</vt:lpwstr>
  </property>
  <property fmtid="{D5CDD505-2E9C-101B-9397-08002B2CF9AE}" pid="16" name="WORDNUMPAGES">
    <vt:lpwstr>11</vt:lpwstr>
  </property>
  <property fmtid="{D5CDD505-2E9C-101B-9397-08002B2CF9AE}" pid="17" name="TYPE_ABS_DATE">
    <vt:lpwstr>380020161027</vt:lpwstr>
  </property>
  <property fmtid="{D5CDD505-2E9C-101B-9397-08002B2CF9AE}" pid="18" name="ISABSTRACT">
    <vt:lpwstr>Y</vt:lpwstr>
  </property>
  <property fmtid="{D5CDD505-2E9C-101B-9397-08002B2CF9AE}" pid="19" name="LAWLISTTMP1">
    <vt:lpwstr>4216/013;007.a</vt:lpwstr>
  </property>
  <property fmtid="{D5CDD505-2E9C-101B-9397-08002B2CF9AE}" pid="20" name="LAWLISTTMP2">
    <vt:lpwstr>70301/287.a</vt:lpwstr>
  </property>
</Properties>
</file>