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39432C" w:rsidRPr="00061F01" w14:paraId="1EC105A9" w14:textId="77777777">
        <w:trPr>
          <w:trHeight w:hRule="exact" w:val="418"/>
          <w:jc w:val="center"/>
        </w:trPr>
        <w:tc>
          <w:tcPr>
            <w:tcW w:w="8721" w:type="dxa"/>
            <w:gridSpan w:val="2"/>
          </w:tcPr>
          <w:p w14:paraId="521585F6" w14:textId="77777777" w:rsidR="0039432C" w:rsidRPr="00061F01" w:rsidRDefault="0039432C" w:rsidP="00061F01">
            <w:pPr>
              <w:pStyle w:val="a3"/>
              <w:jc w:val="center"/>
              <w:rPr>
                <w:rFonts w:ascii="Tahoma" w:hAnsi="Tahoma" w:cs="Tahoma"/>
                <w:color w:val="000080"/>
                <w:rtl/>
              </w:rPr>
            </w:pPr>
            <w:bookmarkStart w:id="0" w:name="LastJudge"/>
            <w:r w:rsidRPr="00061F01">
              <w:rPr>
                <w:rFonts w:ascii="Tahoma" w:hAnsi="Tahoma" w:cs="Tahoma"/>
                <w:b/>
                <w:bCs/>
                <w:color w:val="000080"/>
                <w:rtl/>
              </w:rPr>
              <w:t>בית משפט השלום בקריות</w:t>
            </w:r>
          </w:p>
        </w:tc>
      </w:tr>
      <w:tr w:rsidR="0039432C" w:rsidRPr="00061F01" w14:paraId="1DFF9A4C" w14:textId="77777777">
        <w:trPr>
          <w:trHeight w:val="337"/>
          <w:jc w:val="center"/>
        </w:trPr>
        <w:tc>
          <w:tcPr>
            <w:tcW w:w="5059" w:type="dxa"/>
          </w:tcPr>
          <w:p w14:paraId="6E02EF52" w14:textId="77777777" w:rsidR="0039432C" w:rsidRPr="00061F01" w:rsidRDefault="0039432C" w:rsidP="00061F01">
            <w:pPr>
              <w:rPr>
                <w:rFonts w:cs="FrankRuehl"/>
                <w:sz w:val="28"/>
                <w:szCs w:val="28"/>
                <w:rtl/>
              </w:rPr>
            </w:pPr>
            <w:r w:rsidRPr="00061F01">
              <w:rPr>
                <w:rFonts w:cs="FrankRuehl"/>
                <w:sz w:val="28"/>
                <w:szCs w:val="28"/>
                <w:rtl/>
              </w:rPr>
              <w:t>ת"פ</w:t>
            </w:r>
            <w:r w:rsidRPr="00061F01">
              <w:rPr>
                <w:rFonts w:cs="FrankRuehl" w:hint="cs"/>
                <w:sz w:val="28"/>
                <w:szCs w:val="28"/>
                <w:rtl/>
              </w:rPr>
              <w:t xml:space="preserve"> </w:t>
            </w:r>
            <w:r w:rsidRPr="00061F01">
              <w:rPr>
                <w:rFonts w:cs="FrankRuehl"/>
                <w:sz w:val="28"/>
                <w:szCs w:val="28"/>
                <w:rtl/>
              </w:rPr>
              <w:t>12546-04-16</w:t>
            </w:r>
            <w:r w:rsidRPr="00061F01">
              <w:rPr>
                <w:rFonts w:cs="FrankRuehl" w:hint="cs"/>
                <w:sz w:val="28"/>
                <w:szCs w:val="28"/>
                <w:rtl/>
              </w:rPr>
              <w:t xml:space="preserve"> </w:t>
            </w:r>
            <w:r w:rsidRPr="00061F01">
              <w:rPr>
                <w:rFonts w:cs="FrankRuehl"/>
                <w:sz w:val="28"/>
                <w:szCs w:val="28"/>
                <w:rtl/>
              </w:rPr>
              <w:t>מדינת ישראל נ' בוקריס(עציר)</w:t>
            </w:r>
          </w:p>
          <w:p w14:paraId="01A40F35" w14:textId="77777777" w:rsidR="0039432C" w:rsidRPr="00061F01" w:rsidRDefault="0039432C" w:rsidP="00061F01">
            <w:pPr>
              <w:pStyle w:val="a3"/>
              <w:rPr>
                <w:rFonts w:cs="FrankRuehl"/>
                <w:sz w:val="28"/>
                <w:szCs w:val="28"/>
                <w:rtl/>
              </w:rPr>
            </w:pPr>
          </w:p>
        </w:tc>
        <w:tc>
          <w:tcPr>
            <w:tcW w:w="3662" w:type="dxa"/>
          </w:tcPr>
          <w:p w14:paraId="0DE825D2" w14:textId="77777777" w:rsidR="0039432C" w:rsidRPr="00061F01" w:rsidRDefault="0039432C" w:rsidP="00061F01">
            <w:pPr>
              <w:pStyle w:val="a3"/>
              <w:jc w:val="right"/>
              <w:rPr>
                <w:rFonts w:cs="FrankRuehl"/>
                <w:sz w:val="28"/>
                <w:szCs w:val="28"/>
                <w:rtl/>
              </w:rPr>
            </w:pPr>
          </w:p>
        </w:tc>
      </w:tr>
    </w:tbl>
    <w:p w14:paraId="71CF0CA4" w14:textId="77777777" w:rsidR="0039432C" w:rsidRPr="00061F01" w:rsidRDefault="0039432C" w:rsidP="0039432C">
      <w:pPr>
        <w:pStyle w:val="a3"/>
        <w:rPr>
          <w:rtl/>
        </w:rPr>
      </w:pPr>
      <w:r w:rsidRPr="00061F01">
        <w:rPr>
          <w:rFonts w:hint="cs"/>
          <w:rtl/>
        </w:rPr>
        <w:t xml:space="preserve"> </w:t>
      </w:r>
    </w:p>
    <w:p w14:paraId="2F24EC86" w14:textId="77777777" w:rsidR="0039432C" w:rsidRPr="00061F01" w:rsidRDefault="0039432C" w:rsidP="0039432C">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39432C" w:rsidRPr="00061F01" w14:paraId="1A84DE6B" w14:textId="77777777">
        <w:trPr>
          <w:trHeight w:val="295"/>
          <w:jc w:val="center"/>
        </w:trPr>
        <w:tc>
          <w:tcPr>
            <w:tcW w:w="923" w:type="dxa"/>
            <w:tcBorders>
              <w:top w:val="nil"/>
              <w:left w:val="nil"/>
              <w:bottom w:val="nil"/>
              <w:right w:val="nil"/>
            </w:tcBorders>
            <w:shd w:val="clear" w:color="auto" w:fill="auto"/>
          </w:tcPr>
          <w:p w14:paraId="369292FE" w14:textId="77777777" w:rsidR="0039432C" w:rsidRPr="00061F01" w:rsidRDefault="0039432C" w:rsidP="00061F01">
            <w:pPr>
              <w:jc w:val="both"/>
              <w:rPr>
                <w:rFonts w:ascii="Arial" w:hAnsi="Arial"/>
                <w:b/>
                <w:bCs/>
                <w:sz w:val="28"/>
                <w:szCs w:val="28"/>
              </w:rPr>
            </w:pPr>
            <w:r w:rsidRPr="00061F01">
              <w:rPr>
                <w:rFonts w:ascii="Arial" w:hAnsi="Arial" w:hint="cs"/>
                <w:b/>
                <w:bCs/>
                <w:sz w:val="28"/>
                <w:szCs w:val="28"/>
                <w:rtl/>
              </w:rPr>
              <w:t>ל</w:t>
            </w:r>
            <w:r w:rsidRPr="00061F01">
              <w:rPr>
                <w:rFonts w:ascii="Arial" w:hAnsi="Arial"/>
                <w:b/>
                <w:bCs/>
                <w:sz w:val="28"/>
                <w:szCs w:val="28"/>
                <w:rtl/>
              </w:rPr>
              <w:t xml:space="preserve">פני </w:t>
            </w:r>
          </w:p>
        </w:tc>
        <w:tc>
          <w:tcPr>
            <w:tcW w:w="7897" w:type="dxa"/>
            <w:gridSpan w:val="2"/>
            <w:tcBorders>
              <w:top w:val="nil"/>
              <w:left w:val="nil"/>
              <w:bottom w:val="nil"/>
              <w:right w:val="nil"/>
            </w:tcBorders>
            <w:shd w:val="clear" w:color="auto" w:fill="auto"/>
          </w:tcPr>
          <w:p w14:paraId="301DEA99" w14:textId="77777777" w:rsidR="0039432C" w:rsidRPr="00061F01" w:rsidRDefault="0039432C" w:rsidP="00061F01">
            <w:pPr>
              <w:rPr>
                <w:rFonts w:ascii="Arial" w:hAnsi="Arial"/>
                <w:b/>
                <w:bCs/>
                <w:rtl/>
              </w:rPr>
            </w:pPr>
            <w:r w:rsidRPr="00061F01">
              <w:rPr>
                <w:rFonts w:ascii="Arial" w:hAnsi="Arial" w:hint="cs"/>
                <w:b/>
                <w:bCs/>
                <w:rtl/>
              </w:rPr>
              <w:t>כבוד ה</w:t>
            </w:r>
            <w:r w:rsidRPr="00061F01">
              <w:rPr>
                <w:rFonts w:hint="cs"/>
                <w:b/>
                <w:bCs/>
                <w:rtl/>
              </w:rPr>
              <w:t>שופט</w:t>
            </w:r>
            <w:r w:rsidRPr="00061F01">
              <w:rPr>
                <w:rFonts w:ascii="Arial" w:hAnsi="Arial" w:hint="cs"/>
                <w:b/>
                <w:bCs/>
                <w:rtl/>
              </w:rPr>
              <w:t xml:space="preserve">  </w:t>
            </w:r>
            <w:r w:rsidRPr="00061F01">
              <w:rPr>
                <w:rFonts w:hint="cs"/>
                <w:b/>
                <w:bCs/>
                <w:rtl/>
              </w:rPr>
              <w:t>מוחמד עלי</w:t>
            </w:r>
          </w:p>
          <w:p w14:paraId="06BDBEA3" w14:textId="77777777" w:rsidR="0039432C" w:rsidRPr="00061F01" w:rsidRDefault="0039432C" w:rsidP="00061F01">
            <w:pPr>
              <w:rPr>
                <w:b/>
                <w:bCs/>
                <w:rtl/>
              </w:rPr>
            </w:pPr>
          </w:p>
          <w:p w14:paraId="38471888" w14:textId="77777777" w:rsidR="0039432C" w:rsidRPr="00061F01" w:rsidRDefault="0039432C" w:rsidP="00061F01">
            <w:pPr>
              <w:jc w:val="both"/>
              <w:rPr>
                <w:rFonts w:ascii="Arial" w:hAnsi="Arial"/>
                <w:b/>
                <w:bCs/>
                <w:sz w:val="28"/>
                <w:szCs w:val="28"/>
              </w:rPr>
            </w:pPr>
          </w:p>
        </w:tc>
      </w:tr>
      <w:tr w:rsidR="0039432C" w:rsidRPr="00061F01" w14:paraId="01763D6D" w14:textId="77777777">
        <w:trPr>
          <w:trHeight w:val="355"/>
          <w:jc w:val="center"/>
        </w:trPr>
        <w:tc>
          <w:tcPr>
            <w:tcW w:w="923" w:type="dxa"/>
            <w:tcBorders>
              <w:top w:val="nil"/>
              <w:left w:val="nil"/>
              <w:bottom w:val="nil"/>
              <w:right w:val="nil"/>
            </w:tcBorders>
            <w:shd w:val="clear" w:color="auto" w:fill="auto"/>
          </w:tcPr>
          <w:p w14:paraId="76556D82" w14:textId="77777777" w:rsidR="0039432C" w:rsidRPr="00061F01" w:rsidRDefault="0039432C" w:rsidP="00061F01">
            <w:pPr>
              <w:jc w:val="both"/>
              <w:rPr>
                <w:rFonts w:ascii="Arial" w:hAnsi="Arial"/>
                <w:b/>
                <w:bCs/>
                <w:sz w:val="28"/>
                <w:szCs w:val="28"/>
              </w:rPr>
            </w:pPr>
            <w:bookmarkStart w:id="1" w:name="FirstAppellant"/>
            <w:r w:rsidRPr="00061F01">
              <w:rPr>
                <w:rFonts w:ascii="Arial" w:hAnsi="Arial" w:hint="cs"/>
                <w:b/>
                <w:bCs/>
                <w:sz w:val="28"/>
                <w:szCs w:val="28"/>
                <w:rtl/>
              </w:rPr>
              <w:t>בעניין:</w:t>
            </w:r>
          </w:p>
        </w:tc>
        <w:tc>
          <w:tcPr>
            <w:tcW w:w="4126" w:type="dxa"/>
            <w:tcBorders>
              <w:top w:val="nil"/>
              <w:left w:val="nil"/>
              <w:bottom w:val="nil"/>
              <w:right w:val="nil"/>
            </w:tcBorders>
            <w:shd w:val="clear" w:color="auto" w:fill="auto"/>
          </w:tcPr>
          <w:p w14:paraId="46570EBC" w14:textId="77777777" w:rsidR="0039432C" w:rsidRPr="00061F01" w:rsidRDefault="0039432C" w:rsidP="00061F01">
            <w:pPr>
              <w:rPr>
                <w:b/>
                <w:bCs/>
              </w:rPr>
            </w:pPr>
            <w:r w:rsidRPr="00061F01">
              <w:rPr>
                <w:rFonts w:hint="cs"/>
                <w:b/>
                <w:bCs/>
                <w:rtl/>
              </w:rPr>
              <w:t>מדינת ישראל</w:t>
            </w:r>
          </w:p>
        </w:tc>
        <w:tc>
          <w:tcPr>
            <w:tcW w:w="3771" w:type="dxa"/>
            <w:tcBorders>
              <w:top w:val="nil"/>
              <w:left w:val="nil"/>
              <w:bottom w:val="nil"/>
              <w:right w:val="nil"/>
            </w:tcBorders>
            <w:shd w:val="clear" w:color="auto" w:fill="auto"/>
          </w:tcPr>
          <w:p w14:paraId="14DD1B8A" w14:textId="77777777" w:rsidR="0039432C" w:rsidRPr="00061F01" w:rsidRDefault="0039432C" w:rsidP="00061F01">
            <w:pPr>
              <w:jc w:val="both"/>
              <w:rPr>
                <w:rFonts w:ascii="Arial" w:hAnsi="Arial"/>
                <w:b/>
                <w:bCs/>
                <w:sz w:val="28"/>
                <w:szCs w:val="28"/>
              </w:rPr>
            </w:pPr>
          </w:p>
        </w:tc>
      </w:tr>
      <w:bookmarkEnd w:id="1"/>
      <w:tr w:rsidR="0039432C" w:rsidRPr="00061F01" w14:paraId="5009DA57" w14:textId="77777777">
        <w:trPr>
          <w:trHeight w:val="355"/>
          <w:jc w:val="center"/>
        </w:trPr>
        <w:tc>
          <w:tcPr>
            <w:tcW w:w="923" w:type="dxa"/>
            <w:tcBorders>
              <w:top w:val="nil"/>
              <w:left w:val="nil"/>
              <w:bottom w:val="nil"/>
              <w:right w:val="nil"/>
            </w:tcBorders>
            <w:shd w:val="clear" w:color="auto" w:fill="auto"/>
          </w:tcPr>
          <w:p w14:paraId="301F2C3B" w14:textId="77777777" w:rsidR="0039432C" w:rsidRPr="00061F01" w:rsidRDefault="0039432C" w:rsidP="00061F01">
            <w:pPr>
              <w:jc w:val="both"/>
              <w:rPr>
                <w:rFonts w:ascii="Arial" w:hAnsi="Arial"/>
                <w:b/>
                <w:bCs/>
                <w:sz w:val="28"/>
                <w:szCs w:val="28"/>
                <w:rtl/>
              </w:rPr>
            </w:pPr>
          </w:p>
        </w:tc>
        <w:tc>
          <w:tcPr>
            <w:tcW w:w="4126" w:type="dxa"/>
            <w:tcBorders>
              <w:top w:val="nil"/>
              <w:left w:val="nil"/>
              <w:bottom w:val="nil"/>
              <w:right w:val="nil"/>
            </w:tcBorders>
            <w:shd w:val="clear" w:color="auto" w:fill="auto"/>
          </w:tcPr>
          <w:p w14:paraId="36F09EAA" w14:textId="77777777" w:rsidR="0039432C" w:rsidRPr="00061F01" w:rsidRDefault="0039432C" w:rsidP="00061F01">
            <w:pPr>
              <w:jc w:val="both"/>
              <w:rPr>
                <w:b/>
                <w:bCs/>
                <w:rtl/>
              </w:rPr>
            </w:pPr>
          </w:p>
        </w:tc>
        <w:tc>
          <w:tcPr>
            <w:tcW w:w="3771" w:type="dxa"/>
            <w:tcBorders>
              <w:top w:val="nil"/>
              <w:left w:val="nil"/>
              <w:bottom w:val="nil"/>
              <w:right w:val="nil"/>
            </w:tcBorders>
            <w:shd w:val="clear" w:color="auto" w:fill="auto"/>
          </w:tcPr>
          <w:p w14:paraId="4803ACD2" w14:textId="77777777" w:rsidR="0039432C" w:rsidRPr="00061F01" w:rsidRDefault="0039432C" w:rsidP="00061F01">
            <w:pPr>
              <w:jc w:val="right"/>
              <w:rPr>
                <w:rFonts w:ascii="Arial" w:hAnsi="Arial"/>
                <w:b/>
                <w:bCs/>
                <w:sz w:val="28"/>
                <w:szCs w:val="28"/>
                <w:rtl/>
              </w:rPr>
            </w:pPr>
            <w:r w:rsidRPr="00061F01">
              <w:rPr>
                <w:rFonts w:ascii="Arial" w:hAnsi="Arial" w:hint="cs"/>
                <w:b/>
                <w:bCs/>
                <w:sz w:val="28"/>
                <w:szCs w:val="28"/>
                <w:rtl/>
              </w:rPr>
              <w:t>ה</w:t>
            </w:r>
            <w:r w:rsidRPr="00061F01">
              <w:rPr>
                <w:rFonts w:hint="cs"/>
                <w:b/>
                <w:bCs/>
                <w:rtl/>
              </w:rPr>
              <w:t>מאשימה</w:t>
            </w:r>
          </w:p>
        </w:tc>
      </w:tr>
      <w:tr w:rsidR="0039432C" w:rsidRPr="00061F01" w14:paraId="3E5A9F4E" w14:textId="77777777">
        <w:trPr>
          <w:trHeight w:val="355"/>
          <w:jc w:val="center"/>
        </w:trPr>
        <w:tc>
          <w:tcPr>
            <w:tcW w:w="923" w:type="dxa"/>
            <w:tcBorders>
              <w:top w:val="nil"/>
              <w:left w:val="nil"/>
              <w:bottom w:val="nil"/>
              <w:right w:val="nil"/>
            </w:tcBorders>
            <w:shd w:val="clear" w:color="auto" w:fill="auto"/>
          </w:tcPr>
          <w:p w14:paraId="250A2495" w14:textId="77777777" w:rsidR="0039432C" w:rsidRPr="00061F01" w:rsidRDefault="0039432C" w:rsidP="00061F01">
            <w:pPr>
              <w:jc w:val="both"/>
              <w:rPr>
                <w:rFonts w:ascii="Arial" w:hAnsi="Arial"/>
                <w:b/>
                <w:bCs/>
                <w:sz w:val="28"/>
                <w:szCs w:val="28"/>
                <w:rtl/>
              </w:rPr>
            </w:pPr>
          </w:p>
        </w:tc>
        <w:tc>
          <w:tcPr>
            <w:tcW w:w="7897" w:type="dxa"/>
            <w:gridSpan w:val="2"/>
            <w:tcBorders>
              <w:top w:val="nil"/>
              <w:left w:val="nil"/>
              <w:bottom w:val="nil"/>
              <w:right w:val="nil"/>
            </w:tcBorders>
            <w:shd w:val="clear" w:color="auto" w:fill="auto"/>
          </w:tcPr>
          <w:p w14:paraId="112A2DF7" w14:textId="77777777" w:rsidR="0039432C" w:rsidRPr="00061F01" w:rsidRDefault="0039432C" w:rsidP="00061F01">
            <w:pPr>
              <w:jc w:val="center"/>
              <w:rPr>
                <w:rFonts w:ascii="Arial" w:hAnsi="Arial"/>
                <w:b/>
                <w:bCs/>
                <w:sz w:val="28"/>
                <w:szCs w:val="28"/>
                <w:rtl/>
              </w:rPr>
            </w:pPr>
          </w:p>
          <w:p w14:paraId="1A321B4C" w14:textId="77777777" w:rsidR="0039432C" w:rsidRPr="00061F01" w:rsidRDefault="0039432C" w:rsidP="00061F01">
            <w:pPr>
              <w:jc w:val="center"/>
              <w:rPr>
                <w:rFonts w:ascii="Arial" w:hAnsi="Arial"/>
                <w:b/>
                <w:bCs/>
                <w:sz w:val="28"/>
                <w:szCs w:val="28"/>
                <w:rtl/>
              </w:rPr>
            </w:pPr>
            <w:r w:rsidRPr="00061F01">
              <w:rPr>
                <w:rFonts w:ascii="Arial" w:hAnsi="Arial"/>
                <w:b/>
                <w:bCs/>
                <w:sz w:val="28"/>
                <w:szCs w:val="28"/>
                <w:rtl/>
              </w:rPr>
              <w:t>נגד</w:t>
            </w:r>
          </w:p>
          <w:p w14:paraId="0F4DFFCA" w14:textId="77777777" w:rsidR="0039432C" w:rsidRPr="00061F01" w:rsidRDefault="0039432C" w:rsidP="00061F01">
            <w:pPr>
              <w:jc w:val="both"/>
              <w:rPr>
                <w:rFonts w:ascii="Arial" w:hAnsi="Arial"/>
                <w:b/>
                <w:bCs/>
                <w:sz w:val="28"/>
                <w:szCs w:val="28"/>
              </w:rPr>
            </w:pPr>
          </w:p>
        </w:tc>
      </w:tr>
      <w:tr w:rsidR="0039432C" w:rsidRPr="00061F01" w14:paraId="3769C448" w14:textId="77777777">
        <w:trPr>
          <w:trHeight w:val="355"/>
          <w:jc w:val="center"/>
        </w:trPr>
        <w:tc>
          <w:tcPr>
            <w:tcW w:w="923" w:type="dxa"/>
            <w:tcBorders>
              <w:top w:val="nil"/>
              <w:left w:val="nil"/>
              <w:bottom w:val="nil"/>
              <w:right w:val="nil"/>
            </w:tcBorders>
            <w:shd w:val="clear" w:color="auto" w:fill="auto"/>
          </w:tcPr>
          <w:p w14:paraId="359E52A5" w14:textId="77777777" w:rsidR="0039432C" w:rsidRPr="00061F01" w:rsidRDefault="0039432C" w:rsidP="00061F01">
            <w:pPr>
              <w:rPr>
                <w:rFonts w:ascii="Arial" w:hAnsi="Arial"/>
                <w:b/>
                <w:bCs/>
                <w:sz w:val="28"/>
                <w:szCs w:val="28"/>
                <w:rtl/>
              </w:rPr>
            </w:pPr>
          </w:p>
        </w:tc>
        <w:tc>
          <w:tcPr>
            <w:tcW w:w="4126" w:type="dxa"/>
            <w:tcBorders>
              <w:top w:val="nil"/>
              <w:left w:val="nil"/>
              <w:bottom w:val="nil"/>
              <w:right w:val="nil"/>
            </w:tcBorders>
            <w:shd w:val="clear" w:color="auto" w:fill="auto"/>
          </w:tcPr>
          <w:p w14:paraId="15D55F95" w14:textId="77777777" w:rsidR="0039432C" w:rsidRPr="00061F01" w:rsidRDefault="0039432C" w:rsidP="00061F01">
            <w:pPr>
              <w:rPr>
                <w:b/>
                <w:bCs/>
                <w:rtl/>
              </w:rPr>
            </w:pPr>
            <w:r w:rsidRPr="00061F01">
              <w:rPr>
                <w:rFonts w:hint="cs"/>
                <w:b/>
                <w:bCs/>
                <w:rtl/>
              </w:rPr>
              <w:t>דביר משה בוקריס (עציר)</w:t>
            </w:r>
          </w:p>
        </w:tc>
        <w:tc>
          <w:tcPr>
            <w:tcW w:w="3771" w:type="dxa"/>
            <w:tcBorders>
              <w:top w:val="nil"/>
              <w:left w:val="nil"/>
              <w:bottom w:val="nil"/>
              <w:right w:val="nil"/>
            </w:tcBorders>
            <w:shd w:val="clear" w:color="auto" w:fill="auto"/>
          </w:tcPr>
          <w:p w14:paraId="35C0903A" w14:textId="77777777" w:rsidR="0039432C" w:rsidRPr="00061F01" w:rsidRDefault="0039432C" w:rsidP="00061F01">
            <w:pPr>
              <w:jc w:val="right"/>
              <w:rPr>
                <w:rFonts w:ascii="Arial" w:hAnsi="Arial"/>
                <w:b/>
                <w:bCs/>
                <w:sz w:val="28"/>
                <w:szCs w:val="28"/>
              </w:rPr>
            </w:pPr>
          </w:p>
        </w:tc>
      </w:tr>
      <w:tr w:rsidR="0039432C" w:rsidRPr="00061F01" w14:paraId="4CB8945B" w14:textId="77777777">
        <w:trPr>
          <w:trHeight w:val="355"/>
          <w:jc w:val="center"/>
        </w:trPr>
        <w:tc>
          <w:tcPr>
            <w:tcW w:w="923" w:type="dxa"/>
            <w:tcBorders>
              <w:top w:val="nil"/>
              <w:left w:val="nil"/>
              <w:bottom w:val="nil"/>
              <w:right w:val="nil"/>
            </w:tcBorders>
            <w:shd w:val="clear" w:color="auto" w:fill="auto"/>
          </w:tcPr>
          <w:p w14:paraId="6F9BD55F" w14:textId="77777777" w:rsidR="0039432C" w:rsidRPr="00061F01" w:rsidRDefault="0039432C" w:rsidP="00061F01">
            <w:pPr>
              <w:jc w:val="both"/>
              <w:rPr>
                <w:rFonts w:ascii="Arial" w:hAnsi="Arial"/>
                <w:b/>
                <w:bCs/>
                <w:sz w:val="28"/>
                <w:szCs w:val="28"/>
                <w:rtl/>
              </w:rPr>
            </w:pPr>
          </w:p>
        </w:tc>
        <w:tc>
          <w:tcPr>
            <w:tcW w:w="4126" w:type="dxa"/>
            <w:tcBorders>
              <w:top w:val="nil"/>
              <w:left w:val="nil"/>
              <w:bottom w:val="nil"/>
              <w:right w:val="nil"/>
            </w:tcBorders>
            <w:shd w:val="clear" w:color="auto" w:fill="auto"/>
          </w:tcPr>
          <w:p w14:paraId="485587D6" w14:textId="77777777" w:rsidR="0039432C" w:rsidRPr="00061F01" w:rsidRDefault="0039432C" w:rsidP="00061F01">
            <w:pPr>
              <w:jc w:val="both"/>
              <w:rPr>
                <w:b/>
                <w:bCs/>
                <w:rtl/>
              </w:rPr>
            </w:pPr>
          </w:p>
        </w:tc>
        <w:tc>
          <w:tcPr>
            <w:tcW w:w="3771" w:type="dxa"/>
            <w:tcBorders>
              <w:top w:val="nil"/>
              <w:left w:val="nil"/>
              <w:bottom w:val="nil"/>
              <w:right w:val="nil"/>
            </w:tcBorders>
            <w:shd w:val="clear" w:color="auto" w:fill="auto"/>
          </w:tcPr>
          <w:p w14:paraId="1448ECFE" w14:textId="77777777" w:rsidR="0039432C" w:rsidRPr="00061F01" w:rsidRDefault="0039432C" w:rsidP="00061F01">
            <w:pPr>
              <w:jc w:val="right"/>
              <w:rPr>
                <w:rFonts w:ascii="Arial" w:hAnsi="Arial"/>
                <w:b/>
                <w:bCs/>
                <w:sz w:val="28"/>
                <w:szCs w:val="28"/>
              </w:rPr>
            </w:pPr>
            <w:r w:rsidRPr="00061F01">
              <w:rPr>
                <w:rFonts w:ascii="Arial" w:hAnsi="Arial" w:hint="cs"/>
                <w:b/>
                <w:bCs/>
                <w:sz w:val="28"/>
                <w:szCs w:val="28"/>
                <w:rtl/>
              </w:rPr>
              <w:t>ה</w:t>
            </w:r>
            <w:r w:rsidRPr="00061F01">
              <w:rPr>
                <w:rFonts w:hint="cs"/>
                <w:b/>
                <w:bCs/>
                <w:rtl/>
              </w:rPr>
              <w:t>נאשמים</w:t>
            </w:r>
          </w:p>
        </w:tc>
      </w:tr>
    </w:tbl>
    <w:p w14:paraId="602036DB" w14:textId="77777777" w:rsidR="0039432C" w:rsidRPr="00061F01" w:rsidRDefault="0039432C" w:rsidP="0039432C">
      <w:pPr>
        <w:rPr>
          <w:b/>
          <w:bCs/>
          <w:rtl/>
        </w:rPr>
      </w:pPr>
    </w:p>
    <w:p w14:paraId="4EE55A8E" w14:textId="77777777" w:rsidR="0039432C" w:rsidRPr="00061F01" w:rsidRDefault="0039432C" w:rsidP="0039432C">
      <w:pPr>
        <w:rPr>
          <w:rtl/>
        </w:rPr>
      </w:pPr>
      <w:r w:rsidRPr="00061F01">
        <w:rPr>
          <w:rFonts w:hint="cs"/>
          <w:rtl/>
        </w:rPr>
        <w:t>נוכחים:</w:t>
      </w:r>
    </w:p>
    <w:p w14:paraId="4FCFE21C" w14:textId="77777777" w:rsidR="0039432C" w:rsidRPr="00061F01" w:rsidRDefault="0039432C" w:rsidP="0039432C">
      <w:pPr>
        <w:rPr>
          <w:rtl/>
        </w:rPr>
      </w:pPr>
      <w:bookmarkStart w:id="2" w:name="FirstLawyer"/>
      <w:r w:rsidRPr="00061F01">
        <w:rPr>
          <w:rFonts w:hint="cs"/>
          <w:rtl/>
        </w:rPr>
        <w:t>ב"כ</w:t>
      </w:r>
      <w:bookmarkEnd w:id="2"/>
      <w:r w:rsidRPr="00061F01">
        <w:rPr>
          <w:rFonts w:hint="cs"/>
          <w:rtl/>
        </w:rPr>
        <w:t xml:space="preserve"> המאשימה: עו"ד עידן לוי</w:t>
      </w:r>
    </w:p>
    <w:p w14:paraId="752234EB" w14:textId="77777777" w:rsidR="0039432C" w:rsidRPr="00061F01" w:rsidRDefault="0039432C" w:rsidP="0039432C">
      <w:pPr>
        <w:rPr>
          <w:rtl/>
        </w:rPr>
      </w:pPr>
      <w:r w:rsidRPr="00061F01">
        <w:rPr>
          <w:rFonts w:hint="cs"/>
          <w:rtl/>
        </w:rPr>
        <w:t>הנאשם: הובא</w:t>
      </w:r>
    </w:p>
    <w:p w14:paraId="3C551907" w14:textId="77777777" w:rsidR="004850F2" w:rsidRDefault="0039432C" w:rsidP="00DC6A8C">
      <w:pPr>
        <w:spacing w:after="120" w:line="240" w:lineRule="exact"/>
        <w:ind w:left="283" w:hanging="283"/>
        <w:jc w:val="both"/>
        <w:rPr>
          <w:rtl/>
        </w:rPr>
      </w:pPr>
      <w:r w:rsidRPr="00061F01">
        <w:rPr>
          <w:rFonts w:hint="cs"/>
          <w:rtl/>
        </w:rPr>
        <w:t>ב"כ הנאשם: עו"ד לירן אוחיון מהסניגוריה הציבורי</w:t>
      </w:r>
      <w:bookmarkStart w:id="3" w:name="LawTable"/>
      <w:bookmarkEnd w:id="3"/>
    </w:p>
    <w:p w14:paraId="27ADEC8C" w14:textId="77777777" w:rsidR="004850F2" w:rsidRPr="004850F2" w:rsidRDefault="004850F2" w:rsidP="004850F2">
      <w:pPr>
        <w:spacing w:after="120" w:line="240" w:lineRule="exact"/>
        <w:ind w:left="283" w:hanging="283"/>
        <w:jc w:val="both"/>
        <w:rPr>
          <w:rFonts w:ascii="FrankRuehl" w:hAnsi="FrankRuehl" w:cs="FrankRuehl"/>
          <w:rtl/>
        </w:rPr>
      </w:pPr>
    </w:p>
    <w:p w14:paraId="565889E1" w14:textId="77777777" w:rsidR="004850F2" w:rsidRPr="004850F2" w:rsidRDefault="004850F2" w:rsidP="004850F2">
      <w:pPr>
        <w:spacing w:after="120" w:line="240" w:lineRule="exact"/>
        <w:ind w:left="283" w:hanging="283"/>
        <w:jc w:val="both"/>
        <w:rPr>
          <w:rFonts w:ascii="FrankRuehl" w:hAnsi="FrankRuehl" w:cs="FrankRuehl"/>
          <w:rtl/>
        </w:rPr>
      </w:pPr>
      <w:r w:rsidRPr="004850F2">
        <w:rPr>
          <w:rFonts w:ascii="FrankRuehl" w:hAnsi="FrankRuehl" w:cs="FrankRuehl"/>
          <w:rtl/>
        </w:rPr>
        <w:t xml:space="preserve">חקיקה שאוזכרה: </w:t>
      </w:r>
    </w:p>
    <w:p w14:paraId="1DAE6078" w14:textId="77777777" w:rsidR="004850F2" w:rsidRPr="004850F2" w:rsidRDefault="004850F2" w:rsidP="004850F2">
      <w:pPr>
        <w:spacing w:after="120" w:line="240" w:lineRule="exact"/>
        <w:ind w:left="283" w:hanging="283"/>
        <w:jc w:val="both"/>
        <w:rPr>
          <w:rFonts w:ascii="FrankRuehl" w:hAnsi="FrankRuehl" w:cs="FrankRuehl"/>
          <w:rtl/>
        </w:rPr>
      </w:pPr>
      <w:hyperlink r:id="rId7" w:history="1">
        <w:r w:rsidRPr="004850F2">
          <w:rPr>
            <w:rFonts w:ascii="FrankRuehl" w:hAnsi="FrankRuehl" w:cs="FrankRuehl"/>
            <w:color w:val="0000FF"/>
            <w:u w:val="single"/>
            <w:rtl/>
          </w:rPr>
          <w:t>פקודת הסמים המסוכנים [נוסח חדש], תשל"ג-1973</w:t>
        </w:r>
      </w:hyperlink>
      <w:r w:rsidRPr="004850F2">
        <w:rPr>
          <w:rFonts w:ascii="FrankRuehl" w:hAnsi="FrankRuehl" w:cs="FrankRuehl"/>
          <w:rtl/>
        </w:rPr>
        <w:t xml:space="preserve">: סע'  </w:t>
      </w:r>
      <w:hyperlink r:id="rId8" w:history="1">
        <w:r w:rsidRPr="004850F2">
          <w:rPr>
            <w:rFonts w:ascii="FrankRuehl" w:hAnsi="FrankRuehl" w:cs="FrankRuehl"/>
            <w:color w:val="0000FF"/>
            <w:u w:val="single"/>
            <w:rtl/>
          </w:rPr>
          <w:t>7(א)</w:t>
        </w:r>
      </w:hyperlink>
      <w:r w:rsidRPr="004850F2">
        <w:rPr>
          <w:rFonts w:ascii="FrankRuehl" w:hAnsi="FrankRuehl" w:cs="FrankRuehl"/>
          <w:rtl/>
        </w:rPr>
        <w:t xml:space="preserve">, </w:t>
      </w:r>
      <w:hyperlink r:id="rId9" w:history="1">
        <w:r w:rsidRPr="004850F2">
          <w:rPr>
            <w:rFonts w:ascii="FrankRuehl" w:hAnsi="FrankRuehl" w:cs="FrankRuehl"/>
            <w:color w:val="0000FF"/>
            <w:u w:val="single"/>
            <w:rtl/>
          </w:rPr>
          <w:t>7(ג)</w:t>
        </w:r>
      </w:hyperlink>
      <w:r w:rsidRPr="004850F2">
        <w:rPr>
          <w:rFonts w:ascii="FrankRuehl" w:hAnsi="FrankRuehl" w:cs="FrankRuehl"/>
          <w:rtl/>
        </w:rPr>
        <w:t xml:space="preserve">, </w:t>
      </w:r>
      <w:hyperlink r:id="rId10" w:history="1">
        <w:r w:rsidRPr="004850F2">
          <w:rPr>
            <w:rFonts w:ascii="FrankRuehl" w:hAnsi="FrankRuehl" w:cs="FrankRuehl"/>
            <w:color w:val="0000FF"/>
            <w:u w:val="single"/>
            <w:rtl/>
          </w:rPr>
          <w:t>13</w:t>
        </w:r>
      </w:hyperlink>
      <w:r w:rsidRPr="004850F2">
        <w:rPr>
          <w:rFonts w:ascii="FrankRuehl" w:hAnsi="FrankRuehl" w:cs="FrankRuehl"/>
          <w:rtl/>
        </w:rPr>
        <w:t xml:space="preserve">, </w:t>
      </w:r>
      <w:hyperlink r:id="rId11" w:history="1">
        <w:r w:rsidRPr="004850F2">
          <w:rPr>
            <w:rFonts w:ascii="FrankRuehl" w:hAnsi="FrankRuehl" w:cs="FrankRuehl"/>
            <w:color w:val="0000FF"/>
            <w:u w:val="single"/>
            <w:rtl/>
          </w:rPr>
          <w:t>14</w:t>
        </w:r>
      </w:hyperlink>
      <w:r w:rsidRPr="004850F2">
        <w:rPr>
          <w:rFonts w:ascii="FrankRuehl" w:hAnsi="FrankRuehl" w:cs="FrankRuehl"/>
          <w:rtl/>
        </w:rPr>
        <w:t xml:space="preserve">, </w:t>
      </w:r>
      <w:hyperlink r:id="rId12" w:history="1">
        <w:r w:rsidRPr="004850F2">
          <w:rPr>
            <w:rFonts w:ascii="FrankRuehl" w:hAnsi="FrankRuehl" w:cs="FrankRuehl"/>
            <w:color w:val="0000FF"/>
            <w:u w:val="single"/>
            <w:rtl/>
          </w:rPr>
          <w:t>19א</w:t>
        </w:r>
      </w:hyperlink>
    </w:p>
    <w:p w14:paraId="45B7AC5E" w14:textId="77777777" w:rsidR="004850F2" w:rsidRPr="004850F2" w:rsidRDefault="004850F2" w:rsidP="004850F2">
      <w:pPr>
        <w:spacing w:after="120" w:line="240" w:lineRule="exact"/>
        <w:ind w:left="283" w:hanging="283"/>
        <w:jc w:val="both"/>
        <w:rPr>
          <w:rFonts w:ascii="FrankRuehl" w:hAnsi="FrankRuehl" w:cs="FrankRuehl"/>
          <w:rtl/>
        </w:rPr>
      </w:pPr>
      <w:hyperlink r:id="rId13" w:history="1">
        <w:r w:rsidRPr="004850F2">
          <w:rPr>
            <w:rFonts w:ascii="FrankRuehl" w:hAnsi="FrankRuehl" w:cs="FrankRuehl"/>
            <w:color w:val="0000FF"/>
            <w:u w:val="single"/>
            <w:rtl/>
          </w:rPr>
          <w:t>חוק העונשין, תשל"ז-1977</w:t>
        </w:r>
      </w:hyperlink>
      <w:r w:rsidRPr="004850F2">
        <w:rPr>
          <w:rFonts w:ascii="FrankRuehl" w:hAnsi="FrankRuehl" w:cs="FrankRuehl"/>
          <w:rtl/>
        </w:rPr>
        <w:t xml:space="preserve">: סע'  </w:t>
      </w:r>
      <w:hyperlink r:id="rId14" w:history="1">
        <w:r w:rsidRPr="004850F2">
          <w:rPr>
            <w:rFonts w:ascii="FrankRuehl" w:hAnsi="FrankRuehl" w:cs="FrankRuehl"/>
            <w:color w:val="0000FF"/>
            <w:u w:val="single"/>
            <w:rtl/>
          </w:rPr>
          <w:t>40ט</w:t>
        </w:r>
      </w:hyperlink>
      <w:r w:rsidRPr="004850F2">
        <w:rPr>
          <w:rFonts w:ascii="FrankRuehl" w:hAnsi="FrankRuehl" w:cs="FrankRuehl"/>
          <w:rtl/>
        </w:rPr>
        <w:t xml:space="preserve">, </w:t>
      </w:r>
      <w:hyperlink r:id="rId15" w:history="1">
        <w:r w:rsidRPr="004850F2">
          <w:rPr>
            <w:rFonts w:ascii="FrankRuehl" w:hAnsi="FrankRuehl" w:cs="FrankRuehl"/>
            <w:color w:val="0000FF"/>
            <w:u w:val="single"/>
            <w:rtl/>
          </w:rPr>
          <w:t>40ט'(א)(2)</w:t>
        </w:r>
      </w:hyperlink>
      <w:r w:rsidRPr="004850F2">
        <w:rPr>
          <w:rFonts w:ascii="FrankRuehl" w:hAnsi="FrankRuehl" w:cs="FrankRuehl"/>
          <w:rtl/>
        </w:rPr>
        <w:t xml:space="preserve">, </w:t>
      </w:r>
      <w:hyperlink r:id="rId16" w:history="1">
        <w:r w:rsidRPr="004850F2">
          <w:rPr>
            <w:rFonts w:ascii="FrankRuehl" w:hAnsi="FrankRuehl" w:cs="FrankRuehl"/>
            <w:color w:val="0000FF"/>
            <w:u w:val="single"/>
            <w:rtl/>
          </w:rPr>
          <w:t>45</w:t>
        </w:r>
      </w:hyperlink>
      <w:r w:rsidRPr="004850F2">
        <w:rPr>
          <w:rFonts w:ascii="FrankRuehl" w:hAnsi="FrankRuehl" w:cs="FrankRuehl"/>
          <w:rtl/>
        </w:rPr>
        <w:t xml:space="preserve">, </w:t>
      </w:r>
      <w:hyperlink r:id="rId17" w:history="1">
        <w:r w:rsidRPr="004850F2">
          <w:rPr>
            <w:rFonts w:ascii="FrankRuehl" w:hAnsi="FrankRuehl" w:cs="FrankRuehl"/>
            <w:color w:val="0000FF"/>
            <w:u w:val="single"/>
            <w:rtl/>
          </w:rPr>
          <w:t>244</w:t>
        </w:r>
      </w:hyperlink>
      <w:r w:rsidRPr="004850F2">
        <w:rPr>
          <w:rFonts w:ascii="FrankRuehl" w:hAnsi="FrankRuehl" w:cs="FrankRuehl"/>
          <w:rtl/>
        </w:rPr>
        <w:t xml:space="preserve">, </w:t>
      </w:r>
      <w:hyperlink r:id="rId18" w:history="1">
        <w:r w:rsidRPr="004850F2">
          <w:rPr>
            <w:rFonts w:ascii="FrankRuehl" w:hAnsi="FrankRuehl" w:cs="FrankRuehl"/>
            <w:color w:val="0000FF"/>
            <w:u w:val="single"/>
            <w:rtl/>
          </w:rPr>
          <w:t>287(א)</w:t>
        </w:r>
      </w:hyperlink>
      <w:r w:rsidRPr="004850F2">
        <w:rPr>
          <w:rFonts w:ascii="FrankRuehl" w:hAnsi="FrankRuehl" w:cs="FrankRuehl"/>
          <w:rtl/>
        </w:rPr>
        <w:t xml:space="preserve">, </w:t>
      </w:r>
      <w:hyperlink r:id="rId19" w:history="1">
        <w:r w:rsidRPr="004850F2">
          <w:rPr>
            <w:rFonts w:ascii="FrankRuehl" w:hAnsi="FrankRuehl" w:cs="FrankRuehl"/>
            <w:color w:val="0000FF"/>
            <w:u w:val="single"/>
            <w:rtl/>
          </w:rPr>
          <w:t>40יא'</w:t>
        </w:r>
      </w:hyperlink>
      <w:r w:rsidRPr="004850F2">
        <w:rPr>
          <w:rFonts w:ascii="FrankRuehl" w:hAnsi="FrankRuehl" w:cs="FrankRuehl"/>
          <w:rtl/>
        </w:rPr>
        <w:t xml:space="preserve">, </w:t>
      </w:r>
      <w:hyperlink r:id="rId20" w:history="1">
        <w:r w:rsidRPr="004850F2">
          <w:rPr>
            <w:rFonts w:ascii="FrankRuehl" w:hAnsi="FrankRuehl" w:cs="FrankRuehl"/>
            <w:color w:val="0000FF"/>
            <w:u w:val="single"/>
            <w:rtl/>
          </w:rPr>
          <w:t>40יג'</w:t>
        </w:r>
      </w:hyperlink>
      <w:r w:rsidRPr="004850F2">
        <w:rPr>
          <w:rFonts w:ascii="FrankRuehl" w:hAnsi="FrankRuehl" w:cs="FrankRuehl"/>
          <w:rtl/>
        </w:rPr>
        <w:t xml:space="preserve">, </w:t>
      </w:r>
      <w:hyperlink r:id="rId21" w:history="1">
        <w:r w:rsidRPr="004850F2">
          <w:rPr>
            <w:rFonts w:ascii="FrankRuehl" w:hAnsi="FrankRuehl" w:cs="FrankRuehl"/>
            <w:color w:val="0000FF"/>
            <w:u w:val="single"/>
            <w:rtl/>
          </w:rPr>
          <w:t>40יג(ב)</w:t>
        </w:r>
      </w:hyperlink>
    </w:p>
    <w:p w14:paraId="325C64A5" w14:textId="77777777" w:rsidR="004850F2" w:rsidRPr="004850F2" w:rsidRDefault="004850F2" w:rsidP="004850F2">
      <w:pPr>
        <w:spacing w:after="120" w:line="240" w:lineRule="exact"/>
        <w:ind w:left="283" w:hanging="283"/>
        <w:jc w:val="both"/>
        <w:rPr>
          <w:rFonts w:ascii="FrankRuehl" w:hAnsi="FrankRuehl" w:cs="FrankRuehl"/>
          <w:rtl/>
        </w:rPr>
      </w:pPr>
    </w:p>
    <w:p w14:paraId="1D8DE742" w14:textId="77777777" w:rsidR="004850F2" w:rsidRPr="004850F2" w:rsidRDefault="004850F2" w:rsidP="00DC6A8C">
      <w:pPr>
        <w:spacing w:after="120" w:line="240" w:lineRule="exact"/>
        <w:ind w:left="283" w:hanging="283"/>
        <w:jc w:val="both"/>
        <w:rPr>
          <w:rtl/>
        </w:rPr>
      </w:pPr>
      <w:bookmarkStart w:id="4" w:name="LawTable_End"/>
      <w:bookmarkEnd w:id="4"/>
    </w:p>
    <w:p w14:paraId="67ED963B" w14:textId="77777777" w:rsidR="004850F2" w:rsidRPr="004850F2" w:rsidRDefault="004850F2" w:rsidP="00DC6A8C">
      <w:pPr>
        <w:spacing w:after="120" w:line="240" w:lineRule="exact"/>
        <w:ind w:left="283" w:hanging="283"/>
        <w:jc w:val="both"/>
        <w:rPr>
          <w:rtl/>
        </w:rPr>
      </w:pPr>
    </w:p>
    <w:p w14:paraId="20A94BAC" w14:textId="77777777" w:rsidR="00DC6A8C" w:rsidRPr="00DC6A8C" w:rsidRDefault="0039432C" w:rsidP="00DC6A8C">
      <w:pPr>
        <w:spacing w:after="120" w:line="240" w:lineRule="exact"/>
        <w:ind w:left="283" w:hanging="283"/>
        <w:jc w:val="both"/>
        <w:rPr>
          <w:rFonts w:ascii="FrankRuehl" w:hAnsi="FrankRuehl" w:cs="FrankRuehl"/>
          <w:rtl/>
        </w:rPr>
      </w:pPr>
      <w:r w:rsidRPr="004850F2">
        <w:rPr>
          <w:rFonts w:hint="cs"/>
          <w:rtl/>
        </w:rPr>
        <w:t>ת</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9432C" w14:paraId="471694D1" w14:textId="77777777">
        <w:trPr>
          <w:trHeight w:val="355"/>
          <w:jc w:val="center"/>
        </w:trPr>
        <w:tc>
          <w:tcPr>
            <w:tcW w:w="8820" w:type="dxa"/>
            <w:tcBorders>
              <w:top w:val="nil"/>
              <w:left w:val="nil"/>
              <w:bottom w:val="nil"/>
              <w:right w:val="nil"/>
            </w:tcBorders>
            <w:shd w:val="clear" w:color="auto" w:fill="auto"/>
          </w:tcPr>
          <w:p w14:paraId="19C8D117" w14:textId="77777777" w:rsidR="00061F01" w:rsidRPr="00061F01" w:rsidRDefault="00061F01" w:rsidP="00061F01">
            <w:pPr>
              <w:jc w:val="center"/>
              <w:rPr>
                <w:rFonts w:ascii="Arial" w:hAnsi="Arial"/>
                <w:b/>
                <w:bCs/>
                <w:sz w:val="32"/>
                <w:szCs w:val="32"/>
                <w:u w:val="single"/>
                <w:rtl/>
              </w:rPr>
            </w:pPr>
            <w:bookmarkStart w:id="5" w:name="PsakDin" w:colFirst="0" w:colLast="0"/>
            <w:bookmarkEnd w:id="0"/>
            <w:r w:rsidRPr="00061F01">
              <w:rPr>
                <w:rFonts w:ascii="Arial" w:hAnsi="Arial"/>
                <w:b/>
                <w:bCs/>
                <w:sz w:val="32"/>
                <w:szCs w:val="32"/>
                <w:u w:val="single"/>
                <w:rtl/>
              </w:rPr>
              <w:t>גזר דין</w:t>
            </w:r>
          </w:p>
          <w:p w14:paraId="480A1D65" w14:textId="77777777" w:rsidR="0039432C" w:rsidRPr="00061F01" w:rsidRDefault="0039432C" w:rsidP="00061F01">
            <w:pPr>
              <w:jc w:val="center"/>
              <w:rPr>
                <w:rFonts w:ascii="Arial" w:hAnsi="Arial"/>
                <w:bCs/>
                <w:sz w:val="32"/>
                <w:szCs w:val="32"/>
                <w:u w:val="single"/>
                <w:rtl/>
              </w:rPr>
            </w:pPr>
          </w:p>
        </w:tc>
      </w:tr>
      <w:bookmarkEnd w:id="5"/>
    </w:tbl>
    <w:p w14:paraId="4857E9B2" w14:textId="77777777" w:rsidR="0039432C" w:rsidRDefault="0039432C" w:rsidP="0039432C">
      <w:pPr>
        <w:rPr>
          <w:rFonts w:ascii="Arial" w:hAnsi="Arial"/>
          <w:rtl/>
        </w:rPr>
      </w:pPr>
    </w:p>
    <w:p w14:paraId="6FAD2E59" w14:textId="77777777" w:rsidR="0039432C" w:rsidRPr="00B05847" w:rsidRDefault="0039432C" w:rsidP="0039432C">
      <w:pPr>
        <w:rPr>
          <w:rFonts w:ascii="Arial" w:hAnsi="Arial"/>
          <w:rtl/>
        </w:rPr>
      </w:pPr>
    </w:p>
    <w:p w14:paraId="61D8009E" w14:textId="77777777" w:rsidR="0039432C" w:rsidRPr="00722E03" w:rsidRDefault="0039432C" w:rsidP="0039432C">
      <w:pPr>
        <w:rPr>
          <w:rFonts w:ascii="Arial" w:hAnsi="Arial"/>
          <w:b/>
          <w:bCs/>
          <w:rtl/>
        </w:rPr>
      </w:pPr>
      <w:r w:rsidRPr="00722E03">
        <w:rPr>
          <w:rFonts w:ascii="Arial" w:hAnsi="Arial" w:hint="cs"/>
          <w:b/>
          <w:bCs/>
          <w:rtl/>
        </w:rPr>
        <w:t>הכרעת הדין</w:t>
      </w:r>
    </w:p>
    <w:p w14:paraId="369CAA01" w14:textId="77777777" w:rsidR="0039432C" w:rsidRPr="00B05847" w:rsidRDefault="0039432C" w:rsidP="0039432C">
      <w:pPr>
        <w:rPr>
          <w:rFonts w:ascii="Arial" w:hAnsi="Arial"/>
          <w:rtl/>
        </w:rPr>
      </w:pPr>
    </w:p>
    <w:p w14:paraId="3332C4D3" w14:textId="77777777" w:rsidR="0039432C" w:rsidRDefault="0039432C" w:rsidP="0039432C">
      <w:pPr>
        <w:pStyle w:val="ListParagraph"/>
        <w:numPr>
          <w:ilvl w:val="0"/>
          <w:numId w:val="1"/>
        </w:numPr>
        <w:spacing w:line="360" w:lineRule="auto"/>
        <w:jc w:val="both"/>
        <w:rPr>
          <w:rFonts w:ascii="Arial" w:hAnsi="Arial"/>
        </w:rPr>
      </w:pPr>
      <w:bookmarkStart w:id="6" w:name="ABSTRACT_START"/>
      <w:bookmarkEnd w:id="6"/>
      <w:r>
        <w:rPr>
          <w:rFonts w:ascii="Arial" w:hAnsi="Arial" w:hint="cs"/>
          <w:rtl/>
        </w:rPr>
        <w:t xml:space="preserve">בהכרעת דין מפורטת הורשע הנאשם במספר עבירות בגדרי כתב אישום שכלל שלושה אישומים לפי הפירוט דלקמן: </w:t>
      </w:r>
    </w:p>
    <w:p w14:paraId="3DB5B209" w14:textId="77777777" w:rsidR="0039432C" w:rsidRPr="00405848" w:rsidRDefault="0039432C" w:rsidP="0039432C">
      <w:pPr>
        <w:pStyle w:val="ListParagraph"/>
        <w:spacing w:line="360" w:lineRule="auto"/>
        <w:ind w:left="567"/>
        <w:jc w:val="both"/>
        <w:rPr>
          <w:rFonts w:ascii="Arial" w:hAnsi="Arial"/>
        </w:rPr>
      </w:pPr>
    </w:p>
    <w:p w14:paraId="7E7BE5DF" w14:textId="77777777" w:rsidR="0039432C" w:rsidRDefault="0039432C" w:rsidP="0039432C">
      <w:pPr>
        <w:pStyle w:val="ListParagraph"/>
        <w:spacing w:line="360" w:lineRule="auto"/>
        <w:ind w:left="567"/>
        <w:jc w:val="both"/>
        <w:rPr>
          <w:rFonts w:ascii="Arial" w:hAnsi="Arial"/>
          <w:rtl/>
        </w:rPr>
      </w:pPr>
      <w:r>
        <w:rPr>
          <w:rFonts w:ascii="Arial" w:hAnsi="Arial" w:hint="cs"/>
          <w:rtl/>
        </w:rPr>
        <w:t>על פי עובדות ה</w:t>
      </w:r>
      <w:r w:rsidRPr="00BA13B0">
        <w:rPr>
          <w:rFonts w:ascii="Arial" w:hAnsi="Arial" w:hint="cs"/>
          <w:b/>
          <w:bCs/>
          <w:rtl/>
        </w:rPr>
        <w:t>אישום הראשון</w:t>
      </w:r>
      <w:r>
        <w:rPr>
          <w:rFonts w:ascii="Arial" w:hAnsi="Arial" w:hint="cs"/>
          <w:rtl/>
        </w:rPr>
        <w:t xml:space="preserve"> ביום 28.3.2016 בסמוך לשעה 14:10 התקשר שוטר שפעל כסוכן (להלן: </w:t>
      </w:r>
      <w:r>
        <w:rPr>
          <w:rFonts w:ascii="Arial" w:hAnsi="Arial" w:hint="cs"/>
          <w:b/>
          <w:bCs/>
          <w:rtl/>
        </w:rPr>
        <w:t>הסוכן</w:t>
      </w:r>
      <w:r>
        <w:rPr>
          <w:rFonts w:ascii="Arial" w:hAnsi="Arial" w:hint="cs"/>
          <w:rtl/>
        </w:rPr>
        <w:t xml:space="preserve">) אל הנאשם, שבינו לבין הנאשם אין היכרות קודמת,  ושאל אותו אם ביכולתו לספק לו "אחד", כשהוא מתכוון לסם מסוכן מסוג חשיש. בתגובה ענה הנאשם </w:t>
      </w:r>
      <w:r>
        <w:rPr>
          <w:rFonts w:ascii="Arial" w:hAnsi="Arial" w:hint="cs"/>
          <w:rtl/>
        </w:rPr>
        <w:lastRenderedPageBreak/>
        <w:t xml:space="preserve">בחיוב, והשניים סיכמו להיפגש במקום מפגש בנהריה. לאחר כשעה, הגיע הנאשם רגלית למקם המפגש, או אז מסר הנאשם לסוכן סם מסוכן מסוג חשיש במשקל 1.57 גרם נטו, ובתמורה קיבל מהסוכן סכום של 100 ₪ עבור הסם. בגין מעשים אלו הורשע הנאשם בעבירה של יצוא, יבוא, מסחר, והספקת סמים מסוכנים לפי </w:t>
      </w:r>
      <w:hyperlink r:id="rId22" w:history="1">
        <w:r w:rsidR="00DC6A8C" w:rsidRPr="00DC6A8C">
          <w:rPr>
            <w:rFonts w:ascii="Arial" w:hAnsi="Arial"/>
            <w:color w:val="0000FF"/>
            <w:u w:val="single"/>
            <w:rtl/>
          </w:rPr>
          <w:t>סעיף 14</w:t>
        </w:r>
      </w:hyperlink>
      <w:r>
        <w:rPr>
          <w:rFonts w:ascii="Arial" w:hAnsi="Arial" w:hint="cs"/>
          <w:rtl/>
        </w:rPr>
        <w:t xml:space="preserve"> בשילוב </w:t>
      </w:r>
      <w:hyperlink r:id="rId23" w:history="1">
        <w:r w:rsidR="00DC6A8C" w:rsidRPr="00DC6A8C">
          <w:rPr>
            <w:rFonts w:ascii="Arial" w:hAnsi="Arial"/>
            <w:color w:val="0000FF"/>
            <w:u w:val="single"/>
            <w:rtl/>
          </w:rPr>
          <w:t>סעיף 19א</w:t>
        </w:r>
      </w:hyperlink>
      <w:r>
        <w:rPr>
          <w:rFonts w:ascii="Arial" w:hAnsi="Arial" w:hint="cs"/>
          <w:rtl/>
        </w:rPr>
        <w:t xml:space="preserve"> ל</w:t>
      </w:r>
      <w:hyperlink r:id="rId24" w:history="1">
        <w:r w:rsidR="00061F01" w:rsidRPr="00061F01">
          <w:rPr>
            <w:rFonts w:ascii="Arial" w:hAnsi="Arial"/>
            <w:color w:val="0000FF"/>
            <w:u w:val="single"/>
            <w:rtl/>
          </w:rPr>
          <w:t>פקודת הסמים המסוכנים</w:t>
        </w:r>
      </w:hyperlink>
      <w:r>
        <w:rPr>
          <w:rFonts w:ascii="Arial" w:hAnsi="Arial" w:hint="cs"/>
          <w:rtl/>
        </w:rPr>
        <w:t xml:space="preserve"> [נוסח חדש] התשל"ג-1973 (להלן: </w:t>
      </w:r>
      <w:r>
        <w:rPr>
          <w:rFonts w:ascii="Arial" w:hAnsi="Arial" w:hint="cs"/>
          <w:b/>
          <w:bCs/>
          <w:rtl/>
        </w:rPr>
        <w:t>פקודת הסמים המסוכנים</w:t>
      </w:r>
      <w:r>
        <w:rPr>
          <w:rFonts w:ascii="Arial" w:hAnsi="Arial" w:hint="cs"/>
          <w:rtl/>
        </w:rPr>
        <w:t>).</w:t>
      </w:r>
    </w:p>
    <w:p w14:paraId="722E9DB6" w14:textId="77777777" w:rsidR="0039432C" w:rsidRDefault="0039432C" w:rsidP="0039432C">
      <w:pPr>
        <w:pStyle w:val="ListParagraph"/>
        <w:spacing w:line="360" w:lineRule="auto"/>
        <w:ind w:left="567"/>
        <w:jc w:val="both"/>
        <w:rPr>
          <w:rFonts w:ascii="Arial" w:hAnsi="Arial"/>
          <w:rtl/>
        </w:rPr>
      </w:pPr>
      <w:bookmarkStart w:id="7" w:name="ABSTRACT_END"/>
      <w:bookmarkEnd w:id="7"/>
    </w:p>
    <w:p w14:paraId="01653925" w14:textId="77777777" w:rsidR="0039432C" w:rsidRDefault="0039432C" w:rsidP="0039432C">
      <w:pPr>
        <w:pStyle w:val="ListParagraph"/>
        <w:spacing w:line="360" w:lineRule="auto"/>
        <w:ind w:left="567"/>
        <w:jc w:val="both"/>
        <w:rPr>
          <w:rFonts w:ascii="Arial" w:hAnsi="Arial"/>
          <w:rtl/>
        </w:rPr>
      </w:pPr>
      <w:r>
        <w:rPr>
          <w:rFonts w:ascii="Arial" w:hAnsi="Arial" w:hint="cs"/>
          <w:rtl/>
        </w:rPr>
        <w:t xml:space="preserve">על פי עובדות </w:t>
      </w:r>
      <w:r w:rsidRPr="00BA13B0">
        <w:rPr>
          <w:rFonts w:ascii="Arial" w:hAnsi="Arial" w:hint="cs"/>
          <w:b/>
          <w:bCs/>
          <w:rtl/>
        </w:rPr>
        <w:t>האישום השני</w:t>
      </w:r>
      <w:r>
        <w:rPr>
          <w:rFonts w:ascii="Arial" w:hAnsi="Arial" w:hint="cs"/>
          <w:rtl/>
        </w:rPr>
        <w:t xml:space="preserve"> ביום 29.3.2016 במסגרת </w:t>
      </w:r>
      <w:hyperlink r:id="rId25" w:history="1">
        <w:r w:rsidR="00061F01" w:rsidRPr="00061F01">
          <w:rPr>
            <w:rFonts w:ascii="Arial" w:hAnsi="Arial"/>
            <w:color w:val="0000FF"/>
            <w:u w:val="single"/>
            <w:rtl/>
          </w:rPr>
          <w:t>ת"פ 39346-03-14</w:t>
        </w:r>
      </w:hyperlink>
      <w:r>
        <w:rPr>
          <w:rFonts w:ascii="Arial" w:hAnsi="Arial" w:hint="cs"/>
          <w:rtl/>
        </w:rPr>
        <w:t xml:space="preserve"> נקבע על ידי בית משפט זה כי הנאשם יהיה נתון במעצר בית מלא בבית הוריו בנהריה וזאת עד ליום 1.5.2016. ביום 30.3.2016 בסמוך לשעה 14:45 עזב הנאשם את מקום מעצר הבית עד שנעצר על ידי המשטרה בשעה 16:10 בנהריה, ובכך הפר את ההוראה החוקית שניתנה על ידי בית המשפט. לפיכך, הורשע הנאשם בעבירה של הפרת הוראה חוקית לפי </w:t>
      </w:r>
      <w:hyperlink r:id="rId26" w:history="1">
        <w:r w:rsidR="00DC6A8C" w:rsidRPr="00DC6A8C">
          <w:rPr>
            <w:rFonts w:ascii="Arial" w:hAnsi="Arial"/>
            <w:color w:val="0000FF"/>
            <w:u w:val="single"/>
            <w:rtl/>
          </w:rPr>
          <w:t>סעיף 287(א)</w:t>
        </w:r>
      </w:hyperlink>
      <w:r>
        <w:rPr>
          <w:rFonts w:ascii="Arial" w:hAnsi="Arial" w:hint="cs"/>
          <w:rtl/>
        </w:rPr>
        <w:t xml:space="preserve"> ל</w:t>
      </w:r>
      <w:hyperlink r:id="rId27" w:history="1">
        <w:r w:rsidR="00061F01" w:rsidRPr="00061F01">
          <w:rPr>
            <w:rFonts w:ascii="Arial" w:hAnsi="Arial"/>
            <w:color w:val="0000FF"/>
            <w:u w:val="single"/>
            <w:rtl/>
          </w:rPr>
          <w:t>חוק העונשין</w:t>
        </w:r>
      </w:hyperlink>
      <w:r>
        <w:rPr>
          <w:rFonts w:ascii="Arial" w:hAnsi="Arial" w:hint="cs"/>
          <w:rtl/>
        </w:rPr>
        <w:t xml:space="preserve">, התשל"ז-1977 (להלן: </w:t>
      </w:r>
      <w:r>
        <w:rPr>
          <w:rFonts w:ascii="Arial" w:hAnsi="Arial" w:hint="cs"/>
          <w:b/>
          <w:bCs/>
          <w:rtl/>
        </w:rPr>
        <w:t>חוק העונשין</w:t>
      </w:r>
      <w:r>
        <w:rPr>
          <w:rFonts w:ascii="Arial" w:hAnsi="Arial" w:hint="cs"/>
          <w:rtl/>
        </w:rPr>
        <w:t>).</w:t>
      </w:r>
    </w:p>
    <w:p w14:paraId="234DF4D2" w14:textId="77777777" w:rsidR="0039432C" w:rsidRDefault="0039432C" w:rsidP="0039432C">
      <w:pPr>
        <w:pStyle w:val="ListParagraph"/>
        <w:spacing w:line="360" w:lineRule="auto"/>
        <w:ind w:left="567"/>
        <w:jc w:val="both"/>
        <w:rPr>
          <w:rFonts w:ascii="Arial" w:hAnsi="Arial"/>
          <w:rtl/>
        </w:rPr>
      </w:pPr>
    </w:p>
    <w:p w14:paraId="00B5CE7F" w14:textId="77777777" w:rsidR="0039432C" w:rsidRDefault="0039432C" w:rsidP="0039432C">
      <w:pPr>
        <w:pStyle w:val="ListParagraph"/>
        <w:spacing w:line="360" w:lineRule="auto"/>
        <w:ind w:left="567"/>
        <w:jc w:val="both"/>
        <w:rPr>
          <w:rFonts w:ascii="Arial" w:hAnsi="Arial"/>
          <w:rtl/>
        </w:rPr>
      </w:pPr>
      <w:r>
        <w:rPr>
          <w:rFonts w:ascii="Arial" w:hAnsi="Arial" w:hint="cs"/>
          <w:rtl/>
        </w:rPr>
        <w:t xml:space="preserve">על פי </w:t>
      </w:r>
      <w:r w:rsidRPr="00BA13B0">
        <w:rPr>
          <w:rFonts w:ascii="Arial" w:hAnsi="Arial" w:hint="cs"/>
          <w:b/>
          <w:bCs/>
          <w:rtl/>
        </w:rPr>
        <w:t>האישום השלישי</w:t>
      </w:r>
      <w:r>
        <w:rPr>
          <w:rFonts w:ascii="Arial" w:hAnsi="Arial" w:hint="cs"/>
          <w:rtl/>
        </w:rPr>
        <w:t xml:space="preserve"> ביום 30.3.2016 בסמוך לשעה 13:47 התקשר הסוכן לטלפון הנייד של הנאשם, ושאל אותו אם ביכולתו לספק "שתיים יפים" כשהוא מתכוון לסם מסוכן מסוג חשיש, בתגובה ענה הנאשם בחיוב. השניים סיכמו להיפגש במקום המפגש. לאחר כשעתיים, הגיע הנאשם רגלית למקום המפגש, או אז ובתוך חדר מדרגות של אחד הבניינים בסמוך למקום המפגש, מסר הנאשם לסוכן סם מסוכן מסוג חשיש במשקל 3.09 גרם נטו ובתמורה קיבל מהסוכן  200 ₪ עבור הסם. באותו מעמד, גם החזיק הנאשם סם מסוכן מסוג חשיש במשקל 3.15 גרם נטו לצריכתו העצמית. מיד לאחר מסירת הסמים לסוכן, ולאחר ששוטר אחר הודיע לנאשם על מעצרו, עשה הנאשם מעשה בכוונה למנוע או להכשיל הליך שיפוטי או להביא לידי עיוות דין, בכך שזרק על הרצפה את הכסף שקיבל מן השוטר ואת הסמים שהחזיק. בגין מעשים אלו, הורשע הנאשם בביצוע עבירות של יצוא, יבוא, מסחר והספקת סמים מסוכנים לפי </w:t>
      </w:r>
      <w:hyperlink r:id="rId28" w:history="1">
        <w:r w:rsidR="00DC6A8C" w:rsidRPr="00DC6A8C">
          <w:rPr>
            <w:rFonts w:ascii="Arial" w:hAnsi="Arial"/>
            <w:color w:val="0000FF"/>
            <w:u w:val="single"/>
            <w:rtl/>
          </w:rPr>
          <w:t>סעיף 13</w:t>
        </w:r>
      </w:hyperlink>
      <w:r>
        <w:rPr>
          <w:rFonts w:ascii="Arial" w:hAnsi="Arial" w:hint="cs"/>
          <w:rtl/>
        </w:rPr>
        <w:t xml:space="preserve"> בשילוב </w:t>
      </w:r>
      <w:hyperlink r:id="rId29" w:history="1">
        <w:r w:rsidR="00DC6A8C" w:rsidRPr="00DC6A8C">
          <w:rPr>
            <w:rFonts w:ascii="Arial" w:hAnsi="Arial"/>
            <w:color w:val="0000FF"/>
            <w:u w:val="single"/>
            <w:rtl/>
          </w:rPr>
          <w:t>סעיף 19א</w:t>
        </w:r>
      </w:hyperlink>
      <w:r>
        <w:rPr>
          <w:rFonts w:ascii="Arial" w:hAnsi="Arial" w:hint="cs"/>
          <w:rtl/>
        </w:rPr>
        <w:t xml:space="preserve"> ל</w:t>
      </w:r>
      <w:hyperlink r:id="rId30" w:history="1">
        <w:r w:rsidR="00061F01" w:rsidRPr="00061F01">
          <w:rPr>
            <w:rFonts w:ascii="Arial" w:hAnsi="Arial"/>
            <w:color w:val="0000FF"/>
            <w:u w:val="single"/>
            <w:rtl/>
          </w:rPr>
          <w:t>פקודת הסמים המסוכנים</w:t>
        </w:r>
      </w:hyperlink>
      <w:r>
        <w:rPr>
          <w:rFonts w:ascii="Arial" w:hAnsi="Arial" w:hint="cs"/>
          <w:rtl/>
        </w:rPr>
        <w:t xml:space="preserve">; החזקת סמים לצריכה עצמית לפי </w:t>
      </w:r>
      <w:hyperlink r:id="rId31" w:history="1">
        <w:r w:rsidR="00DC6A8C" w:rsidRPr="00DC6A8C">
          <w:rPr>
            <w:rFonts w:ascii="Arial" w:hAnsi="Arial"/>
            <w:color w:val="0000FF"/>
            <w:u w:val="single"/>
            <w:rtl/>
          </w:rPr>
          <w:t>סעיף 7(א)</w:t>
        </w:r>
      </w:hyperlink>
      <w:r>
        <w:rPr>
          <w:rFonts w:ascii="Arial" w:hAnsi="Arial" w:hint="cs"/>
          <w:rtl/>
        </w:rPr>
        <w:t xml:space="preserve"> בשילוב </w:t>
      </w:r>
      <w:hyperlink r:id="rId32" w:history="1">
        <w:r w:rsidR="00DC6A8C" w:rsidRPr="00DC6A8C">
          <w:rPr>
            <w:rFonts w:ascii="Arial" w:hAnsi="Arial"/>
            <w:color w:val="0000FF"/>
            <w:u w:val="single"/>
            <w:rtl/>
          </w:rPr>
          <w:t>סעיף 7(ג)</w:t>
        </w:r>
      </w:hyperlink>
      <w:r>
        <w:rPr>
          <w:rFonts w:ascii="Arial" w:hAnsi="Arial" w:hint="cs"/>
          <w:rtl/>
        </w:rPr>
        <w:t xml:space="preserve"> סיפא לפקודת הסמים המסוכנים; ושיבוש מהלכי משפט לפי </w:t>
      </w:r>
      <w:hyperlink r:id="rId33" w:history="1">
        <w:r w:rsidR="00DC6A8C" w:rsidRPr="00DC6A8C">
          <w:rPr>
            <w:rFonts w:ascii="Arial" w:hAnsi="Arial"/>
            <w:color w:val="0000FF"/>
            <w:u w:val="single"/>
            <w:rtl/>
          </w:rPr>
          <w:t>סעיף 244</w:t>
        </w:r>
      </w:hyperlink>
      <w:r>
        <w:rPr>
          <w:rFonts w:ascii="Arial" w:hAnsi="Arial" w:hint="cs"/>
          <w:rtl/>
        </w:rPr>
        <w:t xml:space="preserve"> ל</w:t>
      </w:r>
      <w:hyperlink r:id="rId34" w:history="1">
        <w:r w:rsidR="00061F01" w:rsidRPr="00061F01">
          <w:rPr>
            <w:rFonts w:ascii="Arial" w:hAnsi="Arial"/>
            <w:color w:val="0000FF"/>
            <w:u w:val="single"/>
            <w:rtl/>
          </w:rPr>
          <w:t>חוק העונשין</w:t>
        </w:r>
      </w:hyperlink>
      <w:r>
        <w:rPr>
          <w:rFonts w:ascii="Arial" w:hAnsi="Arial" w:hint="cs"/>
          <w:rtl/>
        </w:rPr>
        <w:t>.</w:t>
      </w:r>
    </w:p>
    <w:p w14:paraId="59BF9193" w14:textId="77777777" w:rsidR="0039432C" w:rsidRPr="00B05847" w:rsidRDefault="0039432C" w:rsidP="0039432C">
      <w:pPr>
        <w:rPr>
          <w:rtl/>
        </w:rPr>
      </w:pPr>
    </w:p>
    <w:p w14:paraId="254095C6" w14:textId="77777777" w:rsidR="0039432C" w:rsidRDefault="0039432C" w:rsidP="0039432C">
      <w:pPr>
        <w:pStyle w:val="ListParagraph"/>
        <w:numPr>
          <w:ilvl w:val="0"/>
          <w:numId w:val="1"/>
        </w:numPr>
        <w:spacing w:line="360" w:lineRule="auto"/>
        <w:jc w:val="both"/>
      </w:pPr>
      <w:r w:rsidRPr="00722E03">
        <w:rPr>
          <w:rFonts w:ascii="Arial" w:hAnsi="Arial" w:hint="cs"/>
          <w:rtl/>
        </w:rPr>
        <w:t>יצוין כי הנאשם לא חלק על התיאור העובדתי שפורט בכתב האישום והסכים להגשת ראיות התביעה</w:t>
      </w:r>
      <w:r>
        <w:rPr>
          <w:rFonts w:ascii="Arial" w:hAnsi="Arial" w:hint="cs"/>
          <w:rtl/>
        </w:rPr>
        <w:t xml:space="preserve"> ללא שמיעת עדים</w:t>
      </w:r>
      <w:r w:rsidRPr="00722E03">
        <w:rPr>
          <w:rFonts w:ascii="Arial" w:hAnsi="Arial" w:hint="cs"/>
          <w:rtl/>
        </w:rPr>
        <w:t xml:space="preserve">. </w:t>
      </w:r>
      <w:r>
        <w:rPr>
          <w:rFonts w:ascii="Arial" w:hAnsi="Arial" w:hint="cs"/>
          <w:rtl/>
        </w:rPr>
        <w:t xml:space="preserve">עיקר טענתו של הנאשם שיש לזכותו מעבירות הסמים שיוחסו לו, מעצם העובדה כי </w:t>
      </w:r>
      <w:r>
        <w:rPr>
          <w:rFonts w:hint="cs"/>
          <w:rtl/>
        </w:rPr>
        <w:t>העבירות בוצעו לאחר שהודח לבצען על ידי "סוכן מדיח". הנאשם לא כפר בביצוע העבירה של הפרת הוראה חוקית הכלולה באישום השני.</w:t>
      </w:r>
    </w:p>
    <w:p w14:paraId="39BEA0B3" w14:textId="77777777" w:rsidR="0039432C" w:rsidRDefault="0039432C" w:rsidP="0039432C">
      <w:pPr>
        <w:pStyle w:val="ListParagraph"/>
        <w:spacing w:line="360" w:lineRule="auto"/>
        <w:ind w:left="567"/>
        <w:jc w:val="both"/>
      </w:pPr>
    </w:p>
    <w:p w14:paraId="6127CFB6" w14:textId="77777777" w:rsidR="0039432C" w:rsidRDefault="0039432C" w:rsidP="0039432C">
      <w:pPr>
        <w:pStyle w:val="ListParagraph"/>
        <w:numPr>
          <w:ilvl w:val="0"/>
          <w:numId w:val="1"/>
        </w:numPr>
        <w:spacing w:line="360" w:lineRule="auto"/>
        <w:jc w:val="both"/>
      </w:pPr>
      <w:r>
        <w:rPr>
          <w:rFonts w:hint="cs"/>
          <w:rtl/>
        </w:rPr>
        <w:t xml:space="preserve">בהכרעת הדין נדחו טענות הנאשם והוא הורשע בכל העבירות שיוחסו לו בכתב האישום, כן נקבעו קביעות רלוונטיות לעניין העונש </w:t>
      </w:r>
      <w:r>
        <w:rPr>
          <w:rtl/>
        </w:rPr>
        <w:t>–</w:t>
      </w:r>
      <w:r>
        <w:rPr>
          <w:rFonts w:hint="cs"/>
          <w:rtl/>
        </w:rPr>
        <w:t xml:space="preserve"> אותן נציין בגוף הכרעת הדין.</w:t>
      </w:r>
    </w:p>
    <w:p w14:paraId="4F586D68" w14:textId="77777777" w:rsidR="0039432C" w:rsidRPr="00522805" w:rsidRDefault="0039432C" w:rsidP="0039432C">
      <w:pPr>
        <w:spacing w:line="360" w:lineRule="auto"/>
        <w:jc w:val="both"/>
        <w:rPr>
          <w:rtl/>
        </w:rPr>
      </w:pPr>
    </w:p>
    <w:p w14:paraId="0E6A0507" w14:textId="77777777" w:rsidR="0039432C" w:rsidRPr="000A308A" w:rsidRDefault="0039432C" w:rsidP="0039432C">
      <w:pPr>
        <w:spacing w:line="360" w:lineRule="auto"/>
        <w:jc w:val="both"/>
        <w:rPr>
          <w:b/>
          <w:bCs/>
          <w:rtl/>
        </w:rPr>
      </w:pPr>
      <w:r w:rsidRPr="000A308A">
        <w:rPr>
          <w:rFonts w:hint="cs"/>
          <w:b/>
          <w:bCs/>
          <w:rtl/>
        </w:rPr>
        <w:lastRenderedPageBreak/>
        <w:t>טיעוני הצדדים לעונש</w:t>
      </w:r>
    </w:p>
    <w:p w14:paraId="144F93A5" w14:textId="77777777" w:rsidR="0039432C" w:rsidRDefault="0039432C" w:rsidP="0039432C">
      <w:pPr>
        <w:spacing w:line="360" w:lineRule="auto"/>
        <w:jc w:val="both"/>
      </w:pPr>
    </w:p>
    <w:p w14:paraId="4BDFD9F6" w14:textId="77777777" w:rsidR="0039432C" w:rsidRDefault="0039432C" w:rsidP="0039432C">
      <w:pPr>
        <w:pStyle w:val="ListParagraph"/>
        <w:numPr>
          <w:ilvl w:val="0"/>
          <w:numId w:val="1"/>
        </w:numPr>
        <w:spacing w:line="360" w:lineRule="auto"/>
        <w:jc w:val="both"/>
      </w:pPr>
      <w:r>
        <w:rPr>
          <w:rFonts w:hint="cs"/>
          <w:rtl/>
        </w:rPr>
        <w:t>ב"כ המאשימה טען לעונש, הפנה לערכים המוגנים שלדידו נפגעו בצורה מהותית, ועמד על הנזקים החברתיים שהפגיעה באותם ערכים גורמת. כן הפנה ב"כ המאשימה לנסיבות ביצוע העבירות וביקש ללמוד מהן חומרה, בין היתר משום שהעבירות בוצעו כאשר נגד הנאשם  תלוי ועומד הליך משפטי אחר, ואף תוך הפרת תנאים מגבילים שנקבעו במהלך עיכוב ביצוע גזר הדין באותו הליך. כן נטען כי הפעולות שננקטו על ידי הסוכן המשטרתי לא כללו ניסיונות שכנוע. המאשימה סבורה כי יש לראות בכל אישום אירוע נפרד ולפיכך יש לקבוע מתחם עונש הולם לכל אישום, כלהלן: לגבי האישום הראשון מתחם שיכלול מאסר בפועל בין 6-12 חודשים; לגבי האישום השלישי מתחם שכולל מאסר בפועל בין 12-24, לאור ביצוע העבירה תוך הפרת הוראה חוקית. ב"כ המאשימה הפנה להרשעות הקודמות של הנאשם ובפרט להליך הקודם בו הורשע, בו לדבריו לא ניצל הנאשם הזדמנות לשיקום שניתנה לו. לסיכום, ביקש ב"כ המאשימה להטיל עונשים בגדרי המתחמים במצטבר אחד לשני וכן במצטבר לעונש שמרצה הנאשם כיום בתיק קודם. בנוסף ביקש ב"כ המאשימה לפסול את רשיון הנהיגה של הנאשם ולהטיל קנס מרתיע ומשמעותי, ומאסר על תנאי לתקופה מרבית.  במהלך טיעוניו הגיש ב"כ המאשימה פסקי דין שלגישתו תומכים בעמדתו.</w:t>
      </w:r>
    </w:p>
    <w:p w14:paraId="65B994F9" w14:textId="77777777" w:rsidR="0039432C" w:rsidRDefault="0039432C" w:rsidP="0039432C">
      <w:pPr>
        <w:pStyle w:val="ListParagraph"/>
        <w:spacing w:line="360" w:lineRule="auto"/>
        <w:ind w:left="567"/>
        <w:jc w:val="both"/>
      </w:pPr>
      <w:r>
        <w:rPr>
          <w:rFonts w:hint="cs"/>
          <w:rtl/>
        </w:rPr>
        <w:t xml:space="preserve"> </w:t>
      </w:r>
    </w:p>
    <w:p w14:paraId="1B94EFCC" w14:textId="77777777" w:rsidR="0039432C" w:rsidRDefault="0039432C" w:rsidP="0039432C">
      <w:pPr>
        <w:pStyle w:val="ListParagraph"/>
        <w:numPr>
          <w:ilvl w:val="0"/>
          <w:numId w:val="1"/>
        </w:numPr>
        <w:spacing w:line="360" w:lineRule="auto"/>
        <w:jc w:val="both"/>
      </w:pPr>
      <w:r>
        <w:rPr>
          <w:rFonts w:hint="cs"/>
          <w:rtl/>
        </w:rPr>
        <w:t xml:space="preserve">הסנגור טען לעונש והפנה לנסיבות ביצוע העבירות. לגישת הסנגור יש לראות בכל האישומים אירוע אחד ולקבוע מתחם עונש אחד בהתאם. הסנגור סבור שאין לייחס משקל משמעותי למספר העסקאות מאחר ומספר העסקאות הוא נתון בשליטת המדינה, אשר יכולה לשלוח אותו סוכן מדיח מספר פעמים וכל אימת שרצתה; כן ביקש להתחשב בכך שהעבירות בוצעו ביוזמתו של הסוכן. לעניין מתחם העונש: תוך שהוא מפנה לפסיקה ממנה ביקש ללמוד גזירה שווה, טען הסנגור כי המתחם כולל מאסר בפועל שנע בין 3-9 חודשים. הסנגור ביקש להתחשב בכך שהנאשם הודה בעובדות ורק העלה טענה משפטית, ובכך שהיה נתון במאסר אך המאשימה הגישה בקשה למעצר עד תום ההליך דבר שגרם להקשחת תנאי כליאתו. הסנגור טען כי יש להורות על חפיפת מרבית של תקופת המאסר שתוטל על הנאשם בתיק זה, עם עונש המאסר שהוא מרצה במסגרת תיק קודם. כן טען הסנגור, תוך שהפנה לפסיקה,  שלעמדתו יש לנכות מתקופת המאסר שתושת בתיק זה כ 70% מהתקופה בה הנאשם היה עצור-אסיר, ומכל מקום יש לנכות את התקופה בה היא עצור שלא במקביל לתקופת המאסר. </w:t>
      </w:r>
    </w:p>
    <w:p w14:paraId="3BC028B2" w14:textId="77777777" w:rsidR="0039432C" w:rsidRDefault="0039432C" w:rsidP="0039432C">
      <w:pPr>
        <w:pStyle w:val="ListParagraph"/>
        <w:spacing w:line="360" w:lineRule="auto"/>
        <w:ind w:left="567"/>
        <w:jc w:val="both"/>
      </w:pPr>
    </w:p>
    <w:p w14:paraId="55E6085C" w14:textId="77777777" w:rsidR="0039432C" w:rsidRDefault="0039432C" w:rsidP="0039432C">
      <w:pPr>
        <w:pStyle w:val="ListParagraph"/>
        <w:numPr>
          <w:ilvl w:val="0"/>
          <w:numId w:val="1"/>
        </w:numPr>
        <w:spacing w:line="360" w:lineRule="auto"/>
        <w:jc w:val="both"/>
      </w:pPr>
      <w:r>
        <w:rPr>
          <w:rFonts w:hint="cs"/>
          <w:rtl/>
        </w:rPr>
        <w:t>בדברו האחרון ציין הנאשם כי בכוונתו לנצל את תקופת המאסר כדי להשתקם; כי התיק הנוכחי הוא תולדה של מעידה; וכי ביצוע העבירות היה על רקע העבודה כי הוא חזר להשתמש בסמים.</w:t>
      </w:r>
    </w:p>
    <w:p w14:paraId="74DB8723" w14:textId="77777777" w:rsidR="0039432C" w:rsidRPr="00900FC5" w:rsidRDefault="0039432C" w:rsidP="0039432C">
      <w:pPr>
        <w:spacing w:line="360" w:lineRule="auto"/>
        <w:jc w:val="both"/>
        <w:rPr>
          <w:rtl/>
        </w:rPr>
      </w:pPr>
    </w:p>
    <w:p w14:paraId="24DC4220" w14:textId="77777777" w:rsidR="0039432C" w:rsidRPr="000A308A" w:rsidRDefault="0039432C" w:rsidP="0039432C">
      <w:pPr>
        <w:spacing w:line="360" w:lineRule="auto"/>
        <w:jc w:val="both"/>
        <w:rPr>
          <w:b/>
          <w:bCs/>
          <w:rtl/>
        </w:rPr>
      </w:pPr>
      <w:r w:rsidRPr="000A308A">
        <w:rPr>
          <w:rFonts w:hint="cs"/>
          <w:b/>
          <w:bCs/>
          <w:rtl/>
        </w:rPr>
        <w:t xml:space="preserve">מתחם העונש ההולם וגזר הדין </w:t>
      </w:r>
    </w:p>
    <w:p w14:paraId="30E19B92" w14:textId="77777777" w:rsidR="0039432C" w:rsidRDefault="0039432C" w:rsidP="0039432C">
      <w:pPr>
        <w:spacing w:line="360" w:lineRule="auto"/>
        <w:jc w:val="both"/>
      </w:pPr>
    </w:p>
    <w:p w14:paraId="5A19F0A0" w14:textId="77777777" w:rsidR="0039432C" w:rsidRDefault="0039432C" w:rsidP="0039432C">
      <w:pPr>
        <w:pStyle w:val="ListParagraph"/>
        <w:numPr>
          <w:ilvl w:val="0"/>
          <w:numId w:val="1"/>
        </w:numPr>
        <w:spacing w:line="360" w:lineRule="auto"/>
        <w:jc w:val="both"/>
      </w:pPr>
      <w:bookmarkStart w:id="8" w:name="Decision4"/>
      <w:r>
        <w:rPr>
          <w:rFonts w:hint="cs"/>
          <w:rtl/>
        </w:rPr>
        <w:t xml:space="preserve">כידוע, שני שלבים עיקריים לגזירת הדין, </w:t>
      </w:r>
      <w:r w:rsidRPr="00057925">
        <w:rPr>
          <w:rFonts w:hint="cs"/>
          <w:rtl/>
        </w:rPr>
        <w:t xml:space="preserve"> קביעת מתחם עונש הולם</w:t>
      </w:r>
      <w:r>
        <w:rPr>
          <w:rFonts w:hint="cs"/>
          <w:rtl/>
        </w:rPr>
        <w:t xml:space="preserve"> בשים לב לעקרון ההלימה, </w:t>
      </w:r>
      <w:r w:rsidRPr="00057925">
        <w:rPr>
          <w:rFonts w:hint="cs"/>
          <w:rtl/>
        </w:rPr>
        <w:t>ולאחר מכן גזירת העונש ב</w:t>
      </w:r>
      <w:r>
        <w:rPr>
          <w:rFonts w:hint="cs"/>
          <w:rtl/>
        </w:rPr>
        <w:t xml:space="preserve">תוך </w:t>
      </w:r>
      <w:r w:rsidRPr="00057925">
        <w:rPr>
          <w:rFonts w:hint="cs"/>
          <w:rtl/>
        </w:rPr>
        <w:t>מתחם העונש</w:t>
      </w:r>
      <w:r>
        <w:rPr>
          <w:rFonts w:hint="cs"/>
          <w:rtl/>
        </w:rPr>
        <w:t xml:space="preserve">, זאת כשאין נימוקים המצדיקים סטיה מהמתחם לקולא או לחומרא. </w:t>
      </w:r>
      <w:hyperlink r:id="rId35" w:history="1">
        <w:r w:rsidR="00DC6A8C" w:rsidRPr="00DC6A8C">
          <w:rPr>
            <w:rFonts w:hint="eastAsia"/>
            <w:color w:val="0000FF"/>
            <w:u w:val="single"/>
            <w:rtl/>
          </w:rPr>
          <w:t>סעיף</w:t>
        </w:r>
        <w:r w:rsidR="00DC6A8C" w:rsidRPr="00DC6A8C">
          <w:rPr>
            <w:color w:val="0000FF"/>
            <w:u w:val="single"/>
            <w:rtl/>
          </w:rPr>
          <w:t xml:space="preserve"> 40</w:t>
        </w:r>
        <w:r w:rsidR="00DC6A8C" w:rsidRPr="00DC6A8C">
          <w:rPr>
            <w:rFonts w:hint="eastAsia"/>
            <w:color w:val="0000FF"/>
            <w:u w:val="single"/>
            <w:rtl/>
          </w:rPr>
          <w:t>ט</w:t>
        </w:r>
      </w:hyperlink>
      <w:r w:rsidRPr="00057925">
        <w:rPr>
          <w:rFonts w:hint="cs"/>
          <w:rtl/>
        </w:rPr>
        <w:t xml:space="preserve"> ל</w:t>
      </w:r>
      <w:hyperlink r:id="rId36" w:history="1">
        <w:r w:rsidR="00061F01" w:rsidRPr="00061F01">
          <w:rPr>
            <w:rFonts w:hint="eastAsia"/>
            <w:color w:val="0000FF"/>
            <w:u w:val="single"/>
            <w:rtl/>
          </w:rPr>
          <w:t>חוק</w:t>
        </w:r>
        <w:r w:rsidR="00061F01" w:rsidRPr="00061F01">
          <w:rPr>
            <w:color w:val="0000FF"/>
            <w:u w:val="single"/>
            <w:rtl/>
          </w:rPr>
          <w:t xml:space="preserve"> </w:t>
        </w:r>
        <w:r w:rsidR="00061F01" w:rsidRPr="00061F01">
          <w:rPr>
            <w:rFonts w:hint="eastAsia"/>
            <w:color w:val="0000FF"/>
            <w:u w:val="single"/>
            <w:rtl/>
          </w:rPr>
          <w:t>העונשין</w:t>
        </w:r>
      </w:hyperlink>
      <w:r w:rsidRPr="00057925">
        <w:rPr>
          <w:rFonts w:hint="cs"/>
          <w:rtl/>
        </w:rPr>
        <w:t xml:space="preserve"> מונה את הנסיבות שיש להתחשב בהן בקביעת מתחם העונש ההולם (שהנן נסיבות שקשורות באופן ענייני ל</w:t>
      </w:r>
      <w:r>
        <w:rPr>
          <w:rFonts w:hint="cs"/>
          <w:rtl/>
        </w:rPr>
        <w:t xml:space="preserve">נסיבות </w:t>
      </w:r>
      <w:r w:rsidRPr="00057925">
        <w:rPr>
          <w:rFonts w:hint="cs"/>
          <w:rtl/>
        </w:rPr>
        <w:t xml:space="preserve">ביצוע העבירה), </w:t>
      </w:r>
      <w:hyperlink r:id="rId37" w:history="1">
        <w:r w:rsidR="00DC6A8C" w:rsidRPr="00DC6A8C">
          <w:rPr>
            <w:rFonts w:hint="eastAsia"/>
            <w:color w:val="0000FF"/>
            <w:u w:val="single"/>
            <w:rtl/>
          </w:rPr>
          <w:t>וסעיף</w:t>
        </w:r>
        <w:r w:rsidR="00DC6A8C" w:rsidRPr="00DC6A8C">
          <w:rPr>
            <w:color w:val="0000FF"/>
            <w:u w:val="single"/>
            <w:rtl/>
          </w:rPr>
          <w:t xml:space="preserve"> 40</w:t>
        </w:r>
        <w:r w:rsidR="00DC6A8C" w:rsidRPr="00DC6A8C">
          <w:rPr>
            <w:rFonts w:hint="eastAsia"/>
            <w:color w:val="0000FF"/>
            <w:u w:val="single"/>
            <w:rtl/>
          </w:rPr>
          <w:t>יא</w:t>
        </w:r>
        <w:r w:rsidR="00DC6A8C" w:rsidRPr="00DC6A8C">
          <w:rPr>
            <w:color w:val="0000FF"/>
            <w:u w:val="single"/>
            <w:rtl/>
          </w:rPr>
          <w:t>'</w:t>
        </w:r>
      </w:hyperlink>
      <w:r w:rsidRPr="00057925">
        <w:rPr>
          <w:rFonts w:hint="cs"/>
          <w:rtl/>
        </w:rPr>
        <w:t xml:space="preserve"> לחוק העונשין מונה את הנסיבות שבית המשפט רשאי להתחשב בהן בגזירת העונש בתוך מתחם העונש ההולם.</w:t>
      </w:r>
    </w:p>
    <w:p w14:paraId="303119FF" w14:textId="77777777" w:rsidR="0039432C" w:rsidRDefault="0039432C" w:rsidP="0039432C">
      <w:pPr>
        <w:pStyle w:val="ListParagraph"/>
        <w:spacing w:line="360" w:lineRule="auto"/>
        <w:ind w:left="567"/>
        <w:jc w:val="both"/>
      </w:pPr>
    </w:p>
    <w:p w14:paraId="66BF0661" w14:textId="77777777" w:rsidR="0039432C" w:rsidRDefault="0039432C" w:rsidP="0039432C">
      <w:pPr>
        <w:pStyle w:val="ListParagraph"/>
        <w:numPr>
          <w:ilvl w:val="0"/>
          <w:numId w:val="1"/>
        </w:numPr>
        <w:spacing w:line="360" w:lineRule="auto"/>
        <w:jc w:val="both"/>
      </w:pPr>
      <w:r>
        <w:rPr>
          <w:rFonts w:hint="cs"/>
          <w:rtl/>
        </w:rPr>
        <w:t xml:space="preserve">הצדדים חלוקים באופן שבו יש לראות את כתב האישום, האם הוא חובק אירוע אחד או שכל אישום מגלם אירוע אחד (במובן </w:t>
      </w:r>
      <w:hyperlink r:id="rId38" w:history="1">
        <w:r w:rsidR="00DC6A8C" w:rsidRPr="00DC6A8C">
          <w:rPr>
            <w:rFonts w:hint="eastAsia"/>
            <w:color w:val="0000FF"/>
            <w:u w:val="single"/>
            <w:rtl/>
          </w:rPr>
          <w:t>סעיף</w:t>
        </w:r>
        <w:r w:rsidR="00DC6A8C" w:rsidRPr="00DC6A8C">
          <w:rPr>
            <w:color w:val="0000FF"/>
            <w:u w:val="single"/>
            <w:rtl/>
          </w:rPr>
          <w:t xml:space="preserve"> 40</w:t>
        </w:r>
        <w:r w:rsidR="00DC6A8C" w:rsidRPr="00DC6A8C">
          <w:rPr>
            <w:rFonts w:hint="eastAsia"/>
            <w:color w:val="0000FF"/>
            <w:u w:val="single"/>
            <w:rtl/>
          </w:rPr>
          <w:t>יג</w:t>
        </w:r>
        <w:r w:rsidR="00DC6A8C" w:rsidRPr="00DC6A8C">
          <w:rPr>
            <w:color w:val="0000FF"/>
            <w:u w:val="single"/>
            <w:rtl/>
          </w:rPr>
          <w:t>'</w:t>
        </w:r>
      </w:hyperlink>
      <w:r>
        <w:rPr>
          <w:rFonts w:hint="cs"/>
          <w:rtl/>
        </w:rPr>
        <w:t xml:space="preserve"> ל</w:t>
      </w:r>
      <w:hyperlink r:id="rId39" w:history="1">
        <w:r w:rsidR="00061F01" w:rsidRPr="00061F01">
          <w:rPr>
            <w:rFonts w:hint="eastAsia"/>
            <w:color w:val="0000FF"/>
            <w:u w:val="single"/>
            <w:rtl/>
          </w:rPr>
          <w:t>חוק</w:t>
        </w:r>
        <w:r w:rsidR="00061F01" w:rsidRPr="00061F01">
          <w:rPr>
            <w:color w:val="0000FF"/>
            <w:u w:val="single"/>
            <w:rtl/>
          </w:rPr>
          <w:t xml:space="preserve"> </w:t>
        </w:r>
        <w:r w:rsidR="00061F01" w:rsidRPr="00061F01">
          <w:rPr>
            <w:rFonts w:hint="eastAsia"/>
            <w:color w:val="0000FF"/>
            <w:u w:val="single"/>
            <w:rtl/>
          </w:rPr>
          <w:t>העונשין</w:t>
        </w:r>
      </w:hyperlink>
      <w:r>
        <w:rPr>
          <w:rFonts w:hint="cs"/>
          <w:rtl/>
        </w:rPr>
        <w:t xml:space="preserve">). לעמדתי יש לראות באישומים הראשון והשלישי (שעניינם ביצוע עסקאות סם עם אותו סוכן) אירוע אחד, שיש לקבוע לגביו מתחם עונש אחד. מדובר במעשים דומים, שבוצעו באותו מקום גיאוגרפי מוגדר, ועסקאות הסמים התבצעו בין הנאשם שמכר את הסמים לבין אותו סוכן משטרתי. עוד עולה מנסיבות ביצוע העבירות כי מדובר בדפוס פעולה זהה, בפעולות זהות שננקטו ובאותו סוג של סם שנמכר. בהקשר זה מקובל עליי הטיעון כי במובן מסוים מספר עסקאות הסם שבוצעו תלוי במידה רבה במספר פניותיו של הסוכן אל הנאשם. גם העובדה כי העבירות בוצעו בהפרש של יומיים, מלמדת על הזיקה ההדוקה בין המקרים (ראו </w:t>
      </w:r>
      <w:hyperlink r:id="rId40" w:history="1">
        <w:r w:rsidR="00061F01" w:rsidRPr="00061F01">
          <w:rPr>
            <w:rFonts w:hint="eastAsia"/>
            <w:color w:val="0000FF"/>
            <w:u w:val="single"/>
            <w:rtl/>
          </w:rPr>
          <w:t>ע</w:t>
        </w:r>
        <w:r w:rsidR="00061F01" w:rsidRPr="00061F01">
          <w:rPr>
            <w:color w:val="0000FF"/>
            <w:u w:val="single"/>
            <w:rtl/>
          </w:rPr>
          <w:t>"</w:t>
        </w:r>
        <w:r w:rsidR="00061F01" w:rsidRPr="00061F01">
          <w:rPr>
            <w:rFonts w:hint="eastAsia"/>
            <w:color w:val="0000FF"/>
            <w:u w:val="single"/>
            <w:rtl/>
          </w:rPr>
          <w:t>פ</w:t>
        </w:r>
        <w:r w:rsidR="00061F01" w:rsidRPr="00061F01">
          <w:rPr>
            <w:color w:val="0000FF"/>
            <w:u w:val="single"/>
            <w:rtl/>
          </w:rPr>
          <w:t xml:space="preserve"> 4910/13</w:t>
        </w:r>
      </w:hyperlink>
      <w:r w:rsidRPr="00C37C60">
        <w:rPr>
          <w:rtl/>
        </w:rPr>
        <w:t xml:space="preserve"> </w:t>
      </w:r>
      <w:r w:rsidRPr="00C37C60">
        <w:rPr>
          <w:b/>
          <w:bCs/>
          <w:rtl/>
        </w:rPr>
        <w:t>ג'אבר נ' מדינת ישראל</w:t>
      </w:r>
      <w:r w:rsidRPr="00C37C60">
        <w:rPr>
          <w:rtl/>
        </w:rPr>
        <w:t xml:space="preserve"> (פורסם בנבו, 29.10.2014)</w:t>
      </w:r>
      <w:r>
        <w:rPr>
          <w:rFonts w:hint="cs"/>
          <w:rtl/>
        </w:rPr>
        <w:t xml:space="preserve">; </w:t>
      </w:r>
      <w:hyperlink r:id="rId41" w:history="1">
        <w:r w:rsidR="00061F01" w:rsidRPr="00061F01">
          <w:rPr>
            <w:rFonts w:hint="eastAsia"/>
            <w:color w:val="0000FF"/>
            <w:u w:val="single"/>
            <w:rtl/>
          </w:rPr>
          <w:t>רע</w:t>
        </w:r>
        <w:r w:rsidR="00061F01" w:rsidRPr="00061F01">
          <w:rPr>
            <w:color w:val="0000FF"/>
            <w:u w:val="single"/>
            <w:rtl/>
          </w:rPr>
          <w:t>"</w:t>
        </w:r>
        <w:r w:rsidR="00061F01" w:rsidRPr="00061F01">
          <w:rPr>
            <w:rFonts w:hint="eastAsia"/>
            <w:color w:val="0000FF"/>
            <w:u w:val="single"/>
            <w:rtl/>
          </w:rPr>
          <w:t>פ</w:t>
        </w:r>
        <w:r w:rsidR="00061F01" w:rsidRPr="00061F01">
          <w:rPr>
            <w:color w:val="0000FF"/>
            <w:u w:val="single"/>
            <w:rtl/>
          </w:rPr>
          <w:t xml:space="preserve"> 4760/14</w:t>
        </w:r>
      </w:hyperlink>
      <w:r w:rsidRPr="00C37C60">
        <w:rPr>
          <w:rtl/>
        </w:rPr>
        <w:t xml:space="preserve"> </w:t>
      </w:r>
      <w:r w:rsidRPr="00C37C60">
        <w:rPr>
          <w:b/>
          <w:bCs/>
          <w:rtl/>
        </w:rPr>
        <w:t>קיסלמן נ' מדינת ישראל</w:t>
      </w:r>
      <w:r w:rsidRPr="00C37C60">
        <w:rPr>
          <w:rtl/>
        </w:rPr>
        <w:t xml:space="preserve"> (פורסם בנבו, 7.5.2015); </w:t>
      </w:r>
      <w:hyperlink r:id="rId42" w:history="1">
        <w:r w:rsidR="00061F01" w:rsidRPr="00061F01">
          <w:rPr>
            <w:rFonts w:hint="eastAsia"/>
            <w:color w:val="0000FF"/>
            <w:u w:val="single"/>
            <w:rtl/>
          </w:rPr>
          <w:t>ע</w:t>
        </w:r>
        <w:r w:rsidR="00061F01" w:rsidRPr="00061F01">
          <w:rPr>
            <w:color w:val="0000FF"/>
            <w:u w:val="single"/>
            <w:rtl/>
          </w:rPr>
          <w:t>"</w:t>
        </w:r>
        <w:r w:rsidR="00061F01" w:rsidRPr="00061F01">
          <w:rPr>
            <w:rFonts w:hint="eastAsia"/>
            <w:color w:val="0000FF"/>
            <w:u w:val="single"/>
            <w:rtl/>
          </w:rPr>
          <w:t>פ</w:t>
        </w:r>
        <w:r w:rsidR="00061F01" w:rsidRPr="00061F01">
          <w:rPr>
            <w:color w:val="0000FF"/>
            <w:u w:val="single"/>
            <w:rtl/>
          </w:rPr>
          <w:t xml:space="preserve"> 4289/14</w:t>
        </w:r>
      </w:hyperlink>
      <w:r w:rsidRPr="00C37C60">
        <w:rPr>
          <w:rtl/>
        </w:rPr>
        <w:t xml:space="preserve"> </w:t>
      </w:r>
      <w:r w:rsidRPr="00C37C60">
        <w:rPr>
          <w:b/>
          <w:bCs/>
          <w:rtl/>
        </w:rPr>
        <w:t>חנונה נ' מדינת ישראל</w:t>
      </w:r>
      <w:r w:rsidRPr="00C37C60">
        <w:rPr>
          <w:rtl/>
        </w:rPr>
        <w:t xml:space="preserve"> (פורסם בנבו, 21.1.2015)</w:t>
      </w:r>
      <w:r>
        <w:rPr>
          <w:rFonts w:hint="cs"/>
          <w:rtl/>
        </w:rPr>
        <w:t>; והשוו</w:t>
      </w:r>
      <w:r w:rsidRPr="00C37C60">
        <w:rPr>
          <w:rtl/>
        </w:rPr>
        <w:t xml:space="preserve"> </w:t>
      </w:r>
      <w:hyperlink r:id="rId43" w:history="1">
        <w:r w:rsidR="00061F01" w:rsidRPr="00061F01">
          <w:rPr>
            <w:rFonts w:hint="eastAsia"/>
            <w:color w:val="0000FF"/>
            <w:u w:val="single"/>
            <w:rtl/>
          </w:rPr>
          <w:t>ע</w:t>
        </w:r>
        <w:r w:rsidR="00061F01" w:rsidRPr="00061F01">
          <w:rPr>
            <w:color w:val="0000FF"/>
            <w:u w:val="single"/>
            <w:rtl/>
          </w:rPr>
          <w:t>"</w:t>
        </w:r>
        <w:r w:rsidR="00061F01" w:rsidRPr="00061F01">
          <w:rPr>
            <w:rFonts w:hint="eastAsia"/>
            <w:color w:val="0000FF"/>
            <w:u w:val="single"/>
            <w:rtl/>
          </w:rPr>
          <w:t>פ</w:t>
        </w:r>
        <w:r w:rsidR="00061F01" w:rsidRPr="00061F01">
          <w:rPr>
            <w:color w:val="0000FF"/>
            <w:u w:val="single"/>
            <w:rtl/>
          </w:rPr>
          <w:t xml:space="preserve"> 1261/15</w:t>
        </w:r>
      </w:hyperlink>
      <w:r w:rsidRPr="00C37C60">
        <w:rPr>
          <w:rtl/>
        </w:rPr>
        <w:t xml:space="preserve"> </w:t>
      </w:r>
      <w:r w:rsidRPr="00C37C60">
        <w:rPr>
          <w:b/>
          <w:bCs/>
          <w:rtl/>
        </w:rPr>
        <w:t>מדינת ישראל נ' דלאל</w:t>
      </w:r>
      <w:r w:rsidRPr="00C37C60">
        <w:rPr>
          <w:rtl/>
        </w:rPr>
        <w:t xml:space="preserve"> (פורסם בנבו, 3.9.2015)</w:t>
      </w:r>
      <w:r>
        <w:rPr>
          <w:rFonts w:hint="cs"/>
          <w:rtl/>
        </w:rPr>
        <w:t xml:space="preserve"> (להלן: עניין </w:t>
      </w:r>
      <w:r w:rsidRPr="00C37C60">
        <w:rPr>
          <w:rFonts w:hint="cs"/>
          <w:b/>
          <w:bCs/>
          <w:rtl/>
        </w:rPr>
        <w:t>דלאל</w:t>
      </w:r>
      <w:r>
        <w:rPr>
          <w:rFonts w:hint="cs"/>
          <w:rtl/>
        </w:rPr>
        <w:t xml:space="preserve">); וכן ראו </w:t>
      </w:r>
      <w:r w:rsidRPr="00C37C60">
        <w:rPr>
          <w:rtl/>
        </w:rPr>
        <w:t xml:space="preserve">תזכיר הצעת חוק (תזכיר </w:t>
      </w:r>
      <w:hyperlink r:id="rId44" w:history="1">
        <w:r w:rsidR="00061F01" w:rsidRPr="00061F01">
          <w:rPr>
            <w:rFonts w:hint="eastAsia"/>
            <w:color w:val="0000FF"/>
            <w:u w:val="single"/>
            <w:rtl/>
          </w:rPr>
          <w:t>חוק</w:t>
        </w:r>
        <w:r w:rsidR="00061F01" w:rsidRPr="00061F01">
          <w:rPr>
            <w:color w:val="0000FF"/>
            <w:u w:val="single"/>
            <w:rtl/>
          </w:rPr>
          <w:t xml:space="preserve"> </w:t>
        </w:r>
        <w:r w:rsidR="00061F01" w:rsidRPr="00061F01">
          <w:rPr>
            <w:rFonts w:hint="eastAsia"/>
            <w:color w:val="0000FF"/>
            <w:u w:val="single"/>
            <w:rtl/>
          </w:rPr>
          <w:t>העונשין</w:t>
        </w:r>
      </w:hyperlink>
      <w:r w:rsidRPr="00C37C60">
        <w:rPr>
          <w:rtl/>
        </w:rPr>
        <w:t xml:space="preserve"> (הבניית שיקול הדעת בענישה – תיקונים שונים), התשע"ו-2015</w:t>
      </w:r>
      <w:r>
        <w:rPr>
          <w:rFonts w:hint="cs"/>
          <w:rtl/>
        </w:rPr>
        <w:t xml:space="preserve">). על כן, יש לראות באישומים הראשון והשלישי אירוע אחד. אינני מתעלם מכך שהאישום השלישי כולל גם עבירות נוספות של החזקת סמים ושיבוש </w:t>
      </w:r>
      <w:r w:rsidRPr="00E919E5">
        <w:rPr>
          <w:rFonts w:ascii="David" w:hAnsi="David" w:hint="cs"/>
          <w:rtl/>
        </w:rPr>
        <w:t>מהלכי</w:t>
      </w:r>
      <w:r>
        <w:rPr>
          <w:rFonts w:ascii="David" w:hAnsi="David" w:hint="cs"/>
          <w:rtl/>
        </w:rPr>
        <w:t xml:space="preserve"> משפט לפי </w:t>
      </w:r>
      <w:hyperlink r:id="rId45" w:history="1">
        <w:r w:rsidR="00DC6A8C" w:rsidRPr="00DC6A8C">
          <w:rPr>
            <w:rFonts w:ascii="David" w:hAnsi="David"/>
            <w:color w:val="0000FF"/>
            <w:u w:val="single"/>
            <w:rtl/>
          </w:rPr>
          <w:t>סעיף 244</w:t>
        </w:r>
      </w:hyperlink>
      <w:r>
        <w:rPr>
          <w:rFonts w:ascii="David" w:hAnsi="David" w:hint="cs"/>
          <w:rtl/>
        </w:rPr>
        <w:t xml:space="preserve"> ל</w:t>
      </w:r>
      <w:hyperlink r:id="rId46" w:history="1">
        <w:r w:rsidR="00061F01" w:rsidRPr="00061F01">
          <w:rPr>
            <w:rFonts w:ascii="David" w:hAnsi="David"/>
            <w:color w:val="0000FF"/>
            <w:u w:val="single"/>
            <w:rtl/>
          </w:rPr>
          <w:t>חוק העונשין</w:t>
        </w:r>
      </w:hyperlink>
      <w:r>
        <w:rPr>
          <w:rFonts w:ascii="David" w:hAnsi="David" w:hint="cs"/>
          <w:rtl/>
        </w:rPr>
        <w:t>, אולם חרף הערך המוגן השונה בעבירה האחרונה, ולנוכח נסיבות ביצועה איני סבור שיש לבדלה מיתר העבירות ולקבוע בגינה מתחם שונה.</w:t>
      </w:r>
    </w:p>
    <w:p w14:paraId="4964A0AA" w14:textId="77777777" w:rsidR="0039432C" w:rsidRPr="00AF7DE9" w:rsidRDefault="0039432C" w:rsidP="0039432C">
      <w:pPr>
        <w:pStyle w:val="ListParagraph"/>
        <w:spacing w:line="360" w:lineRule="auto"/>
        <w:ind w:left="567"/>
        <w:jc w:val="both"/>
      </w:pPr>
    </w:p>
    <w:p w14:paraId="3474630A" w14:textId="77777777" w:rsidR="0039432C" w:rsidRDefault="0039432C" w:rsidP="0039432C">
      <w:pPr>
        <w:pStyle w:val="ListParagraph"/>
        <w:spacing w:line="360" w:lineRule="auto"/>
        <w:ind w:left="567"/>
        <w:jc w:val="both"/>
      </w:pPr>
      <w:r>
        <w:rPr>
          <w:rFonts w:hint="cs"/>
          <w:rtl/>
        </w:rPr>
        <w:t xml:space="preserve">לצד זאת, אני סבור כי יש לראות באישום השני, שעניינו הפרת הוראה חוקית, אירוע נפרד. מדובר בעבירה אשר הערך המוגן שבה שונה בתכלית השוני מיתר העבירות; כאן יש ליתן ביטוי לכך שהנאשם הפר הוראה שניתנה על ידי בית המשפט אשר מנותקת מהעבירות מושא תיק זה; בנוסף לכך, דווקא העובדה כי במהלך ההפרה בוצעו על ידי הנאשם עבירות נוספות משמעותיות, מחדדת ומדגישה את הבסיס השונה המונח ביסוד העבירות ומוביל למסקנה כי מדובר באירוע שונה (השוו: עניין </w:t>
      </w:r>
      <w:r w:rsidRPr="00C37C60">
        <w:rPr>
          <w:rFonts w:hint="cs"/>
          <w:b/>
          <w:bCs/>
          <w:rtl/>
        </w:rPr>
        <w:t>דלאל</w:t>
      </w:r>
      <w:r>
        <w:rPr>
          <w:rFonts w:hint="cs"/>
          <w:rtl/>
        </w:rPr>
        <w:t>).</w:t>
      </w:r>
    </w:p>
    <w:p w14:paraId="700842D5" w14:textId="77777777" w:rsidR="0039432C" w:rsidRPr="00D37BF7" w:rsidRDefault="0039432C" w:rsidP="0039432C">
      <w:pPr>
        <w:pStyle w:val="ListParagraph"/>
        <w:spacing w:line="360" w:lineRule="auto"/>
        <w:ind w:left="567"/>
        <w:jc w:val="both"/>
      </w:pPr>
    </w:p>
    <w:p w14:paraId="07F8DB2C" w14:textId="77777777" w:rsidR="0039432C" w:rsidRPr="000344EF" w:rsidRDefault="0039432C" w:rsidP="0039432C">
      <w:pPr>
        <w:pStyle w:val="ListParagraph"/>
        <w:numPr>
          <w:ilvl w:val="0"/>
          <w:numId w:val="1"/>
        </w:numPr>
        <w:spacing w:line="360" w:lineRule="auto"/>
        <w:jc w:val="both"/>
      </w:pPr>
      <w:r w:rsidRPr="007B69BD">
        <w:rPr>
          <w:rFonts w:ascii="David" w:hAnsi="David"/>
          <w:rtl/>
        </w:rPr>
        <w:t xml:space="preserve">אין צורך להרחיב על פגיעתם הרעה של </w:t>
      </w:r>
      <w:r>
        <w:rPr>
          <w:rFonts w:ascii="David" w:hAnsi="David" w:hint="cs"/>
          <w:rtl/>
        </w:rPr>
        <w:t>ה</w:t>
      </w:r>
      <w:r w:rsidRPr="007B69BD">
        <w:rPr>
          <w:rFonts w:ascii="David" w:hAnsi="David"/>
          <w:rtl/>
        </w:rPr>
        <w:t>סמים</w:t>
      </w:r>
      <w:r>
        <w:rPr>
          <w:rFonts w:ascii="David" w:hAnsi="David" w:hint="cs"/>
          <w:rtl/>
        </w:rPr>
        <w:t xml:space="preserve"> בחברה ובחוסנה</w:t>
      </w:r>
      <w:r w:rsidRPr="007B69BD">
        <w:rPr>
          <w:rFonts w:ascii="David" w:hAnsi="David"/>
          <w:rtl/>
        </w:rPr>
        <w:t xml:space="preserve">. אלה פוגעים בבריאות הציבור וגורמים לפגיעות שליליות נוספות שנגרמות על ידי "צרכני הקצה" של הסמים כגון; עבירות רכוש, אלימות ותופעות חברתיות שליליות נוספות. </w:t>
      </w:r>
      <w:r>
        <w:rPr>
          <w:rFonts w:ascii="David" w:hAnsi="David" w:hint="cs"/>
          <w:rtl/>
        </w:rPr>
        <w:t xml:space="preserve">במקרה שלפנינו מדובר במי שהיווה חוליה בהפצת הסמים; זה אשר מכר את הסמים. </w:t>
      </w:r>
      <w:r w:rsidRPr="007B69BD">
        <w:rPr>
          <w:rFonts w:ascii="David" w:hAnsi="David"/>
          <w:rtl/>
        </w:rPr>
        <w:t>ב</w:t>
      </w:r>
      <w:hyperlink r:id="rId47" w:history="1">
        <w:r w:rsidR="00061F01" w:rsidRPr="00061F01">
          <w:rPr>
            <w:rFonts w:ascii="David" w:hAnsi="David"/>
            <w:color w:val="0000FF"/>
            <w:u w:val="single"/>
            <w:rtl/>
          </w:rPr>
          <w:t>ע"פ 4484/05</w:t>
        </w:r>
      </w:hyperlink>
      <w:r w:rsidRPr="007B69BD">
        <w:rPr>
          <w:rFonts w:ascii="David" w:hAnsi="David"/>
          <w:rtl/>
        </w:rPr>
        <w:t xml:space="preserve"> </w:t>
      </w:r>
      <w:r w:rsidRPr="007B69BD">
        <w:rPr>
          <w:rFonts w:ascii="David" w:hAnsi="David"/>
          <w:b/>
          <w:bCs/>
          <w:rtl/>
        </w:rPr>
        <w:t>גונן שגב נ' מדינת ישראל</w:t>
      </w:r>
      <w:r w:rsidRPr="007B69BD">
        <w:rPr>
          <w:rFonts w:ascii="David" w:hAnsi="David"/>
          <w:rtl/>
        </w:rPr>
        <w:t xml:space="preserve"> ([פורסם בנבו],  (8.8.2006, צוינו דברים אלה:</w:t>
      </w:r>
    </w:p>
    <w:p w14:paraId="70FCC8C6" w14:textId="77777777" w:rsidR="0039432C" w:rsidRDefault="0039432C" w:rsidP="0039432C">
      <w:pPr>
        <w:pStyle w:val="ListParagraph"/>
        <w:spacing w:line="360" w:lineRule="auto"/>
        <w:ind w:left="567"/>
        <w:jc w:val="both"/>
        <w:rPr>
          <w:rFonts w:ascii="David" w:hAnsi="David"/>
          <w:rtl/>
        </w:rPr>
      </w:pPr>
    </w:p>
    <w:p w14:paraId="2CAF5110" w14:textId="77777777" w:rsidR="0039432C" w:rsidRDefault="0039432C" w:rsidP="0039432C">
      <w:pPr>
        <w:pStyle w:val="ListParagraph"/>
        <w:spacing w:line="360" w:lineRule="auto"/>
        <w:ind w:left="1701" w:right="1134"/>
        <w:jc w:val="both"/>
      </w:pPr>
      <w:r w:rsidRPr="000344EF">
        <w:rPr>
          <w:rFonts w:ascii="David" w:hAnsi="David"/>
          <w:rtl/>
        </w:rPr>
        <w:t>"</w:t>
      </w:r>
      <w:r w:rsidRPr="000344EF">
        <w:rPr>
          <w:rFonts w:ascii="David" w:hAnsi="David"/>
          <w:b/>
          <w:bCs/>
          <w:rtl/>
        </w:rPr>
        <w:t>נגע הסמים מכלה בישראל כל חלקה טובה. כמות המילים שהושמעו באשר לצורך להילחם בנגע זה היא אין סופית. אין לך בית משפט בכל ערכאה שהיא, שלא חוזר על האמירות שעניינן המלחמה שהוקדשה לביעור התופעה, ענישה מחמירה ככלי מרכזי במלחמה זו, והצורך להכות בכל אחת מחוליות הפצת הסם בין אם מדובר בבלדר, ובין אם מדובר במי שמעמדו בהיררכיה באותה פעולה ספציפית שעליה נסוב הדיון, גבוה יותר</w:t>
      </w:r>
      <w:r w:rsidRPr="000344EF">
        <w:rPr>
          <w:rFonts w:ascii="David" w:hAnsi="David"/>
          <w:rtl/>
        </w:rPr>
        <w:t>".</w:t>
      </w:r>
      <w:r w:rsidR="00061F01">
        <w:rPr>
          <w:rFonts w:ascii="David" w:hAnsi="David"/>
          <w:rtl/>
        </w:rPr>
        <w:t xml:space="preserve"> </w:t>
      </w:r>
    </w:p>
    <w:p w14:paraId="5CC59379" w14:textId="77777777" w:rsidR="0039432C" w:rsidRDefault="0039432C" w:rsidP="0039432C">
      <w:pPr>
        <w:pStyle w:val="ListParagraph"/>
        <w:spacing w:line="360" w:lineRule="auto"/>
        <w:ind w:left="567"/>
        <w:jc w:val="both"/>
      </w:pPr>
    </w:p>
    <w:p w14:paraId="22B77FCC" w14:textId="77777777" w:rsidR="0039432C" w:rsidRPr="000344EF" w:rsidRDefault="0039432C" w:rsidP="0039432C">
      <w:pPr>
        <w:pStyle w:val="ListParagraph"/>
        <w:numPr>
          <w:ilvl w:val="0"/>
          <w:numId w:val="1"/>
        </w:numPr>
        <w:spacing w:line="360" w:lineRule="auto"/>
        <w:jc w:val="both"/>
      </w:pPr>
      <w:r w:rsidRPr="000344EF">
        <w:rPr>
          <w:rFonts w:ascii="David" w:hAnsi="David"/>
          <w:rtl/>
        </w:rPr>
        <w:t xml:space="preserve">במקרה שלפנינו הורשע הנאשם בביצוע עבירות של </w:t>
      </w:r>
      <w:r w:rsidRPr="000344EF">
        <w:rPr>
          <w:rFonts w:ascii="David" w:hAnsi="David" w:hint="cs"/>
          <w:rtl/>
        </w:rPr>
        <w:t>סחר בסמים מסוכנים בשתי הזדמנויות המפורטות ב</w:t>
      </w:r>
      <w:r>
        <w:rPr>
          <w:rFonts w:ascii="David" w:hAnsi="David" w:hint="cs"/>
          <w:rtl/>
        </w:rPr>
        <w:t>אישומים הראשון והשלישי</w:t>
      </w:r>
      <w:r w:rsidRPr="000344EF">
        <w:rPr>
          <w:rFonts w:ascii="David" w:hAnsi="David" w:hint="cs"/>
          <w:rtl/>
        </w:rPr>
        <w:t xml:space="preserve">. האישום הראשון מפרט ביצוע מכירה של סם מסוכן מסוג חשיש במשקל 1.57 גרם נטו תמורת סך של 100 ₪. באישום השלישי, מתוארת עסקת סמים נוספת שבוצעה כעבור יומיים במהלכה מכר הנאשם סם מסוכן מסוג חשיש במשקל 3.09 גרם נטו תמורת הסך של  200 ₪. באותו מעמד גם החזיק הנאשם סם מסוכן מסוג חשיש במשקל 3.15 גרם נטו לצריכתו העצמית. מהנסיבות העולות מהכרעת הדין, עולה כי העבירות בוצעו לאחר שרוכש הסמים פנה </w:t>
      </w:r>
      <w:r>
        <w:rPr>
          <w:rFonts w:ascii="David" w:hAnsi="David" w:hint="cs"/>
          <w:rtl/>
        </w:rPr>
        <w:t xml:space="preserve">טלפונית </w:t>
      </w:r>
      <w:r w:rsidRPr="000344EF">
        <w:rPr>
          <w:rFonts w:ascii="David" w:hAnsi="David" w:hint="cs"/>
          <w:rtl/>
        </w:rPr>
        <w:t>אל הנאשם, וביקש לרכוש ממנו סמים</w:t>
      </w:r>
      <w:r>
        <w:rPr>
          <w:rFonts w:ascii="David" w:hAnsi="David" w:hint="cs"/>
          <w:rtl/>
        </w:rPr>
        <w:t>,</w:t>
      </w:r>
      <w:r w:rsidRPr="000344EF">
        <w:rPr>
          <w:rFonts w:ascii="David" w:hAnsi="David" w:hint="cs"/>
          <w:rtl/>
        </w:rPr>
        <w:t xml:space="preserve"> ו</w:t>
      </w:r>
      <w:r>
        <w:rPr>
          <w:rFonts w:ascii="David" w:hAnsi="David" w:hint="cs"/>
          <w:rtl/>
        </w:rPr>
        <w:t>רקימת הקשר</w:t>
      </w:r>
      <w:r w:rsidRPr="000344EF">
        <w:rPr>
          <w:rFonts w:ascii="David" w:hAnsi="David" w:hint="cs"/>
          <w:rtl/>
        </w:rPr>
        <w:t xml:space="preserve"> לביצוע עסקאות הסמים</w:t>
      </w:r>
      <w:r>
        <w:rPr>
          <w:rFonts w:ascii="David" w:hAnsi="David" w:hint="cs"/>
          <w:rtl/>
        </w:rPr>
        <w:t xml:space="preserve"> כללה</w:t>
      </w:r>
      <w:r w:rsidRPr="000344EF">
        <w:rPr>
          <w:rFonts w:ascii="David" w:hAnsi="David" w:hint="cs"/>
          <w:rtl/>
        </w:rPr>
        <w:t xml:space="preserve"> התקשרויות טלפוניות, והגעה למקום מפגש שמצוי במרחב הציבורי בעיר נהריה.</w:t>
      </w:r>
    </w:p>
    <w:p w14:paraId="74AE6BBB" w14:textId="77777777" w:rsidR="0039432C" w:rsidRDefault="0039432C" w:rsidP="0039432C">
      <w:pPr>
        <w:pStyle w:val="ListParagraph"/>
        <w:spacing w:line="360" w:lineRule="auto"/>
        <w:ind w:left="567"/>
        <w:jc w:val="both"/>
      </w:pPr>
    </w:p>
    <w:p w14:paraId="6267CEBB" w14:textId="77777777" w:rsidR="0039432C" w:rsidRPr="00AE6C00" w:rsidRDefault="0039432C" w:rsidP="0039432C">
      <w:pPr>
        <w:pStyle w:val="ListParagraph"/>
        <w:numPr>
          <w:ilvl w:val="0"/>
          <w:numId w:val="1"/>
        </w:numPr>
        <w:spacing w:line="360" w:lineRule="auto"/>
        <w:jc w:val="both"/>
      </w:pPr>
      <w:r w:rsidRPr="000344EF">
        <w:rPr>
          <w:rFonts w:ascii="David" w:hAnsi="David" w:hint="cs"/>
          <w:rtl/>
        </w:rPr>
        <w:t xml:space="preserve">בהכרעת הדין קבעתי כי עסקאות הסם בוצעו בעקבות פעילותו של </w:t>
      </w:r>
      <w:r w:rsidRPr="000344EF">
        <w:rPr>
          <w:rFonts w:ascii="David" w:hAnsi="David"/>
          <w:rtl/>
        </w:rPr>
        <w:t>סוכן המשטרתי</w:t>
      </w:r>
      <w:r w:rsidRPr="000344EF">
        <w:rPr>
          <w:rFonts w:ascii="David" w:hAnsi="David" w:hint="cs"/>
          <w:rtl/>
        </w:rPr>
        <w:t xml:space="preserve"> ובעקבות פניותיו של זה האחרון אל הנאשם לרכוש סמים. פ</w:t>
      </w:r>
      <w:r w:rsidRPr="000344EF">
        <w:rPr>
          <w:rFonts w:ascii="David" w:hAnsi="David"/>
          <w:rtl/>
        </w:rPr>
        <w:t>סיקת בית המשפט העליון קבעה –</w:t>
      </w:r>
      <w:r w:rsidRPr="000344EF">
        <w:rPr>
          <w:rFonts w:ascii="David" w:hAnsi="David" w:hint="cs"/>
          <w:rtl/>
        </w:rPr>
        <w:t xml:space="preserve"> על דרך העקרון </w:t>
      </w:r>
      <w:r w:rsidRPr="000344EF">
        <w:rPr>
          <w:rFonts w:ascii="David" w:hAnsi="David"/>
          <w:rtl/>
        </w:rPr>
        <w:t>–</w:t>
      </w:r>
      <w:r w:rsidRPr="000344EF">
        <w:rPr>
          <w:rFonts w:ascii="David" w:hAnsi="David" w:hint="cs"/>
          <w:rtl/>
        </w:rPr>
        <w:t xml:space="preserve"> כי </w:t>
      </w:r>
      <w:r w:rsidRPr="000344EF">
        <w:rPr>
          <w:rFonts w:ascii="David" w:hAnsi="David"/>
          <w:rtl/>
        </w:rPr>
        <w:t>פעולות שמבוצעות על ידי סוכן משטרתי אינ</w:t>
      </w:r>
      <w:r w:rsidRPr="000344EF">
        <w:rPr>
          <w:rFonts w:ascii="David" w:hAnsi="David" w:hint="cs"/>
          <w:rtl/>
        </w:rPr>
        <w:t>ן</w:t>
      </w:r>
      <w:r w:rsidRPr="000344EF">
        <w:rPr>
          <w:rFonts w:ascii="David" w:hAnsi="David"/>
          <w:rtl/>
        </w:rPr>
        <w:t xml:space="preserve"> פוטר</w:t>
      </w:r>
      <w:r w:rsidRPr="000344EF">
        <w:rPr>
          <w:rFonts w:ascii="David" w:hAnsi="David" w:hint="cs"/>
          <w:rtl/>
        </w:rPr>
        <w:t>ות</w:t>
      </w:r>
      <w:r w:rsidRPr="000344EF">
        <w:rPr>
          <w:rFonts w:ascii="David" w:hAnsi="David"/>
          <w:rtl/>
        </w:rPr>
        <w:t xml:space="preserve"> את העבריין מאחריות פלילית, אולם הן עשויות להביא להקלה בעונשו. ראו: </w:t>
      </w:r>
      <w:hyperlink r:id="rId48" w:history="1">
        <w:r w:rsidR="00061F01" w:rsidRPr="00061F01">
          <w:rPr>
            <w:rFonts w:ascii="David" w:hAnsi="David"/>
            <w:color w:val="0000FF"/>
            <w:u w:val="single"/>
            <w:rtl/>
          </w:rPr>
          <w:t>רע"פ 1201/12</w:t>
        </w:r>
      </w:hyperlink>
      <w:r w:rsidRPr="000344EF">
        <w:rPr>
          <w:rFonts w:ascii="David" w:hAnsi="David"/>
          <w:rtl/>
        </w:rPr>
        <w:t xml:space="preserve"> </w:t>
      </w:r>
      <w:r w:rsidRPr="000344EF">
        <w:rPr>
          <w:rFonts w:ascii="David" w:hAnsi="David"/>
          <w:b/>
          <w:bCs/>
          <w:rtl/>
        </w:rPr>
        <w:t>קטיעי נ' מדינת ישראל</w:t>
      </w:r>
      <w:r w:rsidRPr="000344EF">
        <w:rPr>
          <w:rFonts w:ascii="David" w:hAnsi="David"/>
          <w:rtl/>
        </w:rPr>
        <w:t xml:space="preserve"> ([פורסם בנבו], 9.1.2014), פסקה 7 לפסק הדין;  </w:t>
      </w:r>
      <w:hyperlink r:id="rId49" w:history="1">
        <w:r w:rsidR="00061F01" w:rsidRPr="00061F01">
          <w:rPr>
            <w:rFonts w:ascii="David" w:hAnsi="David"/>
            <w:color w:val="0000FF"/>
            <w:u w:val="single"/>
            <w:rtl/>
          </w:rPr>
          <w:t>ע"פ 15/78 ביבס נ' מדינת ישראל, פ"ד לב</w:t>
        </w:r>
      </w:hyperlink>
      <w:r w:rsidRPr="000344EF">
        <w:rPr>
          <w:rFonts w:ascii="David" w:hAnsi="David"/>
          <w:rtl/>
        </w:rPr>
        <w:t xml:space="preserve">(3) 64 (1978); </w:t>
      </w:r>
      <w:hyperlink r:id="rId50" w:history="1">
        <w:r w:rsidR="00061F01" w:rsidRPr="00061F01">
          <w:rPr>
            <w:rFonts w:ascii="David" w:hAnsi="David"/>
            <w:color w:val="0000FF"/>
            <w:u w:val="single"/>
            <w:rtl/>
          </w:rPr>
          <w:t>ע"פ 360/80 מדינת ישראל נ' אפנג'ר פ"ד לה</w:t>
        </w:r>
      </w:hyperlink>
      <w:r w:rsidRPr="000344EF">
        <w:rPr>
          <w:rFonts w:ascii="David" w:hAnsi="David"/>
          <w:rtl/>
        </w:rPr>
        <w:t xml:space="preserve">(1) 228, 235. </w:t>
      </w:r>
      <w:r w:rsidRPr="000344EF">
        <w:rPr>
          <w:rFonts w:ascii="David" w:hAnsi="David" w:hint="cs"/>
          <w:rtl/>
        </w:rPr>
        <w:t xml:space="preserve">אולם המידה </w:t>
      </w:r>
      <w:r>
        <w:rPr>
          <w:rFonts w:ascii="David" w:hAnsi="David" w:hint="cs"/>
          <w:rtl/>
        </w:rPr>
        <w:t>ש</w:t>
      </w:r>
      <w:r w:rsidRPr="000344EF">
        <w:rPr>
          <w:rFonts w:ascii="David" w:hAnsi="David" w:hint="cs"/>
          <w:rtl/>
        </w:rPr>
        <w:t xml:space="preserve">בה פעילות הסוכן עשויה להביא להקל בעונשו של הנאשם תלויה מטבע הדברים בנסיבות העניין ובעיקר </w:t>
      </w:r>
      <w:r>
        <w:rPr>
          <w:rFonts w:ascii="David" w:hAnsi="David" w:hint="cs"/>
          <w:rtl/>
        </w:rPr>
        <w:t>ב</w:t>
      </w:r>
      <w:r w:rsidRPr="000344EF">
        <w:rPr>
          <w:rFonts w:ascii="David" w:hAnsi="David" w:hint="cs"/>
          <w:rtl/>
        </w:rPr>
        <w:t xml:space="preserve">היקף פעולות השידול וההדחה שבוצעו על ידי הסוכן. </w:t>
      </w:r>
      <w:r>
        <w:rPr>
          <w:rFonts w:ascii="David" w:hAnsi="David" w:hint="cs"/>
          <w:rtl/>
        </w:rPr>
        <w:t>ה</w:t>
      </w:r>
      <w:r w:rsidRPr="000344EF">
        <w:rPr>
          <w:rFonts w:ascii="David" w:hAnsi="David"/>
          <w:rtl/>
        </w:rPr>
        <w:t xml:space="preserve">נסיבות האמורות רלוונטיות לקביעת המתחם, בהיותן נסיבות לגבי "חלקו היחסי של הנאשם בביצוע העבירה ומידת ההשפעה של אחר על הנאשם בביצוע העבירה"  כאמור </w:t>
      </w:r>
      <w:hyperlink r:id="rId51" w:history="1">
        <w:r w:rsidR="00DC6A8C" w:rsidRPr="00DC6A8C">
          <w:rPr>
            <w:rFonts w:ascii="David" w:hAnsi="David"/>
            <w:color w:val="0000FF"/>
            <w:u w:val="single"/>
            <w:rtl/>
          </w:rPr>
          <w:t>בסע' 40ט'(א)(2)</w:t>
        </w:r>
      </w:hyperlink>
      <w:r w:rsidRPr="000344EF">
        <w:rPr>
          <w:rFonts w:ascii="David" w:hAnsi="David"/>
          <w:rtl/>
        </w:rPr>
        <w:t xml:space="preserve"> ל</w:t>
      </w:r>
      <w:hyperlink r:id="rId52" w:history="1">
        <w:r w:rsidR="00061F01" w:rsidRPr="00061F01">
          <w:rPr>
            <w:rFonts w:ascii="David" w:hAnsi="David"/>
            <w:color w:val="0000FF"/>
            <w:u w:val="single"/>
            <w:rtl/>
          </w:rPr>
          <w:t>חוק העונשין</w:t>
        </w:r>
      </w:hyperlink>
      <w:r w:rsidRPr="000344EF">
        <w:rPr>
          <w:rFonts w:ascii="David" w:hAnsi="David" w:hint="cs"/>
          <w:rtl/>
        </w:rPr>
        <w:t>. כ</w:t>
      </w:r>
      <w:r>
        <w:rPr>
          <w:rFonts w:ascii="David" w:hAnsi="David" w:hint="cs"/>
          <w:rtl/>
        </w:rPr>
        <w:t>ד</w:t>
      </w:r>
      <w:r w:rsidRPr="000344EF">
        <w:rPr>
          <w:rFonts w:ascii="David" w:hAnsi="David" w:hint="cs"/>
          <w:rtl/>
        </w:rPr>
        <w:t>י לעמוד על היקף הפעולות שבוצעו על ידי הסוכן ניתן  להידרש לקביעות בהכרעת הדין, שם קבעתי בין היתר כלהלן</w:t>
      </w:r>
      <w:r>
        <w:rPr>
          <w:rFonts w:hint="cs"/>
          <w:rtl/>
        </w:rPr>
        <w:t>:</w:t>
      </w:r>
    </w:p>
    <w:p w14:paraId="4372C80E" w14:textId="77777777" w:rsidR="0039432C" w:rsidRDefault="0039432C" w:rsidP="0039432C">
      <w:pPr>
        <w:pStyle w:val="ListParagraph"/>
        <w:spacing w:line="360" w:lineRule="auto"/>
        <w:ind w:left="567"/>
        <w:jc w:val="both"/>
        <w:rPr>
          <w:rFonts w:ascii="David" w:hAnsi="David"/>
          <w:b/>
          <w:bCs/>
          <w:rtl/>
        </w:rPr>
      </w:pPr>
    </w:p>
    <w:p w14:paraId="25719F0C" w14:textId="77777777" w:rsidR="0039432C" w:rsidRPr="00AE6C00" w:rsidRDefault="0039432C" w:rsidP="0039432C">
      <w:pPr>
        <w:pStyle w:val="ListParagraph"/>
        <w:spacing w:line="360" w:lineRule="auto"/>
        <w:ind w:left="1701" w:right="1134"/>
        <w:jc w:val="both"/>
      </w:pPr>
      <w:r w:rsidRPr="00AE6C00">
        <w:rPr>
          <w:rFonts w:ascii="David" w:hAnsi="David" w:hint="cs"/>
          <w:b/>
          <w:bCs/>
          <w:rtl/>
        </w:rPr>
        <w:t>"</w:t>
      </w:r>
      <w:r w:rsidRPr="00AE6C00">
        <w:rPr>
          <w:rFonts w:hint="cs"/>
          <w:b/>
          <w:bCs/>
          <w:rtl/>
        </w:rPr>
        <w:t>לאור הראיות שפורטו לעיל, טענתו של הסנגור כי מדובר בפעולות שידול קיצוניות ומכאן כי מדובר בהדחה חמורה, נדחית מכל וכל. נהפוך הוא, מהראיות עולה כי מלבד עצם הפניה של הסוכן אל הנאשם, לא בוצעו פעולות משמעותיות של שידול והדחה. ניתן לומר כי לאחר שהראיות הונחו בפני בית המשפט התמונה התבהרה והתחדדה יותר וממנה עולה שפעולות ההדחה הן לא משמעותיות ואף מזעריות; בבחינת יותר מאשר הס</w:t>
      </w:r>
      <w:r>
        <w:rPr>
          <w:rFonts w:hint="cs"/>
          <w:b/>
          <w:bCs/>
          <w:rtl/>
        </w:rPr>
        <w:t>וכן רצה לקנות, הנאשם חפץ למכור"</w:t>
      </w:r>
    </w:p>
    <w:p w14:paraId="12EF60A9" w14:textId="77777777" w:rsidR="0039432C" w:rsidRDefault="0039432C" w:rsidP="0039432C">
      <w:pPr>
        <w:pStyle w:val="ListParagraph"/>
        <w:spacing w:line="360" w:lineRule="auto"/>
        <w:ind w:left="567"/>
        <w:jc w:val="both"/>
      </w:pPr>
    </w:p>
    <w:p w14:paraId="045BE9F2" w14:textId="77777777" w:rsidR="0039432C" w:rsidRDefault="0039432C" w:rsidP="0039432C">
      <w:pPr>
        <w:pStyle w:val="ListParagraph"/>
        <w:numPr>
          <w:ilvl w:val="0"/>
          <w:numId w:val="1"/>
        </w:numPr>
        <w:spacing w:line="360" w:lineRule="auto"/>
        <w:jc w:val="both"/>
      </w:pPr>
      <w:r>
        <w:rPr>
          <w:rFonts w:hint="cs"/>
          <w:rtl/>
        </w:rPr>
        <w:t>העבירות הכלולות באישום הראשון והשלישי בוצעו בתאריכים 28.3.2016 ו- 30.3.2016. אכן, מקובלת עליי טענת ב"כ המאשימה כי העובדה שהעבירות בוצעו מקום שהנאשם היה בעיצומו של הליך משפטי אחר, נושאת חומרה. כעולה מהמסמכים הקשורים בהליך הקודם בו נדון הנאשם (</w:t>
      </w:r>
      <w:hyperlink r:id="rId53" w:history="1">
        <w:r w:rsidR="00061F01" w:rsidRPr="00061F01">
          <w:rPr>
            <w:rFonts w:hint="eastAsia"/>
            <w:color w:val="0000FF"/>
            <w:u w:val="single"/>
            <w:rtl/>
          </w:rPr>
          <w:t>ת</w:t>
        </w:r>
        <w:r w:rsidR="00061F01" w:rsidRPr="00061F01">
          <w:rPr>
            <w:color w:val="0000FF"/>
            <w:u w:val="single"/>
            <w:rtl/>
          </w:rPr>
          <w:t>"</w:t>
        </w:r>
        <w:r w:rsidR="00061F01" w:rsidRPr="00061F01">
          <w:rPr>
            <w:rFonts w:hint="eastAsia"/>
            <w:color w:val="0000FF"/>
            <w:u w:val="single"/>
            <w:rtl/>
          </w:rPr>
          <w:t>פ</w:t>
        </w:r>
        <w:r w:rsidR="00061F01" w:rsidRPr="00061F01">
          <w:rPr>
            <w:color w:val="0000FF"/>
            <w:u w:val="single"/>
            <w:rtl/>
          </w:rPr>
          <w:t xml:space="preserve"> 39346-03-14</w:t>
        </w:r>
      </w:hyperlink>
      <w:r>
        <w:rPr>
          <w:rFonts w:hint="cs"/>
          <w:rtl/>
        </w:rPr>
        <w:t xml:space="preserve">; ראו טמ/2), ביום 29.3.2016 ניתן גזר דין בו הושת על הנאשם עונש של מאסר בפועל לתקופה של 26 חודשים (שהופחת לאחר מכן בערעור). והנה, יום לפני מתן גזר הדין, ביצע הנאשם את העבירה מושא האישום הראשון. יתרה מכך, עם מתן גזר הדין נתבקש עיכוב ביצוע עונש המאסר בפועל ובית המשפט נעתר לבקשה. אלא שבתוך תקופת העיכוב, בוצעה העבירה הנוספת מיום 30.3.2016 מושא האישום השלישי. העובדה כי העבירות בוצעו בצלו של ההליך המשפטי הקודם; אחת מהן אף בוצעה בתוך תקופת עיכוב הביצוע ותוך הפרת התנאים בהם נתון הנאשם (כפי שפורט באישום השני) </w:t>
      </w:r>
      <w:r>
        <w:rPr>
          <w:rtl/>
        </w:rPr>
        <w:t>–</w:t>
      </w:r>
      <w:r>
        <w:rPr>
          <w:rFonts w:hint="cs"/>
          <w:rtl/>
        </w:rPr>
        <w:t xml:space="preserve"> מעידות על כך שערכים נורמטיביים של כיבוד החוק והחלטות בית המשפט, אינם מבין הערכים שהנאשם נושא בכליו.</w:t>
      </w:r>
    </w:p>
    <w:p w14:paraId="552AA561" w14:textId="77777777" w:rsidR="0039432C" w:rsidRPr="00AF7DE9" w:rsidRDefault="0039432C" w:rsidP="0039432C">
      <w:pPr>
        <w:pStyle w:val="ListParagraph"/>
        <w:spacing w:line="360" w:lineRule="auto"/>
        <w:ind w:left="567"/>
        <w:jc w:val="both"/>
      </w:pPr>
    </w:p>
    <w:p w14:paraId="60176A7B" w14:textId="77777777" w:rsidR="0039432C" w:rsidRDefault="0039432C" w:rsidP="004850F2">
      <w:pPr>
        <w:pStyle w:val="ListParagraph"/>
        <w:numPr>
          <w:ilvl w:val="0"/>
          <w:numId w:val="1"/>
        </w:numPr>
        <w:spacing w:line="360" w:lineRule="auto"/>
        <w:jc w:val="both"/>
      </w:pPr>
      <w:r w:rsidRPr="00AE6C00">
        <w:rPr>
          <w:rFonts w:ascii="David" w:hAnsi="David"/>
          <w:rtl/>
        </w:rPr>
        <w:t xml:space="preserve">בחינת מדיניות הענישה הנוהגת מלמדת כי בגין עבירות דומות לעבירות בהן הורשע הנאשם הוטלו עונשים הכוללים מאסרים בפועל שרוצו בעבודות שירות וכן מאסרים בפועל של ממש. ראו בין היתר </w:t>
      </w:r>
      <w:hyperlink r:id="rId54" w:history="1">
        <w:r w:rsidR="00061F01" w:rsidRPr="00061F01">
          <w:rPr>
            <w:rFonts w:ascii="David" w:hAnsi="David"/>
            <w:color w:val="0000FF"/>
            <w:u w:val="single"/>
            <w:rtl/>
          </w:rPr>
          <w:t>רע"פ 3627/13</w:t>
        </w:r>
      </w:hyperlink>
      <w:r w:rsidRPr="00AE6C00">
        <w:rPr>
          <w:rFonts w:ascii="David" w:hAnsi="David"/>
          <w:rtl/>
        </w:rPr>
        <w:t xml:space="preserve"> </w:t>
      </w:r>
      <w:r w:rsidRPr="00AF7DE9">
        <w:rPr>
          <w:rFonts w:ascii="David" w:hAnsi="David" w:hint="eastAsia"/>
          <w:b/>
          <w:bCs/>
          <w:rtl/>
        </w:rPr>
        <w:t>שדה</w:t>
      </w:r>
      <w:r w:rsidRPr="00AF7DE9">
        <w:rPr>
          <w:rFonts w:ascii="David" w:hAnsi="David"/>
          <w:b/>
          <w:bCs/>
          <w:rtl/>
        </w:rPr>
        <w:t xml:space="preserve"> </w:t>
      </w:r>
      <w:r w:rsidRPr="00AF7DE9">
        <w:rPr>
          <w:rFonts w:ascii="David" w:hAnsi="David" w:hint="eastAsia"/>
          <w:b/>
          <w:bCs/>
          <w:rtl/>
        </w:rPr>
        <w:t>נ</w:t>
      </w:r>
      <w:r w:rsidRPr="00AF7DE9">
        <w:rPr>
          <w:rFonts w:ascii="David" w:hAnsi="David"/>
          <w:b/>
          <w:bCs/>
          <w:rtl/>
        </w:rPr>
        <w:t xml:space="preserve">' </w:t>
      </w:r>
      <w:r w:rsidRPr="00AF7DE9">
        <w:rPr>
          <w:rFonts w:ascii="David" w:hAnsi="David" w:hint="eastAsia"/>
          <w:b/>
          <w:bCs/>
          <w:rtl/>
        </w:rPr>
        <w:t>מדינת</w:t>
      </w:r>
      <w:r w:rsidRPr="00AF7DE9">
        <w:rPr>
          <w:rFonts w:ascii="David" w:hAnsi="David"/>
          <w:b/>
          <w:bCs/>
          <w:rtl/>
        </w:rPr>
        <w:t xml:space="preserve"> </w:t>
      </w:r>
      <w:r w:rsidRPr="00AF7DE9">
        <w:rPr>
          <w:rFonts w:ascii="David" w:hAnsi="David" w:hint="eastAsia"/>
          <w:b/>
          <w:bCs/>
          <w:rtl/>
        </w:rPr>
        <w:t>ישראל</w:t>
      </w:r>
      <w:r w:rsidRPr="00AE6C00">
        <w:rPr>
          <w:rFonts w:ascii="David" w:hAnsi="David" w:hint="cs"/>
          <w:rtl/>
        </w:rPr>
        <w:t xml:space="preserve"> (פורסם בנבו, 22.5.2013) </w:t>
      </w:r>
      <w:r w:rsidRPr="00AE6C00">
        <w:rPr>
          <w:rFonts w:ascii="David" w:hAnsi="David"/>
          <w:rtl/>
        </w:rPr>
        <w:t>–</w:t>
      </w:r>
      <w:r w:rsidRPr="00AE6C00">
        <w:rPr>
          <w:rFonts w:ascii="David" w:hAnsi="David" w:hint="cs"/>
          <w:rtl/>
        </w:rPr>
        <w:t xml:space="preserve"> שם הוטל מאסר בפועל לתקופה של 7 חודשים בגין שתי עסקאות סמים;</w:t>
      </w:r>
      <w:r w:rsidRPr="00AE6C00">
        <w:rPr>
          <w:rFonts w:ascii="David" w:hAnsi="David"/>
          <w:rtl/>
        </w:rPr>
        <w:t xml:space="preserve"> </w:t>
      </w:r>
      <w:hyperlink r:id="rId55" w:history="1">
        <w:r w:rsidR="00061F01" w:rsidRPr="00061F01">
          <w:rPr>
            <w:rFonts w:ascii="David" w:hAnsi="David"/>
            <w:color w:val="0000FF"/>
            <w:u w:val="single"/>
            <w:rtl/>
          </w:rPr>
          <w:t>עפ"ג 691-02-10</w:t>
        </w:r>
      </w:hyperlink>
      <w:r w:rsidRPr="00AE6C00">
        <w:rPr>
          <w:rFonts w:ascii="David" w:hAnsi="David"/>
          <w:rtl/>
        </w:rPr>
        <w:t xml:space="preserve"> </w:t>
      </w:r>
      <w:r w:rsidRPr="00AE6C00">
        <w:rPr>
          <w:rFonts w:ascii="David" w:hAnsi="David"/>
          <w:b/>
          <w:bCs/>
          <w:rtl/>
        </w:rPr>
        <w:t>מדינת ישראל נ' עזרא</w:t>
      </w:r>
      <w:r w:rsidRPr="00AE6C00">
        <w:rPr>
          <w:rFonts w:ascii="David" w:hAnsi="David"/>
          <w:rtl/>
        </w:rPr>
        <w:t xml:space="preserve"> (2.1.2010) – שם הוטלו 6 חודשי מאסר לריצוי בעבודות שירות; </w:t>
      </w:r>
      <w:hyperlink r:id="rId56" w:history="1">
        <w:r w:rsidR="004850F2" w:rsidRPr="004850F2">
          <w:rPr>
            <w:rFonts w:ascii="David" w:hAnsi="David"/>
            <w:color w:val="0000FF"/>
            <w:u w:val="single"/>
            <w:rtl/>
          </w:rPr>
          <w:t>ע"פ 70683/05</w:t>
        </w:r>
      </w:hyperlink>
      <w:r w:rsidR="004850F2" w:rsidRPr="004850F2">
        <w:rPr>
          <w:rFonts w:ascii="David" w:hAnsi="David"/>
          <w:rtl/>
        </w:rPr>
        <w:t xml:space="preserve"> </w:t>
      </w:r>
      <w:r w:rsidRPr="00AE6C00">
        <w:rPr>
          <w:rFonts w:ascii="David" w:hAnsi="David"/>
          <w:b/>
          <w:bCs/>
          <w:rtl/>
        </w:rPr>
        <w:t>לבקוביץ' נ' מדינת ישראל</w:t>
      </w:r>
      <w:r w:rsidRPr="00AE6C00">
        <w:rPr>
          <w:rFonts w:ascii="David" w:hAnsi="David"/>
          <w:rtl/>
        </w:rPr>
        <w:t xml:space="preserve"> (21.1.2007) – שם אושר עונש של 6 חודשים מאסר בפועל שרוצו בעבודות שירות בגין שתי עסקאות סם, בעניין זה נטענו נסיבות משמעותיות של הדחה; </w:t>
      </w:r>
      <w:hyperlink r:id="rId57" w:history="1">
        <w:r w:rsidR="00061F01" w:rsidRPr="00061F01">
          <w:rPr>
            <w:rFonts w:ascii="David" w:hAnsi="David"/>
            <w:color w:val="0000FF"/>
            <w:u w:val="single"/>
            <w:rtl/>
          </w:rPr>
          <w:t>עפ"ג 22938-07-12</w:t>
        </w:r>
      </w:hyperlink>
      <w:r w:rsidRPr="00AE6C00">
        <w:rPr>
          <w:rFonts w:ascii="David" w:hAnsi="David"/>
          <w:rtl/>
        </w:rPr>
        <w:t xml:space="preserve"> </w:t>
      </w:r>
      <w:r w:rsidRPr="00AE6C00">
        <w:rPr>
          <w:rFonts w:ascii="David" w:hAnsi="David"/>
          <w:b/>
          <w:bCs/>
          <w:rtl/>
        </w:rPr>
        <w:t>מדינת ישראל נ' סויסה</w:t>
      </w:r>
      <w:r w:rsidRPr="00AE6C00">
        <w:rPr>
          <w:rFonts w:ascii="David" w:hAnsi="David"/>
          <w:rtl/>
        </w:rPr>
        <w:t xml:space="preserve"> (28.1.2013) – שם הוטל עונש של 8 חודשי מאסר בפועל בגין עסקת סם</w:t>
      </w:r>
      <w:r w:rsidRPr="00AE6C00">
        <w:rPr>
          <w:rFonts w:ascii="David" w:hAnsi="David" w:hint="cs"/>
          <w:rtl/>
        </w:rPr>
        <w:t xml:space="preserve">; </w:t>
      </w:r>
      <w:hyperlink r:id="rId58" w:history="1">
        <w:r w:rsidR="00061F01" w:rsidRPr="00061F01">
          <w:rPr>
            <w:rFonts w:ascii="David" w:hAnsi="David"/>
            <w:color w:val="0000FF"/>
            <w:u w:val="single"/>
            <w:rtl/>
          </w:rPr>
          <w:t>ת"פ (ת"א)  49973-07-12</w:t>
        </w:r>
      </w:hyperlink>
      <w:r w:rsidRPr="00AE6C00">
        <w:rPr>
          <w:rFonts w:ascii="David" w:hAnsi="David" w:hint="cs"/>
          <w:rtl/>
        </w:rPr>
        <w:t xml:space="preserve"> </w:t>
      </w:r>
      <w:r w:rsidRPr="00AE6C00">
        <w:rPr>
          <w:rFonts w:ascii="David" w:hAnsi="David"/>
          <w:rtl/>
        </w:rPr>
        <w:t xml:space="preserve"> </w:t>
      </w:r>
      <w:r w:rsidRPr="00AE6C00">
        <w:rPr>
          <w:rFonts w:ascii="David" w:hAnsi="David" w:hint="cs"/>
          <w:b/>
          <w:bCs/>
          <w:rtl/>
        </w:rPr>
        <w:t>מדינת ישראל נ' הורנשטיין</w:t>
      </w:r>
      <w:r w:rsidRPr="00AE6C00">
        <w:rPr>
          <w:rFonts w:ascii="David" w:hAnsi="David" w:hint="cs"/>
          <w:rtl/>
        </w:rPr>
        <w:t xml:space="preserve"> (31.12.2012) בו נקבע בין היתר מתחם לעבירה סחר בסם מסוג חשיש תמורת 300 ₪ מתחם הנע בין 5-12 חודשי מאסר.</w:t>
      </w:r>
    </w:p>
    <w:p w14:paraId="7D5CCE44" w14:textId="77777777" w:rsidR="0039432C" w:rsidRDefault="0039432C" w:rsidP="0039432C">
      <w:pPr>
        <w:pStyle w:val="ListParagraph"/>
        <w:spacing w:line="360" w:lineRule="auto"/>
        <w:ind w:left="567"/>
        <w:jc w:val="both"/>
      </w:pPr>
    </w:p>
    <w:p w14:paraId="6C6201E2" w14:textId="77777777" w:rsidR="0039432C" w:rsidRDefault="0039432C" w:rsidP="0039432C">
      <w:pPr>
        <w:pStyle w:val="ListParagraph"/>
        <w:numPr>
          <w:ilvl w:val="0"/>
          <w:numId w:val="1"/>
        </w:numPr>
        <w:spacing w:line="360" w:lineRule="auto"/>
        <w:jc w:val="both"/>
      </w:pPr>
      <w:r>
        <w:rPr>
          <w:rFonts w:ascii="David" w:hAnsi="David" w:hint="cs"/>
          <w:rtl/>
        </w:rPr>
        <w:t xml:space="preserve">באישום השלישי צוין כי עם הגעת השוטרים </w:t>
      </w:r>
      <w:r w:rsidRPr="00E919E5">
        <w:rPr>
          <w:rFonts w:ascii="David" w:hAnsi="David" w:hint="cs"/>
          <w:rtl/>
        </w:rPr>
        <w:t xml:space="preserve">זרק </w:t>
      </w:r>
      <w:r>
        <w:rPr>
          <w:rFonts w:ascii="David" w:hAnsi="David" w:hint="cs"/>
          <w:rtl/>
        </w:rPr>
        <w:t xml:space="preserve">הנאשם </w:t>
      </w:r>
      <w:r w:rsidRPr="00E919E5">
        <w:rPr>
          <w:rFonts w:ascii="David" w:hAnsi="David" w:hint="cs"/>
          <w:rtl/>
        </w:rPr>
        <w:t>על הרצפה את הכסף שקיבל מן השוטר ואת הסמים שהחזיק</w:t>
      </w:r>
      <w:r>
        <w:rPr>
          <w:rFonts w:ascii="David" w:hAnsi="David" w:hint="cs"/>
          <w:rtl/>
        </w:rPr>
        <w:t xml:space="preserve"> ו</w:t>
      </w:r>
      <w:r w:rsidRPr="00E919E5">
        <w:rPr>
          <w:rFonts w:ascii="David" w:hAnsi="David" w:hint="cs"/>
          <w:rtl/>
        </w:rPr>
        <w:t>בגין מעשים אלו, הורשע ב</w:t>
      </w:r>
      <w:r>
        <w:rPr>
          <w:rFonts w:ascii="David" w:hAnsi="David" w:hint="cs"/>
          <w:rtl/>
        </w:rPr>
        <w:t xml:space="preserve">ין היתר בעבירה של </w:t>
      </w:r>
      <w:r w:rsidRPr="00E919E5">
        <w:rPr>
          <w:rFonts w:ascii="David" w:hAnsi="David" w:hint="cs"/>
          <w:rtl/>
        </w:rPr>
        <w:t xml:space="preserve">שיבוש מהלכי משפט לפי </w:t>
      </w:r>
      <w:hyperlink r:id="rId59" w:history="1">
        <w:r w:rsidR="00DC6A8C" w:rsidRPr="00DC6A8C">
          <w:rPr>
            <w:rFonts w:ascii="David" w:hAnsi="David"/>
            <w:color w:val="0000FF"/>
            <w:u w:val="single"/>
            <w:rtl/>
          </w:rPr>
          <w:t>סעיף 244</w:t>
        </w:r>
      </w:hyperlink>
      <w:r w:rsidRPr="00E919E5">
        <w:rPr>
          <w:rFonts w:ascii="David" w:hAnsi="David" w:hint="cs"/>
          <w:rtl/>
        </w:rPr>
        <w:t xml:space="preserve"> ל</w:t>
      </w:r>
      <w:hyperlink r:id="rId60" w:history="1">
        <w:r w:rsidR="00061F01" w:rsidRPr="00061F01">
          <w:rPr>
            <w:rFonts w:ascii="David" w:hAnsi="David"/>
            <w:color w:val="0000FF"/>
            <w:u w:val="single"/>
            <w:rtl/>
          </w:rPr>
          <w:t>חוק העונשין</w:t>
        </w:r>
      </w:hyperlink>
      <w:r w:rsidRPr="00E919E5">
        <w:rPr>
          <w:rFonts w:ascii="David" w:hAnsi="David" w:hint="cs"/>
          <w:rtl/>
        </w:rPr>
        <w:t>.</w:t>
      </w:r>
      <w:r>
        <w:rPr>
          <w:rFonts w:hint="cs"/>
          <w:rtl/>
        </w:rPr>
        <w:t xml:space="preserve"> עבירה זו באה להגן על טוהרו של ההליך השיפוטי ולמנוע הסתרת ראיות מבית המשפט, וכך לחשוף אותו לחוסר מידע. אולם נראה כי מדובר בעבירה שבוצעה בנסיבות קלות מאוד, ועל כן מידת הפגיעה בערך המוגן אינה מן הגבוהות.</w:t>
      </w:r>
    </w:p>
    <w:p w14:paraId="06EF2C9F" w14:textId="77777777" w:rsidR="0039432C" w:rsidRDefault="0039432C" w:rsidP="0039432C">
      <w:pPr>
        <w:spacing w:line="360" w:lineRule="auto"/>
        <w:jc w:val="both"/>
      </w:pPr>
    </w:p>
    <w:p w14:paraId="208F8A6F" w14:textId="77777777" w:rsidR="0039432C" w:rsidRDefault="0039432C" w:rsidP="0039432C">
      <w:pPr>
        <w:pStyle w:val="ListParagraph"/>
        <w:numPr>
          <w:ilvl w:val="0"/>
          <w:numId w:val="1"/>
        </w:numPr>
        <w:spacing w:line="360" w:lineRule="auto"/>
        <w:jc w:val="both"/>
      </w:pPr>
      <w:r w:rsidRPr="00E919E5">
        <w:rPr>
          <w:rtl/>
        </w:rPr>
        <w:t xml:space="preserve">לאור המובא לעיל, אני סבור כי מתחם העונש ההולם </w:t>
      </w:r>
      <w:r>
        <w:rPr>
          <w:rFonts w:hint="cs"/>
          <w:rtl/>
        </w:rPr>
        <w:t xml:space="preserve">כולל </w:t>
      </w:r>
      <w:r w:rsidRPr="00E919E5">
        <w:rPr>
          <w:rtl/>
        </w:rPr>
        <w:t xml:space="preserve"> מאסר בפועל ל</w:t>
      </w:r>
      <w:r>
        <w:rPr>
          <w:rFonts w:hint="cs"/>
          <w:rtl/>
        </w:rPr>
        <w:t>תקופה של 6  חודשים עד 18 חודשים</w:t>
      </w:r>
      <w:r w:rsidRPr="00E919E5">
        <w:rPr>
          <w:rtl/>
        </w:rPr>
        <w:t>, בנוסף למאסר מותנה</w:t>
      </w:r>
      <w:r>
        <w:rPr>
          <w:rFonts w:hint="cs"/>
          <w:rtl/>
        </w:rPr>
        <w:t xml:space="preserve"> ופסילת רישיון נהיגה</w:t>
      </w:r>
      <w:r w:rsidRPr="00E919E5">
        <w:rPr>
          <w:rtl/>
        </w:rPr>
        <w:t>.</w:t>
      </w:r>
      <w:r>
        <w:rPr>
          <w:rFonts w:hint="cs"/>
          <w:rtl/>
        </w:rPr>
        <w:t xml:space="preserve"> לנוכח העובדה כי הנאשם מרצה מאסר בפועל לתקופה לא קצרה ולאור המאסר בפועל שיוטל עליו בתיק זה, אינני רואה לכלול במתחם קנס.</w:t>
      </w:r>
    </w:p>
    <w:p w14:paraId="3DBE806B" w14:textId="77777777" w:rsidR="0039432C" w:rsidRPr="00333040" w:rsidRDefault="0039432C" w:rsidP="0039432C">
      <w:pPr>
        <w:pStyle w:val="ListParagraph"/>
        <w:spacing w:line="360" w:lineRule="auto"/>
        <w:ind w:left="567"/>
        <w:jc w:val="both"/>
      </w:pPr>
    </w:p>
    <w:p w14:paraId="50515645" w14:textId="77777777" w:rsidR="0039432C" w:rsidRPr="00161133" w:rsidRDefault="0039432C" w:rsidP="0039432C">
      <w:pPr>
        <w:pStyle w:val="ListParagraph"/>
        <w:numPr>
          <w:ilvl w:val="0"/>
          <w:numId w:val="1"/>
        </w:numPr>
        <w:spacing w:line="360" w:lineRule="auto"/>
        <w:jc w:val="both"/>
        <w:rPr>
          <w:rtl/>
        </w:rPr>
      </w:pPr>
      <w:r>
        <w:rPr>
          <w:rFonts w:hint="cs"/>
          <w:rtl/>
        </w:rPr>
        <w:t xml:space="preserve">באישום השני הורשע הנאשם בביצוע עבירה של הפרת הוראה חוקית. עבירה זו באה להגן על הערך הטמון בכיבוד החלטות בית המשפט, ומגלם את הצפיה כי האזרח ישעה להחלטות בית המשפט ויפעל על פיהן,  ומכאן באה העבירה להגן על שלטון החוק. כפי שעולה מכתב האישום, </w:t>
      </w:r>
      <w:r>
        <w:rPr>
          <w:rFonts w:ascii="Arial" w:hAnsi="Arial" w:hint="cs"/>
          <w:rtl/>
        </w:rPr>
        <w:t xml:space="preserve">בהליך קודם נשפט הנאשם למאסר בפועל בגזר דין שניתן </w:t>
      </w:r>
      <w:r w:rsidRPr="00161133">
        <w:rPr>
          <w:rFonts w:ascii="Arial" w:hAnsi="Arial" w:hint="cs"/>
          <w:rtl/>
        </w:rPr>
        <w:t xml:space="preserve">ביום 29.3.2016 במסגרת </w:t>
      </w:r>
      <w:hyperlink r:id="rId61" w:history="1">
        <w:r w:rsidR="00061F01" w:rsidRPr="00061F01">
          <w:rPr>
            <w:rFonts w:ascii="Arial" w:hAnsi="Arial"/>
            <w:color w:val="0000FF"/>
            <w:u w:val="single"/>
            <w:rtl/>
          </w:rPr>
          <w:t>ת"פ 39346-03-14</w:t>
        </w:r>
      </w:hyperlink>
      <w:r>
        <w:rPr>
          <w:rFonts w:ascii="Arial" w:hAnsi="Arial" w:hint="cs"/>
          <w:rtl/>
        </w:rPr>
        <w:t xml:space="preserve">. בהחלטה שניתנה באותו יום  נקבע כי </w:t>
      </w:r>
      <w:r w:rsidRPr="00161133">
        <w:rPr>
          <w:rFonts w:ascii="Arial" w:hAnsi="Arial" w:hint="cs"/>
          <w:rtl/>
        </w:rPr>
        <w:t>הנאשם יהיה נתון במעצר בית מלא בבית הור</w:t>
      </w:r>
      <w:r>
        <w:rPr>
          <w:rFonts w:ascii="Arial" w:hAnsi="Arial" w:hint="cs"/>
          <w:rtl/>
        </w:rPr>
        <w:t>יו בנהריה וזאת עד ליום 1.5.2016 מועד תחילת ריצוי העונש. אלא ש</w:t>
      </w:r>
      <w:r w:rsidRPr="00161133">
        <w:rPr>
          <w:rFonts w:ascii="Arial" w:hAnsi="Arial" w:hint="cs"/>
          <w:rtl/>
        </w:rPr>
        <w:t xml:space="preserve">ביום 30.3.2016 עזב הנאשם את </w:t>
      </w:r>
      <w:r>
        <w:rPr>
          <w:rFonts w:ascii="Arial" w:hAnsi="Arial" w:hint="cs"/>
          <w:rtl/>
        </w:rPr>
        <w:t xml:space="preserve">הבית. ההפרה לוותה בביצוע עבירה חמורה </w:t>
      </w:r>
      <w:r>
        <w:rPr>
          <w:rFonts w:ascii="Arial" w:hAnsi="Arial"/>
          <w:rtl/>
        </w:rPr>
        <w:t>–</w:t>
      </w:r>
      <w:r>
        <w:rPr>
          <w:rFonts w:ascii="Arial" w:hAnsi="Arial" w:hint="cs"/>
          <w:rtl/>
        </w:rPr>
        <w:t xml:space="preserve"> זו המתוארת באישום השלישי, ומכאן החומרה בנסיבות ביצוע עבירה זו (עם זאת אזהיר את עצמי שלא אשקול את השיקול בדבר ביצוע עבירה תוך הפרת ההוראה החוקית לחומרה פעמיים </w:t>
      </w:r>
      <w:r>
        <w:rPr>
          <w:rFonts w:ascii="Arial" w:hAnsi="Arial"/>
          <w:rtl/>
        </w:rPr>
        <w:t>–</w:t>
      </w:r>
      <w:r>
        <w:rPr>
          <w:rFonts w:ascii="Arial" w:hAnsi="Arial" w:hint="cs"/>
          <w:rtl/>
        </w:rPr>
        <w:t xml:space="preserve"> לנוכח האמור בסעיף 12 לגזר הדין לגבי העבירה מושא האישום השלישי). סבורני כי מתחם העונש ההולם בגין עבירה זו, נע בין מאסר על תנאי ברף התחתון למאסר בפועל לתקופה של ששה חודשים. </w:t>
      </w:r>
    </w:p>
    <w:p w14:paraId="5B678741" w14:textId="77777777" w:rsidR="0039432C" w:rsidRDefault="0039432C" w:rsidP="0039432C">
      <w:pPr>
        <w:pStyle w:val="ListParagraph"/>
        <w:spacing w:line="360" w:lineRule="auto"/>
        <w:ind w:left="567"/>
        <w:jc w:val="both"/>
      </w:pPr>
    </w:p>
    <w:p w14:paraId="2DBCC1EC" w14:textId="77777777" w:rsidR="0039432C" w:rsidRPr="00322F7F" w:rsidRDefault="0039432C" w:rsidP="0039432C">
      <w:pPr>
        <w:pStyle w:val="ListParagraph"/>
        <w:numPr>
          <w:ilvl w:val="0"/>
          <w:numId w:val="1"/>
        </w:numPr>
        <w:spacing w:line="360" w:lineRule="auto"/>
        <w:jc w:val="both"/>
        <w:rPr>
          <w:rtl/>
        </w:rPr>
      </w:pPr>
      <w:r w:rsidRPr="00322F7F">
        <w:rPr>
          <w:rFonts w:ascii="David" w:hAnsi="David"/>
          <w:rtl/>
        </w:rPr>
        <w:t xml:space="preserve">מנסיבות העניין, לא נראה כי קיימים שיקולים אשר מצדיקים סטייה מהמתחם, לחומרה או לקולה. </w:t>
      </w:r>
      <w:r>
        <w:rPr>
          <w:rFonts w:hint="cs"/>
          <w:rtl/>
        </w:rPr>
        <w:t>יצוין בהקשר זה כי כעולה מגזר הדין בהליך הקודם, בית המשפט הלך לקראת הנאשם כברת דרך עת אפשר לו בהזדמנויות רבות להשתלב בהליך שיקומי, אולם הנאשם שב ובעט בניסיונות אלה (ראו סעיפים 4-7 לגזר הדין טמ/2), ולא השכיל לנצלן כדי לשקם את דרכיו.</w:t>
      </w:r>
    </w:p>
    <w:p w14:paraId="3D68577F" w14:textId="77777777" w:rsidR="0039432C" w:rsidRDefault="0039432C" w:rsidP="0039432C">
      <w:pPr>
        <w:pStyle w:val="ListParagraph"/>
        <w:spacing w:line="360" w:lineRule="auto"/>
        <w:ind w:left="567"/>
        <w:jc w:val="both"/>
      </w:pPr>
    </w:p>
    <w:p w14:paraId="66F17807" w14:textId="77777777" w:rsidR="0039432C" w:rsidRDefault="0039432C" w:rsidP="0039432C">
      <w:pPr>
        <w:pStyle w:val="ListParagraph"/>
        <w:numPr>
          <w:ilvl w:val="0"/>
          <w:numId w:val="1"/>
        </w:numPr>
        <w:spacing w:line="360" w:lineRule="auto"/>
        <w:jc w:val="both"/>
      </w:pPr>
      <w:r>
        <w:rPr>
          <w:rFonts w:hint="cs"/>
          <w:rtl/>
        </w:rPr>
        <w:t>אשר לנסיבות הקשורות בגזירת העונש בתוך המתחם, אפרט להלן את הנסיבות שעמדו לנגד עיניי:</w:t>
      </w:r>
    </w:p>
    <w:p w14:paraId="58969D07" w14:textId="77777777" w:rsidR="0039432C" w:rsidRDefault="0039432C" w:rsidP="0039432C">
      <w:pPr>
        <w:pStyle w:val="ListParagraph"/>
        <w:spacing w:line="360" w:lineRule="auto"/>
        <w:ind w:left="567"/>
        <w:jc w:val="both"/>
        <w:rPr>
          <w:rtl/>
        </w:rPr>
      </w:pPr>
    </w:p>
    <w:p w14:paraId="2512F262" w14:textId="77777777" w:rsidR="0039432C" w:rsidRDefault="0039432C" w:rsidP="0039432C">
      <w:pPr>
        <w:pStyle w:val="ListParagraph"/>
        <w:spacing w:line="360" w:lineRule="auto"/>
        <w:ind w:left="850" w:hanging="283"/>
        <w:jc w:val="both"/>
        <w:rPr>
          <w:rtl/>
        </w:rPr>
      </w:pPr>
      <w:r>
        <w:rPr>
          <w:rFonts w:hint="cs"/>
          <w:rtl/>
        </w:rPr>
        <w:t xml:space="preserve">א. </w:t>
      </w:r>
      <w:r>
        <w:rPr>
          <w:rtl/>
        </w:rPr>
        <w:tab/>
      </w:r>
      <w:r>
        <w:rPr>
          <w:rFonts w:hint="cs"/>
          <w:rtl/>
        </w:rPr>
        <w:t>הנאשם יליד 1993. מלבד ההרשעה מושא ההליך הקודם (טמ/2; ובשים לב לתוצאת הערעור), לחובת הנאשם הרשעות קודמות. עיון בגיליון ההרשעות הקודמות מלמד כי הנאשם הורשע בעבר בעבירות רבות ומגוונות, בין היתר: עבירות רכוש, איומים, אלימות והפרת הוראה חוקית. הנאשם ריצה בעבר מאסרים בפועל.</w:t>
      </w:r>
    </w:p>
    <w:p w14:paraId="62E94F19" w14:textId="77777777" w:rsidR="0039432C" w:rsidRDefault="0039432C" w:rsidP="0039432C">
      <w:pPr>
        <w:pStyle w:val="ListParagraph"/>
        <w:spacing w:line="360" w:lineRule="auto"/>
        <w:ind w:left="850" w:hanging="283"/>
        <w:jc w:val="both"/>
        <w:rPr>
          <w:rtl/>
        </w:rPr>
      </w:pPr>
    </w:p>
    <w:p w14:paraId="2B8C6672" w14:textId="77777777" w:rsidR="0039432C" w:rsidRDefault="0039432C" w:rsidP="0039432C">
      <w:pPr>
        <w:pStyle w:val="ListParagraph"/>
        <w:spacing w:line="360" w:lineRule="auto"/>
        <w:ind w:left="850" w:hanging="283"/>
        <w:jc w:val="both"/>
        <w:rPr>
          <w:rtl/>
        </w:rPr>
      </w:pPr>
      <w:r>
        <w:rPr>
          <w:rFonts w:hint="cs"/>
          <w:rtl/>
        </w:rPr>
        <w:t xml:space="preserve">ב. </w:t>
      </w:r>
      <w:r>
        <w:rPr>
          <w:rtl/>
        </w:rPr>
        <w:tab/>
      </w:r>
      <w:r>
        <w:rPr>
          <w:rFonts w:hint="cs"/>
          <w:rtl/>
        </w:rPr>
        <w:t>כפי שצוין לעיל, בהליך הקודם, שבו הורשע הנאשם בעבירות של הונאה בכרטיס חיוב, נדון למאסר בפועל והופעלו תנאים שהיו תלויים ועומדים נגדו. הנאשם החל בריצוי המאסר בפועל ביום 6.4.2016, וגזר הדין ניתן בעוד הוא מרצה מאסר בפועל. במקביל לריצוי המאסר היה הנאשם עצור עד תום ההליכים, דבר אשר מן הסתם גרם לשלילת מספר זכויות בתור אסיר, ובכך יש להתחשב במידה מסוימת.</w:t>
      </w:r>
    </w:p>
    <w:p w14:paraId="444300A0" w14:textId="77777777" w:rsidR="0039432C" w:rsidRDefault="0039432C" w:rsidP="0039432C">
      <w:pPr>
        <w:pStyle w:val="ListParagraph"/>
        <w:spacing w:line="360" w:lineRule="auto"/>
        <w:ind w:left="850" w:hanging="283"/>
        <w:jc w:val="both"/>
        <w:rPr>
          <w:rtl/>
        </w:rPr>
      </w:pPr>
    </w:p>
    <w:p w14:paraId="597BD277" w14:textId="77777777" w:rsidR="0039432C" w:rsidRDefault="0039432C" w:rsidP="0039432C">
      <w:pPr>
        <w:pStyle w:val="ListParagraph"/>
        <w:spacing w:line="360" w:lineRule="auto"/>
        <w:ind w:left="850" w:hanging="283"/>
        <w:jc w:val="both"/>
        <w:rPr>
          <w:rtl/>
        </w:rPr>
      </w:pPr>
      <w:r>
        <w:rPr>
          <w:rFonts w:hint="cs"/>
          <w:rtl/>
        </w:rPr>
        <w:t xml:space="preserve">ג. </w:t>
      </w:r>
      <w:r>
        <w:rPr>
          <w:rtl/>
        </w:rPr>
        <w:tab/>
      </w:r>
      <w:r>
        <w:rPr>
          <w:rFonts w:hint="cs"/>
          <w:rtl/>
        </w:rPr>
        <w:t>אמנם, ניתנה על ידי בית המשפט הכרעת דין מפורטת, אולם הנאשם לא כפר בעובדות כתב האישום אלא העלה טענה משפטית. יש להתחשב אפוא באופן בו בחר הנאשם לנהל את הגנתו, עובדה שיש בה כדי להוות משקל לקולה בעת גזירת העונש.</w:t>
      </w:r>
    </w:p>
    <w:p w14:paraId="7E45FEFC" w14:textId="77777777" w:rsidR="0039432C" w:rsidRDefault="0039432C" w:rsidP="0039432C">
      <w:pPr>
        <w:pStyle w:val="ListParagraph"/>
        <w:spacing w:line="360" w:lineRule="auto"/>
        <w:ind w:left="850" w:hanging="283"/>
        <w:jc w:val="both"/>
        <w:rPr>
          <w:rtl/>
        </w:rPr>
      </w:pPr>
    </w:p>
    <w:p w14:paraId="5E540EFE" w14:textId="77777777" w:rsidR="0039432C" w:rsidRDefault="0039432C" w:rsidP="0039432C">
      <w:pPr>
        <w:pStyle w:val="ListParagraph"/>
        <w:spacing w:line="360" w:lineRule="auto"/>
        <w:ind w:left="850" w:hanging="283"/>
        <w:jc w:val="both"/>
        <w:rPr>
          <w:rtl/>
        </w:rPr>
      </w:pPr>
      <w:r>
        <w:rPr>
          <w:rFonts w:hint="cs"/>
          <w:rtl/>
        </w:rPr>
        <w:t xml:space="preserve">ד. </w:t>
      </w:r>
      <w:r>
        <w:rPr>
          <w:rtl/>
        </w:rPr>
        <w:tab/>
      </w:r>
      <w:r>
        <w:rPr>
          <w:rFonts w:hint="cs"/>
          <w:rtl/>
        </w:rPr>
        <w:t>לבסוף, אינני מתעלם מדבריו של הנאשם, שהביע רצון לנצל את תקופת מאסרו כדי לשקם את דרכיו.</w:t>
      </w:r>
    </w:p>
    <w:p w14:paraId="59D01371" w14:textId="77777777" w:rsidR="0039432C" w:rsidRPr="00D02F05" w:rsidRDefault="0039432C" w:rsidP="0039432C">
      <w:pPr>
        <w:pStyle w:val="ListParagraph"/>
        <w:spacing w:line="360" w:lineRule="auto"/>
        <w:ind w:left="567"/>
        <w:jc w:val="both"/>
      </w:pPr>
    </w:p>
    <w:p w14:paraId="1E86C8D8" w14:textId="77777777" w:rsidR="0039432C" w:rsidRPr="00CB2B81" w:rsidRDefault="0039432C" w:rsidP="0039432C">
      <w:pPr>
        <w:pStyle w:val="ListParagraph"/>
        <w:numPr>
          <w:ilvl w:val="0"/>
          <w:numId w:val="1"/>
        </w:numPr>
        <w:spacing w:line="360" w:lineRule="auto"/>
        <w:jc w:val="both"/>
        <w:rPr>
          <w:rFonts w:ascii="David" w:hAnsi="David"/>
          <w:rtl/>
        </w:rPr>
      </w:pPr>
      <w:r w:rsidRPr="00CB2B81">
        <w:rPr>
          <w:rFonts w:ascii="David" w:hAnsi="David" w:hint="cs"/>
          <w:rtl/>
        </w:rPr>
        <w:t xml:space="preserve">בהינתן שני המתחמים שנקבעו, הרי שלפי </w:t>
      </w:r>
      <w:hyperlink r:id="rId62" w:history="1">
        <w:r w:rsidR="00DC6A8C" w:rsidRPr="00DC6A8C">
          <w:rPr>
            <w:rFonts w:ascii="David" w:hAnsi="David"/>
            <w:color w:val="0000FF"/>
            <w:u w:val="single"/>
            <w:rtl/>
          </w:rPr>
          <w:t>סע' 40יג(ב)</w:t>
        </w:r>
      </w:hyperlink>
      <w:r w:rsidRPr="00CB2B81">
        <w:rPr>
          <w:rFonts w:ascii="David" w:hAnsi="David"/>
          <w:rtl/>
        </w:rPr>
        <w:t xml:space="preserve"> ל</w:t>
      </w:r>
      <w:hyperlink r:id="rId63" w:history="1">
        <w:r w:rsidR="00061F01" w:rsidRPr="00061F01">
          <w:rPr>
            <w:rFonts w:ascii="David" w:hAnsi="David"/>
            <w:color w:val="0000FF"/>
            <w:u w:val="single"/>
            <w:rtl/>
          </w:rPr>
          <w:t>חוק העונשין</w:t>
        </w:r>
      </w:hyperlink>
      <w:r w:rsidRPr="00CB2B81">
        <w:rPr>
          <w:rFonts w:ascii="David" w:hAnsi="David"/>
          <w:rtl/>
        </w:rPr>
        <w:t xml:space="preserve"> בית המשפט רשאי לקבוע עונש נפרד לכל אירוע או עונש כולל לכל האירועים, לאחר קביעת מתחם נפרד לכל אירוע. איני רואה לפסוק עונש נפרד לכל </w:t>
      </w:r>
      <w:r w:rsidRPr="00CB2B81">
        <w:rPr>
          <w:rFonts w:ascii="David" w:hAnsi="David" w:hint="cs"/>
          <w:rtl/>
        </w:rPr>
        <w:t>אירוע אלא עונש כולל למכלול האירועים</w:t>
      </w:r>
      <w:r>
        <w:rPr>
          <w:rFonts w:ascii="David" w:hAnsi="David" w:hint="cs"/>
          <w:rtl/>
        </w:rPr>
        <w:t xml:space="preserve">, זאת בשים לב לנסיבות העניין הכוללות הזיקה בין האישומים, </w:t>
      </w:r>
      <w:r w:rsidRPr="00CB2B81">
        <w:rPr>
          <w:rFonts w:ascii="David" w:hAnsi="David"/>
          <w:rtl/>
        </w:rPr>
        <w:t xml:space="preserve">רצף המעשים, </w:t>
      </w:r>
      <w:r>
        <w:rPr>
          <w:rFonts w:ascii="David" w:hAnsi="David" w:hint="cs"/>
          <w:rtl/>
        </w:rPr>
        <w:t>ה</w:t>
      </w:r>
      <w:r w:rsidRPr="00CB2B81">
        <w:rPr>
          <w:rFonts w:ascii="David" w:hAnsi="David"/>
          <w:rtl/>
        </w:rPr>
        <w:t xml:space="preserve">קרבה בזמן בין המעשים ולכך שהם בוצעו בפרק זמן מצומצם. </w:t>
      </w:r>
    </w:p>
    <w:p w14:paraId="33D3C46F" w14:textId="77777777" w:rsidR="0039432C" w:rsidRDefault="0039432C" w:rsidP="0039432C">
      <w:pPr>
        <w:pStyle w:val="ListParagraph"/>
        <w:spacing w:line="360" w:lineRule="auto"/>
        <w:ind w:left="567"/>
        <w:jc w:val="both"/>
      </w:pPr>
    </w:p>
    <w:p w14:paraId="5E23B87B" w14:textId="77777777" w:rsidR="0039432C" w:rsidRDefault="0039432C" w:rsidP="0039432C">
      <w:pPr>
        <w:pStyle w:val="ListParagraph"/>
        <w:numPr>
          <w:ilvl w:val="0"/>
          <w:numId w:val="1"/>
        </w:numPr>
        <w:spacing w:line="360" w:lineRule="auto"/>
        <w:jc w:val="both"/>
      </w:pPr>
      <w:r>
        <w:rPr>
          <w:rFonts w:hint="cs"/>
          <w:rtl/>
        </w:rPr>
        <w:t xml:space="preserve">מה היחס בין תקופת המאסר שתוטל על הנאשם בתיק זה לבין תקופת המאסר שהוטלה בהליך הקודם? בעוד שהמאשימה עותרת להטלה העונש במצטבר, הנאשם סבור שיש להפעיל כלל חפיפה, בשיעור של מחצית העונש לפחות. </w:t>
      </w:r>
      <w:r w:rsidRPr="00DE7EEA">
        <w:rPr>
          <w:rFonts w:ascii="Arial" w:hAnsi="Arial" w:hint="cs"/>
          <w:rtl/>
        </w:rPr>
        <w:t xml:space="preserve">יוטעם כי למקרים אלה נועד בדיוק </w:t>
      </w:r>
      <w:hyperlink r:id="rId64" w:history="1">
        <w:r w:rsidR="00DC6A8C" w:rsidRPr="00DC6A8C">
          <w:rPr>
            <w:rFonts w:ascii="Arial" w:hAnsi="Arial"/>
            <w:color w:val="0000FF"/>
            <w:u w:val="single"/>
            <w:rtl/>
          </w:rPr>
          <w:t>סעיף 45</w:t>
        </w:r>
      </w:hyperlink>
      <w:r w:rsidRPr="00DE7EEA">
        <w:rPr>
          <w:rFonts w:ascii="Arial" w:hAnsi="Arial" w:hint="cs"/>
          <w:rtl/>
        </w:rPr>
        <w:t xml:space="preserve"> ל</w:t>
      </w:r>
      <w:hyperlink r:id="rId65" w:history="1">
        <w:r w:rsidR="00061F01" w:rsidRPr="00061F01">
          <w:rPr>
            <w:rFonts w:ascii="Arial" w:hAnsi="Arial"/>
            <w:color w:val="0000FF"/>
            <w:u w:val="single"/>
            <w:rtl/>
          </w:rPr>
          <w:t>חוק העונשין</w:t>
        </w:r>
      </w:hyperlink>
      <w:r w:rsidRPr="00DE7EEA">
        <w:rPr>
          <w:rFonts w:ascii="Arial" w:hAnsi="Arial" w:hint="cs"/>
          <w:rtl/>
        </w:rPr>
        <w:t xml:space="preserve">, אשר קובע את "ברירת המחדל" במקרה בו לא קבע בית המשפט הוראות בעניין היחס בין תקופות המאסר. בית המשפט העליון הבהיר לגבי </w:t>
      </w:r>
      <w:hyperlink r:id="rId66" w:history="1">
        <w:r w:rsidR="00DC6A8C" w:rsidRPr="00DC6A8C">
          <w:rPr>
            <w:rFonts w:ascii="Arial" w:hAnsi="Arial"/>
            <w:color w:val="0000FF"/>
            <w:u w:val="single"/>
            <w:rtl/>
          </w:rPr>
          <w:t>סעיף 45</w:t>
        </w:r>
      </w:hyperlink>
      <w:r w:rsidRPr="00DE7EEA">
        <w:rPr>
          <w:rFonts w:ascii="Arial" w:hAnsi="Arial" w:hint="cs"/>
          <w:rtl/>
        </w:rPr>
        <w:t xml:space="preserve"> ל</w:t>
      </w:r>
      <w:hyperlink r:id="rId67" w:history="1">
        <w:r w:rsidR="00061F01" w:rsidRPr="00061F01">
          <w:rPr>
            <w:rFonts w:ascii="Arial" w:hAnsi="Arial"/>
            <w:color w:val="0000FF"/>
            <w:u w:val="single"/>
            <w:rtl/>
          </w:rPr>
          <w:t>חוק העונשין</w:t>
        </w:r>
      </w:hyperlink>
      <w:r w:rsidRPr="00DE7EEA">
        <w:rPr>
          <w:rFonts w:ascii="Arial" w:hAnsi="Arial" w:hint="cs"/>
          <w:rtl/>
        </w:rPr>
        <w:t xml:space="preserve"> כי "</w:t>
      </w:r>
      <w:r w:rsidRPr="00DE7EEA">
        <w:rPr>
          <w:rFonts w:ascii="Arial" w:hAnsi="Arial" w:hint="cs"/>
          <w:b/>
          <w:bCs/>
          <w:rtl/>
        </w:rPr>
        <w:t>מדובר בהוראה טכנית-פרשנית-ניטרלית, שנועדה אך למלא את החסר מקום שבית המשפט לא קבע במפורש אם העונשים ירוצו באופן חופף או במצטבר. הוראה זו אינה קובעת עקרון מנחה של חפיפת עונשים ולא הכרעה ערכית לפיה בנסיבות כאלה ראוי לקבוע עונשים באופן חופף</w:t>
      </w:r>
      <w:r w:rsidRPr="00DE7EEA">
        <w:rPr>
          <w:rFonts w:ascii="Arial" w:hAnsi="Arial" w:hint="cs"/>
          <w:rtl/>
        </w:rPr>
        <w:t>" (</w:t>
      </w:r>
      <w:hyperlink r:id="rId68" w:history="1">
        <w:r w:rsidR="00061F01" w:rsidRPr="00061F01">
          <w:rPr>
            <w:rFonts w:ascii="Arial" w:hAnsi="Arial"/>
            <w:color w:val="0000FF"/>
            <w:u w:val="single"/>
            <w:rtl/>
          </w:rPr>
          <w:t>ע"פ 7907/14</w:t>
        </w:r>
      </w:hyperlink>
      <w:r w:rsidRPr="00DE7EEA">
        <w:rPr>
          <w:rFonts w:ascii="Arial" w:hAnsi="Arial" w:hint="cs"/>
          <w:rtl/>
        </w:rPr>
        <w:t xml:space="preserve"> </w:t>
      </w:r>
      <w:r w:rsidRPr="00DE7EEA">
        <w:rPr>
          <w:rFonts w:ascii="Arial" w:hAnsi="Arial" w:hint="cs"/>
          <w:b/>
          <w:bCs/>
          <w:rtl/>
        </w:rPr>
        <w:t>ואזנה נ' מדינת ישראל</w:t>
      </w:r>
      <w:r w:rsidRPr="00DE7EEA">
        <w:rPr>
          <w:rFonts w:ascii="Arial" w:hAnsi="Arial" w:hint="cs"/>
          <w:rtl/>
        </w:rPr>
        <w:t xml:space="preserve"> (פורסם בנבו, 22.2.2015); לעמדה אחרת הרואה בהוראת </w:t>
      </w:r>
      <w:hyperlink r:id="rId69" w:history="1">
        <w:r w:rsidR="00DC6A8C" w:rsidRPr="00DC6A8C">
          <w:rPr>
            <w:rFonts w:ascii="Arial" w:hAnsi="Arial"/>
            <w:color w:val="0000FF"/>
            <w:u w:val="single"/>
            <w:rtl/>
          </w:rPr>
          <w:t>סעיף 45</w:t>
        </w:r>
      </w:hyperlink>
      <w:r w:rsidRPr="00DE7EEA">
        <w:rPr>
          <w:rFonts w:ascii="Arial" w:hAnsi="Arial" w:hint="cs"/>
          <w:rtl/>
        </w:rPr>
        <w:t xml:space="preserve"> ל</w:t>
      </w:r>
      <w:hyperlink r:id="rId70" w:history="1">
        <w:r w:rsidR="00061F01" w:rsidRPr="00061F01">
          <w:rPr>
            <w:rFonts w:ascii="Arial" w:hAnsi="Arial"/>
            <w:color w:val="0000FF"/>
            <w:u w:val="single"/>
            <w:rtl/>
          </w:rPr>
          <w:t>חוק העונשין</w:t>
        </w:r>
      </w:hyperlink>
      <w:r w:rsidRPr="00DE7EEA">
        <w:rPr>
          <w:rFonts w:ascii="Arial" w:hAnsi="Arial" w:hint="cs"/>
          <w:rtl/>
        </w:rPr>
        <w:t xml:space="preserve"> כקביעה ערכית ראו: </w:t>
      </w:r>
      <w:hyperlink r:id="rId71" w:history="1">
        <w:r w:rsidR="00061F01" w:rsidRPr="00061F01">
          <w:rPr>
            <w:rFonts w:hint="eastAsia"/>
            <w:noProof/>
            <w:color w:val="0000FF"/>
            <w:u w:val="single"/>
            <w:rtl/>
          </w:rPr>
          <w:t>ע</w:t>
        </w:r>
        <w:r w:rsidR="00061F01" w:rsidRPr="00061F01">
          <w:rPr>
            <w:noProof/>
            <w:color w:val="0000FF"/>
            <w:u w:val="single"/>
            <w:rtl/>
          </w:rPr>
          <w:t>"</w:t>
        </w:r>
        <w:r w:rsidR="00061F01" w:rsidRPr="00061F01">
          <w:rPr>
            <w:rFonts w:hint="eastAsia"/>
            <w:noProof/>
            <w:color w:val="0000FF"/>
            <w:u w:val="single"/>
            <w:rtl/>
          </w:rPr>
          <w:t>פ</w:t>
        </w:r>
        <w:r w:rsidR="00061F01" w:rsidRPr="00061F01">
          <w:rPr>
            <w:noProof/>
            <w:color w:val="0000FF"/>
            <w:u w:val="single"/>
            <w:rtl/>
          </w:rPr>
          <w:t xml:space="preserve"> 237/80 </w:t>
        </w:r>
        <w:r w:rsidR="00061F01" w:rsidRPr="00061F01">
          <w:rPr>
            <w:rFonts w:hint="eastAsia"/>
            <w:noProof/>
            <w:color w:val="0000FF"/>
            <w:u w:val="single"/>
            <w:rtl/>
          </w:rPr>
          <w:t>מדינת</w:t>
        </w:r>
        <w:r w:rsidR="00061F01" w:rsidRPr="00061F01">
          <w:rPr>
            <w:noProof/>
            <w:color w:val="0000FF"/>
            <w:u w:val="single"/>
            <w:rtl/>
          </w:rPr>
          <w:t xml:space="preserve"> </w:t>
        </w:r>
        <w:r w:rsidR="00061F01" w:rsidRPr="00061F01">
          <w:rPr>
            <w:rFonts w:hint="eastAsia"/>
            <w:noProof/>
            <w:color w:val="0000FF"/>
            <w:u w:val="single"/>
            <w:rtl/>
          </w:rPr>
          <w:t>ישראל</w:t>
        </w:r>
        <w:r w:rsidR="00061F01" w:rsidRPr="00061F01">
          <w:rPr>
            <w:noProof/>
            <w:color w:val="0000FF"/>
            <w:u w:val="single"/>
            <w:rtl/>
          </w:rPr>
          <w:t xml:space="preserve"> </w:t>
        </w:r>
        <w:r w:rsidR="00061F01" w:rsidRPr="00061F01">
          <w:rPr>
            <w:rFonts w:hint="eastAsia"/>
            <w:noProof/>
            <w:color w:val="0000FF"/>
            <w:u w:val="single"/>
            <w:rtl/>
          </w:rPr>
          <w:t>נ</w:t>
        </w:r>
        <w:r w:rsidR="00061F01" w:rsidRPr="00061F01">
          <w:rPr>
            <w:noProof/>
            <w:color w:val="0000FF"/>
            <w:u w:val="single"/>
            <w:rtl/>
          </w:rPr>
          <w:t xml:space="preserve">' </w:t>
        </w:r>
        <w:r w:rsidR="00061F01" w:rsidRPr="00061F01">
          <w:rPr>
            <w:rFonts w:hint="eastAsia"/>
            <w:noProof/>
            <w:color w:val="0000FF"/>
            <w:u w:val="single"/>
            <w:rtl/>
          </w:rPr>
          <w:t>קורטאם</w:t>
        </w:r>
        <w:r w:rsidR="00061F01" w:rsidRPr="00061F01">
          <w:rPr>
            <w:noProof/>
            <w:color w:val="0000FF"/>
            <w:u w:val="single"/>
            <w:rtl/>
          </w:rPr>
          <w:t xml:space="preserve">, </w:t>
        </w:r>
        <w:r w:rsidR="00061F01" w:rsidRPr="00061F01">
          <w:rPr>
            <w:rFonts w:hint="eastAsia"/>
            <w:noProof/>
            <w:color w:val="0000FF"/>
            <w:u w:val="single"/>
            <w:rtl/>
          </w:rPr>
          <w:t>פ</w:t>
        </w:r>
        <w:r w:rsidR="00061F01" w:rsidRPr="00061F01">
          <w:rPr>
            <w:noProof/>
            <w:color w:val="0000FF"/>
            <w:u w:val="single"/>
            <w:rtl/>
          </w:rPr>
          <w:t>"</w:t>
        </w:r>
        <w:r w:rsidR="00061F01" w:rsidRPr="00061F01">
          <w:rPr>
            <w:rFonts w:hint="eastAsia"/>
            <w:noProof/>
            <w:color w:val="0000FF"/>
            <w:u w:val="single"/>
            <w:rtl/>
          </w:rPr>
          <w:t>ד</w:t>
        </w:r>
        <w:r w:rsidR="00061F01" w:rsidRPr="00061F01">
          <w:rPr>
            <w:noProof/>
            <w:color w:val="0000FF"/>
            <w:u w:val="single"/>
            <w:rtl/>
          </w:rPr>
          <w:t xml:space="preserve"> </w:t>
        </w:r>
        <w:r w:rsidR="00061F01" w:rsidRPr="00061F01">
          <w:rPr>
            <w:rFonts w:hint="eastAsia"/>
            <w:noProof/>
            <w:color w:val="0000FF"/>
            <w:u w:val="single"/>
            <w:rtl/>
          </w:rPr>
          <w:t>לד</w:t>
        </w:r>
      </w:hyperlink>
      <w:r w:rsidRPr="00DE7EEA">
        <w:rPr>
          <w:rFonts w:hint="cs"/>
          <w:noProof/>
          <w:rtl/>
        </w:rPr>
        <w:t>(4) 576, 577 (</w:t>
      </w:r>
      <w:r>
        <w:rPr>
          <w:rFonts w:hint="cs"/>
          <w:noProof/>
          <w:rtl/>
        </w:rPr>
        <w:t>1980).</w:t>
      </w:r>
      <w:r w:rsidRPr="00DE7EEA">
        <w:rPr>
          <w:rFonts w:cs="FrankRuehl" w:hint="cs"/>
          <w:noProof/>
          <w:sz w:val="28"/>
          <w:szCs w:val="28"/>
          <w:rtl/>
        </w:rPr>
        <w:t xml:space="preserve"> </w:t>
      </w:r>
      <w:r>
        <w:rPr>
          <w:rFonts w:hint="cs"/>
          <w:rtl/>
        </w:rPr>
        <w:t>אינני מוצא טעם מוצדק בנסיבות מקרה זה, לאור נתוניו של הנאשם ולאור נסיבות ביצוע העבירות, להטיל את העונש בתיק זה בחופף לעונש שהנאשם מרצה בתיק אחר. חפיפה שכזו משמעותה, ביטול חלק מן העונש הראוי שיש להשית על הנאשם בגין כל פרשה ופרשה. בהינתן שכל תיק עומד בפני עצמו ואין בינו לבין התיק האחר זיקה כלשהו, אין כל הצדקה לחפיפת העונשים ולו באופן חלקי. ככל שתעלה טענה שעניינה סמיכות הזמנים בין מועד מתן גזר הדין בהליך הקודם, לבין ביצוע העבירות בתיק זה, הרי סמיכות זו לא רק שאין בה למשוך לכיוון חפיפת העונשים, אלא שהיא מטה את הכף לכיוון התוצאה ההפוכה.</w:t>
      </w:r>
    </w:p>
    <w:p w14:paraId="1B691E94" w14:textId="77777777" w:rsidR="0039432C" w:rsidRDefault="0039432C" w:rsidP="0039432C">
      <w:pPr>
        <w:pStyle w:val="ListParagraph"/>
        <w:spacing w:line="360" w:lineRule="auto"/>
        <w:ind w:left="567"/>
        <w:jc w:val="both"/>
      </w:pPr>
    </w:p>
    <w:p w14:paraId="2AC6C9B7" w14:textId="77777777" w:rsidR="0039432C" w:rsidRDefault="0039432C" w:rsidP="0039432C">
      <w:pPr>
        <w:pStyle w:val="ListParagraph"/>
        <w:numPr>
          <w:ilvl w:val="0"/>
          <w:numId w:val="1"/>
        </w:numPr>
        <w:spacing w:line="360" w:lineRule="auto"/>
        <w:jc w:val="both"/>
      </w:pPr>
      <w:r>
        <w:rPr>
          <w:rFonts w:hint="cs"/>
          <w:rtl/>
        </w:rPr>
        <w:t>בתיק זה נעצר הנאשם ביום 30.3.2016 והחל לרצות עונש מאסר בפועל במסגרת הליך קודם ביום 6.4.2016. מובן כי יש לנכות את ימי המעצר למן יום 30.3.2016 ועד 6.4.2016. סוגיה נוספת שמתעוררת היא כיצד יש לנהוג ביחס לבקשת הסנגור לניכוי ימי המעצר הנוספים, במהלכם היה הנאשם גם אסיר. בעניין זה הפנה הסנגור ל</w:t>
      </w:r>
      <w:hyperlink r:id="rId72" w:history="1">
        <w:r w:rsidR="00061F01" w:rsidRPr="00061F01">
          <w:rPr>
            <w:rFonts w:hint="eastAsia"/>
            <w:color w:val="0000FF"/>
            <w:u w:val="single"/>
            <w:rtl/>
          </w:rPr>
          <w:t>ע</w:t>
        </w:r>
        <w:r w:rsidR="00061F01" w:rsidRPr="00061F01">
          <w:rPr>
            <w:color w:val="0000FF"/>
            <w:u w:val="single"/>
            <w:rtl/>
          </w:rPr>
          <w:t>"</w:t>
        </w:r>
        <w:r w:rsidR="00061F01" w:rsidRPr="00061F01">
          <w:rPr>
            <w:rFonts w:hint="eastAsia"/>
            <w:color w:val="0000FF"/>
            <w:u w:val="single"/>
            <w:rtl/>
          </w:rPr>
          <w:t>פ</w:t>
        </w:r>
        <w:r w:rsidR="00061F01" w:rsidRPr="00061F01">
          <w:rPr>
            <w:color w:val="0000FF"/>
            <w:u w:val="single"/>
            <w:rtl/>
          </w:rPr>
          <w:t xml:space="preserve"> 9277/11</w:t>
        </w:r>
      </w:hyperlink>
      <w:r w:rsidRPr="00E71730">
        <w:rPr>
          <w:rtl/>
        </w:rPr>
        <w:t xml:space="preserve"> </w:t>
      </w:r>
      <w:r w:rsidRPr="00FA5D13">
        <w:rPr>
          <w:rFonts w:hint="eastAsia"/>
          <w:b/>
          <w:bCs/>
          <w:rtl/>
        </w:rPr>
        <w:t>ג</w:t>
      </w:r>
      <w:r w:rsidRPr="00FA5D13">
        <w:rPr>
          <w:rFonts w:hint="cs"/>
          <w:b/>
          <w:bCs/>
          <w:rtl/>
        </w:rPr>
        <w:t>'</w:t>
      </w:r>
      <w:r w:rsidRPr="00FA5D13">
        <w:rPr>
          <w:rFonts w:hint="eastAsia"/>
          <w:b/>
          <w:bCs/>
          <w:rtl/>
        </w:rPr>
        <w:t>באלי</w:t>
      </w:r>
      <w:r w:rsidRPr="00FA5D13">
        <w:rPr>
          <w:b/>
          <w:bCs/>
          <w:rtl/>
        </w:rPr>
        <w:t xml:space="preserve"> </w:t>
      </w:r>
      <w:r w:rsidRPr="00FA5D13">
        <w:rPr>
          <w:rFonts w:hint="eastAsia"/>
          <w:b/>
          <w:bCs/>
          <w:rtl/>
        </w:rPr>
        <w:t>נ</w:t>
      </w:r>
      <w:r w:rsidRPr="00FA5D13">
        <w:rPr>
          <w:b/>
          <w:bCs/>
          <w:rtl/>
        </w:rPr>
        <w:t xml:space="preserve">' </w:t>
      </w:r>
      <w:r w:rsidRPr="00FA5D13">
        <w:rPr>
          <w:rFonts w:hint="eastAsia"/>
          <w:b/>
          <w:bCs/>
          <w:rtl/>
        </w:rPr>
        <w:t>מדינת</w:t>
      </w:r>
      <w:r w:rsidRPr="00FA5D13">
        <w:rPr>
          <w:b/>
          <w:bCs/>
          <w:rtl/>
        </w:rPr>
        <w:t xml:space="preserve"> </w:t>
      </w:r>
      <w:r w:rsidRPr="00FA5D13">
        <w:rPr>
          <w:rFonts w:hint="eastAsia"/>
          <w:b/>
          <w:bCs/>
          <w:rtl/>
        </w:rPr>
        <w:t>ישראל</w:t>
      </w:r>
      <w:r w:rsidRPr="00FA5D13">
        <w:rPr>
          <w:rFonts w:hint="cs"/>
          <w:b/>
          <w:bCs/>
          <w:rtl/>
        </w:rPr>
        <w:t xml:space="preserve"> </w:t>
      </w:r>
      <w:r>
        <w:rPr>
          <w:rFonts w:hint="cs"/>
          <w:rtl/>
        </w:rPr>
        <w:t xml:space="preserve">(פורסם בנבו, פסקה 16,  </w:t>
      </w:r>
      <w:r w:rsidRPr="006C1C40">
        <w:rPr>
          <w:rtl/>
        </w:rPr>
        <w:t>27.12.12)</w:t>
      </w:r>
      <w:r>
        <w:rPr>
          <w:rFonts w:hint="cs"/>
          <w:rtl/>
        </w:rPr>
        <w:t xml:space="preserve">. במקרה זה ראה בית המשפט העליון לנכות חלק מתקופת המעצר שחפפה למאסר המערער בתיק אחר, לפי חישוב הסנגור 70% מתקופת המעצר נוכתה. ראשית, לא מצאתי בקביעת בית המשפט את היחס לו טוען הסנגור (ניכוי 70%). שנית, המדובר בסמכות שבשיקול דעת והיא תלויה בנסיבותיו של כל מקרה ומקרה (השוו: </w:t>
      </w:r>
      <w:hyperlink r:id="rId73" w:history="1">
        <w:r w:rsidR="00061F01" w:rsidRPr="00061F01">
          <w:rPr>
            <w:rFonts w:hint="eastAsia"/>
            <w:color w:val="0000FF"/>
            <w:u w:val="single"/>
            <w:rtl/>
          </w:rPr>
          <w:t>תפח</w:t>
        </w:r>
        <w:r w:rsidR="00061F01" w:rsidRPr="00061F01">
          <w:rPr>
            <w:color w:val="0000FF"/>
            <w:u w:val="single"/>
            <w:rtl/>
          </w:rPr>
          <w:t xml:space="preserve"> (</w:t>
        </w:r>
        <w:r w:rsidR="00061F01" w:rsidRPr="00061F01">
          <w:rPr>
            <w:rFonts w:hint="eastAsia"/>
            <w:color w:val="0000FF"/>
            <w:u w:val="single"/>
            <w:rtl/>
          </w:rPr>
          <w:t>חי</w:t>
        </w:r>
        <w:r w:rsidR="00061F01" w:rsidRPr="00061F01">
          <w:rPr>
            <w:color w:val="0000FF"/>
            <w:u w:val="single"/>
            <w:rtl/>
          </w:rPr>
          <w:t>') 18488-12-15</w:t>
        </w:r>
      </w:hyperlink>
      <w:r>
        <w:rPr>
          <w:rFonts w:hint="cs"/>
          <w:rtl/>
        </w:rPr>
        <w:t xml:space="preserve"> </w:t>
      </w:r>
      <w:r w:rsidRPr="00FA5D13">
        <w:rPr>
          <w:rFonts w:hint="eastAsia"/>
          <w:b/>
          <w:bCs/>
          <w:rtl/>
        </w:rPr>
        <w:t>מדינת</w:t>
      </w:r>
      <w:r w:rsidRPr="00FA5D13">
        <w:rPr>
          <w:b/>
          <w:bCs/>
          <w:rtl/>
        </w:rPr>
        <w:t xml:space="preserve"> </w:t>
      </w:r>
      <w:r w:rsidRPr="00FA5D13">
        <w:rPr>
          <w:rFonts w:hint="eastAsia"/>
          <w:b/>
          <w:bCs/>
          <w:rtl/>
        </w:rPr>
        <w:t>ישראל</w:t>
      </w:r>
      <w:r w:rsidRPr="00FA5D13">
        <w:rPr>
          <w:b/>
          <w:bCs/>
          <w:rtl/>
        </w:rPr>
        <w:t xml:space="preserve"> </w:t>
      </w:r>
      <w:r w:rsidRPr="00FA5D13">
        <w:rPr>
          <w:rFonts w:hint="eastAsia"/>
          <w:b/>
          <w:bCs/>
          <w:rtl/>
        </w:rPr>
        <w:t>נ</w:t>
      </w:r>
      <w:r w:rsidRPr="00FA5D13">
        <w:rPr>
          <w:b/>
          <w:bCs/>
          <w:rtl/>
        </w:rPr>
        <w:t xml:space="preserve">' </w:t>
      </w:r>
      <w:r w:rsidRPr="00FA5D13">
        <w:rPr>
          <w:rFonts w:hint="eastAsia"/>
          <w:b/>
          <w:bCs/>
          <w:rtl/>
        </w:rPr>
        <w:t>אבשייב</w:t>
      </w:r>
      <w:r>
        <w:rPr>
          <w:rFonts w:hint="cs"/>
          <w:rtl/>
        </w:rPr>
        <w:t xml:space="preserve"> (פורסם בנבו, 6.7.2016); </w:t>
      </w:r>
      <w:hyperlink r:id="rId74" w:history="1">
        <w:r w:rsidR="00061F01" w:rsidRPr="00061F01">
          <w:rPr>
            <w:rFonts w:hint="eastAsia"/>
            <w:color w:val="0000FF"/>
            <w:u w:val="single"/>
            <w:rtl/>
          </w:rPr>
          <w:t>ת</w:t>
        </w:r>
        <w:r w:rsidR="00061F01" w:rsidRPr="00061F01">
          <w:rPr>
            <w:color w:val="0000FF"/>
            <w:u w:val="single"/>
            <w:rtl/>
          </w:rPr>
          <w:t>"</w:t>
        </w:r>
        <w:r w:rsidR="00061F01" w:rsidRPr="00061F01">
          <w:rPr>
            <w:rFonts w:hint="eastAsia"/>
            <w:color w:val="0000FF"/>
            <w:u w:val="single"/>
            <w:rtl/>
          </w:rPr>
          <w:t>פ</w:t>
        </w:r>
        <w:r w:rsidR="00061F01" w:rsidRPr="00061F01">
          <w:rPr>
            <w:color w:val="0000FF"/>
            <w:u w:val="single"/>
            <w:rtl/>
          </w:rPr>
          <w:t xml:space="preserve"> (</w:t>
        </w:r>
        <w:r w:rsidR="00061F01" w:rsidRPr="00061F01">
          <w:rPr>
            <w:rFonts w:hint="eastAsia"/>
            <w:color w:val="0000FF"/>
            <w:u w:val="single"/>
            <w:rtl/>
          </w:rPr>
          <w:t>חי</w:t>
        </w:r>
        <w:r w:rsidR="00061F01" w:rsidRPr="00061F01">
          <w:rPr>
            <w:color w:val="0000FF"/>
            <w:u w:val="single"/>
            <w:rtl/>
          </w:rPr>
          <w:t>') 52009-02-15</w:t>
        </w:r>
      </w:hyperlink>
      <w:r>
        <w:rPr>
          <w:rFonts w:hint="cs"/>
          <w:rtl/>
        </w:rPr>
        <w:t xml:space="preserve"> </w:t>
      </w:r>
      <w:r w:rsidRPr="00FA5D13">
        <w:rPr>
          <w:rFonts w:hint="eastAsia"/>
          <w:b/>
          <w:bCs/>
          <w:rtl/>
        </w:rPr>
        <w:t>מדינת</w:t>
      </w:r>
      <w:r w:rsidRPr="00FA5D13">
        <w:rPr>
          <w:b/>
          <w:bCs/>
          <w:rtl/>
        </w:rPr>
        <w:t xml:space="preserve"> </w:t>
      </w:r>
      <w:r w:rsidRPr="00FA5D13">
        <w:rPr>
          <w:rFonts w:hint="eastAsia"/>
          <w:b/>
          <w:bCs/>
          <w:rtl/>
        </w:rPr>
        <w:t>ישראל</w:t>
      </w:r>
      <w:r w:rsidRPr="00FA5D13">
        <w:rPr>
          <w:b/>
          <w:bCs/>
          <w:rtl/>
        </w:rPr>
        <w:t xml:space="preserve"> </w:t>
      </w:r>
      <w:r w:rsidRPr="00FA5D13">
        <w:rPr>
          <w:rFonts w:hint="eastAsia"/>
          <w:b/>
          <w:bCs/>
          <w:rtl/>
        </w:rPr>
        <w:t>נ</w:t>
      </w:r>
      <w:r w:rsidRPr="00FA5D13">
        <w:rPr>
          <w:b/>
          <w:bCs/>
          <w:rtl/>
        </w:rPr>
        <w:t xml:space="preserve">' </w:t>
      </w:r>
      <w:r w:rsidRPr="00FA5D13">
        <w:rPr>
          <w:rFonts w:hint="eastAsia"/>
          <w:b/>
          <w:bCs/>
          <w:rtl/>
        </w:rPr>
        <w:t>ותד</w:t>
      </w:r>
      <w:r>
        <w:rPr>
          <w:rFonts w:hint="cs"/>
          <w:rtl/>
        </w:rPr>
        <w:t xml:space="preserve"> (פורסם בנבו, 20.6.2016)). בנסיבותיו של מקרה זה, רוב השיקולים מושכים למסקנה שאין לנכות מתקופת המאסר את אותה תקופה בה היה הנאשם עצור-אסיר. ראשית, יש לזכור כי הנאשם נעצר כאשר עונש המאסר בתיק האחר היה מעוכב (ראו ההחלטה בסוף גזר הדין במוצג טמ/2), אולם תחילת המאסר בפועל הוקדמה לבקשת הנאשם. הקדמת תחילת ריצוי העונש נעשתה כדי להתחיל למנות את ימי המאסר בתיק האחר תוך תקופת המעצר בתיק זה; אמת, שיקול זה יפה רק לחלק קטן מהתקופה, שכן ממילא תחילת ריצוי העונש נקבעה ליום 1.5.2016.  שנית, הנסיבות הכוללות של המקרה, במיוחד העובדה כי הנאשם ביצע את העבירות בסמיכות למועד מתן גזר הדין, תוך תקופת עיכוב ביצוע העונש, ותוך הפרת תנאי העיכוב </w:t>
      </w:r>
      <w:r>
        <w:rPr>
          <w:rtl/>
        </w:rPr>
        <w:t>–</w:t>
      </w:r>
      <w:r>
        <w:rPr>
          <w:rFonts w:hint="cs"/>
          <w:rtl/>
        </w:rPr>
        <w:t xml:space="preserve"> מצדיקות העברת מסר ברור ומרתיע. לבסוף, יש לזכור כי מדובר בתקופה למן 6.4.2016 ועד למועד מתן גזר הדין כלומר תקופה קצרה של כחמישה חודשים. יחד עם זאת, ובתתי את הדעת להקשחת תנאי הכליאה בעקבות ההחלטה על המעצר, אני רואה לנכות תקופה של חודש אחד בלבד מהתקופה בה היה הנאשם אסיר-עצור. </w:t>
      </w:r>
    </w:p>
    <w:p w14:paraId="273542EE" w14:textId="77777777" w:rsidR="0039432C" w:rsidRPr="00CC37D2" w:rsidRDefault="0039432C" w:rsidP="0039432C">
      <w:pPr>
        <w:pStyle w:val="ListParagraph"/>
        <w:spacing w:line="360" w:lineRule="auto"/>
        <w:ind w:left="567"/>
        <w:jc w:val="both"/>
      </w:pPr>
    </w:p>
    <w:p w14:paraId="415568F2" w14:textId="77777777" w:rsidR="0039432C" w:rsidRPr="00DE7EEA" w:rsidRDefault="0039432C" w:rsidP="0039432C">
      <w:pPr>
        <w:pStyle w:val="ListParagraph"/>
        <w:numPr>
          <w:ilvl w:val="0"/>
          <w:numId w:val="1"/>
        </w:numPr>
        <w:spacing w:line="360" w:lineRule="auto"/>
        <w:jc w:val="both"/>
      </w:pPr>
      <w:r>
        <w:rPr>
          <w:rFonts w:hint="cs"/>
          <w:rtl/>
        </w:rPr>
        <w:t>סיכומם של דברים, שהעונש שיוטל על הנאשם בתיק זה יהיה במצטבר לעונש שהוטל בהליך הקודם, ומן העונש ינוכה חודש אחד מכלל התקופה בה היה הנאשם בסטטוס של עצור-אסיר, בנוסף לתקופה בה היה בסטטוס של עצור בלבד (ולא גם אסיר) בגין תיק זה.</w:t>
      </w:r>
    </w:p>
    <w:p w14:paraId="04A7E682" w14:textId="77777777" w:rsidR="0039432C" w:rsidRPr="00405848" w:rsidRDefault="0039432C" w:rsidP="0039432C">
      <w:pPr>
        <w:spacing w:line="360" w:lineRule="auto"/>
        <w:jc w:val="both"/>
      </w:pPr>
    </w:p>
    <w:p w14:paraId="3842AD7E" w14:textId="77777777" w:rsidR="0039432C" w:rsidRPr="00057925" w:rsidRDefault="0039432C" w:rsidP="0039432C">
      <w:pPr>
        <w:pStyle w:val="ListParagraph"/>
        <w:numPr>
          <w:ilvl w:val="0"/>
          <w:numId w:val="1"/>
        </w:numPr>
        <w:spacing w:line="360" w:lineRule="auto"/>
        <w:jc w:val="both"/>
        <w:rPr>
          <w:rtl/>
        </w:rPr>
      </w:pPr>
      <w:r>
        <w:rPr>
          <w:rFonts w:hint="cs"/>
          <w:rtl/>
        </w:rPr>
        <w:t>ל</w:t>
      </w:r>
      <w:r w:rsidRPr="00057925">
        <w:rPr>
          <w:rFonts w:hint="cs"/>
          <w:rtl/>
        </w:rPr>
        <w:t>אור ה</w:t>
      </w:r>
      <w:r>
        <w:rPr>
          <w:rFonts w:hint="cs"/>
          <w:rtl/>
        </w:rPr>
        <w:t>אמור לעיל</w:t>
      </w:r>
      <w:r w:rsidRPr="00057925">
        <w:rPr>
          <w:rFonts w:hint="cs"/>
          <w:rtl/>
        </w:rPr>
        <w:t>, אני גוזר על הנאשם את העונשים הבאים:</w:t>
      </w:r>
    </w:p>
    <w:p w14:paraId="71069150" w14:textId="77777777" w:rsidR="0039432C" w:rsidRPr="00057925" w:rsidRDefault="0039432C" w:rsidP="0039432C">
      <w:pPr>
        <w:suppressLineNumbers/>
        <w:spacing w:line="360" w:lineRule="auto"/>
        <w:jc w:val="both"/>
        <w:rPr>
          <w:rtl/>
        </w:rPr>
      </w:pPr>
    </w:p>
    <w:p w14:paraId="2401A266" w14:textId="77777777" w:rsidR="0039432C" w:rsidRDefault="0039432C" w:rsidP="0039432C">
      <w:pPr>
        <w:suppressLineNumbers/>
        <w:spacing w:line="360" w:lineRule="auto"/>
        <w:ind w:left="567"/>
        <w:jc w:val="both"/>
        <w:rPr>
          <w:rtl/>
        </w:rPr>
      </w:pPr>
      <w:r w:rsidRPr="00ED3BC4">
        <w:rPr>
          <w:rFonts w:hint="cs"/>
          <w:rtl/>
        </w:rPr>
        <w:t>מאסר בפועל לתקופה של</w:t>
      </w:r>
      <w:r>
        <w:rPr>
          <w:rFonts w:hint="cs"/>
          <w:rtl/>
        </w:rPr>
        <w:t xml:space="preserve"> 12 חודשים, מתקופה זו יש לנכות חודש ועוד שמונה ימים (8 ימי המעצר בהם הנאשם לא היה אסיר: מיום 30.3.2016 ועד 6.4.2016; וחודש נוסף מהתקופה בה היה עצור-אסיר). </w:t>
      </w:r>
    </w:p>
    <w:p w14:paraId="6DBFF21A" w14:textId="77777777" w:rsidR="0039432C" w:rsidRPr="00ED3BC4" w:rsidRDefault="0039432C" w:rsidP="0039432C">
      <w:pPr>
        <w:suppressLineNumbers/>
        <w:spacing w:line="360" w:lineRule="auto"/>
        <w:ind w:left="567"/>
        <w:jc w:val="both"/>
      </w:pPr>
    </w:p>
    <w:p w14:paraId="77B7C17C" w14:textId="77777777" w:rsidR="0039432C" w:rsidRDefault="0039432C" w:rsidP="0039432C">
      <w:pPr>
        <w:suppressLineNumbers/>
        <w:spacing w:line="360" w:lineRule="auto"/>
        <w:ind w:left="567"/>
        <w:jc w:val="both"/>
        <w:rPr>
          <w:rtl/>
        </w:rPr>
      </w:pPr>
      <w:r>
        <w:rPr>
          <w:rFonts w:hint="cs"/>
          <w:rtl/>
        </w:rPr>
        <w:t>את יתרת המאסר בפועל לאחר ניכוי תקופת המעצר כנ"ל , ירצה הנאשם במצטבר למאסר אותו מרצה כעת בתיק אחר.</w:t>
      </w:r>
    </w:p>
    <w:p w14:paraId="5F869D91" w14:textId="77777777" w:rsidR="0039432C" w:rsidRPr="00546511" w:rsidRDefault="0039432C" w:rsidP="0039432C">
      <w:pPr>
        <w:suppressLineNumbers/>
        <w:spacing w:line="360" w:lineRule="auto"/>
        <w:ind w:left="567"/>
        <w:jc w:val="both"/>
        <w:rPr>
          <w:rtl/>
        </w:rPr>
      </w:pPr>
    </w:p>
    <w:p w14:paraId="4A57B6B1" w14:textId="77777777" w:rsidR="0039432C" w:rsidRPr="00546511" w:rsidRDefault="0039432C" w:rsidP="0039432C">
      <w:pPr>
        <w:suppressLineNumbers/>
        <w:spacing w:line="360" w:lineRule="auto"/>
        <w:ind w:left="567"/>
        <w:jc w:val="both"/>
        <w:rPr>
          <w:rtl/>
        </w:rPr>
      </w:pPr>
      <w:r w:rsidRPr="00546511">
        <w:rPr>
          <w:rtl/>
        </w:rPr>
        <w:t xml:space="preserve">6 </w:t>
      </w:r>
      <w:r w:rsidRPr="00546511">
        <w:rPr>
          <w:rFonts w:hint="eastAsia"/>
          <w:rtl/>
        </w:rPr>
        <w:t>חודשי</w:t>
      </w:r>
      <w:r w:rsidRPr="00546511">
        <w:rPr>
          <w:rtl/>
        </w:rPr>
        <w:t xml:space="preserve"> </w:t>
      </w:r>
      <w:r w:rsidRPr="00546511">
        <w:rPr>
          <w:rFonts w:hint="eastAsia"/>
          <w:rtl/>
        </w:rPr>
        <w:t>מאסר</w:t>
      </w:r>
      <w:r w:rsidRPr="00546511">
        <w:rPr>
          <w:rFonts w:hint="cs"/>
          <w:rtl/>
        </w:rPr>
        <w:t xml:space="preserve"> על תנאי</w:t>
      </w:r>
      <w:r w:rsidRPr="00546511">
        <w:rPr>
          <w:rtl/>
        </w:rPr>
        <w:t xml:space="preserve">, </w:t>
      </w:r>
      <w:r w:rsidRPr="00546511">
        <w:rPr>
          <w:rFonts w:hint="cs"/>
          <w:rtl/>
        </w:rPr>
        <w:t xml:space="preserve">שלא </w:t>
      </w:r>
      <w:r w:rsidRPr="00546511">
        <w:rPr>
          <w:rFonts w:hint="eastAsia"/>
          <w:rtl/>
        </w:rPr>
        <w:t>יעבור</w:t>
      </w:r>
      <w:r w:rsidRPr="00546511">
        <w:rPr>
          <w:rtl/>
        </w:rPr>
        <w:t xml:space="preserve"> </w:t>
      </w:r>
      <w:r w:rsidRPr="00546511">
        <w:rPr>
          <w:rFonts w:hint="eastAsia"/>
          <w:rtl/>
        </w:rPr>
        <w:t>בתוך</w:t>
      </w:r>
      <w:r w:rsidRPr="00546511">
        <w:rPr>
          <w:rtl/>
        </w:rPr>
        <w:t xml:space="preserve"> </w:t>
      </w:r>
      <w:r w:rsidRPr="00546511">
        <w:rPr>
          <w:rFonts w:hint="eastAsia"/>
          <w:rtl/>
        </w:rPr>
        <w:t>שלוש</w:t>
      </w:r>
      <w:r w:rsidRPr="00546511">
        <w:rPr>
          <w:rtl/>
        </w:rPr>
        <w:t xml:space="preserve"> </w:t>
      </w:r>
      <w:r w:rsidRPr="00546511">
        <w:rPr>
          <w:rFonts w:hint="eastAsia"/>
          <w:rtl/>
        </w:rPr>
        <w:t>שנים</w:t>
      </w:r>
      <w:r w:rsidRPr="00546511">
        <w:rPr>
          <w:rtl/>
        </w:rPr>
        <w:t xml:space="preserve">, </w:t>
      </w:r>
      <w:r w:rsidRPr="00546511">
        <w:rPr>
          <w:rFonts w:hint="eastAsia"/>
          <w:rtl/>
        </w:rPr>
        <w:t>עבירה</w:t>
      </w:r>
      <w:r w:rsidRPr="00546511">
        <w:rPr>
          <w:rtl/>
        </w:rPr>
        <w:t xml:space="preserve"> </w:t>
      </w:r>
      <w:r w:rsidRPr="00546511">
        <w:rPr>
          <w:rFonts w:hint="cs"/>
          <w:rtl/>
        </w:rPr>
        <w:t xml:space="preserve">מסוג פשע </w:t>
      </w:r>
      <w:r w:rsidRPr="00546511">
        <w:rPr>
          <w:rFonts w:hint="eastAsia"/>
          <w:rtl/>
        </w:rPr>
        <w:t>לפי</w:t>
      </w:r>
      <w:r w:rsidRPr="00546511">
        <w:rPr>
          <w:rtl/>
        </w:rPr>
        <w:t xml:space="preserve"> </w:t>
      </w:r>
      <w:hyperlink r:id="rId75" w:history="1">
        <w:r w:rsidR="00061F01" w:rsidRPr="00061F01">
          <w:rPr>
            <w:color w:val="0000FF"/>
            <w:u w:val="single"/>
            <w:rtl/>
          </w:rPr>
          <w:t>פקודת הסמים המסוכנים</w:t>
        </w:r>
      </w:hyperlink>
      <w:r w:rsidRPr="00546511">
        <w:rPr>
          <w:rtl/>
        </w:rPr>
        <w:t xml:space="preserve"> </w:t>
      </w:r>
      <w:r w:rsidRPr="00546511">
        <w:rPr>
          <w:rFonts w:hint="eastAsia"/>
          <w:rtl/>
        </w:rPr>
        <w:t>ויורשע</w:t>
      </w:r>
      <w:r w:rsidRPr="00546511">
        <w:rPr>
          <w:rtl/>
        </w:rPr>
        <w:t xml:space="preserve"> </w:t>
      </w:r>
      <w:r w:rsidRPr="00546511">
        <w:rPr>
          <w:rFonts w:hint="eastAsia"/>
          <w:rtl/>
        </w:rPr>
        <w:t>בה</w:t>
      </w:r>
      <w:r w:rsidRPr="00546511">
        <w:rPr>
          <w:rtl/>
        </w:rPr>
        <w:t>.</w:t>
      </w:r>
    </w:p>
    <w:p w14:paraId="2208772C" w14:textId="77777777" w:rsidR="0039432C" w:rsidRDefault="0039432C" w:rsidP="0039432C">
      <w:pPr>
        <w:suppressLineNumbers/>
        <w:spacing w:line="360" w:lineRule="auto"/>
        <w:ind w:left="567"/>
        <w:jc w:val="both"/>
        <w:rPr>
          <w:rtl/>
        </w:rPr>
      </w:pPr>
    </w:p>
    <w:p w14:paraId="39D0A8C7" w14:textId="77777777" w:rsidR="0039432C" w:rsidRPr="00B702D6" w:rsidRDefault="0039432C" w:rsidP="0039432C">
      <w:pPr>
        <w:spacing w:line="360" w:lineRule="auto"/>
        <w:ind w:left="567"/>
        <w:jc w:val="both"/>
        <w:rPr>
          <w:rtl/>
        </w:rPr>
      </w:pPr>
      <w:r>
        <w:rPr>
          <w:rFonts w:hint="cs"/>
          <w:rtl/>
        </w:rPr>
        <w:t>2</w:t>
      </w:r>
      <w:r w:rsidRPr="00B702D6">
        <w:rPr>
          <w:rtl/>
        </w:rPr>
        <w:t xml:space="preserve"> </w:t>
      </w:r>
      <w:r w:rsidRPr="00B702D6">
        <w:rPr>
          <w:rFonts w:ascii="Calibri" w:hAnsi="Calibri" w:hint="eastAsia"/>
          <w:rtl/>
        </w:rPr>
        <w:t>חודש</w:t>
      </w:r>
      <w:r w:rsidRPr="00B702D6">
        <w:rPr>
          <w:rtl/>
        </w:rPr>
        <w:t xml:space="preserve"> </w:t>
      </w:r>
      <w:r w:rsidRPr="00B702D6">
        <w:rPr>
          <w:rFonts w:hint="eastAsia"/>
          <w:rtl/>
        </w:rPr>
        <w:t>מאסר</w:t>
      </w:r>
      <w:r>
        <w:rPr>
          <w:rFonts w:hint="cs"/>
          <w:rtl/>
        </w:rPr>
        <w:t xml:space="preserve"> על תנאי, שלא </w:t>
      </w:r>
      <w:r w:rsidRPr="00B702D6">
        <w:rPr>
          <w:rFonts w:hint="eastAsia"/>
          <w:rtl/>
        </w:rPr>
        <w:t>יעבור</w:t>
      </w:r>
      <w:r w:rsidRPr="00B702D6">
        <w:rPr>
          <w:rtl/>
        </w:rPr>
        <w:t xml:space="preserve"> </w:t>
      </w:r>
      <w:r w:rsidRPr="00B702D6">
        <w:rPr>
          <w:rFonts w:hint="eastAsia"/>
          <w:rtl/>
        </w:rPr>
        <w:t>בתוך</w:t>
      </w:r>
      <w:r w:rsidRPr="00B702D6">
        <w:rPr>
          <w:rtl/>
        </w:rPr>
        <w:t xml:space="preserve"> </w:t>
      </w:r>
      <w:r w:rsidRPr="00B702D6">
        <w:rPr>
          <w:rFonts w:hint="eastAsia"/>
          <w:rtl/>
        </w:rPr>
        <w:t>ש</w:t>
      </w:r>
      <w:r>
        <w:rPr>
          <w:rFonts w:hint="cs"/>
          <w:rtl/>
        </w:rPr>
        <w:t>נתיים</w:t>
      </w:r>
      <w:r w:rsidRPr="00B702D6">
        <w:rPr>
          <w:rtl/>
        </w:rPr>
        <w:t xml:space="preserve">, </w:t>
      </w:r>
      <w:r w:rsidRPr="00B702D6">
        <w:rPr>
          <w:rFonts w:hint="eastAsia"/>
          <w:rtl/>
        </w:rPr>
        <w:t>עבירה</w:t>
      </w:r>
      <w:r w:rsidRPr="00B702D6">
        <w:rPr>
          <w:rtl/>
        </w:rPr>
        <w:t xml:space="preserve"> </w:t>
      </w:r>
      <w:r>
        <w:rPr>
          <w:rFonts w:hint="cs"/>
          <w:rtl/>
        </w:rPr>
        <w:t xml:space="preserve">מסוג עוון </w:t>
      </w:r>
      <w:r w:rsidRPr="00B702D6">
        <w:rPr>
          <w:rFonts w:hint="eastAsia"/>
          <w:rtl/>
        </w:rPr>
        <w:t>לפי</w:t>
      </w:r>
      <w:r w:rsidRPr="00B702D6">
        <w:rPr>
          <w:rtl/>
        </w:rPr>
        <w:t xml:space="preserve"> </w:t>
      </w:r>
      <w:hyperlink r:id="rId76" w:history="1">
        <w:r w:rsidR="00061F01" w:rsidRPr="00061F01">
          <w:rPr>
            <w:color w:val="0000FF"/>
            <w:u w:val="single"/>
            <w:rtl/>
          </w:rPr>
          <w:t>פקודת הסמים המסוכנים</w:t>
        </w:r>
      </w:hyperlink>
      <w:r>
        <w:rPr>
          <w:rFonts w:hint="cs"/>
          <w:rtl/>
        </w:rPr>
        <w:t xml:space="preserve"> או עבירה של הפרת הוראה חוקית</w:t>
      </w:r>
      <w:r w:rsidRPr="00B702D6">
        <w:rPr>
          <w:rtl/>
        </w:rPr>
        <w:t xml:space="preserve"> </w:t>
      </w:r>
      <w:r w:rsidRPr="00B702D6">
        <w:rPr>
          <w:rFonts w:hint="eastAsia"/>
          <w:rtl/>
        </w:rPr>
        <w:t>ויורשע</w:t>
      </w:r>
      <w:r w:rsidRPr="00B702D6">
        <w:rPr>
          <w:rtl/>
        </w:rPr>
        <w:t xml:space="preserve"> </w:t>
      </w:r>
      <w:r w:rsidRPr="00B702D6">
        <w:rPr>
          <w:rFonts w:hint="eastAsia"/>
          <w:rtl/>
        </w:rPr>
        <w:t>בה</w:t>
      </w:r>
      <w:r w:rsidRPr="00B702D6">
        <w:rPr>
          <w:rtl/>
        </w:rPr>
        <w:t>.</w:t>
      </w:r>
    </w:p>
    <w:p w14:paraId="14E7B350" w14:textId="77777777" w:rsidR="0039432C" w:rsidRDefault="0039432C" w:rsidP="0039432C">
      <w:pPr>
        <w:suppressLineNumbers/>
        <w:spacing w:line="360" w:lineRule="auto"/>
        <w:jc w:val="both"/>
        <w:rPr>
          <w:rtl/>
        </w:rPr>
      </w:pPr>
    </w:p>
    <w:p w14:paraId="17D6AF73" w14:textId="77777777" w:rsidR="0039432C" w:rsidRPr="000821E9" w:rsidRDefault="0039432C" w:rsidP="0039432C">
      <w:pPr>
        <w:spacing w:line="360" w:lineRule="auto"/>
        <w:ind w:firstLine="567"/>
        <w:jc w:val="both"/>
      </w:pPr>
      <w:r w:rsidRPr="000821E9">
        <w:rPr>
          <w:rFonts w:hint="cs"/>
          <w:rtl/>
        </w:rPr>
        <w:t xml:space="preserve">אני פוסל א הנאשם מלקבל או להחזיק רשיון נהיגה, פסילה בפועל,  למשך </w:t>
      </w:r>
      <w:r>
        <w:rPr>
          <w:rFonts w:hint="cs"/>
          <w:rtl/>
        </w:rPr>
        <w:t xml:space="preserve">12 חודשים. </w:t>
      </w:r>
    </w:p>
    <w:p w14:paraId="221588C6" w14:textId="77777777" w:rsidR="0039432C" w:rsidRPr="000821E9" w:rsidRDefault="0039432C" w:rsidP="0039432C">
      <w:pPr>
        <w:spacing w:line="360" w:lineRule="auto"/>
        <w:jc w:val="both"/>
        <w:rPr>
          <w:rtl/>
        </w:rPr>
      </w:pPr>
    </w:p>
    <w:p w14:paraId="2F2CDE09" w14:textId="77777777" w:rsidR="0039432C" w:rsidRPr="000821E9" w:rsidRDefault="0039432C" w:rsidP="0039432C">
      <w:pPr>
        <w:suppressLineNumbers/>
        <w:spacing w:line="360" w:lineRule="auto"/>
        <w:ind w:left="567"/>
        <w:jc w:val="both"/>
        <w:rPr>
          <w:rtl/>
        </w:rPr>
      </w:pPr>
      <w:r w:rsidRPr="000821E9">
        <w:rPr>
          <w:rFonts w:hint="cs"/>
          <w:rtl/>
        </w:rPr>
        <w:t xml:space="preserve">אני פוסל את הנאשם מלקבל או להחזיק רישיון נהיגה למשך </w:t>
      </w:r>
      <w:r>
        <w:rPr>
          <w:rFonts w:hint="cs"/>
          <w:rtl/>
        </w:rPr>
        <w:t>12 חודשים</w:t>
      </w:r>
      <w:r w:rsidRPr="000821E9">
        <w:rPr>
          <w:rFonts w:hint="cs"/>
          <w:rtl/>
        </w:rPr>
        <w:t xml:space="preserve">. הפסילה תהיה על תנאי והתנאי כי במשך 3 שנים לא יעבור הנאשם עבירה  </w:t>
      </w:r>
      <w:r>
        <w:rPr>
          <w:rFonts w:hint="cs"/>
          <w:rtl/>
        </w:rPr>
        <w:t xml:space="preserve">על </w:t>
      </w:r>
      <w:hyperlink r:id="rId77" w:history="1">
        <w:r w:rsidR="00061F01" w:rsidRPr="00061F01">
          <w:rPr>
            <w:color w:val="0000FF"/>
            <w:u w:val="single"/>
            <w:rtl/>
          </w:rPr>
          <w:t>פקודת הסמים המסוכנים</w:t>
        </w:r>
      </w:hyperlink>
      <w:r>
        <w:rPr>
          <w:rFonts w:hint="cs"/>
          <w:rtl/>
        </w:rPr>
        <w:t xml:space="preserve"> </w:t>
      </w:r>
      <w:r w:rsidRPr="000821E9">
        <w:rPr>
          <w:rFonts w:hint="cs"/>
          <w:rtl/>
        </w:rPr>
        <w:t xml:space="preserve">ויורשע בה. </w:t>
      </w:r>
    </w:p>
    <w:p w14:paraId="674ECB65" w14:textId="77777777" w:rsidR="0039432C" w:rsidRPr="000821E9" w:rsidRDefault="0039432C" w:rsidP="0039432C">
      <w:pPr>
        <w:spacing w:line="360" w:lineRule="auto"/>
        <w:jc w:val="both"/>
        <w:rPr>
          <w:rtl/>
        </w:rPr>
      </w:pPr>
    </w:p>
    <w:p w14:paraId="54DDD082" w14:textId="77777777" w:rsidR="0039432C" w:rsidRPr="00057925" w:rsidRDefault="0039432C" w:rsidP="0039432C">
      <w:pPr>
        <w:suppressLineNumbers/>
        <w:spacing w:line="360" w:lineRule="auto"/>
        <w:jc w:val="both"/>
        <w:rPr>
          <w:rtl/>
        </w:rPr>
      </w:pPr>
    </w:p>
    <w:p w14:paraId="5C94FDDE" w14:textId="77777777" w:rsidR="0039432C" w:rsidRPr="00057925" w:rsidRDefault="0039432C" w:rsidP="0039432C">
      <w:pPr>
        <w:suppressLineNumbers/>
        <w:spacing w:line="360" w:lineRule="auto"/>
        <w:jc w:val="both"/>
        <w:rPr>
          <w:b/>
          <w:bCs/>
          <w:rtl/>
        </w:rPr>
      </w:pPr>
      <w:r w:rsidRPr="00057925">
        <w:rPr>
          <w:rFonts w:hint="cs"/>
          <w:b/>
          <w:bCs/>
          <w:rtl/>
        </w:rPr>
        <w:t>זכות ערעור לבית המשפט המחוזי תוך 45 יום מהיום.</w:t>
      </w:r>
    </w:p>
    <w:p w14:paraId="5ADC040A" w14:textId="77777777" w:rsidR="0039432C" w:rsidRDefault="0039432C" w:rsidP="0039432C">
      <w:pPr>
        <w:spacing w:line="360" w:lineRule="auto"/>
        <w:rPr>
          <w:b/>
          <w:bCs/>
          <w:rtl/>
        </w:rPr>
      </w:pPr>
    </w:p>
    <w:p w14:paraId="4593DE08" w14:textId="77777777" w:rsidR="0039432C" w:rsidRDefault="00061F01" w:rsidP="0039432C">
      <w:pPr>
        <w:rPr>
          <w:rtl/>
        </w:rPr>
      </w:pPr>
      <w:r>
        <w:rPr>
          <w:b/>
          <w:bCs/>
          <w:rtl/>
        </w:rPr>
        <w:t xml:space="preserve">ניתן והודע היום ‏08/09/16 ‏ה' אלול תשע"ו במעמד הנוכחים. </w:t>
      </w:r>
    </w:p>
    <w:tbl>
      <w:tblPr>
        <w:bidiVisual/>
        <w:tblW w:w="0" w:type="auto"/>
        <w:tblInd w:w="6436" w:type="dxa"/>
        <w:tblBorders>
          <w:top w:val="single" w:sz="4" w:space="0" w:color="auto"/>
          <w:insideH w:val="single" w:sz="4" w:space="0" w:color="auto"/>
          <w:insideV w:val="single" w:sz="4" w:space="0" w:color="auto"/>
        </w:tblBorders>
        <w:tblLook w:val="0000" w:firstRow="0" w:lastRow="0" w:firstColumn="0" w:lastColumn="0" w:noHBand="0" w:noVBand="0"/>
      </w:tblPr>
      <w:tblGrid>
        <w:gridCol w:w="2093"/>
      </w:tblGrid>
      <w:tr w:rsidR="0039432C" w14:paraId="72A39FB6" w14:textId="77777777">
        <w:tc>
          <w:tcPr>
            <w:tcW w:w="2093" w:type="dxa"/>
          </w:tcPr>
          <w:p w14:paraId="54B9B00C" w14:textId="77777777" w:rsidR="0039432C" w:rsidRDefault="0039432C" w:rsidP="00061F01">
            <w:pPr>
              <w:jc w:val="center"/>
              <w:rPr>
                <w:b/>
                <w:bCs/>
              </w:rPr>
            </w:pPr>
            <w:r>
              <w:rPr>
                <w:b/>
                <w:bCs/>
                <w:rtl/>
              </w:rPr>
              <w:t>מוחמד עלי, שופט</w:t>
            </w:r>
          </w:p>
        </w:tc>
      </w:tr>
    </w:tbl>
    <w:p w14:paraId="0A3303C7" w14:textId="77777777" w:rsidR="0039432C" w:rsidRDefault="0039432C" w:rsidP="0039432C">
      <w:pPr>
        <w:jc w:val="right"/>
      </w:pPr>
    </w:p>
    <w:p w14:paraId="6224AA1B" w14:textId="77777777" w:rsidR="0039432C" w:rsidRDefault="0039432C" w:rsidP="0039432C">
      <w:pPr>
        <w:rPr>
          <w:rtl/>
        </w:rPr>
      </w:pPr>
    </w:p>
    <w:p w14:paraId="339EAC38" w14:textId="77777777" w:rsidR="0039432C" w:rsidRDefault="0039432C" w:rsidP="0039432C"/>
    <w:p w14:paraId="6941B516" w14:textId="77777777" w:rsidR="0039432C" w:rsidRPr="00061F01" w:rsidRDefault="00061F01" w:rsidP="0039432C">
      <w:pPr>
        <w:rPr>
          <w:color w:val="FFFFFF"/>
          <w:sz w:val="2"/>
          <w:szCs w:val="2"/>
        </w:rPr>
      </w:pPr>
      <w:r w:rsidRPr="00061F01">
        <w:rPr>
          <w:color w:val="FFFFFF"/>
          <w:sz w:val="2"/>
          <w:szCs w:val="2"/>
          <w:rtl/>
        </w:rPr>
        <w:t>5129371</w:t>
      </w:r>
    </w:p>
    <w:p w14:paraId="18CCF78B" w14:textId="77777777" w:rsidR="0039432C" w:rsidRPr="00061F01" w:rsidRDefault="00061F01" w:rsidP="0039432C">
      <w:pPr>
        <w:suppressLineNumbers/>
        <w:spacing w:line="360" w:lineRule="auto"/>
        <w:jc w:val="both"/>
        <w:rPr>
          <w:b/>
          <w:bCs/>
          <w:color w:val="FFFFFF"/>
          <w:sz w:val="2"/>
          <w:szCs w:val="2"/>
          <w:rtl/>
        </w:rPr>
      </w:pPr>
      <w:r w:rsidRPr="00061F01">
        <w:rPr>
          <w:b/>
          <w:bCs/>
          <w:color w:val="FFFFFF"/>
          <w:sz w:val="2"/>
          <w:szCs w:val="2"/>
          <w:rtl/>
        </w:rPr>
        <w:t>54678313</w:t>
      </w:r>
    </w:p>
    <w:bookmarkEnd w:id="8"/>
    <w:p w14:paraId="0A414E37" w14:textId="77777777" w:rsidR="0039432C" w:rsidRDefault="0039432C" w:rsidP="0039432C">
      <w:pPr>
        <w:spacing w:line="360" w:lineRule="auto"/>
        <w:jc w:val="both"/>
        <w:rPr>
          <w:rtl/>
        </w:rPr>
      </w:pPr>
    </w:p>
    <w:p w14:paraId="066248BC" w14:textId="77777777" w:rsidR="0039432C" w:rsidRDefault="0039432C" w:rsidP="0039432C">
      <w:pPr>
        <w:spacing w:line="360" w:lineRule="auto"/>
        <w:jc w:val="both"/>
      </w:pPr>
    </w:p>
    <w:p w14:paraId="038D02FB" w14:textId="77777777" w:rsidR="0039432C" w:rsidRPr="00B05847" w:rsidRDefault="0039432C" w:rsidP="0039432C">
      <w:pPr>
        <w:rPr>
          <w:rtl/>
        </w:rPr>
      </w:pPr>
    </w:p>
    <w:p w14:paraId="53B810E1" w14:textId="77777777" w:rsidR="0039432C" w:rsidRPr="00DC6A8C" w:rsidRDefault="00DC6A8C" w:rsidP="0039432C">
      <w:pPr>
        <w:rPr>
          <w:color w:val="FFFFFF"/>
          <w:sz w:val="2"/>
          <w:szCs w:val="2"/>
          <w:rtl/>
        </w:rPr>
      </w:pPr>
      <w:r w:rsidRPr="00DC6A8C">
        <w:rPr>
          <w:color w:val="FFFFFF"/>
          <w:sz w:val="2"/>
          <w:szCs w:val="2"/>
          <w:rtl/>
        </w:rPr>
        <w:t>5129371</w:t>
      </w:r>
    </w:p>
    <w:p w14:paraId="576C5C55" w14:textId="77777777" w:rsidR="00061F01" w:rsidRPr="00DC6A8C" w:rsidRDefault="00DC6A8C" w:rsidP="00061F01">
      <w:pPr>
        <w:keepNext/>
        <w:rPr>
          <w:rFonts w:ascii="David" w:hAnsi="David"/>
          <w:color w:val="FFFFFF"/>
          <w:sz w:val="2"/>
          <w:szCs w:val="2"/>
          <w:rtl/>
        </w:rPr>
      </w:pPr>
      <w:r w:rsidRPr="00DC6A8C">
        <w:rPr>
          <w:rFonts w:ascii="David" w:hAnsi="David"/>
          <w:color w:val="FFFFFF"/>
          <w:sz w:val="2"/>
          <w:szCs w:val="2"/>
          <w:rtl/>
        </w:rPr>
        <w:t>54678313</w:t>
      </w:r>
    </w:p>
    <w:p w14:paraId="731F057D" w14:textId="77777777" w:rsidR="00061F01" w:rsidRPr="00061F01" w:rsidRDefault="00061F01" w:rsidP="00061F01">
      <w:pPr>
        <w:keepNext/>
        <w:rPr>
          <w:rFonts w:ascii="David" w:hAnsi="David"/>
          <w:color w:val="000000"/>
          <w:sz w:val="22"/>
          <w:szCs w:val="22"/>
          <w:rtl/>
        </w:rPr>
      </w:pPr>
      <w:r w:rsidRPr="00061F01">
        <w:rPr>
          <w:rFonts w:ascii="David" w:hAnsi="David"/>
          <w:color w:val="000000"/>
          <w:sz w:val="22"/>
          <w:szCs w:val="22"/>
          <w:rtl/>
        </w:rPr>
        <w:t>מוחמד עלי 54678313</w:t>
      </w:r>
    </w:p>
    <w:p w14:paraId="082279BC" w14:textId="77777777" w:rsidR="00061F01" w:rsidRDefault="00061F01" w:rsidP="00061F01">
      <w:r w:rsidRPr="00061F01">
        <w:rPr>
          <w:color w:val="000000"/>
          <w:rtl/>
        </w:rPr>
        <w:t>נוסח מסמך זה כפוף לשינויי ניסוח ועריכה</w:t>
      </w:r>
    </w:p>
    <w:p w14:paraId="2DA4D560" w14:textId="77777777" w:rsidR="00061F01" w:rsidRDefault="00061F01" w:rsidP="00061F01">
      <w:pPr>
        <w:rPr>
          <w:rtl/>
        </w:rPr>
      </w:pPr>
    </w:p>
    <w:p w14:paraId="279A8092" w14:textId="77777777" w:rsidR="00061F01" w:rsidRDefault="00061F01" w:rsidP="00061F01">
      <w:pPr>
        <w:jc w:val="center"/>
        <w:rPr>
          <w:color w:val="0000FF"/>
          <w:u w:val="single"/>
        </w:rPr>
      </w:pPr>
      <w:hyperlink r:id="rId78" w:history="1">
        <w:r>
          <w:rPr>
            <w:color w:val="0000FF"/>
            <w:u w:val="single"/>
            <w:rtl/>
          </w:rPr>
          <w:t>בעניין עריכה ושינויים במסמכי פסיקה, חקיקה ועוד באתר נבו – הקש כאן</w:t>
        </w:r>
      </w:hyperlink>
      <w:r w:rsidR="004850F2">
        <w:rPr>
          <w:rFonts w:hint="cs"/>
          <w:color w:val="0000FF"/>
          <w:u w:val="single"/>
          <w:rtl/>
        </w:rPr>
        <w:t xml:space="preserve"> </w:t>
      </w:r>
    </w:p>
    <w:p w14:paraId="6D431975" w14:textId="77777777" w:rsidR="00DC6A8C" w:rsidRPr="00DC6A8C" w:rsidRDefault="00DC6A8C" w:rsidP="00DC6A8C">
      <w:pPr>
        <w:keepNext/>
        <w:rPr>
          <w:rFonts w:ascii="David" w:hAnsi="David"/>
          <w:color w:val="000000"/>
          <w:sz w:val="22"/>
          <w:szCs w:val="22"/>
          <w:rtl/>
        </w:rPr>
      </w:pPr>
    </w:p>
    <w:sectPr w:rsidR="00DC6A8C" w:rsidRPr="00DC6A8C" w:rsidSect="00DC6A8C">
      <w:headerReference w:type="even" r:id="rId79"/>
      <w:headerReference w:type="default" r:id="rId80"/>
      <w:footerReference w:type="even" r:id="rId81"/>
      <w:footerReference w:type="default" r:id="rId8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85A71D" w14:textId="77777777" w:rsidR="0052181A" w:rsidRDefault="0052181A">
      <w:r>
        <w:separator/>
      </w:r>
    </w:p>
  </w:endnote>
  <w:endnote w:type="continuationSeparator" w:id="0">
    <w:p w14:paraId="31A2F8D6" w14:textId="77777777" w:rsidR="0052181A" w:rsidRDefault="005218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F24F75" w14:textId="77777777" w:rsidR="00381D30" w:rsidRDefault="00381D30" w:rsidP="00DC6A8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4DEE039" w14:textId="77777777" w:rsidR="00381D30" w:rsidRPr="00DC6A8C" w:rsidRDefault="00381D30" w:rsidP="00DC6A8C">
    <w:pPr>
      <w:pStyle w:val="a4"/>
      <w:pBdr>
        <w:top w:val="single" w:sz="4" w:space="1" w:color="auto"/>
        <w:between w:val="single" w:sz="4" w:space="0" w:color="auto"/>
      </w:pBdr>
      <w:spacing w:after="60"/>
      <w:jc w:val="center"/>
      <w:rPr>
        <w:rFonts w:ascii="FrankRuehl" w:hAnsi="FrankRuehl" w:cs="FrankRuehl"/>
        <w:color w:val="000000"/>
      </w:rPr>
    </w:pPr>
    <w:r w:rsidRPr="00DC6A8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63197E" w14:textId="77777777" w:rsidR="00381D30" w:rsidRDefault="00381D30" w:rsidP="00DC6A8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95A74">
      <w:rPr>
        <w:rFonts w:ascii="FrankRuehl" w:hAnsi="FrankRuehl" w:cs="FrankRuehl"/>
        <w:noProof/>
        <w:rtl/>
      </w:rPr>
      <w:t>1</w:t>
    </w:r>
    <w:r>
      <w:rPr>
        <w:rFonts w:ascii="FrankRuehl" w:hAnsi="FrankRuehl" w:cs="FrankRuehl"/>
        <w:rtl/>
      </w:rPr>
      <w:fldChar w:fldCharType="end"/>
    </w:r>
  </w:p>
  <w:p w14:paraId="6FD5BEDA" w14:textId="77777777" w:rsidR="00381D30" w:rsidRPr="00DC6A8C" w:rsidRDefault="00381D30" w:rsidP="00DC6A8C">
    <w:pPr>
      <w:pStyle w:val="a4"/>
      <w:pBdr>
        <w:top w:val="single" w:sz="4" w:space="1" w:color="auto"/>
        <w:between w:val="single" w:sz="4" w:space="0" w:color="auto"/>
      </w:pBdr>
      <w:spacing w:after="60"/>
      <w:jc w:val="center"/>
      <w:rPr>
        <w:rFonts w:ascii="FrankRuehl" w:hAnsi="FrankRuehl" w:cs="FrankRuehl"/>
        <w:color w:val="000000"/>
      </w:rPr>
    </w:pPr>
    <w:r w:rsidRPr="00DC6A8C">
      <w:rPr>
        <w:rFonts w:ascii="FrankRuehl" w:hAnsi="FrankRuehl" w:cs="FrankRuehl"/>
        <w:color w:val="000000"/>
      </w:rPr>
      <w:pict w14:anchorId="501896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48694C" w14:textId="77777777" w:rsidR="0052181A" w:rsidRDefault="0052181A">
      <w:r>
        <w:separator/>
      </w:r>
    </w:p>
  </w:footnote>
  <w:footnote w:type="continuationSeparator" w:id="0">
    <w:p w14:paraId="3950B0F8" w14:textId="77777777" w:rsidR="0052181A" w:rsidRDefault="005218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6673B0" w14:textId="77777777" w:rsidR="00381D30" w:rsidRPr="00DC6A8C" w:rsidRDefault="00381D30" w:rsidP="00DC6A8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12546-04-16</w:t>
    </w:r>
    <w:r>
      <w:rPr>
        <w:rFonts w:ascii="David" w:hAnsi="David"/>
        <w:color w:val="000000"/>
        <w:sz w:val="22"/>
        <w:szCs w:val="22"/>
        <w:rtl/>
      </w:rPr>
      <w:tab/>
      <w:t xml:space="preserve"> מדינת ישראל נ' דביר משה בוקריס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FA419E" w14:textId="77777777" w:rsidR="00381D30" w:rsidRPr="00DC6A8C" w:rsidRDefault="00381D30" w:rsidP="00DC6A8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12546-04-16</w:t>
    </w:r>
    <w:r>
      <w:rPr>
        <w:rFonts w:ascii="David" w:hAnsi="David"/>
        <w:color w:val="000000"/>
        <w:sz w:val="22"/>
        <w:szCs w:val="22"/>
        <w:rtl/>
      </w:rPr>
      <w:tab/>
      <w:t xml:space="preserve"> מדינת ישראל נ' דביר משה בוקריס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A36D1"/>
    <w:multiLevelType w:val="hybridMultilevel"/>
    <w:tmpl w:val="57560560"/>
    <w:lvl w:ilvl="0" w:tplc="363AA912">
      <w:start w:val="1"/>
      <w:numFmt w:val="decimal"/>
      <w:lvlText w:val="%1."/>
      <w:lvlJc w:val="left"/>
      <w:pPr>
        <w:ind w:left="567" w:hanging="567"/>
      </w:pPr>
      <w:rPr>
        <w:szCs w:val="22"/>
        <w:lang w:val="en-US" w:bidi="he-I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82649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9432C"/>
    <w:rsid w:val="00061F01"/>
    <w:rsid w:val="00174FB2"/>
    <w:rsid w:val="0021633D"/>
    <w:rsid w:val="00287D18"/>
    <w:rsid w:val="00303CAA"/>
    <w:rsid w:val="00381D30"/>
    <w:rsid w:val="0039432C"/>
    <w:rsid w:val="00482AF8"/>
    <w:rsid w:val="004850F2"/>
    <w:rsid w:val="0052181A"/>
    <w:rsid w:val="008D0D9F"/>
    <w:rsid w:val="00B1215F"/>
    <w:rsid w:val="00B66ABC"/>
    <w:rsid w:val="00D95A74"/>
    <w:rsid w:val="00DC6A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E1E2B9E"/>
  <w15:chartTrackingRefBased/>
  <w15:docId w15:val="{35802AFD-8967-44F8-9292-F1AEF5894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9432C"/>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39432C"/>
    <w:pPr>
      <w:tabs>
        <w:tab w:val="center" w:pos="4153"/>
        <w:tab w:val="right" w:pos="8306"/>
      </w:tabs>
    </w:pPr>
  </w:style>
  <w:style w:type="paragraph" w:styleId="a4">
    <w:name w:val="footer"/>
    <w:basedOn w:val="a"/>
    <w:rsid w:val="0039432C"/>
    <w:pPr>
      <w:tabs>
        <w:tab w:val="center" w:pos="4153"/>
        <w:tab w:val="right" w:pos="8306"/>
      </w:tabs>
    </w:pPr>
  </w:style>
  <w:style w:type="character" w:styleId="a5">
    <w:name w:val="page number"/>
    <w:basedOn w:val="a0"/>
    <w:rsid w:val="0039432C"/>
  </w:style>
  <w:style w:type="paragraph" w:customStyle="1" w:styleId="ListParagraph">
    <w:name w:val="List Paragraph"/>
    <w:basedOn w:val="a"/>
    <w:rsid w:val="0039432C"/>
    <w:pPr>
      <w:ind w:left="720"/>
      <w:contextualSpacing/>
    </w:pPr>
    <w:rPr>
      <w:rFonts w:ascii="Arial (W1)" w:hAnsi="Arial (W1)"/>
    </w:rPr>
  </w:style>
  <w:style w:type="character" w:styleId="Hyperlink">
    <w:name w:val="Hyperlink"/>
    <w:rsid w:val="00061F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287.a" TargetMode="External"/><Relationship Id="rId21" Type="http://schemas.openxmlformats.org/officeDocument/2006/relationships/hyperlink" Target="http://www.nevo.co.il/law/70301/40jc.b" TargetMode="External"/><Relationship Id="rId42" Type="http://schemas.openxmlformats.org/officeDocument/2006/relationships/hyperlink" Target="http://www.nevo.co.il/case/17009738" TargetMode="External"/><Relationship Id="rId47" Type="http://schemas.openxmlformats.org/officeDocument/2006/relationships/hyperlink" Target="http://www.nevo.co.il/case/5753269" TargetMode="External"/><Relationship Id="rId63" Type="http://schemas.openxmlformats.org/officeDocument/2006/relationships/hyperlink" Target="http://www.nevo.co.il/law/70301" TargetMode="External"/><Relationship Id="rId68" Type="http://schemas.openxmlformats.org/officeDocument/2006/relationships/hyperlink" Target="http://www.nevo.co.il/case/18654248" TargetMode="External"/><Relationship Id="rId84" Type="http://schemas.openxmlformats.org/officeDocument/2006/relationships/theme" Target="theme/theme1.xml"/><Relationship Id="rId16" Type="http://schemas.openxmlformats.org/officeDocument/2006/relationships/hyperlink" Target="http://www.nevo.co.il/law/70301/45" TargetMode="External"/><Relationship Id="rId11" Type="http://schemas.openxmlformats.org/officeDocument/2006/relationships/hyperlink" Target="http://www.nevo.co.il/law/4216/14" TargetMode="External"/><Relationship Id="rId32" Type="http://schemas.openxmlformats.org/officeDocument/2006/relationships/hyperlink" Target="http://www.nevo.co.il/law/4216/7.c" TargetMode="External"/><Relationship Id="rId37" Type="http://schemas.openxmlformats.org/officeDocument/2006/relationships/hyperlink" Target="http://www.nevo.co.il/law/70301/40ja" TargetMode="External"/><Relationship Id="rId53" Type="http://schemas.openxmlformats.org/officeDocument/2006/relationships/hyperlink" Target="http://www.nevo.co.il/case/13067293" TargetMode="External"/><Relationship Id="rId58" Type="http://schemas.openxmlformats.org/officeDocument/2006/relationships/hyperlink" Target="http://www.nevo.co.il/case/3874318" TargetMode="External"/><Relationship Id="rId74" Type="http://schemas.openxmlformats.org/officeDocument/2006/relationships/hyperlink" Target="http://www.nevo.co.il/case/20101796" TargetMode="External"/><Relationship Id="rId79"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http://www.nevo.co.il/case/13067293" TargetMode="External"/><Relationship Id="rId82" Type="http://schemas.openxmlformats.org/officeDocument/2006/relationships/footer" Target="footer2.xml"/><Relationship Id="rId19" Type="http://schemas.openxmlformats.org/officeDocument/2006/relationships/hyperlink" Target="http://www.nevo.co.il/law/70301/40ja" TargetMode="External"/><Relationship Id="rId14" Type="http://schemas.openxmlformats.org/officeDocument/2006/relationships/hyperlink" Target="http://www.nevo.co.il/law/70301/40i" TargetMode="External"/><Relationship Id="rId22" Type="http://schemas.openxmlformats.org/officeDocument/2006/relationships/hyperlink" Target="http://www.nevo.co.il/law/4216/14" TargetMode="External"/><Relationship Id="rId27" Type="http://schemas.openxmlformats.org/officeDocument/2006/relationships/hyperlink" Target="http://www.nevo.co.il/law/70301" TargetMode="External"/><Relationship Id="rId30" Type="http://schemas.openxmlformats.org/officeDocument/2006/relationships/hyperlink" Target="http://www.nevo.co.il/law/4216" TargetMode="External"/><Relationship Id="rId35" Type="http://schemas.openxmlformats.org/officeDocument/2006/relationships/hyperlink" Target="http://www.nevo.co.il/law/70301/40i" TargetMode="External"/><Relationship Id="rId43" Type="http://schemas.openxmlformats.org/officeDocument/2006/relationships/hyperlink" Target="http://www.nevo.co.il/case/20033641" TargetMode="External"/><Relationship Id="rId48" Type="http://schemas.openxmlformats.org/officeDocument/2006/relationships/hyperlink" Target="http://www.nevo.co.il/case/6243440" TargetMode="External"/><Relationship Id="rId56" Type="http://schemas.openxmlformats.org/officeDocument/2006/relationships/hyperlink" Target="http://www.nevo.co.il/case/463961" TargetMode="External"/><Relationship Id="rId64" Type="http://schemas.openxmlformats.org/officeDocument/2006/relationships/hyperlink" Target="http://www.nevo.co.il/law/70301/45" TargetMode="External"/><Relationship Id="rId69" Type="http://schemas.openxmlformats.org/officeDocument/2006/relationships/hyperlink" Target="http://www.nevo.co.il/law/70301/45" TargetMode="External"/><Relationship Id="rId77" Type="http://schemas.openxmlformats.org/officeDocument/2006/relationships/hyperlink" Target="http://www.nevo.co.il/law/4216" TargetMode="External"/><Relationship Id="rId8" Type="http://schemas.openxmlformats.org/officeDocument/2006/relationships/hyperlink" Target="http://www.nevo.co.il/law/4216/7.a" TargetMode="External"/><Relationship Id="rId51" Type="http://schemas.openxmlformats.org/officeDocument/2006/relationships/hyperlink" Target="http://www.nevo.co.il/law/70301/40i.a.2" TargetMode="External"/><Relationship Id="rId72" Type="http://schemas.openxmlformats.org/officeDocument/2006/relationships/hyperlink" Target="http://www.nevo.co.il/case/5612389" TargetMode="External"/><Relationship Id="rId80"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4216/19a" TargetMode="External"/><Relationship Id="rId17" Type="http://schemas.openxmlformats.org/officeDocument/2006/relationships/hyperlink" Target="http://www.nevo.co.il/law/70301/244" TargetMode="External"/><Relationship Id="rId25" Type="http://schemas.openxmlformats.org/officeDocument/2006/relationships/hyperlink" Target="http://www.nevo.co.il/case/13067293" TargetMode="External"/><Relationship Id="rId33" Type="http://schemas.openxmlformats.org/officeDocument/2006/relationships/hyperlink" Target="http://www.nevo.co.il/law/70301/244" TargetMode="External"/><Relationship Id="rId38" Type="http://schemas.openxmlformats.org/officeDocument/2006/relationships/hyperlink" Target="http://www.nevo.co.il/law/70301/40jc" TargetMode="External"/><Relationship Id="rId46" Type="http://schemas.openxmlformats.org/officeDocument/2006/relationships/hyperlink" Target="http://www.nevo.co.il/law/70301" TargetMode="External"/><Relationship Id="rId59" Type="http://schemas.openxmlformats.org/officeDocument/2006/relationships/hyperlink" Target="http://www.nevo.co.il/law/70301/244" TargetMode="External"/><Relationship Id="rId67" Type="http://schemas.openxmlformats.org/officeDocument/2006/relationships/hyperlink" Target="http://www.nevo.co.il/law/70301" TargetMode="External"/><Relationship Id="rId20" Type="http://schemas.openxmlformats.org/officeDocument/2006/relationships/hyperlink" Target="http://www.nevo.co.il/law/70301/40jc" TargetMode="External"/><Relationship Id="rId41" Type="http://schemas.openxmlformats.org/officeDocument/2006/relationships/hyperlink" Target="http://www.nevo.co.il/case/17023776" TargetMode="External"/><Relationship Id="rId54" Type="http://schemas.openxmlformats.org/officeDocument/2006/relationships/hyperlink" Target="http://www.nevo.co.il/case/7012287" TargetMode="External"/><Relationship Id="rId62" Type="http://schemas.openxmlformats.org/officeDocument/2006/relationships/hyperlink" Target="http://www.nevo.co.il/law/70301/40jc.b" TargetMode="External"/><Relationship Id="rId70" Type="http://schemas.openxmlformats.org/officeDocument/2006/relationships/hyperlink" Target="http://www.nevo.co.il/law/70301" TargetMode="External"/><Relationship Id="rId75" Type="http://schemas.openxmlformats.org/officeDocument/2006/relationships/hyperlink" Target="http://www.nevo.co.il/law/4216"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i.a.2" TargetMode="External"/><Relationship Id="rId23" Type="http://schemas.openxmlformats.org/officeDocument/2006/relationships/hyperlink" Target="http://www.nevo.co.il/law/4216/19a" TargetMode="External"/><Relationship Id="rId28" Type="http://schemas.openxmlformats.org/officeDocument/2006/relationships/hyperlink" Target="http://www.nevo.co.il/law/4216/13" TargetMode="External"/><Relationship Id="rId36" Type="http://schemas.openxmlformats.org/officeDocument/2006/relationships/hyperlink" Target="http://www.nevo.co.il/law/70301" TargetMode="External"/><Relationship Id="rId49" Type="http://schemas.openxmlformats.org/officeDocument/2006/relationships/hyperlink" Target="http://www.nevo.co.il/case/17935977" TargetMode="External"/><Relationship Id="rId57" Type="http://schemas.openxmlformats.org/officeDocument/2006/relationships/hyperlink" Target="http://www.nevo.co.il/case/3846784" TargetMode="External"/><Relationship Id="rId10" Type="http://schemas.openxmlformats.org/officeDocument/2006/relationships/hyperlink" Target="http://www.nevo.co.il/law/4216/13" TargetMode="External"/><Relationship Id="rId31" Type="http://schemas.openxmlformats.org/officeDocument/2006/relationships/hyperlink" Target="http://www.nevo.co.il/law/4216/7.a" TargetMode="External"/><Relationship Id="rId44" Type="http://schemas.openxmlformats.org/officeDocument/2006/relationships/hyperlink" Target="http://www.nevo.co.il/law/70301" TargetMode="External"/><Relationship Id="rId52" Type="http://schemas.openxmlformats.org/officeDocument/2006/relationships/hyperlink" Target="http://www.nevo.co.il/law/70301" TargetMode="External"/><Relationship Id="rId60" Type="http://schemas.openxmlformats.org/officeDocument/2006/relationships/hyperlink" Target="http://www.nevo.co.il/law/70301" TargetMode="External"/><Relationship Id="rId65" Type="http://schemas.openxmlformats.org/officeDocument/2006/relationships/hyperlink" Target="http://www.nevo.co.il/law/70301" TargetMode="External"/><Relationship Id="rId73" Type="http://schemas.openxmlformats.org/officeDocument/2006/relationships/hyperlink" Target="http://www.nevo.co.il/case/20782265" TargetMode="External"/><Relationship Id="rId78" Type="http://schemas.openxmlformats.org/officeDocument/2006/relationships/hyperlink" Target="http://www.nevo.co.il/advertisements/nevo-100.doc" TargetMode="External"/><Relationship Id="rId8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70301" TargetMode="External"/><Relationship Id="rId18" Type="http://schemas.openxmlformats.org/officeDocument/2006/relationships/hyperlink" Target="http://www.nevo.co.il/law/70301/287.a" TargetMode="External"/><Relationship Id="rId39" Type="http://schemas.openxmlformats.org/officeDocument/2006/relationships/hyperlink" Target="http://www.nevo.co.il/law/70301" TargetMode="External"/><Relationship Id="rId34" Type="http://schemas.openxmlformats.org/officeDocument/2006/relationships/hyperlink" Target="http://www.nevo.co.il/law/70301" TargetMode="External"/><Relationship Id="rId50" Type="http://schemas.openxmlformats.org/officeDocument/2006/relationships/hyperlink" Target="http://www.nevo.co.il/case/17945671" TargetMode="External"/><Relationship Id="rId55" Type="http://schemas.openxmlformats.org/officeDocument/2006/relationships/hyperlink" Target="http://www.nevo.co.il/case/2392420" TargetMode="External"/><Relationship Id="rId76" Type="http://schemas.openxmlformats.org/officeDocument/2006/relationships/hyperlink" Target="http://www.nevo.co.il/law/4216" TargetMode="External"/><Relationship Id="rId7" Type="http://schemas.openxmlformats.org/officeDocument/2006/relationships/hyperlink" Target="http://www.nevo.co.il/law/4216" TargetMode="External"/><Relationship Id="rId71" Type="http://schemas.openxmlformats.org/officeDocument/2006/relationships/hyperlink" Target="http://www.nevo.co.il/case/17943811" TargetMode="External"/><Relationship Id="rId2" Type="http://schemas.openxmlformats.org/officeDocument/2006/relationships/styles" Target="styles.xml"/><Relationship Id="rId29" Type="http://schemas.openxmlformats.org/officeDocument/2006/relationships/hyperlink" Target="http://www.nevo.co.il/law/4216/19a" TargetMode="External"/><Relationship Id="rId24" Type="http://schemas.openxmlformats.org/officeDocument/2006/relationships/hyperlink" Target="http://www.nevo.co.il/law/4216" TargetMode="External"/><Relationship Id="rId40" Type="http://schemas.openxmlformats.org/officeDocument/2006/relationships/hyperlink" Target="http://www.nevo.co.il/case/13093721" TargetMode="External"/><Relationship Id="rId45" Type="http://schemas.openxmlformats.org/officeDocument/2006/relationships/hyperlink" Target="http://www.nevo.co.il/law/70301/244" TargetMode="External"/><Relationship Id="rId66" Type="http://schemas.openxmlformats.org/officeDocument/2006/relationships/hyperlink" Target="http://www.nevo.co.il/law/70301/4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3809</Words>
  <Characters>19045</Characters>
  <Application>Microsoft Office Word</Application>
  <DocSecurity>0</DocSecurity>
  <Lines>158</Lines>
  <Paragraphs>45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22809</CharactersWithSpaces>
  <SharedDoc>false</SharedDoc>
  <HLinks>
    <vt:vector size="432" baseType="variant">
      <vt:variant>
        <vt:i4>393283</vt:i4>
      </vt:variant>
      <vt:variant>
        <vt:i4>213</vt:i4>
      </vt:variant>
      <vt:variant>
        <vt:i4>0</vt:i4>
      </vt:variant>
      <vt:variant>
        <vt:i4>5</vt:i4>
      </vt:variant>
      <vt:variant>
        <vt:lpwstr>http://www.nevo.co.il/advertisements/nevo-100.doc</vt:lpwstr>
      </vt:variant>
      <vt:variant>
        <vt:lpwstr/>
      </vt:variant>
      <vt:variant>
        <vt:i4>8257637</vt:i4>
      </vt:variant>
      <vt:variant>
        <vt:i4>210</vt:i4>
      </vt:variant>
      <vt:variant>
        <vt:i4>0</vt:i4>
      </vt:variant>
      <vt:variant>
        <vt:i4>5</vt:i4>
      </vt:variant>
      <vt:variant>
        <vt:lpwstr>http://www.nevo.co.il/law/4216</vt:lpwstr>
      </vt:variant>
      <vt:variant>
        <vt:lpwstr/>
      </vt:variant>
      <vt:variant>
        <vt:i4>8257637</vt:i4>
      </vt:variant>
      <vt:variant>
        <vt:i4>207</vt:i4>
      </vt:variant>
      <vt:variant>
        <vt:i4>0</vt:i4>
      </vt:variant>
      <vt:variant>
        <vt:i4>5</vt:i4>
      </vt:variant>
      <vt:variant>
        <vt:lpwstr>http://www.nevo.co.il/law/4216</vt:lpwstr>
      </vt:variant>
      <vt:variant>
        <vt:lpwstr/>
      </vt:variant>
      <vt:variant>
        <vt:i4>8257637</vt:i4>
      </vt:variant>
      <vt:variant>
        <vt:i4>204</vt:i4>
      </vt:variant>
      <vt:variant>
        <vt:i4>0</vt:i4>
      </vt:variant>
      <vt:variant>
        <vt:i4>5</vt:i4>
      </vt:variant>
      <vt:variant>
        <vt:lpwstr>http://www.nevo.co.il/law/4216</vt:lpwstr>
      </vt:variant>
      <vt:variant>
        <vt:lpwstr/>
      </vt:variant>
      <vt:variant>
        <vt:i4>3866739</vt:i4>
      </vt:variant>
      <vt:variant>
        <vt:i4>201</vt:i4>
      </vt:variant>
      <vt:variant>
        <vt:i4>0</vt:i4>
      </vt:variant>
      <vt:variant>
        <vt:i4>5</vt:i4>
      </vt:variant>
      <vt:variant>
        <vt:lpwstr>http://www.nevo.co.il/case/20101796</vt:lpwstr>
      </vt:variant>
      <vt:variant>
        <vt:lpwstr/>
      </vt:variant>
      <vt:variant>
        <vt:i4>3211390</vt:i4>
      </vt:variant>
      <vt:variant>
        <vt:i4>198</vt:i4>
      </vt:variant>
      <vt:variant>
        <vt:i4>0</vt:i4>
      </vt:variant>
      <vt:variant>
        <vt:i4>5</vt:i4>
      </vt:variant>
      <vt:variant>
        <vt:lpwstr>http://www.nevo.co.il/case/20782265</vt:lpwstr>
      </vt:variant>
      <vt:variant>
        <vt:lpwstr/>
      </vt:variant>
      <vt:variant>
        <vt:i4>4063352</vt:i4>
      </vt:variant>
      <vt:variant>
        <vt:i4>195</vt:i4>
      </vt:variant>
      <vt:variant>
        <vt:i4>0</vt:i4>
      </vt:variant>
      <vt:variant>
        <vt:i4>5</vt:i4>
      </vt:variant>
      <vt:variant>
        <vt:lpwstr>http://www.nevo.co.il/case/5612389</vt:lpwstr>
      </vt:variant>
      <vt:variant>
        <vt:lpwstr/>
      </vt:variant>
      <vt:variant>
        <vt:i4>3801215</vt:i4>
      </vt:variant>
      <vt:variant>
        <vt:i4>192</vt:i4>
      </vt:variant>
      <vt:variant>
        <vt:i4>0</vt:i4>
      </vt:variant>
      <vt:variant>
        <vt:i4>5</vt:i4>
      </vt:variant>
      <vt:variant>
        <vt:lpwstr>http://www.nevo.co.il/case/17943811</vt:lpwstr>
      </vt:variant>
      <vt:variant>
        <vt:lpwstr/>
      </vt:variant>
      <vt:variant>
        <vt:i4>7995492</vt:i4>
      </vt:variant>
      <vt:variant>
        <vt:i4>189</vt:i4>
      </vt:variant>
      <vt:variant>
        <vt:i4>0</vt:i4>
      </vt:variant>
      <vt:variant>
        <vt:i4>5</vt:i4>
      </vt:variant>
      <vt:variant>
        <vt:lpwstr>http://www.nevo.co.il/law/70301</vt:lpwstr>
      </vt:variant>
      <vt:variant>
        <vt:lpwstr/>
      </vt:variant>
      <vt:variant>
        <vt:i4>6291553</vt:i4>
      </vt:variant>
      <vt:variant>
        <vt:i4>186</vt:i4>
      </vt:variant>
      <vt:variant>
        <vt:i4>0</vt:i4>
      </vt:variant>
      <vt:variant>
        <vt:i4>5</vt:i4>
      </vt:variant>
      <vt:variant>
        <vt:lpwstr>http://www.nevo.co.il/law/70301/45</vt:lpwstr>
      </vt:variant>
      <vt:variant>
        <vt:lpwstr/>
      </vt:variant>
      <vt:variant>
        <vt:i4>3604603</vt:i4>
      </vt:variant>
      <vt:variant>
        <vt:i4>183</vt:i4>
      </vt:variant>
      <vt:variant>
        <vt:i4>0</vt:i4>
      </vt:variant>
      <vt:variant>
        <vt:i4>5</vt:i4>
      </vt:variant>
      <vt:variant>
        <vt:lpwstr>http://www.nevo.co.il/case/18654248</vt:lpwstr>
      </vt:variant>
      <vt:variant>
        <vt:lpwstr/>
      </vt:variant>
      <vt:variant>
        <vt:i4>7995492</vt:i4>
      </vt:variant>
      <vt:variant>
        <vt:i4>180</vt:i4>
      </vt:variant>
      <vt:variant>
        <vt:i4>0</vt:i4>
      </vt:variant>
      <vt:variant>
        <vt:i4>5</vt:i4>
      </vt:variant>
      <vt:variant>
        <vt:lpwstr>http://www.nevo.co.il/law/70301</vt:lpwstr>
      </vt:variant>
      <vt:variant>
        <vt:lpwstr/>
      </vt:variant>
      <vt:variant>
        <vt:i4>6291553</vt:i4>
      </vt:variant>
      <vt:variant>
        <vt:i4>177</vt:i4>
      </vt:variant>
      <vt:variant>
        <vt:i4>0</vt:i4>
      </vt:variant>
      <vt:variant>
        <vt:i4>5</vt:i4>
      </vt:variant>
      <vt:variant>
        <vt:lpwstr>http://www.nevo.co.il/law/70301/45</vt:lpwstr>
      </vt:variant>
      <vt:variant>
        <vt:lpwstr/>
      </vt:variant>
      <vt:variant>
        <vt:i4>7995492</vt:i4>
      </vt:variant>
      <vt:variant>
        <vt:i4>174</vt:i4>
      </vt:variant>
      <vt:variant>
        <vt:i4>0</vt:i4>
      </vt:variant>
      <vt:variant>
        <vt:i4>5</vt:i4>
      </vt:variant>
      <vt:variant>
        <vt:lpwstr>http://www.nevo.co.il/law/70301</vt:lpwstr>
      </vt:variant>
      <vt:variant>
        <vt:lpwstr/>
      </vt:variant>
      <vt:variant>
        <vt:i4>6291553</vt:i4>
      </vt:variant>
      <vt:variant>
        <vt:i4>171</vt:i4>
      </vt:variant>
      <vt:variant>
        <vt:i4>0</vt:i4>
      </vt:variant>
      <vt:variant>
        <vt:i4>5</vt:i4>
      </vt:variant>
      <vt:variant>
        <vt:lpwstr>http://www.nevo.co.il/law/70301/45</vt:lpwstr>
      </vt:variant>
      <vt:variant>
        <vt:lpwstr/>
      </vt:variant>
      <vt:variant>
        <vt:i4>7995492</vt:i4>
      </vt:variant>
      <vt:variant>
        <vt:i4>168</vt:i4>
      </vt:variant>
      <vt:variant>
        <vt:i4>0</vt:i4>
      </vt:variant>
      <vt:variant>
        <vt:i4>5</vt:i4>
      </vt:variant>
      <vt:variant>
        <vt:lpwstr>http://www.nevo.co.il/law/70301</vt:lpwstr>
      </vt:variant>
      <vt:variant>
        <vt:lpwstr/>
      </vt:variant>
      <vt:variant>
        <vt:i4>6553637</vt:i4>
      </vt:variant>
      <vt:variant>
        <vt:i4>165</vt:i4>
      </vt:variant>
      <vt:variant>
        <vt:i4>0</vt:i4>
      </vt:variant>
      <vt:variant>
        <vt:i4>5</vt:i4>
      </vt:variant>
      <vt:variant>
        <vt:lpwstr>http://www.nevo.co.il/law/70301/40jc.b</vt:lpwstr>
      </vt:variant>
      <vt:variant>
        <vt:lpwstr/>
      </vt:variant>
      <vt:variant>
        <vt:i4>4128883</vt:i4>
      </vt:variant>
      <vt:variant>
        <vt:i4>162</vt:i4>
      </vt:variant>
      <vt:variant>
        <vt:i4>0</vt:i4>
      </vt:variant>
      <vt:variant>
        <vt:i4>5</vt:i4>
      </vt:variant>
      <vt:variant>
        <vt:lpwstr>http://www.nevo.co.il/case/13067293</vt:lpwstr>
      </vt:variant>
      <vt:variant>
        <vt:lpwstr/>
      </vt:variant>
      <vt:variant>
        <vt:i4>7995492</vt:i4>
      </vt:variant>
      <vt:variant>
        <vt:i4>159</vt:i4>
      </vt:variant>
      <vt:variant>
        <vt:i4>0</vt:i4>
      </vt:variant>
      <vt:variant>
        <vt:i4>5</vt:i4>
      </vt:variant>
      <vt:variant>
        <vt:lpwstr>http://www.nevo.co.il/law/70301</vt:lpwstr>
      </vt:variant>
      <vt:variant>
        <vt:lpwstr/>
      </vt:variant>
      <vt:variant>
        <vt:i4>6357095</vt:i4>
      </vt:variant>
      <vt:variant>
        <vt:i4>156</vt:i4>
      </vt:variant>
      <vt:variant>
        <vt:i4>0</vt:i4>
      </vt:variant>
      <vt:variant>
        <vt:i4>5</vt:i4>
      </vt:variant>
      <vt:variant>
        <vt:lpwstr>http://www.nevo.co.il/law/70301/244</vt:lpwstr>
      </vt:variant>
      <vt:variant>
        <vt:lpwstr/>
      </vt:variant>
      <vt:variant>
        <vt:i4>4128889</vt:i4>
      </vt:variant>
      <vt:variant>
        <vt:i4>153</vt:i4>
      </vt:variant>
      <vt:variant>
        <vt:i4>0</vt:i4>
      </vt:variant>
      <vt:variant>
        <vt:i4>5</vt:i4>
      </vt:variant>
      <vt:variant>
        <vt:lpwstr>http://www.nevo.co.il/case/3874318</vt:lpwstr>
      </vt:variant>
      <vt:variant>
        <vt:lpwstr/>
      </vt:variant>
      <vt:variant>
        <vt:i4>3407986</vt:i4>
      </vt:variant>
      <vt:variant>
        <vt:i4>150</vt:i4>
      </vt:variant>
      <vt:variant>
        <vt:i4>0</vt:i4>
      </vt:variant>
      <vt:variant>
        <vt:i4>5</vt:i4>
      </vt:variant>
      <vt:variant>
        <vt:lpwstr>http://www.nevo.co.il/case/3846784</vt:lpwstr>
      </vt:variant>
      <vt:variant>
        <vt:lpwstr/>
      </vt:variant>
      <vt:variant>
        <vt:i4>65611</vt:i4>
      </vt:variant>
      <vt:variant>
        <vt:i4>147</vt:i4>
      </vt:variant>
      <vt:variant>
        <vt:i4>0</vt:i4>
      </vt:variant>
      <vt:variant>
        <vt:i4>5</vt:i4>
      </vt:variant>
      <vt:variant>
        <vt:lpwstr>http://www.nevo.co.il/case/463961</vt:lpwstr>
      </vt:variant>
      <vt:variant>
        <vt:lpwstr/>
      </vt:variant>
      <vt:variant>
        <vt:i4>4128887</vt:i4>
      </vt:variant>
      <vt:variant>
        <vt:i4>144</vt:i4>
      </vt:variant>
      <vt:variant>
        <vt:i4>0</vt:i4>
      </vt:variant>
      <vt:variant>
        <vt:i4>5</vt:i4>
      </vt:variant>
      <vt:variant>
        <vt:lpwstr>http://www.nevo.co.il/case/2392420</vt:lpwstr>
      </vt:variant>
      <vt:variant>
        <vt:lpwstr/>
      </vt:variant>
      <vt:variant>
        <vt:i4>3342462</vt:i4>
      </vt:variant>
      <vt:variant>
        <vt:i4>141</vt:i4>
      </vt:variant>
      <vt:variant>
        <vt:i4>0</vt:i4>
      </vt:variant>
      <vt:variant>
        <vt:i4>5</vt:i4>
      </vt:variant>
      <vt:variant>
        <vt:lpwstr>http://www.nevo.co.il/case/7012287</vt:lpwstr>
      </vt:variant>
      <vt:variant>
        <vt:lpwstr/>
      </vt:variant>
      <vt:variant>
        <vt:i4>4128883</vt:i4>
      </vt:variant>
      <vt:variant>
        <vt:i4>138</vt:i4>
      </vt:variant>
      <vt:variant>
        <vt:i4>0</vt:i4>
      </vt:variant>
      <vt:variant>
        <vt:i4>5</vt:i4>
      </vt:variant>
      <vt:variant>
        <vt:lpwstr>http://www.nevo.co.il/case/13067293</vt:lpwstr>
      </vt:variant>
      <vt:variant>
        <vt:lpwstr/>
      </vt:variant>
      <vt:variant>
        <vt:i4>7995492</vt:i4>
      </vt:variant>
      <vt:variant>
        <vt:i4>135</vt:i4>
      </vt:variant>
      <vt:variant>
        <vt:i4>0</vt:i4>
      </vt:variant>
      <vt:variant>
        <vt:i4>5</vt:i4>
      </vt:variant>
      <vt:variant>
        <vt:lpwstr>http://www.nevo.co.il/law/70301</vt:lpwstr>
      </vt:variant>
      <vt:variant>
        <vt:lpwstr/>
      </vt:variant>
      <vt:variant>
        <vt:i4>6619241</vt:i4>
      </vt:variant>
      <vt:variant>
        <vt:i4>132</vt:i4>
      </vt:variant>
      <vt:variant>
        <vt:i4>0</vt:i4>
      </vt:variant>
      <vt:variant>
        <vt:i4>5</vt:i4>
      </vt:variant>
      <vt:variant>
        <vt:lpwstr>http://www.nevo.co.il/law/70301/40i.a.2</vt:lpwstr>
      </vt:variant>
      <vt:variant>
        <vt:lpwstr/>
      </vt:variant>
      <vt:variant>
        <vt:i4>3801201</vt:i4>
      </vt:variant>
      <vt:variant>
        <vt:i4>129</vt:i4>
      </vt:variant>
      <vt:variant>
        <vt:i4>0</vt:i4>
      </vt:variant>
      <vt:variant>
        <vt:i4>5</vt:i4>
      </vt:variant>
      <vt:variant>
        <vt:lpwstr>http://www.nevo.co.il/case/17945671</vt:lpwstr>
      </vt:variant>
      <vt:variant>
        <vt:lpwstr/>
      </vt:variant>
      <vt:variant>
        <vt:i4>3801209</vt:i4>
      </vt:variant>
      <vt:variant>
        <vt:i4>126</vt:i4>
      </vt:variant>
      <vt:variant>
        <vt:i4>0</vt:i4>
      </vt:variant>
      <vt:variant>
        <vt:i4>5</vt:i4>
      </vt:variant>
      <vt:variant>
        <vt:lpwstr>http://www.nevo.co.il/case/17935977</vt:lpwstr>
      </vt:variant>
      <vt:variant>
        <vt:lpwstr/>
      </vt:variant>
      <vt:variant>
        <vt:i4>3539057</vt:i4>
      </vt:variant>
      <vt:variant>
        <vt:i4>123</vt:i4>
      </vt:variant>
      <vt:variant>
        <vt:i4>0</vt:i4>
      </vt:variant>
      <vt:variant>
        <vt:i4>5</vt:i4>
      </vt:variant>
      <vt:variant>
        <vt:lpwstr>http://www.nevo.co.il/case/6243440</vt:lpwstr>
      </vt:variant>
      <vt:variant>
        <vt:lpwstr/>
      </vt:variant>
      <vt:variant>
        <vt:i4>3866742</vt:i4>
      </vt:variant>
      <vt:variant>
        <vt:i4>120</vt:i4>
      </vt:variant>
      <vt:variant>
        <vt:i4>0</vt:i4>
      </vt:variant>
      <vt:variant>
        <vt:i4>5</vt:i4>
      </vt:variant>
      <vt:variant>
        <vt:lpwstr>http://www.nevo.co.il/case/5753269</vt:lpwstr>
      </vt:variant>
      <vt:variant>
        <vt:lpwstr/>
      </vt:variant>
      <vt:variant>
        <vt:i4>7995492</vt:i4>
      </vt:variant>
      <vt:variant>
        <vt:i4>117</vt:i4>
      </vt:variant>
      <vt:variant>
        <vt:i4>0</vt:i4>
      </vt:variant>
      <vt:variant>
        <vt:i4>5</vt:i4>
      </vt:variant>
      <vt:variant>
        <vt:lpwstr>http://www.nevo.co.il/law/70301</vt:lpwstr>
      </vt:variant>
      <vt:variant>
        <vt:lpwstr/>
      </vt:variant>
      <vt:variant>
        <vt:i4>6357095</vt:i4>
      </vt:variant>
      <vt:variant>
        <vt:i4>114</vt:i4>
      </vt:variant>
      <vt:variant>
        <vt:i4>0</vt:i4>
      </vt:variant>
      <vt:variant>
        <vt:i4>5</vt:i4>
      </vt:variant>
      <vt:variant>
        <vt:lpwstr>http://www.nevo.co.il/law/70301/244</vt:lpwstr>
      </vt:variant>
      <vt:variant>
        <vt:lpwstr/>
      </vt:variant>
      <vt:variant>
        <vt:i4>7995492</vt:i4>
      </vt:variant>
      <vt:variant>
        <vt:i4>111</vt:i4>
      </vt:variant>
      <vt:variant>
        <vt:i4>0</vt:i4>
      </vt:variant>
      <vt:variant>
        <vt:i4>5</vt:i4>
      </vt:variant>
      <vt:variant>
        <vt:lpwstr>http://www.nevo.co.il/law/70301</vt:lpwstr>
      </vt:variant>
      <vt:variant>
        <vt:lpwstr/>
      </vt:variant>
      <vt:variant>
        <vt:i4>3473521</vt:i4>
      </vt:variant>
      <vt:variant>
        <vt:i4>108</vt:i4>
      </vt:variant>
      <vt:variant>
        <vt:i4>0</vt:i4>
      </vt:variant>
      <vt:variant>
        <vt:i4>5</vt:i4>
      </vt:variant>
      <vt:variant>
        <vt:lpwstr>http://www.nevo.co.il/case/20033641</vt:lpwstr>
      </vt:variant>
      <vt:variant>
        <vt:lpwstr/>
      </vt:variant>
      <vt:variant>
        <vt:i4>3866740</vt:i4>
      </vt:variant>
      <vt:variant>
        <vt:i4>105</vt:i4>
      </vt:variant>
      <vt:variant>
        <vt:i4>0</vt:i4>
      </vt:variant>
      <vt:variant>
        <vt:i4>5</vt:i4>
      </vt:variant>
      <vt:variant>
        <vt:lpwstr>http://www.nevo.co.il/case/17009738</vt:lpwstr>
      </vt:variant>
      <vt:variant>
        <vt:lpwstr/>
      </vt:variant>
      <vt:variant>
        <vt:i4>3473526</vt:i4>
      </vt:variant>
      <vt:variant>
        <vt:i4>102</vt:i4>
      </vt:variant>
      <vt:variant>
        <vt:i4>0</vt:i4>
      </vt:variant>
      <vt:variant>
        <vt:i4>5</vt:i4>
      </vt:variant>
      <vt:variant>
        <vt:lpwstr>http://www.nevo.co.il/case/17023776</vt:lpwstr>
      </vt:variant>
      <vt:variant>
        <vt:lpwstr/>
      </vt:variant>
      <vt:variant>
        <vt:i4>3145849</vt:i4>
      </vt:variant>
      <vt:variant>
        <vt:i4>99</vt:i4>
      </vt:variant>
      <vt:variant>
        <vt:i4>0</vt:i4>
      </vt:variant>
      <vt:variant>
        <vt:i4>5</vt:i4>
      </vt:variant>
      <vt:variant>
        <vt:lpwstr>http://www.nevo.co.il/case/13093721</vt:lpwstr>
      </vt:variant>
      <vt:variant>
        <vt:lpwstr/>
      </vt:variant>
      <vt:variant>
        <vt:i4>7995492</vt:i4>
      </vt:variant>
      <vt:variant>
        <vt:i4>96</vt:i4>
      </vt:variant>
      <vt:variant>
        <vt:i4>0</vt:i4>
      </vt:variant>
      <vt:variant>
        <vt:i4>5</vt:i4>
      </vt:variant>
      <vt:variant>
        <vt:lpwstr>http://www.nevo.co.il/law/70301</vt:lpwstr>
      </vt:variant>
      <vt:variant>
        <vt:lpwstr/>
      </vt:variant>
      <vt:variant>
        <vt:i4>393227</vt:i4>
      </vt:variant>
      <vt:variant>
        <vt:i4>93</vt:i4>
      </vt:variant>
      <vt:variant>
        <vt:i4>0</vt:i4>
      </vt:variant>
      <vt:variant>
        <vt:i4>5</vt:i4>
      </vt:variant>
      <vt:variant>
        <vt:lpwstr>http://www.nevo.co.il/law/70301/40jc</vt:lpwstr>
      </vt:variant>
      <vt:variant>
        <vt:lpwstr/>
      </vt:variant>
      <vt:variant>
        <vt:i4>262155</vt:i4>
      </vt:variant>
      <vt:variant>
        <vt:i4>90</vt:i4>
      </vt:variant>
      <vt:variant>
        <vt:i4>0</vt:i4>
      </vt:variant>
      <vt:variant>
        <vt:i4>5</vt:i4>
      </vt:variant>
      <vt:variant>
        <vt:lpwstr>http://www.nevo.co.il/law/70301/40ja</vt:lpwstr>
      </vt:variant>
      <vt:variant>
        <vt:lpwstr/>
      </vt:variant>
      <vt:variant>
        <vt:i4>7995492</vt:i4>
      </vt:variant>
      <vt:variant>
        <vt:i4>87</vt:i4>
      </vt:variant>
      <vt:variant>
        <vt:i4>0</vt:i4>
      </vt:variant>
      <vt:variant>
        <vt:i4>5</vt:i4>
      </vt:variant>
      <vt:variant>
        <vt:lpwstr>http://www.nevo.co.il/law/70301</vt:lpwstr>
      </vt:variant>
      <vt:variant>
        <vt:lpwstr/>
      </vt:variant>
      <vt:variant>
        <vt:i4>6619233</vt:i4>
      </vt:variant>
      <vt:variant>
        <vt:i4>84</vt:i4>
      </vt:variant>
      <vt:variant>
        <vt:i4>0</vt:i4>
      </vt:variant>
      <vt:variant>
        <vt:i4>5</vt:i4>
      </vt:variant>
      <vt:variant>
        <vt:lpwstr>http://www.nevo.co.il/law/70301/40i</vt:lpwstr>
      </vt:variant>
      <vt:variant>
        <vt:lpwstr/>
      </vt:variant>
      <vt:variant>
        <vt:i4>7995492</vt:i4>
      </vt:variant>
      <vt:variant>
        <vt:i4>81</vt:i4>
      </vt:variant>
      <vt:variant>
        <vt:i4>0</vt:i4>
      </vt:variant>
      <vt:variant>
        <vt:i4>5</vt:i4>
      </vt:variant>
      <vt:variant>
        <vt:lpwstr>http://www.nevo.co.il/law/70301</vt:lpwstr>
      </vt:variant>
      <vt:variant>
        <vt:lpwstr/>
      </vt:variant>
      <vt:variant>
        <vt:i4>6357095</vt:i4>
      </vt:variant>
      <vt:variant>
        <vt:i4>78</vt:i4>
      </vt:variant>
      <vt:variant>
        <vt:i4>0</vt:i4>
      </vt:variant>
      <vt:variant>
        <vt:i4>5</vt:i4>
      </vt:variant>
      <vt:variant>
        <vt:lpwstr>http://www.nevo.co.il/law/70301/244</vt:lpwstr>
      </vt:variant>
      <vt:variant>
        <vt:lpwstr/>
      </vt:variant>
      <vt:variant>
        <vt:i4>2752612</vt:i4>
      </vt:variant>
      <vt:variant>
        <vt:i4>75</vt:i4>
      </vt:variant>
      <vt:variant>
        <vt:i4>0</vt:i4>
      </vt:variant>
      <vt:variant>
        <vt:i4>5</vt:i4>
      </vt:variant>
      <vt:variant>
        <vt:lpwstr>http://www.nevo.co.il/law/4216/7.c</vt:lpwstr>
      </vt:variant>
      <vt:variant>
        <vt:lpwstr/>
      </vt:variant>
      <vt:variant>
        <vt:i4>2621540</vt:i4>
      </vt:variant>
      <vt:variant>
        <vt:i4>72</vt:i4>
      </vt:variant>
      <vt:variant>
        <vt:i4>0</vt:i4>
      </vt:variant>
      <vt:variant>
        <vt:i4>5</vt:i4>
      </vt:variant>
      <vt:variant>
        <vt:lpwstr>http://www.nevo.co.il/law/4216/7.a</vt:lpwstr>
      </vt:variant>
      <vt:variant>
        <vt:lpwstr/>
      </vt:variant>
      <vt:variant>
        <vt:i4>8257637</vt:i4>
      </vt:variant>
      <vt:variant>
        <vt:i4>69</vt:i4>
      </vt:variant>
      <vt:variant>
        <vt:i4>0</vt:i4>
      </vt:variant>
      <vt:variant>
        <vt:i4>5</vt:i4>
      </vt:variant>
      <vt:variant>
        <vt:lpwstr>http://www.nevo.co.il/law/4216</vt:lpwstr>
      </vt:variant>
      <vt:variant>
        <vt:lpwstr/>
      </vt:variant>
      <vt:variant>
        <vt:i4>3014771</vt:i4>
      </vt:variant>
      <vt:variant>
        <vt:i4>66</vt:i4>
      </vt:variant>
      <vt:variant>
        <vt:i4>0</vt:i4>
      </vt:variant>
      <vt:variant>
        <vt:i4>5</vt:i4>
      </vt:variant>
      <vt:variant>
        <vt:lpwstr>http://www.nevo.co.il/law/4216/19a</vt:lpwstr>
      </vt:variant>
      <vt:variant>
        <vt:lpwstr/>
      </vt:variant>
      <vt:variant>
        <vt:i4>5177418</vt:i4>
      </vt:variant>
      <vt:variant>
        <vt:i4>63</vt:i4>
      </vt:variant>
      <vt:variant>
        <vt:i4>0</vt:i4>
      </vt:variant>
      <vt:variant>
        <vt:i4>5</vt:i4>
      </vt:variant>
      <vt:variant>
        <vt:lpwstr>http://www.nevo.co.il/law/4216/13</vt:lpwstr>
      </vt:variant>
      <vt:variant>
        <vt:lpwstr/>
      </vt:variant>
      <vt:variant>
        <vt:i4>7995492</vt:i4>
      </vt:variant>
      <vt:variant>
        <vt:i4>60</vt:i4>
      </vt:variant>
      <vt:variant>
        <vt:i4>0</vt:i4>
      </vt:variant>
      <vt:variant>
        <vt:i4>5</vt:i4>
      </vt:variant>
      <vt:variant>
        <vt:lpwstr>http://www.nevo.co.il/law/70301</vt:lpwstr>
      </vt:variant>
      <vt:variant>
        <vt:lpwstr/>
      </vt:variant>
      <vt:variant>
        <vt:i4>4390992</vt:i4>
      </vt:variant>
      <vt:variant>
        <vt:i4>57</vt:i4>
      </vt:variant>
      <vt:variant>
        <vt:i4>0</vt:i4>
      </vt:variant>
      <vt:variant>
        <vt:i4>5</vt:i4>
      </vt:variant>
      <vt:variant>
        <vt:lpwstr>http://www.nevo.co.il/law/70301/287.a</vt:lpwstr>
      </vt:variant>
      <vt:variant>
        <vt:lpwstr/>
      </vt:variant>
      <vt:variant>
        <vt:i4>4128883</vt:i4>
      </vt:variant>
      <vt:variant>
        <vt:i4>54</vt:i4>
      </vt:variant>
      <vt:variant>
        <vt:i4>0</vt:i4>
      </vt:variant>
      <vt:variant>
        <vt:i4>5</vt:i4>
      </vt:variant>
      <vt:variant>
        <vt:lpwstr>http://www.nevo.co.il/case/13067293</vt:lpwstr>
      </vt:variant>
      <vt:variant>
        <vt:lpwstr/>
      </vt:variant>
      <vt:variant>
        <vt:i4>8257637</vt:i4>
      </vt:variant>
      <vt:variant>
        <vt:i4>51</vt:i4>
      </vt:variant>
      <vt:variant>
        <vt:i4>0</vt:i4>
      </vt:variant>
      <vt:variant>
        <vt:i4>5</vt:i4>
      </vt:variant>
      <vt:variant>
        <vt:lpwstr>http://www.nevo.co.il/law/4216</vt:lpwstr>
      </vt:variant>
      <vt:variant>
        <vt:lpwstr/>
      </vt:variant>
      <vt:variant>
        <vt:i4>3014771</vt:i4>
      </vt:variant>
      <vt:variant>
        <vt:i4>48</vt:i4>
      </vt:variant>
      <vt:variant>
        <vt:i4>0</vt:i4>
      </vt:variant>
      <vt:variant>
        <vt:i4>5</vt:i4>
      </vt:variant>
      <vt:variant>
        <vt:lpwstr>http://www.nevo.co.il/law/4216/19a</vt:lpwstr>
      </vt:variant>
      <vt:variant>
        <vt:lpwstr/>
      </vt:variant>
      <vt:variant>
        <vt:i4>5177418</vt:i4>
      </vt:variant>
      <vt:variant>
        <vt:i4>45</vt:i4>
      </vt:variant>
      <vt:variant>
        <vt:i4>0</vt:i4>
      </vt:variant>
      <vt:variant>
        <vt:i4>5</vt:i4>
      </vt:variant>
      <vt:variant>
        <vt:lpwstr>http://www.nevo.co.il/law/4216/14</vt:lpwstr>
      </vt:variant>
      <vt:variant>
        <vt:lpwstr/>
      </vt:variant>
      <vt:variant>
        <vt:i4>6553637</vt:i4>
      </vt:variant>
      <vt:variant>
        <vt:i4>42</vt:i4>
      </vt:variant>
      <vt:variant>
        <vt:i4>0</vt:i4>
      </vt:variant>
      <vt:variant>
        <vt:i4>5</vt:i4>
      </vt:variant>
      <vt:variant>
        <vt:lpwstr>http://www.nevo.co.il/law/70301/40jc.b</vt:lpwstr>
      </vt:variant>
      <vt:variant>
        <vt:lpwstr/>
      </vt:variant>
      <vt:variant>
        <vt:i4>393227</vt:i4>
      </vt:variant>
      <vt:variant>
        <vt:i4>39</vt:i4>
      </vt:variant>
      <vt:variant>
        <vt:i4>0</vt:i4>
      </vt:variant>
      <vt:variant>
        <vt:i4>5</vt:i4>
      </vt:variant>
      <vt:variant>
        <vt:lpwstr>http://www.nevo.co.il/law/70301/40jc</vt:lpwstr>
      </vt:variant>
      <vt:variant>
        <vt:lpwstr/>
      </vt:variant>
      <vt:variant>
        <vt:i4>262155</vt:i4>
      </vt:variant>
      <vt:variant>
        <vt:i4>36</vt:i4>
      </vt:variant>
      <vt:variant>
        <vt:i4>0</vt:i4>
      </vt:variant>
      <vt:variant>
        <vt:i4>5</vt:i4>
      </vt:variant>
      <vt:variant>
        <vt:lpwstr>http://www.nevo.co.il/law/70301/40ja</vt:lpwstr>
      </vt:variant>
      <vt:variant>
        <vt:lpwstr/>
      </vt:variant>
      <vt:variant>
        <vt:i4>4390992</vt:i4>
      </vt:variant>
      <vt:variant>
        <vt:i4>33</vt:i4>
      </vt:variant>
      <vt:variant>
        <vt:i4>0</vt:i4>
      </vt:variant>
      <vt:variant>
        <vt:i4>5</vt:i4>
      </vt:variant>
      <vt:variant>
        <vt:lpwstr>http://www.nevo.co.il/law/70301/287.a</vt:lpwstr>
      </vt:variant>
      <vt:variant>
        <vt:lpwstr/>
      </vt:variant>
      <vt:variant>
        <vt:i4>6357095</vt:i4>
      </vt:variant>
      <vt:variant>
        <vt:i4>30</vt:i4>
      </vt:variant>
      <vt:variant>
        <vt:i4>0</vt:i4>
      </vt:variant>
      <vt:variant>
        <vt:i4>5</vt:i4>
      </vt:variant>
      <vt:variant>
        <vt:lpwstr>http://www.nevo.co.il/law/70301/244</vt:lpwstr>
      </vt:variant>
      <vt:variant>
        <vt:lpwstr/>
      </vt:variant>
      <vt:variant>
        <vt:i4>6291553</vt:i4>
      </vt:variant>
      <vt:variant>
        <vt:i4>27</vt:i4>
      </vt:variant>
      <vt:variant>
        <vt:i4>0</vt:i4>
      </vt:variant>
      <vt:variant>
        <vt:i4>5</vt:i4>
      </vt:variant>
      <vt:variant>
        <vt:lpwstr>http://www.nevo.co.il/law/70301/45</vt:lpwstr>
      </vt:variant>
      <vt:variant>
        <vt:lpwstr/>
      </vt:variant>
      <vt:variant>
        <vt:i4>6619241</vt:i4>
      </vt:variant>
      <vt:variant>
        <vt:i4>24</vt:i4>
      </vt:variant>
      <vt:variant>
        <vt:i4>0</vt:i4>
      </vt:variant>
      <vt:variant>
        <vt:i4>5</vt:i4>
      </vt:variant>
      <vt:variant>
        <vt:lpwstr>http://www.nevo.co.il/law/70301/40i.a.2</vt:lpwstr>
      </vt:variant>
      <vt:variant>
        <vt:lpwstr/>
      </vt:variant>
      <vt:variant>
        <vt:i4>6619233</vt:i4>
      </vt:variant>
      <vt:variant>
        <vt:i4>21</vt:i4>
      </vt:variant>
      <vt:variant>
        <vt:i4>0</vt:i4>
      </vt:variant>
      <vt:variant>
        <vt:i4>5</vt:i4>
      </vt:variant>
      <vt:variant>
        <vt:lpwstr>http://www.nevo.co.il/law/70301/40i</vt:lpwstr>
      </vt:variant>
      <vt:variant>
        <vt:lpwstr/>
      </vt:variant>
      <vt:variant>
        <vt:i4>7995492</vt:i4>
      </vt:variant>
      <vt:variant>
        <vt:i4>18</vt:i4>
      </vt:variant>
      <vt:variant>
        <vt:i4>0</vt:i4>
      </vt:variant>
      <vt:variant>
        <vt:i4>5</vt:i4>
      </vt:variant>
      <vt:variant>
        <vt:lpwstr>http://www.nevo.co.il/law/70301</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http://www.nevo.co.il/law/4216/14</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2025-04-22T23:02:00Z</dcterms:created>
  <dcterms:modified xsi:type="dcterms:W3CDTF">2025-04-22T23:02:00Z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12546</vt:lpwstr>
  </property>
  <property fmtid="{D5CDD505-2E9C-101B-9397-08002B2CF9AE}" pid="6" name="NEWPARTB">
    <vt:lpwstr>04</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דביר משה בוקריס</vt:lpwstr>
  </property>
  <property fmtid="{D5CDD505-2E9C-101B-9397-08002B2CF9AE}" pid="10" name="LAWYER">
    <vt:lpwstr>עידן לוי;לירן אוחיון </vt:lpwstr>
  </property>
  <property fmtid="{D5CDD505-2E9C-101B-9397-08002B2CF9AE}" pid="11" name="JUDGE">
    <vt:lpwstr>מוחמד עלי</vt:lpwstr>
  </property>
  <property fmtid="{D5CDD505-2E9C-101B-9397-08002B2CF9AE}" pid="12" name="CITY">
    <vt:lpwstr>קריות</vt:lpwstr>
  </property>
  <property fmtid="{D5CDD505-2E9C-101B-9397-08002B2CF9AE}" pid="13" name="DATE">
    <vt:lpwstr>20160908</vt:lpwstr>
  </property>
  <property fmtid="{D5CDD505-2E9C-101B-9397-08002B2CF9AE}" pid="14" name="TYPE_N_DATE">
    <vt:lpwstr>38020160908</vt:lpwstr>
  </property>
  <property fmtid="{D5CDD505-2E9C-101B-9397-08002B2CF9AE}" pid="15" name="WORDNUMPAGES">
    <vt:lpwstr>11</vt:lpwstr>
  </property>
  <property fmtid="{D5CDD505-2E9C-101B-9397-08002B2CF9AE}" pid="16" name="TYPE_ABS_DATE">
    <vt:lpwstr>380020160908</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13067293:3;13093721;17023776;17009738;20033641;5753269;6243440;17935977;17945671;7012287;2392420;463961;3846784;3874318;18654248;17943811;5612389;20782265;20101796</vt:lpwstr>
  </property>
  <property fmtid="{D5CDD505-2E9C-101B-9397-08002B2CF9AE}" pid="36" name="LAWLISTTMP1">
    <vt:lpwstr>4216/014;019a:2;013;007.a;007.c</vt:lpwstr>
  </property>
  <property fmtid="{D5CDD505-2E9C-101B-9397-08002B2CF9AE}" pid="37" name="LAWLISTTMP2">
    <vt:lpwstr>70301/287.a;244:3;040i;40ja;40jc;040i.a.2;40jc.b;045:3</vt:lpwstr>
  </property>
</Properties>
</file>