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B61B44" w:rsidRPr="005048E5" w14:paraId="3DC11D82" w14:textId="77777777" w:rsidTr="005048E5">
        <w:trPr>
          <w:trHeight w:hRule="exact" w:val="418"/>
          <w:jc w:val="center"/>
        </w:trPr>
        <w:tc>
          <w:tcPr>
            <w:tcW w:w="8721" w:type="dxa"/>
            <w:gridSpan w:val="2"/>
          </w:tcPr>
          <w:p w14:paraId="4EDE35C1" w14:textId="77777777" w:rsidR="00B61B44" w:rsidRPr="005048E5" w:rsidRDefault="00343398" w:rsidP="005048E5">
            <w:pPr>
              <w:pStyle w:val="a3"/>
              <w:jc w:val="center"/>
              <w:rPr>
                <w:rFonts w:ascii="Tahoma" w:hAnsi="Tahoma" w:cs="Tahoma" w:hint="cs"/>
                <w:noProof w:val="0"/>
                <w:color w:val="000080"/>
                <w:rtl/>
              </w:rPr>
            </w:pPr>
            <w:bookmarkStart w:id="0" w:name="LastJudge"/>
            <w:r>
              <w:rPr>
                <w:rFonts w:ascii="Tahoma" w:hAnsi="Tahoma" w:cs="Tahoma" w:hint="cs"/>
                <w:b/>
                <w:bCs/>
                <w:noProof w:val="0"/>
                <w:color w:val="000080"/>
                <w:rtl/>
              </w:rPr>
              <w:t xml:space="preserve"> </w:t>
            </w:r>
            <w:r w:rsidR="00B61B44" w:rsidRPr="005048E5">
              <w:rPr>
                <w:rFonts w:ascii="Tahoma" w:hAnsi="Tahoma" w:cs="Tahoma"/>
                <w:b/>
                <w:bCs/>
                <w:noProof w:val="0"/>
                <w:color w:val="000080"/>
                <w:rtl/>
              </w:rPr>
              <w:t>בית משפט השלום בקריית גת</w:t>
            </w:r>
          </w:p>
        </w:tc>
      </w:tr>
      <w:tr w:rsidR="00B61B44" w:rsidRPr="005048E5" w14:paraId="64374B66" w14:textId="77777777" w:rsidTr="005048E5">
        <w:trPr>
          <w:trHeight w:val="337"/>
          <w:jc w:val="center"/>
        </w:trPr>
        <w:tc>
          <w:tcPr>
            <w:tcW w:w="5047" w:type="dxa"/>
          </w:tcPr>
          <w:p w14:paraId="3495C963" w14:textId="77777777" w:rsidR="00B61B44" w:rsidRPr="005048E5" w:rsidRDefault="00B61B44" w:rsidP="005048E5">
            <w:pPr>
              <w:rPr>
                <w:b/>
                <w:bCs/>
                <w:noProof w:val="0"/>
                <w:sz w:val="26"/>
                <w:szCs w:val="26"/>
                <w:rtl/>
              </w:rPr>
            </w:pPr>
          </w:p>
        </w:tc>
        <w:tc>
          <w:tcPr>
            <w:tcW w:w="3674" w:type="dxa"/>
          </w:tcPr>
          <w:p w14:paraId="715BA78A" w14:textId="77777777" w:rsidR="00B61B44" w:rsidRPr="005048E5" w:rsidRDefault="00B61B44" w:rsidP="005048E5">
            <w:pPr>
              <w:pStyle w:val="a3"/>
              <w:jc w:val="right"/>
              <w:rPr>
                <w:b/>
                <w:bCs/>
                <w:noProof w:val="0"/>
                <w:sz w:val="26"/>
                <w:szCs w:val="26"/>
                <w:rtl/>
              </w:rPr>
            </w:pPr>
            <w:r w:rsidRPr="005048E5">
              <w:rPr>
                <w:b/>
                <w:bCs/>
                <w:noProof w:val="0"/>
                <w:sz w:val="26"/>
                <w:szCs w:val="26"/>
                <w:rtl/>
              </w:rPr>
              <w:t>16 ינואר 2017</w:t>
            </w:r>
          </w:p>
        </w:tc>
      </w:tr>
      <w:tr w:rsidR="00B61B44" w:rsidRPr="005048E5" w14:paraId="3BC34E75" w14:textId="77777777" w:rsidTr="005048E5">
        <w:trPr>
          <w:trHeight w:val="337"/>
          <w:jc w:val="center"/>
        </w:trPr>
        <w:tc>
          <w:tcPr>
            <w:tcW w:w="8721" w:type="dxa"/>
            <w:gridSpan w:val="2"/>
          </w:tcPr>
          <w:p w14:paraId="3854620B" w14:textId="77777777" w:rsidR="00B61B44" w:rsidRPr="005048E5" w:rsidRDefault="00B61B44" w:rsidP="005048E5">
            <w:pPr>
              <w:rPr>
                <w:b/>
                <w:bCs/>
                <w:noProof w:val="0"/>
                <w:sz w:val="26"/>
                <w:szCs w:val="26"/>
                <w:rtl/>
              </w:rPr>
            </w:pPr>
            <w:r w:rsidRPr="005048E5">
              <w:rPr>
                <w:b/>
                <w:bCs/>
                <w:noProof w:val="0"/>
                <w:sz w:val="26"/>
                <w:szCs w:val="26"/>
                <w:rtl/>
              </w:rPr>
              <w:t>ת"פ 20484-05-16 מדינת ישראל נ' כהן סבן</w:t>
            </w:r>
          </w:p>
          <w:p w14:paraId="18421F9B" w14:textId="77777777" w:rsidR="00B61B44" w:rsidRPr="005048E5" w:rsidRDefault="00B61B44" w:rsidP="005048E5">
            <w:pPr>
              <w:rPr>
                <w:rtl/>
              </w:rPr>
            </w:pPr>
          </w:p>
        </w:tc>
      </w:tr>
    </w:tbl>
    <w:p w14:paraId="4EA5AD7A" w14:textId="77777777" w:rsidR="00B61B44" w:rsidRPr="005048E5" w:rsidRDefault="00B61B44" w:rsidP="00B61B44"/>
    <w:tbl>
      <w:tblPr>
        <w:bidiVisual/>
        <w:tblW w:w="0" w:type="auto"/>
        <w:jc w:val="center"/>
        <w:tblLook w:val="0000" w:firstRow="0" w:lastRow="0" w:firstColumn="0" w:lastColumn="0" w:noHBand="0" w:noVBand="0"/>
      </w:tblPr>
      <w:tblGrid>
        <w:gridCol w:w="873"/>
        <w:gridCol w:w="7848"/>
      </w:tblGrid>
      <w:tr w:rsidR="00B61B44" w:rsidRPr="005048E5" w14:paraId="38B13A0A" w14:textId="77777777" w:rsidTr="005048E5">
        <w:trPr>
          <w:trHeight w:val="337"/>
          <w:jc w:val="center"/>
        </w:trPr>
        <w:tc>
          <w:tcPr>
            <w:tcW w:w="873" w:type="dxa"/>
          </w:tcPr>
          <w:p w14:paraId="44FD0C65" w14:textId="77777777" w:rsidR="00B61B44" w:rsidRPr="005048E5" w:rsidRDefault="00B61B44" w:rsidP="005048E5">
            <w:pPr>
              <w:tabs>
                <w:tab w:val="left" w:pos="1710"/>
              </w:tabs>
              <w:rPr>
                <w:b/>
                <w:bCs/>
                <w:sz w:val="28"/>
                <w:szCs w:val="28"/>
                <w:rtl/>
              </w:rPr>
            </w:pPr>
            <w:r w:rsidRPr="005048E5">
              <w:rPr>
                <w:rFonts w:hint="cs"/>
                <w:b/>
                <w:bCs/>
                <w:sz w:val="28"/>
                <w:szCs w:val="28"/>
                <w:rtl/>
              </w:rPr>
              <w:t>בפני</w:t>
            </w:r>
          </w:p>
        </w:tc>
        <w:tc>
          <w:tcPr>
            <w:tcW w:w="7848" w:type="dxa"/>
          </w:tcPr>
          <w:p w14:paraId="3AD147D2" w14:textId="77777777" w:rsidR="00B61B44" w:rsidRPr="005048E5" w:rsidRDefault="00B61B44" w:rsidP="005048E5">
            <w:pPr>
              <w:rPr>
                <w:rFonts w:ascii="Arial" w:hAnsi="Arial"/>
                <w:b/>
                <w:bCs/>
                <w:sz w:val="28"/>
                <w:szCs w:val="28"/>
                <w:rtl/>
              </w:rPr>
            </w:pPr>
            <w:r w:rsidRPr="005048E5">
              <w:rPr>
                <w:rFonts w:ascii="Arial" w:hAnsi="Arial" w:hint="cs"/>
                <w:b/>
                <w:bCs/>
                <w:sz w:val="28"/>
                <w:szCs w:val="28"/>
                <w:rtl/>
              </w:rPr>
              <w:t>כב' ה</w:t>
            </w:r>
            <w:r w:rsidRPr="005048E5">
              <w:rPr>
                <w:rFonts w:ascii="Arial" w:hAnsi="Arial"/>
                <w:b/>
                <w:bCs/>
                <w:sz w:val="28"/>
                <w:szCs w:val="28"/>
                <w:rtl/>
              </w:rPr>
              <w:t>סגנית נשיאה</w:t>
            </w:r>
            <w:r w:rsidRPr="005048E5">
              <w:rPr>
                <w:rFonts w:ascii="Arial" w:hAnsi="Arial" w:hint="cs"/>
                <w:b/>
                <w:bCs/>
                <w:sz w:val="28"/>
                <w:szCs w:val="28"/>
                <w:rtl/>
              </w:rPr>
              <w:t xml:space="preserve">  </w:t>
            </w:r>
            <w:r w:rsidRPr="005048E5">
              <w:rPr>
                <w:rFonts w:ascii="Arial" w:hAnsi="Arial"/>
                <w:b/>
                <w:bCs/>
                <w:sz w:val="28"/>
                <w:szCs w:val="28"/>
                <w:rtl/>
              </w:rPr>
              <w:t>נגה שמואלי-מאייר</w:t>
            </w:r>
          </w:p>
          <w:p w14:paraId="09BD27EC" w14:textId="77777777" w:rsidR="00B61B44" w:rsidRPr="005048E5" w:rsidRDefault="00B61B44" w:rsidP="005048E5">
            <w:pPr>
              <w:tabs>
                <w:tab w:val="left" w:pos="1710"/>
              </w:tabs>
              <w:rPr>
                <w:rtl/>
              </w:rPr>
            </w:pPr>
          </w:p>
        </w:tc>
      </w:tr>
    </w:tbl>
    <w:p w14:paraId="020C590B" w14:textId="77777777" w:rsidR="00B61B44" w:rsidRPr="005048E5" w:rsidRDefault="00B61B44" w:rsidP="00B61B44">
      <w:pPr>
        <w:pStyle w:val="a3"/>
        <w:rPr>
          <w:noProof w:val="0"/>
          <w:rtl/>
        </w:rPr>
      </w:pPr>
      <w:r w:rsidRPr="005048E5">
        <w:rPr>
          <w:noProof w:val="0"/>
          <w:rtl/>
        </w:rPr>
        <w:t xml:space="preserve"> </w:t>
      </w:r>
    </w:p>
    <w:p w14:paraId="2EC0B272" w14:textId="77777777" w:rsidR="00B61B44" w:rsidRPr="005048E5" w:rsidRDefault="00B61B44" w:rsidP="00B61B44">
      <w:pPr>
        <w:spacing w:after="200"/>
        <w:rPr>
          <w:rtl/>
        </w:rPr>
      </w:pPr>
    </w:p>
    <w:tbl>
      <w:tblPr>
        <w:bidiVisual/>
        <w:tblW w:w="8820" w:type="dxa"/>
        <w:jc w:val="center"/>
        <w:tblLook w:val="01E0" w:firstRow="1" w:lastRow="1" w:firstColumn="1" w:lastColumn="1" w:noHBand="0" w:noVBand="0"/>
      </w:tblPr>
      <w:tblGrid>
        <w:gridCol w:w="5603"/>
        <w:gridCol w:w="3217"/>
      </w:tblGrid>
      <w:tr w:rsidR="00B61B44" w:rsidRPr="005048E5" w14:paraId="49745066" w14:textId="77777777" w:rsidTr="005048E5">
        <w:trPr>
          <w:jc w:val="center"/>
        </w:trPr>
        <w:tc>
          <w:tcPr>
            <w:tcW w:w="5603" w:type="dxa"/>
            <w:shd w:val="clear" w:color="auto" w:fill="auto"/>
          </w:tcPr>
          <w:p w14:paraId="318A82C7" w14:textId="77777777" w:rsidR="00B61B44" w:rsidRPr="005048E5" w:rsidRDefault="00B61B44" w:rsidP="005048E5">
            <w:pPr>
              <w:spacing w:after="200"/>
              <w:rPr>
                <w:sz w:val="28"/>
                <w:szCs w:val="28"/>
                <w:rtl/>
              </w:rPr>
            </w:pPr>
            <w:bookmarkStart w:id="1" w:name="FirstAppellant"/>
            <w:bookmarkStart w:id="2" w:name="FirstLawyer"/>
            <w:r w:rsidRPr="005048E5">
              <w:rPr>
                <w:rFonts w:ascii="Arial" w:hAnsi="Arial" w:hint="cs"/>
                <w:b/>
                <w:bCs/>
                <w:noProof w:val="0"/>
                <w:sz w:val="28"/>
                <w:szCs w:val="28"/>
                <w:rtl/>
              </w:rPr>
              <w:t>מדינת ישראל</w:t>
            </w:r>
          </w:p>
          <w:p w14:paraId="29C7E216" w14:textId="77777777" w:rsidR="00B61B44" w:rsidRPr="005048E5" w:rsidRDefault="00B61B44" w:rsidP="005048E5">
            <w:pPr>
              <w:spacing w:after="200"/>
              <w:rPr>
                <w:b/>
                <w:bCs/>
                <w:sz w:val="28"/>
                <w:szCs w:val="28"/>
                <w:rtl/>
              </w:rPr>
            </w:pPr>
            <w:r w:rsidRPr="005048E5">
              <w:rPr>
                <w:rFonts w:hint="cs"/>
                <w:b/>
                <w:bCs/>
                <w:sz w:val="28"/>
                <w:szCs w:val="28"/>
                <w:rtl/>
              </w:rPr>
              <w:t>ע"י ב"כ עו"ד עמית חומרי</w:t>
            </w:r>
          </w:p>
        </w:tc>
        <w:tc>
          <w:tcPr>
            <w:tcW w:w="3217" w:type="dxa"/>
            <w:shd w:val="clear" w:color="auto" w:fill="auto"/>
          </w:tcPr>
          <w:p w14:paraId="74393F01" w14:textId="77777777" w:rsidR="00B61B44" w:rsidRPr="005048E5" w:rsidRDefault="00B61B44" w:rsidP="005048E5">
            <w:pPr>
              <w:bidi w:val="0"/>
              <w:spacing w:after="200"/>
              <w:jc w:val="right"/>
              <w:rPr>
                <w:rFonts w:ascii="Arial" w:hAnsi="Arial"/>
                <w:b/>
                <w:bCs/>
                <w:noProof w:val="0"/>
                <w:sz w:val="28"/>
                <w:szCs w:val="28"/>
                <w:rtl/>
              </w:rPr>
            </w:pPr>
          </w:p>
          <w:p w14:paraId="53330179" w14:textId="77777777" w:rsidR="00B61B44" w:rsidRPr="005048E5" w:rsidRDefault="00B61B44" w:rsidP="005048E5">
            <w:pPr>
              <w:bidi w:val="0"/>
              <w:spacing w:after="200"/>
              <w:jc w:val="right"/>
              <w:rPr>
                <w:rFonts w:ascii="Arial" w:hAnsi="Arial"/>
                <w:b/>
                <w:bCs/>
                <w:noProof w:val="0"/>
                <w:sz w:val="28"/>
                <w:szCs w:val="28"/>
                <w:rtl/>
              </w:rPr>
            </w:pPr>
            <w:r w:rsidRPr="005048E5">
              <w:rPr>
                <w:rFonts w:ascii="Arial" w:hAnsi="Arial" w:hint="cs"/>
                <w:b/>
                <w:bCs/>
                <w:noProof w:val="0"/>
                <w:sz w:val="28"/>
                <w:szCs w:val="28"/>
                <w:rtl/>
              </w:rPr>
              <w:t>ה</w:t>
            </w:r>
            <w:r w:rsidRPr="005048E5">
              <w:rPr>
                <w:rFonts w:hint="cs"/>
                <w:sz w:val="28"/>
                <w:szCs w:val="28"/>
                <w:rtl/>
              </w:rPr>
              <w:t>מאשימה</w:t>
            </w:r>
          </w:p>
          <w:p w14:paraId="66CC5F63" w14:textId="77777777" w:rsidR="00B61B44" w:rsidRPr="005048E5" w:rsidRDefault="00B61B44" w:rsidP="005048E5">
            <w:pPr>
              <w:spacing w:after="200"/>
              <w:rPr>
                <w:b/>
                <w:bCs/>
                <w:noProof w:val="0"/>
                <w:sz w:val="28"/>
                <w:szCs w:val="28"/>
                <w:rtl/>
              </w:rPr>
            </w:pPr>
          </w:p>
        </w:tc>
      </w:tr>
      <w:bookmarkEnd w:id="1"/>
      <w:bookmarkEnd w:id="2"/>
      <w:tr w:rsidR="00B61B44" w:rsidRPr="005048E5" w14:paraId="5FE9E96D" w14:textId="77777777" w:rsidTr="005048E5">
        <w:trPr>
          <w:jc w:val="center"/>
        </w:trPr>
        <w:tc>
          <w:tcPr>
            <w:tcW w:w="8820" w:type="dxa"/>
            <w:gridSpan w:val="2"/>
            <w:shd w:val="clear" w:color="auto" w:fill="auto"/>
          </w:tcPr>
          <w:p w14:paraId="0E3D476D" w14:textId="77777777" w:rsidR="00B61B44" w:rsidRPr="005048E5" w:rsidRDefault="00B61B44" w:rsidP="005048E5">
            <w:pPr>
              <w:spacing w:after="200"/>
              <w:jc w:val="center"/>
              <w:rPr>
                <w:rFonts w:ascii="Arial" w:hAnsi="Arial" w:hint="cs"/>
                <w:b/>
                <w:bCs/>
                <w:noProof w:val="0"/>
                <w:sz w:val="28"/>
                <w:szCs w:val="28"/>
              </w:rPr>
            </w:pPr>
            <w:r w:rsidRPr="005048E5">
              <w:rPr>
                <w:rFonts w:ascii="Arial" w:hAnsi="Arial"/>
                <w:b/>
                <w:bCs/>
                <w:noProof w:val="0"/>
                <w:sz w:val="28"/>
                <w:szCs w:val="28"/>
                <w:rtl/>
              </w:rPr>
              <w:t>נגד</w:t>
            </w:r>
            <w:r w:rsidR="00343398">
              <w:rPr>
                <w:rFonts w:ascii="Arial" w:hAnsi="Arial" w:hint="cs"/>
                <w:b/>
                <w:bCs/>
                <w:noProof w:val="0"/>
                <w:sz w:val="28"/>
                <w:szCs w:val="28"/>
                <w:rtl/>
              </w:rPr>
              <w:t xml:space="preserve"> </w:t>
            </w:r>
            <w:r w:rsidR="00A86298">
              <w:rPr>
                <w:rFonts w:ascii="Arial" w:hAnsi="Arial" w:hint="cs"/>
                <w:b/>
                <w:bCs/>
                <w:noProof w:val="0"/>
                <w:sz w:val="28"/>
                <w:szCs w:val="28"/>
                <w:rtl/>
              </w:rPr>
              <w:t xml:space="preserve"> </w:t>
            </w:r>
          </w:p>
        </w:tc>
      </w:tr>
      <w:tr w:rsidR="00B61B44" w:rsidRPr="005048E5" w14:paraId="7255BAED" w14:textId="77777777" w:rsidTr="005048E5">
        <w:trPr>
          <w:jc w:val="center"/>
        </w:trPr>
        <w:tc>
          <w:tcPr>
            <w:tcW w:w="5603" w:type="dxa"/>
            <w:shd w:val="clear" w:color="auto" w:fill="auto"/>
          </w:tcPr>
          <w:p w14:paraId="2BACE9B8" w14:textId="77777777" w:rsidR="00B61B44" w:rsidRPr="005048E5" w:rsidRDefault="00B61B44" w:rsidP="005048E5">
            <w:pPr>
              <w:spacing w:after="200"/>
              <w:rPr>
                <w:sz w:val="28"/>
                <w:szCs w:val="28"/>
              </w:rPr>
            </w:pPr>
            <w:r w:rsidRPr="005048E5">
              <w:rPr>
                <w:rFonts w:ascii="Arial" w:hAnsi="Arial" w:hint="cs"/>
                <w:b/>
                <w:bCs/>
                <w:noProof w:val="0"/>
                <w:sz w:val="28"/>
                <w:szCs w:val="28"/>
                <w:rtl/>
              </w:rPr>
              <w:t>אביב כהן סבן</w:t>
            </w:r>
          </w:p>
          <w:p w14:paraId="238EF9A2" w14:textId="77777777" w:rsidR="00B61B44" w:rsidRPr="005048E5" w:rsidRDefault="00B61B44" w:rsidP="005048E5">
            <w:pPr>
              <w:spacing w:after="200"/>
              <w:rPr>
                <w:b/>
                <w:bCs/>
                <w:noProof w:val="0"/>
                <w:sz w:val="28"/>
                <w:szCs w:val="28"/>
                <w:rtl/>
              </w:rPr>
            </w:pPr>
            <w:r w:rsidRPr="005048E5">
              <w:rPr>
                <w:rFonts w:hint="cs"/>
                <w:b/>
                <w:bCs/>
                <w:sz w:val="28"/>
                <w:szCs w:val="28"/>
                <w:rtl/>
              </w:rPr>
              <w:t>ע"י ב"כ עו"ד</w:t>
            </w:r>
            <w:r w:rsidRPr="005048E5">
              <w:rPr>
                <w:rFonts w:hint="cs"/>
                <w:b/>
                <w:bCs/>
                <w:noProof w:val="0"/>
                <w:sz w:val="28"/>
                <w:szCs w:val="28"/>
                <w:rtl/>
              </w:rPr>
              <w:t xml:space="preserve"> חיים שטיינברגר </w:t>
            </w:r>
          </w:p>
        </w:tc>
        <w:tc>
          <w:tcPr>
            <w:tcW w:w="3217" w:type="dxa"/>
            <w:shd w:val="clear" w:color="auto" w:fill="auto"/>
          </w:tcPr>
          <w:p w14:paraId="3F0B81C3" w14:textId="77777777" w:rsidR="00B61B44" w:rsidRPr="005048E5" w:rsidRDefault="00B61B44" w:rsidP="005048E5">
            <w:pPr>
              <w:spacing w:after="200"/>
              <w:rPr>
                <w:rFonts w:ascii="Arial" w:hAnsi="Arial"/>
                <w:b/>
                <w:bCs/>
                <w:noProof w:val="0"/>
                <w:sz w:val="28"/>
                <w:szCs w:val="28"/>
                <w:rtl/>
              </w:rPr>
            </w:pPr>
          </w:p>
          <w:p w14:paraId="377DDB60" w14:textId="77777777" w:rsidR="00B61B44" w:rsidRPr="005048E5" w:rsidRDefault="00B61B44" w:rsidP="005048E5">
            <w:pPr>
              <w:spacing w:after="200"/>
              <w:rPr>
                <w:b/>
                <w:bCs/>
                <w:noProof w:val="0"/>
                <w:sz w:val="28"/>
                <w:szCs w:val="28"/>
                <w:rtl/>
              </w:rPr>
            </w:pPr>
            <w:r w:rsidRPr="005048E5">
              <w:rPr>
                <w:rFonts w:ascii="Arial" w:hAnsi="Arial" w:hint="cs"/>
                <w:b/>
                <w:bCs/>
                <w:noProof w:val="0"/>
                <w:sz w:val="28"/>
                <w:szCs w:val="28"/>
                <w:rtl/>
              </w:rPr>
              <w:t>ה</w:t>
            </w:r>
            <w:r w:rsidRPr="005048E5">
              <w:rPr>
                <w:rFonts w:hint="cs"/>
                <w:sz w:val="28"/>
                <w:szCs w:val="28"/>
                <w:rtl/>
              </w:rPr>
              <w:t>נאשם</w:t>
            </w:r>
          </w:p>
        </w:tc>
      </w:tr>
      <w:tr w:rsidR="00B61B44" w14:paraId="1C5ADBC3" w14:textId="77777777" w:rsidTr="005048E5">
        <w:trPr>
          <w:jc w:val="center"/>
        </w:trPr>
        <w:tc>
          <w:tcPr>
            <w:tcW w:w="8820" w:type="dxa"/>
            <w:gridSpan w:val="2"/>
            <w:shd w:val="clear" w:color="auto" w:fill="auto"/>
          </w:tcPr>
          <w:p w14:paraId="5DF11A1F" w14:textId="77777777" w:rsidR="007528FB" w:rsidRDefault="007528FB" w:rsidP="005048E5">
            <w:pPr>
              <w:bidi w:val="0"/>
              <w:spacing w:after="200"/>
              <w:jc w:val="center"/>
              <w:rPr>
                <w:rFonts w:ascii="Arial" w:hAnsi="Arial"/>
                <w:noProof w:val="0"/>
                <w:sz w:val="32"/>
                <w:szCs w:val="32"/>
              </w:rPr>
            </w:pPr>
            <w:bookmarkStart w:id="3" w:name="PsakDin" w:colFirst="0" w:colLast="0"/>
            <w:bookmarkStart w:id="4" w:name="LawTable"/>
            <w:bookmarkEnd w:id="0"/>
            <w:bookmarkEnd w:id="4"/>
          </w:p>
          <w:p w14:paraId="0583F334" w14:textId="77777777" w:rsidR="007528FB" w:rsidRPr="007528FB" w:rsidRDefault="007528FB" w:rsidP="007528FB">
            <w:pPr>
              <w:bidi w:val="0"/>
              <w:spacing w:after="120" w:line="240" w:lineRule="exact"/>
              <w:ind w:left="283" w:hanging="283"/>
              <w:jc w:val="both"/>
              <w:rPr>
                <w:rFonts w:ascii="FrankRuehl" w:hAnsi="FrankRuehl" w:cs="FrankRuehl"/>
                <w:noProof w:val="0"/>
              </w:rPr>
            </w:pPr>
          </w:p>
          <w:p w14:paraId="3215C07F" w14:textId="77777777" w:rsidR="007528FB" w:rsidRPr="007528FB" w:rsidRDefault="007528FB" w:rsidP="007528FB">
            <w:pPr>
              <w:bidi w:val="0"/>
              <w:spacing w:after="120" w:line="240" w:lineRule="exact"/>
              <w:ind w:left="283" w:hanging="283"/>
              <w:jc w:val="both"/>
              <w:rPr>
                <w:rFonts w:ascii="FrankRuehl" w:hAnsi="FrankRuehl" w:cs="FrankRuehl"/>
                <w:noProof w:val="0"/>
              </w:rPr>
            </w:pPr>
            <w:r w:rsidRPr="007528FB">
              <w:rPr>
                <w:rFonts w:ascii="FrankRuehl" w:hAnsi="FrankRuehl" w:cs="FrankRuehl"/>
                <w:noProof w:val="0"/>
                <w:rtl/>
              </w:rPr>
              <w:t>חקיקה שאוזכרה</w:t>
            </w:r>
            <w:r w:rsidRPr="007528FB">
              <w:rPr>
                <w:rFonts w:ascii="FrankRuehl" w:hAnsi="FrankRuehl" w:cs="FrankRuehl"/>
                <w:noProof w:val="0"/>
              </w:rPr>
              <w:t xml:space="preserve">: </w:t>
            </w:r>
          </w:p>
          <w:p w14:paraId="0786A13B" w14:textId="77777777" w:rsidR="007528FB" w:rsidRPr="007528FB" w:rsidRDefault="007528FB" w:rsidP="007528FB">
            <w:pPr>
              <w:bidi w:val="0"/>
              <w:spacing w:after="120" w:line="240" w:lineRule="exact"/>
              <w:ind w:left="283" w:hanging="283"/>
              <w:jc w:val="both"/>
              <w:rPr>
                <w:rFonts w:ascii="FrankRuehl" w:hAnsi="FrankRuehl" w:cs="FrankRuehl"/>
                <w:noProof w:val="0"/>
              </w:rPr>
            </w:pPr>
            <w:hyperlink r:id="rId7" w:history="1">
              <w:r w:rsidRPr="007528FB">
                <w:rPr>
                  <w:rFonts w:ascii="FrankRuehl" w:hAnsi="FrankRuehl" w:cs="FrankRuehl"/>
                  <w:noProof w:val="0"/>
                  <w:color w:val="0000FF"/>
                  <w:u w:val="single"/>
                  <w:rtl/>
                </w:rPr>
                <w:t>פקודת הסמים המסוכנים [נוסח חדש], תשל"ג-1973</w:t>
              </w:r>
            </w:hyperlink>
            <w:r w:rsidRPr="007528FB">
              <w:rPr>
                <w:rFonts w:ascii="FrankRuehl" w:hAnsi="FrankRuehl" w:cs="FrankRuehl"/>
                <w:noProof w:val="0"/>
              </w:rPr>
              <w:t xml:space="preserve">: </w:t>
            </w:r>
            <w:r w:rsidRPr="007528FB">
              <w:rPr>
                <w:rFonts w:ascii="FrankRuehl" w:hAnsi="FrankRuehl" w:cs="FrankRuehl"/>
                <w:noProof w:val="0"/>
                <w:rtl/>
              </w:rPr>
              <w:t>סע</w:t>
            </w:r>
            <w:r w:rsidRPr="007528FB">
              <w:rPr>
                <w:rFonts w:ascii="FrankRuehl" w:hAnsi="FrankRuehl" w:cs="FrankRuehl"/>
                <w:noProof w:val="0"/>
              </w:rPr>
              <w:t xml:space="preserve">'  </w:t>
            </w:r>
            <w:hyperlink r:id="rId8" w:history="1">
              <w:r w:rsidRPr="007528FB">
                <w:rPr>
                  <w:rFonts w:ascii="FrankRuehl" w:hAnsi="FrankRuehl" w:cs="FrankRuehl"/>
                  <w:noProof w:val="0"/>
                  <w:color w:val="0000FF"/>
                  <w:u w:val="single"/>
                </w:rPr>
                <w:t>13</w:t>
              </w:r>
            </w:hyperlink>
            <w:r w:rsidRPr="007528FB">
              <w:rPr>
                <w:rFonts w:ascii="FrankRuehl" w:hAnsi="FrankRuehl" w:cs="FrankRuehl"/>
                <w:noProof w:val="0"/>
              </w:rPr>
              <w:t xml:space="preserve">, </w:t>
            </w:r>
            <w:hyperlink r:id="rId9" w:history="1">
              <w:r w:rsidRPr="007528FB">
                <w:rPr>
                  <w:rFonts w:ascii="FrankRuehl" w:hAnsi="FrankRuehl" w:cs="FrankRuehl"/>
                  <w:noProof w:val="0"/>
                  <w:color w:val="0000FF"/>
                  <w:u w:val="single"/>
                </w:rPr>
                <w:t>19</w:t>
              </w:r>
              <w:r w:rsidRPr="007528FB">
                <w:rPr>
                  <w:rFonts w:ascii="FrankRuehl" w:hAnsi="FrankRuehl" w:cs="FrankRuehl"/>
                  <w:noProof w:val="0"/>
                  <w:color w:val="0000FF"/>
                  <w:u w:val="single"/>
                  <w:rtl/>
                </w:rPr>
                <w:t>א</w:t>
              </w:r>
            </w:hyperlink>
          </w:p>
          <w:p w14:paraId="52E406C9" w14:textId="77777777" w:rsidR="007528FB" w:rsidRPr="007528FB" w:rsidRDefault="007528FB" w:rsidP="007528FB">
            <w:pPr>
              <w:bidi w:val="0"/>
              <w:spacing w:after="120" w:line="240" w:lineRule="exact"/>
              <w:ind w:left="283" w:hanging="283"/>
              <w:jc w:val="both"/>
              <w:rPr>
                <w:rFonts w:ascii="FrankRuehl" w:hAnsi="FrankRuehl" w:cs="FrankRuehl"/>
                <w:noProof w:val="0"/>
              </w:rPr>
            </w:pPr>
            <w:hyperlink r:id="rId10" w:history="1">
              <w:r w:rsidRPr="007528FB">
                <w:rPr>
                  <w:rFonts w:ascii="FrankRuehl" w:hAnsi="FrankRuehl" w:cs="FrankRuehl"/>
                  <w:noProof w:val="0"/>
                  <w:color w:val="0000FF"/>
                  <w:u w:val="single"/>
                  <w:rtl/>
                </w:rPr>
                <w:t>חוק העונשין, תשל"ז-1977</w:t>
              </w:r>
            </w:hyperlink>
            <w:r w:rsidRPr="007528FB">
              <w:rPr>
                <w:rFonts w:ascii="FrankRuehl" w:hAnsi="FrankRuehl" w:cs="FrankRuehl"/>
                <w:noProof w:val="0"/>
              </w:rPr>
              <w:t xml:space="preserve">: </w:t>
            </w:r>
            <w:r w:rsidRPr="007528FB">
              <w:rPr>
                <w:rFonts w:ascii="FrankRuehl" w:hAnsi="FrankRuehl" w:cs="FrankRuehl"/>
                <w:noProof w:val="0"/>
                <w:rtl/>
              </w:rPr>
              <w:t>סע</w:t>
            </w:r>
            <w:r w:rsidRPr="007528FB">
              <w:rPr>
                <w:rFonts w:ascii="FrankRuehl" w:hAnsi="FrankRuehl" w:cs="FrankRuehl"/>
                <w:noProof w:val="0"/>
              </w:rPr>
              <w:t xml:space="preserve">'  </w:t>
            </w:r>
            <w:hyperlink r:id="rId11" w:history="1">
              <w:r w:rsidRPr="007528FB">
                <w:rPr>
                  <w:rFonts w:ascii="FrankRuehl" w:hAnsi="FrankRuehl" w:cs="FrankRuehl"/>
                  <w:noProof w:val="0"/>
                  <w:color w:val="0000FF"/>
                  <w:u w:val="single"/>
                </w:rPr>
                <w:t>31</w:t>
              </w:r>
            </w:hyperlink>
            <w:r w:rsidRPr="007528FB">
              <w:rPr>
                <w:rFonts w:ascii="FrankRuehl" w:hAnsi="FrankRuehl" w:cs="FrankRuehl"/>
                <w:noProof w:val="0"/>
              </w:rPr>
              <w:t xml:space="preserve">, </w:t>
            </w:r>
            <w:hyperlink r:id="rId12" w:history="1">
              <w:r w:rsidRPr="007528FB">
                <w:rPr>
                  <w:rFonts w:ascii="FrankRuehl" w:hAnsi="FrankRuehl" w:cs="FrankRuehl"/>
                  <w:noProof w:val="0"/>
                  <w:color w:val="0000FF"/>
                  <w:u w:val="single"/>
                </w:rPr>
                <w:t>32</w:t>
              </w:r>
            </w:hyperlink>
            <w:r w:rsidRPr="007528FB">
              <w:rPr>
                <w:rFonts w:ascii="FrankRuehl" w:hAnsi="FrankRuehl" w:cs="FrankRuehl"/>
                <w:noProof w:val="0"/>
              </w:rPr>
              <w:t xml:space="preserve">, </w:t>
            </w:r>
            <w:hyperlink r:id="rId13" w:history="1">
              <w:r w:rsidRPr="007528FB">
                <w:rPr>
                  <w:rFonts w:ascii="FrankRuehl" w:hAnsi="FrankRuehl" w:cs="FrankRuehl"/>
                  <w:noProof w:val="0"/>
                  <w:color w:val="0000FF"/>
                  <w:u w:val="single"/>
                </w:rPr>
                <w:t>40</w:t>
              </w:r>
              <w:r w:rsidRPr="007528FB">
                <w:rPr>
                  <w:rFonts w:ascii="FrankRuehl" w:hAnsi="FrankRuehl" w:cs="FrankRuehl"/>
                  <w:noProof w:val="0"/>
                  <w:color w:val="0000FF"/>
                  <w:u w:val="single"/>
                  <w:rtl/>
                </w:rPr>
                <w:t>ג(א)</w:t>
              </w:r>
            </w:hyperlink>
            <w:r w:rsidRPr="007528FB">
              <w:rPr>
                <w:rFonts w:ascii="FrankRuehl" w:hAnsi="FrankRuehl" w:cs="FrankRuehl"/>
                <w:noProof w:val="0"/>
              </w:rPr>
              <w:t xml:space="preserve">, </w:t>
            </w:r>
            <w:hyperlink r:id="rId14" w:history="1">
              <w:r w:rsidRPr="007528FB">
                <w:rPr>
                  <w:rFonts w:ascii="FrankRuehl" w:hAnsi="FrankRuehl" w:cs="FrankRuehl"/>
                  <w:noProof w:val="0"/>
                  <w:color w:val="0000FF"/>
                  <w:u w:val="single"/>
                </w:rPr>
                <w:t>40</w:t>
              </w:r>
              <w:r w:rsidRPr="007528FB">
                <w:rPr>
                  <w:rFonts w:ascii="FrankRuehl" w:hAnsi="FrankRuehl" w:cs="FrankRuehl"/>
                  <w:noProof w:val="0"/>
                  <w:color w:val="0000FF"/>
                  <w:u w:val="single"/>
                  <w:rtl/>
                </w:rPr>
                <w:t>יא</w:t>
              </w:r>
            </w:hyperlink>
            <w:r w:rsidRPr="007528FB">
              <w:rPr>
                <w:rFonts w:ascii="FrankRuehl" w:hAnsi="FrankRuehl" w:cs="FrankRuehl"/>
                <w:noProof w:val="0"/>
              </w:rPr>
              <w:t xml:space="preserve">, </w:t>
            </w:r>
            <w:hyperlink r:id="rId15" w:history="1">
              <w:r w:rsidRPr="007528FB">
                <w:rPr>
                  <w:rFonts w:ascii="FrankRuehl" w:hAnsi="FrankRuehl" w:cs="FrankRuehl"/>
                  <w:noProof w:val="0"/>
                  <w:color w:val="0000FF"/>
                  <w:u w:val="single"/>
                  <w:rtl/>
                </w:rPr>
                <w:t>ב א'1 לפרק ו</w:t>
              </w:r>
              <w:r w:rsidRPr="007528FB">
                <w:rPr>
                  <w:rFonts w:ascii="FrankRuehl" w:hAnsi="FrankRuehl" w:cs="FrankRuehl"/>
                  <w:noProof w:val="0"/>
                  <w:color w:val="0000FF"/>
                  <w:u w:val="single"/>
                </w:rPr>
                <w:t>'</w:t>
              </w:r>
            </w:hyperlink>
          </w:p>
          <w:p w14:paraId="10E52942" w14:textId="77777777" w:rsidR="007528FB" w:rsidRPr="007528FB" w:rsidRDefault="007528FB" w:rsidP="007528FB">
            <w:pPr>
              <w:bidi w:val="0"/>
              <w:spacing w:after="120" w:line="240" w:lineRule="exact"/>
              <w:ind w:left="283" w:hanging="283"/>
              <w:jc w:val="both"/>
              <w:rPr>
                <w:rFonts w:ascii="FrankRuehl" w:hAnsi="FrankRuehl" w:cs="FrankRuehl"/>
                <w:noProof w:val="0"/>
              </w:rPr>
            </w:pPr>
          </w:p>
          <w:p w14:paraId="426C9375" w14:textId="77777777" w:rsidR="007528FB" w:rsidRPr="007528FB" w:rsidRDefault="007528FB" w:rsidP="005048E5">
            <w:pPr>
              <w:bidi w:val="0"/>
              <w:spacing w:after="200"/>
              <w:jc w:val="center"/>
              <w:rPr>
                <w:rFonts w:ascii="Arial" w:hAnsi="Arial"/>
                <w:noProof w:val="0"/>
                <w:sz w:val="32"/>
                <w:szCs w:val="32"/>
              </w:rPr>
            </w:pPr>
            <w:bookmarkStart w:id="5" w:name="LawTable_End"/>
            <w:bookmarkEnd w:id="5"/>
          </w:p>
          <w:p w14:paraId="5A61B81C" w14:textId="77777777" w:rsidR="00627056" w:rsidRPr="00627056" w:rsidRDefault="00627056" w:rsidP="005048E5">
            <w:pPr>
              <w:bidi w:val="0"/>
              <w:spacing w:after="200"/>
              <w:jc w:val="center"/>
              <w:rPr>
                <w:rFonts w:ascii="Arial" w:hAnsi="Arial"/>
                <w:noProof w:val="0"/>
                <w:sz w:val="32"/>
                <w:szCs w:val="32"/>
                <w:rtl/>
              </w:rPr>
            </w:pPr>
          </w:p>
          <w:p w14:paraId="71E0E462" w14:textId="77777777" w:rsidR="005048E5" w:rsidRPr="005048E5" w:rsidRDefault="005048E5" w:rsidP="005048E5">
            <w:pPr>
              <w:bidi w:val="0"/>
              <w:spacing w:after="200"/>
              <w:jc w:val="center"/>
              <w:rPr>
                <w:rFonts w:ascii="Arial" w:hAnsi="Arial"/>
                <w:b/>
                <w:bCs/>
                <w:noProof w:val="0"/>
                <w:sz w:val="32"/>
                <w:szCs w:val="32"/>
                <w:u w:val="single"/>
                <w:rtl/>
              </w:rPr>
            </w:pPr>
            <w:r w:rsidRPr="005048E5">
              <w:rPr>
                <w:rFonts w:ascii="Arial" w:hAnsi="Arial"/>
                <w:b/>
                <w:bCs/>
                <w:noProof w:val="0"/>
                <w:sz w:val="32"/>
                <w:szCs w:val="32"/>
                <w:u w:val="single"/>
                <w:rtl/>
              </w:rPr>
              <w:t>גזר דין</w:t>
            </w:r>
          </w:p>
          <w:p w14:paraId="5BA6781D" w14:textId="77777777" w:rsidR="00B61B44" w:rsidRPr="005048E5" w:rsidRDefault="00B61B44" w:rsidP="005048E5">
            <w:pPr>
              <w:bidi w:val="0"/>
              <w:spacing w:after="200"/>
              <w:jc w:val="center"/>
              <w:rPr>
                <w:rFonts w:ascii="Arial" w:hAnsi="Arial"/>
                <w:b/>
                <w:bCs/>
                <w:noProof w:val="0"/>
                <w:sz w:val="32"/>
                <w:szCs w:val="32"/>
                <w:u w:val="single"/>
              </w:rPr>
            </w:pPr>
          </w:p>
        </w:tc>
      </w:tr>
      <w:bookmarkEnd w:id="3"/>
    </w:tbl>
    <w:p w14:paraId="64AD788B" w14:textId="77777777" w:rsidR="00B61B44" w:rsidRDefault="00B61B44" w:rsidP="00B61B44">
      <w:pPr>
        <w:spacing w:after="200" w:line="360" w:lineRule="auto"/>
        <w:jc w:val="both"/>
        <w:rPr>
          <w:rFonts w:ascii="Arial" w:hAnsi="Arial"/>
          <w:noProof w:val="0"/>
          <w:rtl/>
        </w:rPr>
      </w:pPr>
    </w:p>
    <w:p w14:paraId="6DF648E1" w14:textId="77777777" w:rsidR="00B61B44" w:rsidRDefault="00B61B44" w:rsidP="00B61B44">
      <w:pPr>
        <w:spacing w:line="360" w:lineRule="auto"/>
        <w:rPr>
          <w:b/>
          <w:bCs/>
          <w:sz w:val="26"/>
          <w:szCs w:val="26"/>
          <w:u w:val="single"/>
          <w:rtl/>
        </w:rPr>
      </w:pPr>
      <w:r w:rsidRPr="002C383D">
        <w:rPr>
          <w:rFonts w:hint="cs"/>
          <w:b/>
          <w:bCs/>
          <w:sz w:val="26"/>
          <w:szCs w:val="26"/>
          <w:u w:val="single"/>
          <w:rtl/>
        </w:rPr>
        <w:t>באי כוח הצדדים:</w:t>
      </w:r>
    </w:p>
    <w:p w14:paraId="1C56DE85" w14:textId="77777777" w:rsidR="00B61B44" w:rsidRPr="002C383D" w:rsidRDefault="00B61B44" w:rsidP="00B61B44">
      <w:pPr>
        <w:spacing w:line="360" w:lineRule="auto"/>
        <w:rPr>
          <w:sz w:val="26"/>
          <w:szCs w:val="26"/>
          <w:rtl/>
        </w:rPr>
      </w:pPr>
      <w:r w:rsidRPr="002C383D">
        <w:rPr>
          <w:rFonts w:hint="cs"/>
          <w:sz w:val="26"/>
          <w:szCs w:val="26"/>
          <w:rtl/>
        </w:rPr>
        <w:t>הגיעה חוות דעת מטעם הממונה</w:t>
      </w:r>
      <w:r>
        <w:rPr>
          <w:rFonts w:hint="cs"/>
          <w:sz w:val="26"/>
          <w:szCs w:val="26"/>
          <w:rtl/>
        </w:rPr>
        <w:t xml:space="preserve"> על עבודות השירות, </w:t>
      </w:r>
      <w:r w:rsidRPr="002C383D">
        <w:rPr>
          <w:rFonts w:hint="cs"/>
          <w:sz w:val="26"/>
          <w:szCs w:val="26"/>
          <w:rtl/>
        </w:rPr>
        <w:t xml:space="preserve">ממנה עולה, כי הנאשם כשיר לביצוע עבודות שירות. </w:t>
      </w:r>
    </w:p>
    <w:p w14:paraId="4BA354AE" w14:textId="77777777" w:rsidR="00B61B44" w:rsidRPr="002C383D" w:rsidRDefault="00B61B44" w:rsidP="00B61B44">
      <w:pPr>
        <w:spacing w:after="200"/>
        <w:jc w:val="both"/>
        <w:rPr>
          <w:b/>
          <w:bCs/>
          <w:sz w:val="28"/>
          <w:szCs w:val="28"/>
          <w:u w:val="single"/>
          <w:rtl/>
        </w:rPr>
      </w:pPr>
    </w:p>
    <w:p w14:paraId="53F4722C" w14:textId="77777777" w:rsidR="00B61B44" w:rsidRPr="002C383D" w:rsidRDefault="00B61B44" w:rsidP="00B61B44">
      <w:pPr>
        <w:spacing w:after="200"/>
        <w:jc w:val="both"/>
        <w:rPr>
          <w:b/>
          <w:bCs/>
          <w:sz w:val="28"/>
          <w:szCs w:val="28"/>
          <w:u w:val="single"/>
          <w:rtl/>
        </w:rPr>
      </w:pPr>
      <w:r w:rsidRPr="002C383D">
        <w:rPr>
          <w:rFonts w:hint="cs"/>
          <w:b/>
          <w:bCs/>
          <w:sz w:val="28"/>
          <w:szCs w:val="28"/>
          <w:u w:val="single"/>
          <w:rtl/>
        </w:rPr>
        <w:t>רקע עובדתי</w:t>
      </w:r>
    </w:p>
    <w:p w14:paraId="63CCEF74" w14:textId="77777777" w:rsidR="00B61B44" w:rsidRPr="002C383D" w:rsidRDefault="00B61B44" w:rsidP="00B61B44">
      <w:pPr>
        <w:pStyle w:val="ListParagraph"/>
        <w:numPr>
          <w:ilvl w:val="0"/>
          <w:numId w:val="2"/>
        </w:numPr>
        <w:spacing w:after="200"/>
        <w:ind w:left="-58"/>
        <w:contextualSpacing w:val="0"/>
        <w:rPr>
          <w:sz w:val="26"/>
          <w:szCs w:val="26"/>
          <w:rtl/>
        </w:rPr>
      </w:pPr>
      <w:bookmarkStart w:id="6" w:name="ABSTRACT_START"/>
      <w:bookmarkEnd w:id="6"/>
      <w:r w:rsidRPr="002C383D">
        <w:rPr>
          <w:rFonts w:hint="cs"/>
          <w:sz w:val="26"/>
          <w:szCs w:val="26"/>
          <w:rtl/>
        </w:rPr>
        <w:lastRenderedPageBreak/>
        <w:t xml:space="preserve">הנאשם הורשע על יסוד הודאתו בעבירה של סיוע לסחר בסמים מסוכנים, לפי </w:t>
      </w:r>
      <w:hyperlink r:id="rId16" w:history="1">
        <w:r w:rsidR="00627056" w:rsidRPr="00627056">
          <w:rPr>
            <w:rFonts w:hint="cs"/>
            <w:color w:val="0000FF"/>
            <w:sz w:val="26"/>
            <w:szCs w:val="26"/>
            <w:u w:val="single"/>
            <w:rtl/>
          </w:rPr>
          <w:t>סעיפים</w:t>
        </w:r>
        <w:r w:rsidR="00627056" w:rsidRPr="00627056">
          <w:rPr>
            <w:color w:val="0000FF"/>
            <w:sz w:val="26"/>
            <w:szCs w:val="26"/>
            <w:u w:val="single"/>
            <w:rtl/>
          </w:rPr>
          <w:t xml:space="preserve"> 13</w:t>
        </w:r>
      </w:hyperlink>
      <w:r w:rsidRPr="002C383D">
        <w:rPr>
          <w:rFonts w:hint="cs"/>
          <w:sz w:val="26"/>
          <w:szCs w:val="26"/>
          <w:rtl/>
        </w:rPr>
        <w:t xml:space="preserve"> ו- </w:t>
      </w:r>
      <w:hyperlink r:id="rId17" w:history="1">
        <w:r w:rsidR="00627056" w:rsidRPr="00627056">
          <w:rPr>
            <w:color w:val="0000FF"/>
            <w:sz w:val="26"/>
            <w:szCs w:val="26"/>
            <w:u w:val="single"/>
            <w:rtl/>
          </w:rPr>
          <w:t>19</w:t>
        </w:r>
        <w:r w:rsidR="00627056" w:rsidRPr="00627056">
          <w:rPr>
            <w:rFonts w:hint="cs"/>
            <w:color w:val="0000FF"/>
            <w:sz w:val="26"/>
            <w:szCs w:val="26"/>
            <w:u w:val="single"/>
            <w:rtl/>
          </w:rPr>
          <w:t>א</w:t>
        </w:r>
      </w:hyperlink>
      <w:r w:rsidRPr="002C383D">
        <w:rPr>
          <w:rFonts w:hint="cs"/>
          <w:sz w:val="26"/>
          <w:szCs w:val="26"/>
          <w:rtl/>
        </w:rPr>
        <w:t xml:space="preserve"> ל</w:t>
      </w:r>
      <w:hyperlink r:id="rId18" w:history="1">
        <w:r w:rsidR="005048E5" w:rsidRPr="005048E5">
          <w:rPr>
            <w:rFonts w:hint="cs"/>
            <w:color w:val="0000FF"/>
            <w:sz w:val="26"/>
            <w:szCs w:val="26"/>
            <w:u w:val="single"/>
            <w:rtl/>
          </w:rPr>
          <w:t>פקודת</w:t>
        </w:r>
        <w:r w:rsidR="005048E5" w:rsidRPr="005048E5">
          <w:rPr>
            <w:color w:val="0000FF"/>
            <w:sz w:val="26"/>
            <w:szCs w:val="26"/>
            <w:u w:val="single"/>
            <w:rtl/>
          </w:rPr>
          <w:t xml:space="preserve"> </w:t>
        </w:r>
        <w:r w:rsidR="005048E5" w:rsidRPr="005048E5">
          <w:rPr>
            <w:rFonts w:hint="cs"/>
            <w:color w:val="0000FF"/>
            <w:sz w:val="26"/>
            <w:szCs w:val="26"/>
            <w:u w:val="single"/>
            <w:rtl/>
          </w:rPr>
          <w:t>הסמים</w:t>
        </w:r>
        <w:r w:rsidR="005048E5" w:rsidRPr="005048E5">
          <w:rPr>
            <w:color w:val="0000FF"/>
            <w:sz w:val="26"/>
            <w:szCs w:val="26"/>
            <w:u w:val="single"/>
            <w:rtl/>
          </w:rPr>
          <w:t xml:space="preserve"> </w:t>
        </w:r>
        <w:r w:rsidR="005048E5" w:rsidRPr="005048E5">
          <w:rPr>
            <w:rFonts w:hint="cs"/>
            <w:color w:val="0000FF"/>
            <w:sz w:val="26"/>
            <w:szCs w:val="26"/>
            <w:u w:val="single"/>
            <w:rtl/>
          </w:rPr>
          <w:t>המסוכנים</w:t>
        </w:r>
      </w:hyperlink>
      <w:r w:rsidRPr="002C383D">
        <w:rPr>
          <w:rFonts w:hint="cs"/>
          <w:sz w:val="26"/>
          <w:szCs w:val="26"/>
          <w:rtl/>
        </w:rPr>
        <w:t xml:space="preserve"> [נוסח חדש], התשל"ג-1973 (להלן: </w:t>
      </w:r>
      <w:r w:rsidRPr="002C383D">
        <w:rPr>
          <w:rFonts w:hint="cs"/>
          <w:b/>
          <w:bCs/>
          <w:sz w:val="26"/>
          <w:szCs w:val="26"/>
          <w:rtl/>
        </w:rPr>
        <w:t>"הפקודה"</w:t>
      </w:r>
      <w:r w:rsidRPr="002C383D">
        <w:rPr>
          <w:rFonts w:hint="cs"/>
          <w:sz w:val="26"/>
          <w:szCs w:val="26"/>
          <w:rtl/>
        </w:rPr>
        <w:t>) ו</w:t>
      </w:r>
      <w:hyperlink r:id="rId19" w:history="1">
        <w:r w:rsidR="00627056" w:rsidRPr="00627056">
          <w:rPr>
            <w:rFonts w:hint="cs"/>
            <w:color w:val="0000FF"/>
            <w:sz w:val="26"/>
            <w:szCs w:val="26"/>
            <w:u w:val="single"/>
            <w:rtl/>
          </w:rPr>
          <w:t>סעיף</w:t>
        </w:r>
        <w:r w:rsidR="00627056" w:rsidRPr="00627056">
          <w:rPr>
            <w:color w:val="0000FF"/>
            <w:sz w:val="26"/>
            <w:szCs w:val="26"/>
            <w:u w:val="single"/>
            <w:rtl/>
          </w:rPr>
          <w:t xml:space="preserve"> 31</w:t>
        </w:r>
      </w:hyperlink>
      <w:r w:rsidRPr="002C383D">
        <w:rPr>
          <w:rFonts w:hint="cs"/>
          <w:sz w:val="26"/>
          <w:szCs w:val="26"/>
          <w:rtl/>
        </w:rPr>
        <w:t xml:space="preserve"> ל</w:t>
      </w:r>
      <w:hyperlink r:id="rId20" w:history="1">
        <w:r w:rsidR="005048E5" w:rsidRPr="005048E5">
          <w:rPr>
            <w:rFonts w:hint="cs"/>
            <w:color w:val="0000FF"/>
            <w:sz w:val="26"/>
            <w:szCs w:val="26"/>
            <w:u w:val="single"/>
            <w:rtl/>
          </w:rPr>
          <w:t>חוק</w:t>
        </w:r>
        <w:r w:rsidR="005048E5" w:rsidRPr="005048E5">
          <w:rPr>
            <w:color w:val="0000FF"/>
            <w:sz w:val="26"/>
            <w:szCs w:val="26"/>
            <w:u w:val="single"/>
            <w:rtl/>
          </w:rPr>
          <w:t xml:space="preserve"> </w:t>
        </w:r>
        <w:r w:rsidR="005048E5" w:rsidRPr="005048E5">
          <w:rPr>
            <w:rFonts w:hint="cs"/>
            <w:color w:val="0000FF"/>
            <w:sz w:val="26"/>
            <w:szCs w:val="26"/>
            <w:u w:val="single"/>
            <w:rtl/>
          </w:rPr>
          <w:t>העונשין</w:t>
        </w:r>
      </w:hyperlink>
      <w:r w:rsidRPr="002C383D">
        <w:rPr>
          <w:rFonts w:hint="cs"/>
          <w:sz w:val="26"/>
          <w:szCs w:val="26"/>
          <w:rtl/>
        </w:rPr>
        <w:t xml:space="preserve">, התשל"ז-1977 (להלן: </w:t>
      </w:r>
      <w:r w:rsidRPr="002C383D">
        <w:rPr>
          <w:rFonts w:hint="cs"/>
          <w:b/>
          <w:bCs/>
          <w:sz w:val="26"/>
          <w:szCs w:val="26"/>
          <w:rtl/>
        </w:rPr>
        <w:t>"החוק"</w:t>
      </w:r>
      <w:r w:rsidRPr="002C383D">
        <w:rPr>
          <w:rFonts w:hint="cs"/>
          <w:sz w:val="26"/>
          <w:szCs w:val="26"/>
          <w:rtl/>
        </w:rPr>
        <w:t xml:space="preserve">). </w:t>
      </w:r>
    </w:p>
    <w:p w14:paraId="480B1D71" w14:textId="77777777" w:rsidR="00B61B44" w:rsidRPr="002C383D" w:rsidRDefault="00B61B44" w:rsidP="00B61B44">
      <w:pPr>
        <w:pStyle w:val="ListParagraph"/>
        <w:spacing w:after="200"/>
        <w:ind w:left="-58" w:firstLine="0"/>
        <w:contextualSpacing w:val="0"/>
        <w:rPr>
          <w:sz w:val="26"/>
          <w:szCs w:val="26"/>
        </w:rPr>
      </w:pPr>
      <w:bookmarkStart w:id="7" w:name="ABSTRACT_END"/>
      <w:bookmarkEnd w:id="7"/>
      <w:r w:rsidRPr="002C383D">
        <w:rPr>
          <w:rFonts w:hint="cs"/>
          <w:sz w:val="26"/>
          <w:szCs w:val="26"/>
          <w:rtl/>
        </w:rPr>
        <w:t xml:space="preserve">כפי הנטען בכתב האישום, ביום 04.05.2016 התקשר שוטר לטלפון של הקטין (י.ג), שאל "אם אפשר להתארגן ב- 100", והשניים קבעו להיפגש ברחוב הגליל בקריית מלאכי. בסמוך לכך, הגיע שוטר אחר למקום המפגש והמתין ברכבו. או אז, הקטין מסר לנאשם סם מסוכן מסוג קנבוס במשקל 1.0414 וביקש ממנו להעבירו לשוטר שהמתין במקום. הנאשם נטל את הסם, פנה לשוטר ומסר לו אותו, ובתמורה קיבל שטר של 100 ₪. </w:t>
      </w:r>
    </w:p>
    <w:p w14:paraId="6D754BE5" w14:textId="77777777" w:rsidR="00B61B44" w:rsidRPr="002C383D" w:rsidRDefault="00B61B44" w:rsidP="00B61B44">
      <w:pPr>
        <w:pStyle w:val="ListParagraph"/>
        <w:numPr>
          <w:ilvl w:val="0"/>
          <w:numId w:val="2"/>
        </w:numPr>
        <w:spacing w:after="200"/>
        <w:ind w:left="-58"/>
        <w:contextualSpacing w:val="0"/>
        <w:rPr>
          <w:sz w:val="26"/>
          <w:szCs w:val="26"/>
          <w:rtl/>
        </w:rPr>
      </w:pPr>
      <w:r w:rsidRPr="002C383D">
        <w:rPr>
          <w:rFonts w:hint="cs"/>
          <w:sz w:val="26"/>
          <w:szCs w:val="26"/>
          <w:rtl/>
        </w:rPr>
        <w:t xml:space="preserve">הצדדים לא הגיעו להסכמות עונשיות, אך בשים לב לגילו, הנאשם הופנה לשירות המבחן וההגנה ביקשה כי תיבחן שאלת הרשעתו (תוך שהובהר כי המאשימה עומדת על הרשעה).  </w:t>
      </w:r>
    </w:p>
    <w:p w14:paraId="47ED73D9" w14:textId="77777777" w:rsidR="00B61B44" w:rsidRPr="002C383D" w:rsidRDefault="00B61B44" w:rsidP="00B61B44">
      <w:pPr>
        <w:pStyle w:val="ListParagraph"/>
        <w:numPr>
          <w:ilvl w:val="0"/>
          <w:numId w:val="2"/>
        </w:numPr>
        <w:spacing w:after="200"/>
        <w:ind w:left="-58"/>
        <w:contextualSpacing w:val="0"/>
        <w:rPr>
          <w:sz w:val="26"/>
          <w:szCs w:val="26"/>
        </w:rPr>
      </w:pPr>
      <w:r w:rsidRPr="002C383D">
        <w:rPr>
          <w:rFonts w:hint="cs"/>
          <w:b/>
          <w:bCs/>
          <w:sz w:val="26"/>
          <w:szCs w:val="26"/>
          <w:rtl/>
        </w:rPr>
        <w:t>תסקיר שירות המבחן</w:t>
      </w:r>
      <w:r w:rsidRPr="002C383D">
        <w:rPr>
          <w:rFonts w:hint="cs"/>
          <w:sz w:val="26"/>
          <w:szCs w:val="26"/>
          <w:rtl/>
        </w:rPr>
        <w:t xml:space="preserve"> שהתקבל בעניינו של הנאשם נושא אופי חיובי, ובסופו השירות משתף בהתלבטותו בכל הנוגע להמלצה הסופית, ומציין כי אם בית המשפט ימצא לנכון לאמץ את האפיק השיקומי, הוא ימליץ על ביטול ההרשעה, לצד השתת ענישה בדמות צו של"צ וצו מבחן.</w:t>
      </w:r>
    </w:p>
    <w:p w14:paraId="7B8215C8" w14:textId="77777777" w:rsidR="00B61B44" w:rsidRPr="002C383D" w:rsidRDefault="00B61B44" w:rsidP="00B61B44">
      <w:pPr>
        <w:pStyle w:val="ListParagraph"/>
        <w:spacing w:after="200"/>
        <w:ind w:left="-58" w:firstLine="0"/>
        <w:contextualSpacing w:val="0"/>
        <w:rPr>
          <w:sz w:val="26"/>
          <w:szCs w:val="26"/>
        </w:rPr>
      </w:pPr>
      <w:r w:rsidRPr="002C383D">
        <w:rPr>
          <w:rFonts w:hint="cs"/>
          <w:sz w:val="26"/>
          <w:szCs w:val="26"/>
          <w:rtl/>
        </w:rPr>
        <w:t>מטעמים של צנעת הפרט לא אעלה עלי גזר דין זה את כל המפורט בתסקיר, לבד מלציין כי הנאשם מסר שבחודשים שקדמו לביצוע העבירה השתמש בסמים מסוג "גראס" באופן ספורדי ובנסיבות חברתיות, ושלל בעיית התמכרות או צורך בטיפול. הגם שכך, הנאשם שולב במסגרת הליך המעצר בקבוצה טיפולית, והוא מגיע בעקביות למפגשים ומשתף פעולה בהתאם לנדרש. כמו כן, הנאשם מסר בדיקות שתן שנמצאו נקיות משרידי סם. שירות המבחן התרשם כי מאז מעצרו, חל אצל הנאשם שינוי חיובי בהתנהלותו, וכי הלה מבטא מוטיבציה לניהול אורח חיים נורמטיבי.</w:t>
      </w:r>
    </w:p>
    <w:p w14:paraId="488AA493" w14:textId="77777777" w:rsidR="00B61B44" w:rsidRPr="002C383D" w:rsidRDefault="00B61B44" w:rsidP="00B61B44">
      <w:pPr>
        <w:pStyle w:val="ListParagraph"/>
        <w:spacing w:after="200"/>
        <w:ind w:left="-58" w:firstLine="0"/>
        <w:contextualSpacing w:val="0"/>
        <w:rPr>
          <w:sz w:val="26"/>
          <w:szCs w:val="26"/>
          <w:rtl/>
        </w:rPr>
      </w:pPr>
      <w:r w:rsidRPr="002C383D">
        <w:rPr>
          <w:rFonts w:hint="cs"/>
          <w:sz w:val="26"/>
          <w:szCs w:val="26"/>
          <w:rtl/>
        </w:rPr>
        <w:t>אשר לעבירה שבמוקד כתב האישום, הנאשם טען כי בתחילה סירב לבצעה, אך התקשה לעמוד בלחץ שהפעיל עליו האחר, והוא חש במחויבות לסייע לו עד שהסכים להעביר את הסם, מבלי שהדבר היה כרוך בתגמול כספי. הנאשם מסר כי הוא מבין את חומרת מעשיו וכי הפיק לקח מהתנהגותו. שירות המבחן אף התרשם כי קיימת הפחתה ברמת הסיכון הנשקף מהנאשם וכי ישנו סיכוי טוב לשיקום.</w:t>
      </w:r>
    </w:p>
    <w:p w14:paraId="09D86C41" w14:textId="77777777" w:rsidR="00B61B44" w:rsidRPr="002C383D" w:rsidRDefault="00B61B44" w:rsidP="00B61B44">
      <w:pPr>
        <w:pStyle w:val="ListParagraph"/>
        <w:numPr>
          <w:ilvl w:val="0"/>
          <w:numId w:val="2"/>
        </w:numPr>
        <w:spacing w:after="200"/>
        <w:ind w:left="-58"/>
        <w:contextualSpacing w:val="0"/>
        <w:rPr>
          <w:sz w:val="26"/>
          <w:szCs w:val="26"/>
          <w:rtl/>
        </w:rPr>
      </w:pPr>
      <w:r w:rsidRPr="002C383D">
        <w:rPr>
          <w:rFonts w:hint="cs"/>
          <w:b/>
          <w:bCs/>
          <w:sz w:val="26"/>
          <w:szCs w:val="26"/>
          <w:rtl/>
        </w:rPr>
        <w:t>מחוות דעת הממונה על עבודות השירות</w:t>
      </w:r>
      <w:r w:rsidRPr="002C383D">
        <w:rPr>
          <w:rFonts w:hint="cs"/>
          <w:sz w:val="26"/>
          <w:szCs w:val="26"/>
          <w:rtl/>
        </w:rPr>
        <w:t xml:space="preserve">, עולה כי הנאשם מתאים לביצוע עבודות שירות. </w:t>
      </w:r>
    </w:p>
    <w:p w14:paraId="4EBDACB7" w14:textId="77777777" w:rsidR="00B61B44" w:rsidRPr="002C383D" w:rsidRDefault="00B61B44" w:rsidP="00B61B44">
      <w:pPr>
        <w:pStyle w:val="1"/>
        <w:numPr>
          <w:ilvl w:val="0"/>
          <w:numId w:val="1"/>
        </w:numPr>
        <w:spacing w:after="200" w:line="288" w:lineRule="auto"/>
        <w:jc w:val="both"/>
        <w:rPr>
          <w:sz w:val="34"/>
          <w:szCs w:val="34"/>
        </w:rPr>
      </w:pPr>
      <w:r w:rsidRPr="002C383D">
        <w:rPr>
          <w:rFonts w:hint="cs"/>
          <w:sz w:val="34"/>
          <w:szCs w:val="34"/>
          <w:rtl/>
        </w:rPr>
        <w:t>עיקר טיעוני הצדדים</w:t>
      </w:r>
    </w:p>
    <w:p w14:paraId="5D97BDAC" w14:textId="77777777" w:rsidR="00B61B44" w:rsidRPr="002C383D" w:rsidRDefault="00B61B44" w:rsidP="00B61B44">
      <w:pPr>
        <w:pStyle w:val="ListParagraph"/>
        <w:numPr>
          <w:ilvl w:val="0"/>
          <w:numId w:val="2"/>
        </w:numPr>
        <w:spacing w:after="200"/>
        <w:ind w:left="-58"/>
        <w:contextualSpacing w:val="0"/>
        <w:rPr>
          <w:sz w:val="26"/>
          <w:szCs w:val="26"/>
        </w:rPr>
      </w:pPr>
      <w:r w:rsidRPr="002C383D">
        <w:rPr>
          <w:rFonts w:hint="cs"/>
          <w:sz w:val="26"/>
          <w:szCs w:val="26"/>
          <w:rtl/>
        </w:rPr>
        <w:t xml:space="preserve">באת כוח המאשימה עמדה על חומרת מעשיו של הנאשם, על הערכים המוגנים שנפגעו, ועל הצורך להחמיר עם עברייני הסמים. נטען כי מתחם העונש ההולם במקרה הנדון צריך לנוע </w:t>
      </w:r>
      <w:r w:rsidRPr="002C383D">
        <w:rPr>
          <w:rFonts w:hint="cs"/>
          <w:sz w:val="26"/>
          <w:szCs w:val="26"/>
          <w:rtl/>
        </w:rPr>
        <w:lastRenderedPageBreak/>
        <w:t xml:space="preserve">בין 3 ל- 6 חודשי מאסר. אשר לשאלת ההרשעה, באת כוח המאשימה טענה כי לאור חומרת העבירה ולנוכח כך שהנאשם לא הוכיח פגיעה קונקרטית, הרי שאין מקום להורות על ביטול הרשעתו. לצד האמור, באת כוח המאשימה הסכימה כי יש מקום להקל בעונשו של הנאשם, ולפיכך עתרה להשית עליו עונשים פסילה מותנית) וקנס. </w:t>
      </w:r>
    </w:p>
    <w:p w14:paraId="21545D7B" w14:textId="77777777" w:rsidR="00B61B44" w:rsidRPr="002C383D" w:rsidRDefault="00B61B44" w:rsidP="00B61B44">
      <w:pPr>
        <w:pStyle w:val="ListParagraph"/>
        <w:numPr>
          <w:ilvl w:val="0"/>
          <w:numId w:val="2"/>
        </w:numPr>
        <w:spacing w:after="200"/>
        <w:ind w:left="-58"/>
        <w:contextualSpacing w:val="0"/>
        <w:rPr>
          <w:sz w:val="26"/>
          <w:szCs w:val="26"/>
        </w:rPr>
      </w:pPr>
      <w:r w:rsidRPr="002C383D">
        <w:rPr>
          <w:rFonts w:hint="cs"/>
          <w:sz w:val="26"/>
          <w:szCs w:val="26"/>
          <w:rtl/>
        </w:rPr>
        <w:t>מנגד, בא כוח הנאשם הפנה לנסיבותיו האישיות של הנאשם ולנסיבות ביצוע העבירה, ובכלל זה לעובדה כי לנאשם אין עבר פלילי, להודאתו במיוחס לו ולנטילת האחריות מצדו, לגילו הצעיר, לכך שאיננו מתעסק בסמים וכי בסך הכול ביצע את שנתבקש על ידי אחר. לטענתו, הרף התחתון של מתחם העונש ההולם במקרה הנדון צריך לעמוד על מאסר מותנה, כאשר בכל מקרה ההגנה עותרת להימנע מהרשעה.</w:t>
      </w:r>
    </w:p>
    <w:p w14:paraId="3C930409" w14:textId="77777777" w:rsidR="00B61B44" w:rsidRPr="002C383D" w:rsidRDefault="00B61B44" w:rsidP="00B61B44">
      <w:pPr>
        <w:pStyle w:val="ListParagraph"/>
        <w:spacing w:after="200"/>
        <w:ind w:left="-58" w:firstLine="0"/>
        <w:contextualSpacing w:val="0"/>
        <w:rPr>
          <w:sz w:val="26"/>
          <w:szCs w:val="26"/>
        </w:rPr>
      </w:pPr>
      <w:r w:rsidRPr="002C383D">
        <w:rPr>
          <w:rFonts w:hint="cs"/>
          <w:sz w:val="26"/>
          <w:szCs w:val="26"/>
          <w:rtl/>
        </w:rPr>
        <w:t>בעניין אחרון זה, בא כוח הנאשם הפנה לפסק דינו של כב' השופט ש' לוין בעניין כתב, וטען כי הנאשם עומד בפרמטרים אשר נקבעו שם בשאלת אי ההרשעה. כך, ההגנה הפנתה לעובדה שהמדובר בעבירה מינורית אשר בוצעה ללא כל תכנון מוקדם, לחלקו הקטן של הנאשם בביצוע העבירה, לכך שלא נגרם כל נזק, להפחתה ברמת הסיכון שהתנהגותו של הנאשם תישנה ולכך שהתנהגות זו איננה מאפיינת את אורחות חייו של הנאשם. אשר לנזק שעלול להיגרם לנאשם אם הרשעתו תיוותר על כנה, נטען כי ככל אדם צעיר, בן 19, הנאשם טרם גיבש כיוון תעסוקתי ואינו יודע לאן פניו מועדות. מה גם, שבכל מקרה הרשעתו תפגע בגיוסו לצה"ל.</w:t>
      </w:r>
    </w:p>
    <w:p w14:paraId="6F0EAAA1" w14:textId="77777777" w:rsidR="00B61B44" w:rsidRPr="002C383D" w:rsidRDefault="00B61B44" w:rsidP="00B61B44">
      <w:pPr>
        <w:pStyle w:val="ListParagraph"/>
        <w:spacing w:after="200"/>
        <w:ind w:left="-58" w:firstLine="0"/>
        <w:contextualSpacing w:val="0"/>
        <w:rPr>
          <w:sz w:val="26"/>
          <w:szCs w:val="26"/>
          <w:rtl/>
        </w:rPr>
      </w:pPr>
      <w:r w:rsidRPr="002C383D">
        <w:rPr>
          <w:rFonts w:hint="cs"/>
          <w:sz w:val="26"/>
          <w:szCs w:val="26"/>
          <w:rtl/>
        </w:rPr>
        <w:t>כתמיכה בעמדות העונשיות השונות, כל צד הפנה את בית המשפט לפסיקה מטעמו.</w:t>
      </w:r>
    </w:p>
    <w:p w14:paraId="20B4C8C5" w14:textId="77777777" w:rsidR="00B61B44" w:rsidRPr="002C383D" w:rsidRDefault="00B61B44" w:rsidP="00B61B44">
      <w:pPr>
        <w:pStyle w:val="ListParagraph"/>
        <w:numPr>
          <w:ilvl w:val="0"/>
          <w:numId w:val="2"/>
        </w:numPr>
        <w:spacing w:after="200"/>
        <w:ind w:left="-58"/>
        <w:contextualSpacing w:val="0"/>
        <w:rPr>
          <w:sz w:val="26"/>
          <w:szCs w:val="26"/>
        </w:rPr>
      </w:pPr>
      <w:r w:rsidRPr="002C383D">
        <w:rPr>
          <w:rFonts w:hint="cs"/>
          <w:sz w:val="26"/>
          <w:szCs w:val="26"/>
          <w:rtl/>
        </w:rPr>
        <w:t>הנאשם אשר קיבל את "זכות המילה האחרונה", הביע צער על מעשיו, התחייב כי הם לא יישנו עוד, ומסר כי הוא מאוד רוצה להתגייס.</w:t>
      </w:r>
    </w:p>
    <w:p w14:paraId="5286DECB" w14:textId="77777777" w:rsidR="00B61B44" w:rsidRPr="002C383D" w:rsidRDefault="00B61B44" w:rsidP="00B61B44">
      <w:pPr>
        <w:pStyle w:val="1"/>
        <w:spacing w:after="200"/>
        <w:jc w:val="both"/>
        <w:rPr>
          <w:sz w:val="34"/>
          <w:szCs w:val="34"/>
        </w:rPr>
      </w:pPr>
      <w:r w:rsidRPr="002C383D">
        <w:rPr>
          <w:rFonts w:hint="cs"/>
          <w:sz w:val="34"/>
          <w:szCs w:val="34"/>
          <w:rtl/>
        </w:rPr>
        <w:t>דיון והכרעה</w:t>
      </w:r>
    </w:p>
    <w:p w14:paraId="1B1DF88D" w14:textId="77777777" w:rsidR="00B61B44" w:rsidRPr="002C383D" w:rsidRDefault="00B61B44" w:rsidP="00B61B44">
      <w:pPr>
        <w:pStyle w:val="1"/>
        <w:numPr>
          <w:ilvl w:val="0"/>
          <w:numId w:val="1"/>
        </w:numPr>
        <w:spacing w:after="200" w:line="288" w:lineRule="auto"/>
        <w:jc w:val="both"/>
        <w:rPr>
          <w:sz w:val="34"/>
          <w:szCs w:val="34"/>
        </w:rPr>
      </w:pPr>
      <w:r w:rsidRPr="002C383D">
        <w:rPr>
          <w:rFonts w:hint="cs"/>
          <w:sz w:val="34"/>
          <w:szCs w:val="34"/>
          <w:rtl/>
        </w:rPr>
        <w:t>קביעת מתחם העונש ההולם</w:t>
      </w:r>
    </w:p>
    <w:p w14:paraId="67D4F4CA" w14:textId="77777777" w:rsidR="00B61B44" w:rsidRPr="002C383D" w:rsidRDefault="00627056" w:rsidP="00B61B44">
      <w:pPr>
        <w:pStyle w:val="ListParagraph"/>
        <w:numPr>
          <w:ilvl w:val="0"/>
          <w:numId w:val="2"/>
        </w:numPr>
        <w:spacing w:after="200"/>
        <w:ind w:left="-58"/>
        <w:contextualSpacing w:val="0"/>
        <w:rPr>
          <w:sz w:val="26"/>
          <w:szCs w:val="26"/>
        </w:rPr>
      </w:pPr>
      <w:hyperlink r:id="rId21" w:history="1">
        <w:r w:rsidRPr="00627056">
          <w:rPr>
            <w:rFonts w:eastAsia="Times New Roman" w:hint="eastAsia"/>
            <w:color w:val="0000FF"/>
            <w:sz w:val="26"/>
            <w:szCs w:val="26"/>
            <w:u w:val="single"/>
            <w:rtl/>
          </w:rPr>
          <w:t>בסימן</w:t>
        </w:r>
        <w:r w:rsidRPr="00627056">
          <w:rPr>
            <w:rFonts w:eastAsia="Times New Roman"/>
            <w:color w:val="0000FF"/>
            <w:sz w:val="26"/>
            <w:szCs w:val="26"/>
            <w:u w:val="single"/>
            <w:rtl/>
          </w:rPr>
          <w:t xml:space="preserve"> </w:t>
        </w:r>
        <w:r w:rsidRPr="00627056">
          <w:rPr>
            <w:rFonts w:eastAsia="Times New Roman" w:hint="eastAsia"/>
            <w:color w:val="0000FF"/>
            <w:sz w:val="26"/>
            <w:szCs w:val="26"/>
            <w:u w:val="single"/>
            <w:rtl/>
          </w:rPr>
          <w:t>א</w:t>
        </w:r>
        <w:r w:rsidRPr="00627056">
          <w:rPr>
            <w:rFonts w:eastAsia="Times New Roman"/>
            <w:color w:val="0000FF"/>
            <w:sz w:val="26"/>
            <w:szCs w:val="26"/>
            <w:u w:val="single"/>
            <w:rtl/>
          </w:rPr>
          <w:t xml:space="preserve">'1 </w:t>
        </w:r>
        <w:r w:rsidRPr="00627056">
          <w:rPr>
            <w:rFonts w:eastAsia="Times New Roman" w:hint="eastAsia"/>
            <w:color w:val="0000FF"/>
            <w:sz w:val="26"/>
            <w:szCs w:val="26"/>
            <w:u w:val="single"/>
            <w:rtl/>
          </w:rPr>
          <w:t>לפרק</w:t>
        </w:r>
        <w:r w:rsidRPr="00627056">
          <w:rPr>
            <w:rFonts w:eastAsia="Times New Roman"/>
            <w:color w:val="0000FF"/>
            <w:sz w:val="26"/>
            <w:szCs w:val="26"/>
            <w:u w:val="single"/>
            <w:rtl/>
          </w:rPr>
          <w:t xml:space="preserve"> </w:t>
        </w:r>
        <w:r w:rsidRPr="00627056">
          <w:rPr>
            <w:rFonts w:eastAsia="Times New Roman" w:hint="eastAsia"/>
            <w:color w:val="0000FF"/>
            <w:sz w:val="26"/>
            <w:szCs w:val="26"/>
            <w:u w:val="single"/>
            <w:rtl/>
          </w:rPr>
          <w:t>ו</w:t>
        </w:r>
        <w:r w:rsidRPr="00627056">
          <w:rPr>
            <w:rFonts w:eastAsia="Times New Roman"/>
            <w:color w:val="0000FF"/>
            <w:sz w:val="26"/>
            <w:szCs w:val="26"/>
            <w:u w:val="single"/>
            <w:rtl/>
          </w:rPr>
          <w:t>'</w:t>
        </w:r>
      </w:hyperlink>
      <w:r w:rsidR="00B61B44" w:rsidRPr="002C383D">
        <w:rPr>
          <w:rFonts w:eastAsia="Times New Roman" w:hint="cs"/>
          <w:sz w:val="26"/>
          <w:szCs w:val="26"/>
          <w:rtl/>
        </w:rPr>
        <w:t xml:space="preserve"> ב</w:t>
      </w:r>
      <w:hyperlink r:id="rId22" w:history="1">
        <w:r w:rsidR="005048E5" w:rsidRPr="005048E5">
          <w:rPr>
            <w:rFonts w:eastAsia="Times New Roman" w:hint="eastAsia"/>
            <w:color w:val="0000FF"/>
            <w:sz w:val="26"/>
            <w:szCs w:val="26"/>
            <w:u w:val="single"/>
            <w:rtl/>
          </w:rPr>
          <w:t>חוק</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העונשין</w:t>
        </w:r>
      </w:hyperlink>
      <w:r w:rsidR="00B61B44" w:rsidRPr="002C383D">
        <w:rPr>
          <w:rFonts w:eastAsia="Times New Roman" w:hint="cs"/>
          <w:sz w:val="26"/>
          <w:szCs w:val="26"/>
          <w:rtl/>
        </w:rPr>
        <w:t xml:space="preserve">, אשר הוסף לחוק העונשין, התשל"ז-1977 (להלן: </w:t>
      </w:r>
      <w:r w:rsidR="00B61B44" w:rsidRPr="002C383D">
        <w:rPr>
          <w:rFonts w:eastAsia="Times New Roman" w:hint="cs"/>
          <w:b/>
          <w:bCs/>
          <w:sz w:val="26"/>
          <w:szCs w:val="26"/>
          <w:rtl/>
        </w:rPr>
        <w:t>"חוק העונשין"</w:t>
      </w:r>
      <w:r w:rsidR="00B61B44" w:rsidRPr="002C383D">
        <w:rPr>
          <w:rFonts w:eastAsia="Times New Roman" w:hint="cs"/>
          <w:sz w:val="26"/>
          <w:szCs w:val="26"/>
          <w:rtl/>
        </w:rPr>
        <w:t xml:space="preserve">) במסגרת תיקון מס' 113, נקבע </w:t>
      </w:r>
      <w:r w:rsidR="00B61B44" w:rsidRPr="002C383D">
        <w:rPr>
          <w:rFonts w:eastAsia="Times New Roman" w:hint="cs"/>
          <w:b/>
          <w:bCs/>
          <w:sz w:val="26"/>
          <w:szCs w:val="26"/>
          <w:rtl/>
        </w:rPr>
        <w:t>עקרון ההלימה</w:t>
      </w:r>
      <w:r w:rsidR="00B61B44" w:rsidRPr="002C383D">
        <w:rPr>
          <w:rFonts w:eastAsia="Times New Roman" w:hint="cs"/>
          <w:sz w:val="26"/>
          <w:szCs w:val="26"/>
          <w:rtl/>
        </w:rPr>
        <w:t xml:space="preserve"> כעקרון המנחה בענישה. לאמור, ניתן משקל בכורה לשיקולי גמול, ונקבע כי בראש ובראשונה על העונש להלום את חומרת העבירה בנסיבותיה ואת מידת אשמו של הנאשם (ר' גם </w:t>
      </w:r>
      <w:hyperlink r:id="rId23" w:history="1">
        <w:r w:rsidR="005048E5" w:rsidRPr="005048E5">
          <w:rPr>
            <w:rFonts w:eastAsia="Times New Roman" w:hint="eastAsia"/>
            <w:color w:val="0000FF"/>
            <w:sz w:val="26"/>
            <w:szCs w:val="26"/>
            <w:u w:val="single"/>
            <w:rtl/>
          </w:rPr>
          <w:t>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1523/10</w:t>
        </w:r>
      </w:hyperlink>
      <w:r w:rsidR="00B61B44" w:rsidRPr="002C383D">
        <w:rPr>
          <w:rFonts w:eastAsia="Times New Roman" w:hint="cs"/>
          <w:sz w:val="26"/>
          <w:szCs w:val="26"/>
          <w:rtl/>
        </w:rPr>
        <w:t xml:space="preserve"> </w:t>
      </w:r>
      <w:r w:rsidR="00B61B44" w:rsidRPr="002C383D">
        <w:rPr>
          <w:rFonts w:eastAsia="Times New Roman" w:hint="cs"/>
          <w:b/>
          <w:bCs/>
          <w:sz w:val="26"/>
          <w:szCs w:val="26"/>
          <w:rtl/>
        </w:rPr>
        <w:t>פלונית נ' מדינת ישראל</w:t>
      </w:r>
      <w:r w:rsidR="00B61B44" w:rsidRPr="002C383D">
        <w:rPr>
          <w:rFonts w:eastAsia="Times New Roman" w:hint="cs"/>
          <w:sz w:val="26"/>
          <w:szCs w:val="26"/>
          <w:rtl/>
        </w:rPr>
        <w:t xml:space="preserve">, (18.04.2012); </w:t>
      </w:r>
      <w:r w:rsidR="00B61B44" w:rsidRPr="002C383D">
        <w:rPr>
          <w:rFonts w:eastAsia="Times New Roman" w:hint="cs"/>
          <w:sz w:val="26"/>
          <w:szCs w:val="26"/>
          <w:u w:val="single"/>
          <w:rtl/>
        </w:rPr>
        <w:t>ו</w:t>
      </w:r>
      <w:hyperlink r:id="rId24" w:history="1">
        <w:r w:rsidR="005048E5" w:rsidRPr="005048E5">
          <w:rPr>
            <w:rFonts w:eastAsia="Times New Roman" w:hint="eastAsia"/>
            <w:color w:val="0000FF"/>
            <w:sz w:val="26"/>
            <w:szCs w:val="26"/>
            <w:u w:val="single"/>
            <w:rtl/>
          </w:rPr>
          <w:t>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452/14</w:t>
        </w:r>
      </w:hyperlink>
      <w:r w:rsidR="00B61B44" w:rsidRPr="002C383D">
        <w:rPr>
          <w:rFonts w:eastAsia="Times New Roman" w:hint="cs"/>
          <w:sz w:val="26"/>
          <w:szCs w:val="26"/>
          <w:rtl/>
        </w:rPr>
        <w:t xml:space="preserve"> </w:t>
      </w:r>
      <w:r w:rsidR="00B61B44" w:rsidRPr="002C383D">
        <w:rPr>
          <w:rFonts w:eastAsia="Times New Roman" w:hint="cs"/>
          <w:b/>
          <w:bCs/>
          <w:sz w:val="26"/>
          <w:szCs w:val="26"/>
          <w:rtl/>
        </w:rPr>
        <w:t>ניסים דבוש נ' מדינת ישראל</w:t>
      </w:r>
      <w:r w:rsidR="00B61B44" w:rsidRPr="002C383D">
        <w:rPr>
          <w:rFonts w:eastAsia="Times New Roman" w:hint="cs"/>
          <w:sz w:val="26"/>
          <w:szCs w:val="26"/>
          <w:rtl/>
        </w:rPr>
        <w:t xml:space="preserve">, (03.04.2014) (להלן: </w:t>
      </w:r>
      <w:r w:rsidR="00B61B44" w:rsidRPr="002C383D">
        <w:rPr>
          <w:rFonts w:eastAsia="Times New Roman" w:hint="cs"/>
          <w:b/>
          <w:bCs/>
          <w:sz w:val="26"/>
          <w:szCs w:val="26"/>
          <w:rtl/>
        </w:rPr>
        <w:t>"עניין דבוש"</w:t>
      </w:r>
      <w:r w:rsidR="00B61B44" w:rsidRPr="002C383D">
        <w:rPr>
          <w:rFonts w:eastAsia="Times New Roman" w:hint="cs"/>
          <w:sz w:val="26"/>
          <w:szCs w:val="26"/>
          <w:rtl/>
        </w:rPr>
        <w:t>))</w:t>
      </w:r>
      <w:r w:rsidR="00B61B44" w:rsidRPr="002C383D">
        <w:rPr>
          <w:rFonts w:hint="cs"/>
          <w:sz w:val="26"/>
          <w:szCs w:val="26"/>
          <w:rtl/>
        </w:rPr>
        <w:t xml:space="preserve">. מכל מקום, </w:t>
      </w:r>
      <w:r w:rsidR="00B61B44" w:rsidRPr="002C383D">
        <w:rPr>
          <w:rFonts w:eastAsia="Times New Roman" w:hint="cs"/>
          <w:sz w:val="26"/>
          <w:szCs w:val="26"/>
          <w:rtl/>
        </w:rPr>
        <w:t xml:space="preserve">כאמור </w:t>
      </w:r>
      <w:hyperlink r:id="rId25" w:history="1">
        <w:r w:rsidRPr="00627056">
          <w:rPr>
            <w:rFonts w:eastAsia="Times New Roman" w:hint="eastAsia"/>
            <w:color w:val="0000FF"/>
            <w:sz w:val="26"/>
            <w:szCs w:val="26"/>
            <w:u w:val="single"/>
            <w:rtl/>
          </w:rPr>
          <w:t>בסעיף</w:t>
        </w:r>
        <w:r w:rsidRPr="00627056">
          <w:rPr>
            <w:rFonts w:eastAsia="Times New Roman"/>
            <w:color w:val="0000FF"/>
            <w:sz w:val="26"/>
            <w:szCs w:val="26"/>
            <w:u w:val="single"/>
            <w:rtl/>
          </w:rPr>
          <w:t xml:space="preserve"> 40</w:t>
        </w:r>
        <w:r w:rsidRPr="00627056">
          <w:rPr>
            <w:rFonts w:eastAsia="Times New Roman" w:hint="eastAsia"/>
            <w:color w:val="0000FF"/>
            <w:sz w:val="26"/>
            <w:szCs w:val="26"/>
            <w:u w:val="single"/>
            <w:rtl/>
          </w:rPr>
          <w:t>ג</w:t>
        </w:r>
        <w:r w:rsidRPr="00627056">
          <w:rPr>
            <w:rFonts w:eastAsia="Times New Roman"/>
            <w:color w:val="0000FF"/>
            <w:sz w:val="26"/>
            <w:szCs w:val="26"/>
            <w:u w:val="single"/>
            <w:rtl/>
          </w:rPr>
          <w:t>(</w:t>
        </w:r>
        <w:r w:rsidRPr="00627056">
          <w:rPr>
            <w:rFonts w:eastAsia="Times New Roman" w:hint="eastAsia"/>
            <w:color w:val="0000FF"/>
            <w:sz w:val="26"/>
            <w:szCs w:val="26"/>
            <w:u w:val="single"/>
            <w:rtl/>
          </w:rPr>
          <w:t>א</w:t>
        </w:r>
        <w:r w:rsidRPr="00627056">
          <w:rPr>
            <w:rFonts w:eastAsia="Times New Roman"/>
            <w:color w:val="0000FF"/>
            <w:sz w:val="26"/>
            <w:szCs w:val="26"/>
            <w:u w:val="single"/>
            <w:rtl/>
          </w:rPr>
          <w:t>)</w:t>
        </w:r>
      </w:hyperlink>
      <w:r w:rsidR="00B61B44" w:rsidRPr="002C383D">
        <w:rPr>
          <w:rFonts w:eastAsia="Times New Roman" w:hint="cs"/>
          <w:sz w:val="26"/>
          <w:szCs w:val="26"/>
          <w:rtl/>
        </w:rPr>
        <w:t xml:space="preserve"> ל</w:t>
      </w:r>
      <w:hyperlink r:id="rId26" w:history="1">
        <w:r w:rsidR="005048E5" w:rsidRPr="005048E5">
          <w:rPr>
            <w:rFonts w:eastAsia="Times New Roman" w:hint="eastAsia"/>
            <w:color w:val="0000FF"/>
            <w:sz w:val="26"/>
            <w:szCs w:val="26"/>
            <w:u w:val="single"/>
            <w:rtl/>
          </w:rPr>
          <w:t>חוק</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העונשין</w:t>
        </w:r>
      </w:hyperlink>
      <w:r w:rsidR="00B61B44" w:rsidRPr="002C383D">
        <w:rPr>
          <w:rFonts w:eastAsia="Times New Roman" w:hint="cs"/>
          <w:sz w:val="26"/>
          <w:szCs w:val="26"/>
          <w:rtl/>
        </w:rPr>
        <w:t>, קביעת מתחם העונש ההולם תיעשה בהתאם לעקרון ההלימה, תוך התחשבות בערך החברתי שנפגע כתוצאה מביצוע העבירה, במידת הפגיעה בו, במדיניות הענישה הנוהגת ובנסיבות הקשורות בביצוע העבירה</w:t>
      </w:r>
      <w:r w:rsidR="00B61B44" w:rsidRPr="002C383D">
        <w:rPr>
          <w:rFonts w:hint="cs"/>
          <w:sz w:val="26"/>
          <w:szCs w:val="26"/>
          <w:rtl/>
        </w:rPr>
        <w:t>.</w:t>
      </w:r>
    </w:p>
    <w:p w14:paraId="6FBFD2BB" w14:textId="77777777" w:rsidR="00B61B44" w:rsidRPr="002C383D" w:rsidRDefault="00B61B44" w:rsidP="00B61B44">
      <w:pPr>
        <w:pStyle w:val="ListParagraph"/>
        <w:numPr>
          <w:ilvl w:val="0"/>
          <w:numId w:val="2"/>
        </w:numPr>
        <w:spacing w:after="200"/>
        <w:ind w:left="-58"/>
        <w:contextualSpacing w:val="0"/>
        <w:rPr>
          <w:sz w:val="26"/>
          <w:szCs w:val="26"/>
        </w:rPr>
      </w:pPr>
      <w:r w:rsidRPr="002C383D">
        <w:rPr>
          <w:rFonts w:ascii="Times New Roman" w:eastAsia="Times New Roman" w:hAnsi="Times New Roman" w:hint="cs"/>
          <w:sz w:val="26"/>
          <w:szCs w:val="26"/>
          <w:rtl/>
        </w:rPr>
        <w:t xml:space="preserve">בכול הנוגע </w:t>
      </w:r>
      <w:r w:rsidRPr="002C383D">
        <w:rPr>
          <w:rFonts w:ascii="Times New Roman" w:eastAsia="Times New Roman" w:hAnsi="Times New Roman" w:hint="cs"/>
          <w:b/>
          <w:bCs/>
          <w:sz w:val="26"/>
          <w:szCs w:val="26"/>
          <w:rtl/>
        </w:rPr>
        <w:t>לערכים החברתיים המוגנים</w:t>
      </w:r>
      <w:r w:rsidRPr="002C383D">
        <w:rPr>
          <w:rFonts w:ascii="Times New Roman" w:eastAsia="Times New Roman" w:hAnsi="Times New Roman" w:hint="cs"/>
          <w:sz w:val="26"/>
          <w:szCs w:val="26"/>
          <w:rtl/>
        </w:rPr>
        <w:t xml:space="preserve"> אשר נפגעו כתוצאה ממעשיו של הנאשם, נדמה כי אין צורך להכביר מילים בנוגע לחומרה הרבה הכרוכה בעבירות הסמים. </w:t>
      </w:r>
      <w:hyperlink r:id="rId27" w:history="1">
        <w:r w:rsidR="005048E5" w:rsidRPr="005048E5">
          <w:rPr>
            <w:rFonts w:ascii="Times New Roman" w:eastAsia="Times New Roman" w:hAnsi="Times New Roman"/>
            <w:color w:val="0000FF"/>
            <w:sz w:val="26"/>
            <w:szCs w:val="26"/>
            <w:u w:val="single"/>
            <w:rtl/>
          </w:rPr>
          <w:t>פקודת הסמים המסוכנים</w:t>
        </w:r>
      </w:hyperlink>
      <w:r w:rsidRPr="002C383D">
        <w:rPr>
          <w:rFonts w:ascii="Times New Roman" w:eastAsia="Times New Roman" w:hAnsi="Times New Roman" w:hint="cs"/>
          <w:sz w:val="26"/>
          <w:szCs w:val="26"/>
          <w:rtl/>
        </w:rPr>
        <w:t xml:space="preserve"> נחקקה על מנת להגן על ערכים חברתיים מרכזיים ובראשם החובה להגן על שלומו של הציבור, בריאותו, בטחונו האישי ועל רכושו</w:t>
      </w:r>
      <w:r w:rsidRPr="002C383D">
        <w:rPr>
          <w:rFonts w:eastAsia="Times New Roman" w:hint="cs"/>
          <w:sz w:val="26"/>
          <w:szCs w:val="26"/>
          <w:rtl/>
        </w:rPr>
        <w:t>.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הרי שנגע ההתמכרות מביא גם להרחבת מעגל הפשיעה, כאשר המכור לסם מתפתה לבצע עבירות נוספות וזאת על מנת לממן לעצמו את מנת הסם הבאה.</w:t>
      </w:r>
    </w:p>
    <w:p w14:paraId="2D04389C" w14:textId="77777777" w:rsidR="00B61B44" w:rsidRPr="002C383D" w:rsidRDefault="00B61B44" w:rsidP="00B61B44">
      <w:pPr>
        <w:pStyle w:val="ListParagraph"/>
        <w:spacing w:after="200"/>
        <w:ind w:left="-58" w:firstLine="0"/>
        <w:contextualSpacing w:val="0"/>
        <w:rPr>
          <w:sz w:val="26"/>
          <w:szCs w:val="26"/>
        </w:rPr>
      </w:pPr>
      <w:r w:rsidRPr="002C383D">
        <w:rPr>
          <w:rFonts w:eastAsia="Times New Roman" w:hint="cs"/>
          <w:sz w:val="26"/>
          <w:szCs w:val="26"/>
          <w:rtl/>
        </w:rPr>
        <w:t>נגע הסמים פשה בארצנו כמגיפה ומשכך, מצווים בתי המשפט לתרום את חלקם למלחמה בנגע זה באמצעות הטלת עונשים חמורים ומרתיעים. כך, שומה על בתי המשפט להעביר את המסר לפיו מי שנגרר אחרי מעשי עבירה המסכנים חיי אדם בצורה מפליגה, צריך לדעת אל-נכון כי אם ייתפס יטופל עניינו בכל חומרת הדין, והדברים נכונים ביחס לכל החוליות בשרשרת הפצת הסם.</w:t>
      </w:r>
      <w:r w:rsidRPr="002C383D">
        <w:rPr>
          <w:rFonts w:hint="cs"/>
          <w:sz w:val="26"/>
          <w:szCs w:val="26"/>
          <w:rtl/>
        </w:rPr>
        <w:t xml:space="preserve"> יפים לעניין זה דבריה של כב' השופטת א' פרוקצ'יה </w:t>
      </w:r>
      <w:hyperlink r:id="rId28" w:history="1">
        <w:r w:rsidR="007528FB" w:rsidRPr="007528FB">
          <w:rPr>
            <w:color w:val="0000FF"/>
            <w:sz w:val="26"/>
            <w:szCs w:val="26"/>
            <w:u w:val="single"/>
            <w:rtl/>
          </w:rPr>
          <w:t>בע"פ 211/09</w:t>
        </w:r>
      </w:hyperlink>
      <w:r w:rsidRPr="002C383D">
        <w:rPr>
          <w:rFonts w:hint="cs"/>
          <w:sz w:val="26"/>
          <w:szCs w:val="26"/>
          <w:rtl/>
        </w:rPr>
        <w:t xml:space="preserve">‏ </w:t>
      </w:r>
      <w:r w:rsidRPr="002C383D">
        <w:rPr>
          <w:rFonts w:hint="cs"/>
          <w:b/>
          <w:bCs/>
          <w:sz w:val="26"/>
          <w:szCs w:val="26"/>
          <w:rtl/>
        </w:rPr>
        <w:t>שמעון אזולאי נ' מדינת ישראל</w:t>
      </w:r>
      <w:r w:rsidRPr="002C383D">
        <w:rPr>
          <w:rFonts w:hint="cs"/>
          <w:sz w:val="26"/>
          <w:szCs w:val="26"/>
          <w:rtl/>
        </w:rPr>
        <w:t>, (22.06.2010):</w:t>
      </w:r>
    </w:p>
    <w:p w14:paraId="15FC8913" w14:textId="77777777" w:rsidR="00B61B44" w:rsidRPr="002C383D" w:rsidRDefault="00B61B44" w:rsidP="00B61B44">
      <w:pPr>
        <w:pStyle w:val="ListParagraph"/>
        <w:spacing w:after="200"/>
        <w:ind w:left="509" w:right="567" w:firstLine="0"/>
        <w:contextualSpacing w:val="0"/>
        <w:rPr>
          <w:sz w:val="26"/>
          <w:szCs w:val="26"/>
          <w:rtl/>
        </w:rPr>
      </w:pPr>
      <w:r w:rsidRPr="002C383D">
        <w:rPr>
          <w:rFonts w:hint="cs"/>
          <w:sz w:val="26"/>
          <w:szCs w:val="26"/>
          <w:rtl/>
        </w:rPr>
        <w:t>"</w:t>
      </w:r>
      <w:r w:rsidRPr="002C383D">
        <w:rPr>
          <w:rFonts w:eastAsia="Times New Roman" w:hint="cs"/>
          <w:b/>
          <w:bCs/>
          <w:sz w:val="26"/>
          <w:szCs w:val="26"/>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sidRPr="002C383D">
        <w:rPr>
          <w:rFonts w:hint="cs"/>
          <w:sz w:val="26"/>
          <w:szCs w:val="26"/>
          <w:rtl/>
        </w:rPr>
        <w:t>".</w:t>
      </w:r>
    </w:p>
    <w:p w14:paraId="14234D8F" w14:textId="77777777" w:rsidR="00B61B44" w:rsidRPr="002C383D" w:rsidRDefault="00B61B44" w:rsidP="00B61B44">
      <w:pPr>
        <w:pStyle w:val="ListParagraph"/>
        <w:spacing w:after="200"/>
        <w:ind w:left="-58" w:firstLine="0"/>
        <w:contextualSpacing w:val="0"/>
        <w:rPr>
          <w:sz w:val="26"/>
          <w:szCs w:val="26"/>
          <w:rtl/>
        </w:rPr>
      </w:pPr>
      <w:r w:rsidRPr="002C383D">
        <w:rPr>
          <w:rFonts w:hint="cs"/>
          <w:sz w:val="26"/>
          <w:szCs w:val="26"/>
          <w:rtl/>
        </w:rPr>
        <w:t xml:space="preserve">כן ראו </w:t>
      </w:r>
      <w:hyperlink r:id="rId29" w:history="1">
        <w:r w:rsidR="005048E5" w:rsidRPr="005048E5">
          <w:rPr>
            <w:rFonts w:eastAsia="Times New Roman" w:hint="eastAsia"/>
            <w:color w:val="0000FF"/>
            <w:sz w:val="26"/>
            <w:szCs w:val="26"/>
            <w:u w:val="single"/>
            <w:rtl/>
          </w:rPr>
          <w:t>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6029/03 </w:t>
        </w:r>
        <w:r w:rsidR="005048E5" w:rsidRPr="005048E5">
          <w:rPr>
            <w:rFonts w:eastAsia="Times New Roman" w:hint="eastAsia"/>
            <w:color w:val="0000FF"/>
            <w:sz w:val="26"/>
            <w:szCs w:val="26"/>
            <w:u w:val="single"/>
            <w:rtl/>
          </w:rPr>
          <w:t>מדינת</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ישראל</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נ</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גולן</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שמאי</w:t>
        </w:r>
        <w:r w:rsidR="005048E5" w:rsidRPr="005048E5">
          <w:rPr>
            <w:rFonts w:eastAsia="Times New Roman"/>
            <w:color w:val="0000FF"/>
            <w:sz w:val="26"/>
            <w:szCs w:val="26"/>
            <w:u w:val="single"/>
            <w:rtl/>
          </w:rPr>
          <w:t xml:space="preserve"> , </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ד</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נח</w:t>
        </w:r>
      </w:hyperlink>
      <w:r w:rsidRPr="002C383D">
        <w:rPr>
          <w:rFonts w:eastAsia="Times New Roman" w:hint="cs"/>
          <w:sz w:val="26"/>
          <w:szCs w:val="26"/>
          <w:rtl/>
        </w:rPr>
        <w:t xml:space="preserve"> (2) 734, 739 (2004)</w:t>
      </w:r>
      <w:r w:rsidRPr="002C383D">
        <w:rPr>
          <w:rFonts w:hint="cs"/>
          <w:sz w:val="26"/>
          <w:szCs w:val="26"/>
          <w:rtl/>
        </w:rPr>
        <w:t xml:space="preserve">; </w:t>
      </w:r>
      <w:r w:rsidRPr="002C383D">
        <w:rPr>
          <w:rFonts w:eastAsia="Times New Roman" w:hint="cs"/>
          <w:sz w:val="26"/>
          <w:szCs w:val="26"/>
          <w:u w:val="single"/>
          <w:rtl/>
        </w:rPr>
        <w:t>ו</w:t>
      </w:r>
      <w:hyperlink r:id="rId30" w:history="1">
        <w:r w:rsidR="005048E5" w:rsidRPr="005048E5">
          <w:rPr>
            <w:rFonts w:eastAsia="Times New Roman" w:hint="eastAsia"/>
            <w:color w:val="0000FF"/>
            <w:sz w:val="26"/>
            <w:szCs w:val="26"/>
            <w:u w:val="single"/>
            <w:rtl/>
          </w:rPr>
          <w:t>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7070/03</w:t>
        </w:r>
      </w:hyperlink>
      <w:r w:rsidRPr="002C383D">
        <w:rPr>
          <w:rFonts w:eastAsia="Times New Roman" w:hint="cs"/>
          <w:sz w:val="26"/>
          <w:szCs w:val="26"/>
          <w:rtl/>
        </w:rPr>
        <w:t xml:space="preserve"> </w:t>
      </w:r>
      <w:r w:rsidRPr="002C383D">
        <w:rPr>
          <w:rFonts w:eastAsia="Times New Roman" w:hint="cs"/>
          <w:b/>
          <w:bCs/>
          <w:sz w:val="26"/>
          <w:szCs w:val="26"/>
          <w:rtl/>
        </w:rPr>
        <w:t>עליאן זניד נ' מדינת ישראל</w:t>
      </w:r>
      <w:r w:rsidRPr="002C383D">
        <w:rPr>
          <w:rFonts w:eastAsia="Times New Roman" w:hint="cs"/>
          <w:sz w:val="26"/>
          <w:szCs w:val="26"/>
          <w:rtl/>
        </w:rPr>
        <w:t>, (03.04.2006)</w:t>
      </w:r>
      <w:r w:rsidRPr="002C383D">
        <w:rPr>
          <w:rFonts w:hint="cs"/>
          <w:sz w:val="26"/>
          <w:szCs w:val="26"/>
          <w:rtl/>
        </w:rPr>
        <w:t>.</w:t>
      </w:r>
    </w:p>
    <w:p w14:paraId="29632E82" w14:textId="77777777" w:rsidR="00B61B44" w:rsidRPr="002C383D" w:rsidRDefault="00B61B44" w:rsidP="00B61B44">
      <w:pPr>
        <w:pStyle w:val="ListParagraph"/>
        <w:numPr>
          <w:ilvl w:val="0"/>
          <w:numId w:val="2"/>
        </w:numPr>
        <w:spacing w:after="200"/>
        <w:ind w:left="-58"/>
        <w:contextualSpacing w:val="0"/>
        <w:rPr>
          <w:sz w:val="26"/>
          <w:szCs w:val="26"/>
        </w:rPr>
      </w:pPr>
      <w:r w:rsidRPr="002C383D">
        <w:rPr>
          <w:rFonts w:hint="cs"/>
          <w:sz w:val="26"/>
          <w:szCs w:val="26"/>
          <w:rtl/>
        </w:rPr>
        <w:t xml:space="preserve">בשים לב לסוג הסם וכמותו, לגובה התמורה אשר התקבלה בעדו, לכך שהמדובר בסיוע לעסקה אחת בודדת, ולנוכח יתר הנסיבות הקשורות בביצוע העבירה, כפי שאלו יפורטו בהמשך, שוכנעתי כי במקרה הנדון </w:t>
      </w:r>
      <w:r w:rsidRPr="002C383D">
        <w:rPr>
          <w:rFonts w:hint="cs"/>
          <w:b/>
          <w:bCs/>
          <w:sz w:val="26"/>
          <w:szCs w:val="26"/>
          <w:rtl/>
        </w:rPr>
        <w:t>מידת הפגיעה בערכים המוגנים</w:t>
      </w:r>
      <w:r w:rsidRPr="002C383D">
        <w:rPr>
          <w:rFonts w:hint="cs"/>
          <w:sz w:val="26"/>
          <w:szCs w:val="26"/>
          <w:rtl/>
        </w:rPr>
        <w:t xml:space="preserve"> מצויה ברף התחתון.</w:t>
      </w:r>
    </w:p>
    <w:p w14:paraId="5CFBF69C" w14:textId="77777777" w:rsidR="00B61B44" w:rsidRPr="002C383D" w:rsidRDefault="00B61B44" w:rsidP="00B61B44">
      <w:pPr>
        <w:pStyle w:val="ListParagraph"/>
        <w:numPr>
          <w:ilvl w:val="0"/>
          <w:numId w:val="2"/>
        </w:numPr>
        <w:spacing w:after="200"/>
        <w:ind w:left="-58"/>
        <w:contextualSpacing w:val="0"/>
        <w:rPr>
          <w:sz w:val="26"/>
          <w:szCs w:val="26"/>
        </w:rPr>
      </w:pPr>
      <w:r w:rsidRPr="002C383D">
        <w:rPr>
          <w:rFonts w:hint="cs"/>
          <w:sz w:val="26"/>
          <w:szCs w:val="26"/>
          <w:rtl/>
        </w:rPr>
        <w:t xml:space="preserve">בבחינת </w:t>
      </w:r>
      <w:r w:rsidRPr="002C383D">
        <w:rPr>
          <w:rFonts w:hint="cs"/>
          <w:b/>
          <w:bCs/>
          <w:sz w:val="26"/>
          <w:szCs w:val="26"/>
          <w:rtl/>
        </w:rPr>
        <w:t>הנסיבות הקשורות בביצוע העבירה</w:t>
      </w:r>
      <w:r w:rsidRPr="002C383D">
        <w:rPr>
          <w:rFonts w:hint="cs"/>
          <w:sz w:val="26"/>
          <w:szCs w:val="26"/>
          <w:rtl/>
        </w:rPr>
        <w:t xml:space="preserve">, </w:t>
      </w:r>
      <w:r w:rsidRPr="002C383D">
        <w:rPr>
          <w:rFonts w:eastAsia="Times New Roman" w:hint="cs"/>
          <w:sz w:val="26"/>
          <w:szCs w:val="26"/>
          <w:rtl/>
        </w:rPr>
        <w:t xml:space="preserve">נתתי דעתי בראש ובראשונה לסוג הסם שהנאשם סייע לסחור בו, ולמשקלו. המדובר בסם הקנבוס הנמנה עם "הסמים הקלים". ברי כי אין מקום להקל ראש גם בסם זה שנחשב ל"קל", אך כפי שלימדו אותנו שנים רבות של מחקרים מדעיים שנעשו בתחום, הנזקים שסם זה מביא עמו אינם קשים כמו הנזקים הנגרמים עקב שימוש בסם כגון ההרואין או הקוקאין, ואין דין סיוע לסחר בסם מסוכן מסוג קנבוס כדין סיוע לסחר בסמים קשים וקטלניים כגון אלו שנמנו לעיל. גם בכל הנוגע למשקל הסם, נתתי דעתי, כאמור, לעובדה כי המדובר בגרם אחד בלבד, שנסחר בתמורה לסכום נמוך של 100 ₪. </w:t>
      </w:r>
    </w:p>
    <w:p w14:paraId="4930A027" w14:textId="77777777" w:rsidR="00B61B44" w:rsidRPr="002C383D" w:rsidRDefault="00B61B44" w:rsidP="00B61B44">
      <w:pPr>
        <w:pStyle w:val="ListParagraph"/>
        <w:spacing w:after="200"/>
        <w:ind w:left="-58" w:firstLine="0"/>
        <w:contextualSpacing w:val="0"/>
        <w:rPr>
          <w:sz w:val="26"/>
          <w:szCs w:val="26"/>
        </w:rPr>
      </w:pPr>
      <w:r w:rsidRPr="002C383D">
        <w:rPr>
          <w:rFonts w:hint="cs"/>
          <w:sz w:val="26"/>
          <w:szCs w:val="26"/>
          <w:rtl/>
        </w:rPr>
        <w:t>כן נתתי דעתי לכך שחלקו של הנאשם במסכת העבריינית הנדונה איננו גדול. כך, הקטין הוא זה שמשוחח עם השוטר בטלפון, הוא שקובע עמו את מקום המפגש ואת פרטי העסקה והוא זה, כך יש להניח, שקובע את מחיר הסם. אמנם טענותיו של הנאשם בשירות המבחן וטענות בא כוחו במסגרת שלב הטיעונים לעונש בכול הנוגע לנסיבות שבהן הראשון הסכים למסור את הסם לשוטר לא הוכחו כדבעי, אך גם מכתב האישום עולה כי הקטין מסר לנאשם את הסם וביקש הימנו להעבירו לשוטר. כך שנדמה כי לקטין הייתה מידת השפעה לא מבוטלת על הנאשם לבצע את העבירה. כאן גם המקום לציין, כי מעובדות כתב האישום לא ניתן ללמוד אודות תכנון מיוחד מצדו של הנאשם שקדם לביצוע העבירה, כאשר הקטין היה זה שהקדים ותכנן את שלביה של העסקה.</w:t>
      </w:r>
    </w:p>
    <w:p w14:paraId="697CDE11" w14:textId="77777777" w:rsidR="00B61B44" w:rsidRPr="002C383D" w:rsidRDefault="00B61B44" w:rsidP="00B61B44">
      <w:pPr>
        <w:pStyle w:val="ListParagraph"/>
        <w:spacing w:after="200"/>
        <w:ind w:left="-58" w:firstLine="0"/>
        <w:contextualSpacing w:val="0"/>
        <w:rPr>
          <w:sz w:val="26"/>
          <w:szCs w:val="26"/>
          <w:rtl/>
        </w:rPr>
      </w:pPr>
      <w:r w:rsidRPr="002C383D">
        <w:rPr>
          <w:rFonts w:hint="cs"/>
          <w:sz w:val="26"/>
          <w:szCs w:val="26"/>
          <w:rtl/>
        </w:rPr>
        <w:t xml:space="preserve">לבסוף, כתוצאה ממעשיו של הנאשם לא נגרם נזק ממשי כלשהו, אך זאת רק משום </w:t>
      </w:r>
      <w:r w:rsidRPr="002C383D">
        <w:rPr>
          <w:rFonts w:eastAsia="Times New Roman" w:hint="cs"/>
          <w:sz w:val="26"/>
          <w:szCs w:val="26"/>
          <w:rtl/>
        </w:rPr>
        <w:t>שהסם הועבר לשוטר שהופעל על ידי משטרת ישראל. זאת ועוד, ממילא אלו הן דרכן של עבירות הסמים, כאשר פעמים רבות לא ניתן להצביע על נזק מוחשי ומידי שנגרם כתוצאה מביצוען, מה שאינו מפחית כהוא זה מהנזק הרב וארוך הטווח שהן גורמות. כאמור זה מכבר,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בכך שהנאשם סייע להפיץ סם מסוכן, הוא קנה לעצמו חלק ניכר באחריות לנזק ארוך טווח זה (וזהו גם אותו נזק פוטנציאלי הטמון בעבירות הסמים השונות).</w:t>
      </w:r>
    </w:p>
    <w:p w14:paraId="76603393" w14:textId="77777777" w:rsidR="00B61B44" w:rsidRPr="002C383D" w:rsidRDefault="00B61B44" w:rsidP="00B61B44">
      <w:pPr>
        <w:pStyle w:val="ListParagraph"/>
        <w:numPr>
          <w:ilvl w:val="0"/>
          <w:numId w:val="2"/>
        </w:numPr>
        <w:spacing w:after="200"/>
        <w:ind w:left="-58"/>
        <w:contextualSpacing w:val="0"/>
        <w:rPr>
          <w:sz w:val="26"/>
          <w:szCs w:val="26"/>
        </w:rPr>
      </w:pPr>
      <w:r w:rsidRPr="002C383D">
        <w:rPr>
          <w:rFonts w:hint="cs"/>
          <w:sz w:val="26"/>
          <w:szCs w:val="26"/>
          <w:rtl/>
        </w:rPr>
        <w:t xml:space="preserve">אשר </w:t>
      </w:r>
      <w:r w:rsidRPr="002C383D">
        <w:rPr>
          <w:rFonts w:hint="cs"/>
          <w:b/>
          <w:bCs/>
          <w:sz w:val="26"/>
          <w:szCs w:val="26"/>
          <w:rtl/>
        </w:rPr>
        <w:t>למדיניות הענישה הנוהגת</w:t>
      </w:r>
      <w:r w:rsidRPr="002C383D">
        <w:rPr>
          <w:rFonts w:hint="cs"/>
          <w:sz w:val="26"/>
          <w:szCs w:val="26"/>
          <w:rtl/>
        </w:rPr>
        <w:t>, סקירת הפסיקה מעלה כי פעמים רבות נמנעו בית המשפט מלהשית על נאשמים שהורשעו בעבירות של סיוע לסחר בסם מסוכן מסוג קנבוס או חשיש, במשקלים של גרמים בודדים, עונש בדמות מאסר בפועל. ברי כי גם מתחמי הענישה שנקבעו בכל מקרה ומקרה, הושפעו בראש ובראשונה מסוג הסם הנסחר ומשקלו, מגובה התמורה שהתקבלה בעדו, מחלקו של הנאשם במסכת העבריינית הכוללת, ממספר העסקאות (ככל שהוחלט לקבוע מתחם עונש אחד כולל), ומיתר נסיבות ביצוע העבירה. כך לדוגמא, ראו:</w:t>
      </w:r>
    </w:p>
    <w:p w14:paraId="63A782D7" w14:textId="77777777" w:rsidR="00B61B44" w:rsidRPr="002C383D" w:rsidRDefault="005048E5" w:rsidP="00B61B44">
      <w:pPr>
        <w:pStyle w:val="ListParagraph"/>
        <w:spacing w:after="200"/>
        <w:ind w:left="-58" w:firstLine="0"/>
        <w:contextualSpacing w:val="0"/>
        <w:rPr>
          <w:sz w:val="26"/>
          <w:szCs w:val="26"/>
        </w:rPr>
      </w:pPr>
      <w:hyperlink r:id="rId31" w:history="1">
        <w:r w:rsidRPr="005048E5">
          <w:rPr>
            <w:rFonts w:hint="cs"/>
            <w:color w:val="0000FF"/>
            <w:sz w:val="26"/>
            <w:szCs w:val="26"/>
            <w:u w:val="single"/>
            <w:rtl/>
          </w:rPr>
          <w:t>רע</w:t>
        </w:r>
        <w:r w:rsidRPr="005048E5">
          <w:rPr>
            <w:color w:val="0000FF"/>
            <w:sz w:val="26"/>
            <w:szCs w:val="26"/>
            <w:u w:val="single"/>
            <w:rtl/>
          </w:rPr>
          <w:t>"</w:t>
        </w:r>
        <w:r w:rsidRPr="005048E5">
          <w:rPr>
            <w:rFonts w:hint="cs"/>
            <w:color w:val="0000FF"/>
            <w:sz w:val="26"/>
            <w:szCs w:val="26"/>
            <w:u w:val="single"/>
            <w:rtl/>
          </w:rPr>
          <w:t>פ</w:t>
        </w:r>
        <w:r w:rsidRPr="005048E5">
          <w:rPr>
            <w:color w:val="0000FF"/>
            <w:sz w:val="26"/>
            <w:szCs w:val="26"/>
            <w:u w:val="single"/>
            <w:rtl/>
          </w:rPr>
          <w:t xml:space="preserve"> 1623/14</w:t>
        </w:r>
      </w:hyperlink>
      <w:r w:rsidR="00B61B44" w:rsidRPr="002C383D">
        <w:rPr>
          <w:rFonts w:hint="cs"/>
          <w:sz w:val="26"/>
          <w:szCs w:val="26"/>
          <w:rtl/>
        </w:rPr>
        <w:t xml:space="preserve"> </w:t>
      </w:r>
      <w:r w:rsidR="00B61B44" w:rsidRPr="002C383D">
        <w:rPr>
          <w:rFonts w:hint="cs"/>
          <w:b/>
          <w:bCs/>
          <w:sz w:val="26"/>
          <w:szCs w:val="26"/>
          <w:rtl/>
        </w:rPr>
        <w:t>סיראג גבארה נ' מדינת ישראל</w:t>
      </w:r>
      <w:r w:rsidR="00B61B44" w:rsidRPr="002C383D">
        <w:rPr>
          <w:rFonts w:hint="cs"/>
          <w:sz w:val="26"/>
          <w:szCs w:val="26"/>
          <w:rtl/>
        </w:rPr>
        <w:t xml:space="preserve">, (01.04.2014) (להלן: </w:t>
      </w:r>
      <w:r w:rsidR="00B61B44" w:rsidRPr="002C383D">
        <w:rPr>
          <w:rFonts w:hint="cs"/>
          <w:b/>
          <w:bCs/>
          <w:sz w:val="26"/>
          <w:szCs w:val="26"/>
          <w:rtl/>
        </w:rPr>
        <w:t>"עניין גבארה"</w:t>
      </w:r>
      <w:r w:rsidR="00B61B44" w:rsidRPr="002C383D">
        <w:rPr>
          <w:rFonts w:hint="cs"/>
          <w:sz w:val="26"/>
          <w:szCs w:val="26"/>
          <w:rtl/>
        </w:rPr>
        <w:t xml:space="preserve">), שם דובר בנאשם אשר הורשע בעבירה אחת של סיוע לסחר, בכך שסייע לאחר למכור לסוכן משטרתי חצי פלטת חשיש במחיר של 1,300 ₪. לאחר שבית המשפט דחה את עתירתו של הנאשם להימנע מהרשעתו, נקבע כי </w:t>
      </w:r>
      <w:r w:rsidR="00B61B44" w:rsidRPr="002C383D">
        <w:rPr>
          <w:rFonts w:hint="cs"/>
          <w:b/>
          <w:bCs/>
          <w:sz w:val="26"/>
          <w:szCs w:val="26"/>
          <w:rtl/>
        </w:rPr>
        <w:t>מתחם העונש ההולם במקרה הנדון נע בין מאסר קצר שניתן לרצות בעבודות שירות לבין מאסר בפועל לתקופה קצרה. לבסוף, על הנאשם הושתו עונש בדמות צו של"צ, קנס בסך 2,000 ₪ ומאסר מותנה</w:t>
      </w:r>
      <w:r w:rsidR="00B61B44" w:rsidRPr="002C383D">
        <w:rPr>
          <w:rFonts w:hint="cs"/>
          <w:sz w:val="26"/>
          <w:szCs w:val="26"/>
          <w:rtl/>
        </w:rPr>
        <w:t xml:space="preserve"> (בא כוח הנאשם הפנה לפסק דינו של בית המשפט המחוזי בתיק זה).</w:t>
      </w:r>
    </w:p>
    <w:p w14:paraId="2C535670" w14:textId="77777777" w:rsidR="00B61B44" w:rsidRPr="002C383D" w:rsidRDefault="007528FB" w:rsidP="00B61B44">
      <w:pPr>
        <w:pStyle w:val="ListParagraph"/>
        <w:spacing w:after="200"/>
        <w:ind w:left="-58" w:firstLine="0"/>
        <w:contextualSpacing w:val="0"/>
        <w:rPr>
          <w:b/>
          <w:bCs/>
          <w:sz w:val="26"/>
          <w:szCs w:val="26"/>
          <w:rtl/>
        </w:rPr>
      </w:pPr>
      <w:hyperlink r:id="rId32" w:history="1">
        <w:r w:rsidRPr="007528FB">
          <w:rPr>
            <w:rStyle w:val="Hyperlink"/>
            <w:rFonts w:hint="eastAsia"/>
            <w:sz w:val="26"/>
            <w:szCs w:val="26"/>
            <w:rtl/>
          </w:rPr>
          <w:t>עפ</w:t>
        </w:r>
        <w:r w:rsidRPr="007528FB">
          <w:rPr>
            <w:rStyle w:val="Hyperlink"/>
            <w:sz w:val="26"/>
            <w:szCs w:val="26"/>
            <w:rtl/>
          </w:rPr>
          <w:t xml:space="preserve">"ג (מחוזי חיפה) 53901-05-1 </w:t>
        </w:r>
      </w:hyperlink>
      <w:r w:rsidR="00B61B44" w:rsidRPr="002C383D">
        <w:rPr>
          <w:rFonts w:hint="cs"/>
          <w:sz w:val="26"/>
          <w:szCs w:val="26"/>
          <w:rtl/>
        </w:rPr>
        <w:t xml:space="preserve"> </w:t>
      </w:r>
      <w:r w:rsidR="00B61B44" w:rsidRPr="002C383D">
        <w:rPr>
          <w:rFonts w:hint="cs"/>
          <w:b/>
          <w:bCs/>
          <w:sz w:val="26"/>
          <w:szCs w:val="26"/>
          <w:rtl/>
        </w:rPr>
        <w:t>הילה איטאח נ' מדינת ישראל</w:t>
      </w:r>
      <w:r w:rsidR="00B61B44" w:rsidRPr="002C383D">
        <w:rPr>
          <w:rFonts w:hint="cs"/>
          <w:sz w:val="26"/>
          <w:szCs w:val="26"/>
          <w:rtl/>
        </w:rPr>
        <w:t xml:space="preserve">, (20.07.2015), שם דובר בנאשמת אשר הורשעה בעבירות של סיוע לסחר וסיוע להחזקת סם שלא לצריכה עצמית. כמתואר בגזר הדין, הנאשמת סייעה במהלך מספר חודשים לאחר לסחור בסמים מסוכנים מסוג חשיש ומריחואנה, בכך שהסיעה אותו מספר פעמים ברכבה למקומות אליהם הוא כיוון אותה, ושם הוא סחר בסמים. תמורת כל הסעה קיבלה הנאשמת סך של 400 ש"ח. בית המשפט קבע כי </w:t>
      </w:r>
      <w:r w:rsidR="00B61B44" w:rsidRPr="002C383D">
        <w:rPr>
          <w:rFonts w:hint="cs"/>
          <w:b/>
          <w:bCs/>
          <w:sz w:val="26"/>
          <w:szCs w:val="26"/>
          <w:rtl/>
        </w:rPr>
        <w:t>מתחם העונש ההולם במקרה הנדון נע בין 6 חודשי מאסר שניתן לריצוי בעבודות שירות לבין 18 חודשי מאסר</w:t>
      </w:r>
      <w:r w:rsidR="00B61B44" w:rsidRPr="002C383D">
        <w:rPr>
          <w:rFonts w:hint="cs"/>
          <w:sz w:val="26"/>
          <w:szCs w:val="26"/>
          <w:rtl/>
        </w:rPr>
        <w:t xml:space="preserve">. לנוכח שיקולי שיקום, בית המשפט מצא לנכון לסטות לקולא מהמתחם אשר נקבע, אך דחה את עתירתה של הנאשמת להורות על ביטול הרשעתה. בסופו של דבר, בית המשפט גזר על הנאשמת עונשים בדמות </w:t>
      </w:r>
      <w:r w:rsidR="00B61B44" w:rsidRPr="002C383D">
        <w:rPr>
          <w:rFonts w:hint="cs"/>
          <w:b/>
          <w:bCs/>
          <w:sz w:val="26"/>
          <w:szCs w:val="26"/>
          <w:rtl/>
        </w:rPr>
        <w:t>צו של"צ וצו מבחן.</w:t>
      </w:r>
    </w:p>
    <w:p w14:paraId="1427C27C" w14:textId="77777777" w:rsidR="00B61B44" w:rsidRPr="002C383D" w:rsidRDefault="005048E5" w:rsidP="00B61B44">
      <w:pPr>
        <w:pStyle w:val="ListParagraph"/>
        <w:spacing w:after="200"/>
        <w:ind w:left="-58" w:firstLine="0"/>
        <w:contextualSpacing w:val="0"/>
        <w:rPr>
          <w:sz w:val="26"/>
          <w:szCs w:val="26"/>
          <w:rtl/>
        </w:rPr>
      </w:pPr>
      <w:hyperlink r:id="rId33" w:history="1">
        <w:r w:rsidRPr="005048E5">
          <w:rPr>
            <w:rFonts w:hint="cs"/>
            <w:color w:val="0000FF"/>
            <w:sz w:val="26"/>
            <w:szCs w:val="26"/>
            <w:u w:val="single"/>
            <w:rtl/>
          </w:rPr>
          <w:t>ת</w:t>
        </w:r>
        <w:r w:rsidRPr="005048E5">
          <w:rPr>
            <w:color w:val="0000FF"/>
            <w:sz w:val="26"/>
            <w:szCs w:val="26"/>
            <w:u w:val="single"/>
            <w:rtl/>
          </w:rPr>
          <w:t>"</w:t>
        </w:r>
        <w:r w:rsidRPr="005048E5">
          <w:rPr>
            <w:rFonts w:hint="cs"/>
            <w:color w:val="0000FF"/>
            <w:sz w:val="26"/>
            <w:szCs w:val="26"/>
            <w:u w:val="single"/>
            <w:rtl/>
          </w:rPr>
          <w:t>פ</w:t>
        </w:r>
        <w:r w:rsidRPr="005048E5">
          <w:rPr>
            <w:color w:val="0000FF"/>
            <w:sz w:val="26"/>
            <w:szCs w:val="26"/>
            <w:u w:val="single"/>
            <w:rtl/>
          </w:rPr>
          <w:t xml:space="preserve"> (</w:t>
        </w:r>
        <w:r w:rsidRPr="005048E5">
          <w:rPr>
            <w:rFonts w:hint="cs"/>
            <w:color w:val="0000FF"/>
            <w:sz w:val="26"/>
            <w:szCs w:val="26"/>
            <w:u w:val="single"/>
            <w:rtl/>
          </w:rPr>
          <w:t>שלום</w:t>
        </w:r>
        <w:r w:rsidRPr="005048E5">
          <w:rPr>
            <w:color w:val="0000FF"/>
            <w:sz w:val="26"/>
            <w:szCs w:val="26"/>
            <w:u w:val="single"/>
            <w:rtl/>
          </w:rPr>
          <w:t xml:space="preserve"> </w:t>
        </w:r>
        <w:r w:rsidRPr="005048E5">
          <w:rPr>
            <w:rFonts w:hint="cs"/>
            <w:color w:val="0000FF"/>
            <w:sz w:val="26"/>
            <w:szCs w:val="26"/>
            <w:u w:val="single"/>
            <w:rtl/>
          </w:rPr>
          <w:t>תל</w:t>
        </w:r>
        <w:r w:rsidRPr="005048E5">
          <w:rPr>
            <w:color w:val="0000FF"/>
            <w:sz w:val="26"/>
            <w:szCs w:val="26"/>
            <w:u w:val="single"/>
            <w:rtl/>
          </w:rPr>
          <w:t xml:space="preserve"> </w:t>
        </w:r>
        <w:r w:rsidRPr="005048E5">
          <w:rPr>
            <w:rFonts w:hint="cs"/>
            <w:color w:val="0000FF"/>
            <w:sz w:val="26"/>
            <w:szCs w:val="26"/>
            <w:u w:val="single"/>
            <w:rtl/>
          </w:rPr>
          <w:t>אביב</w:t>
        </w:r>
        <w:r w:rsidRPr="005048E5">
          <w:rPr>
            <w:color w:val="0000FF"/>
            <w:sz w:val="26"/>
            <w:szCs w:val="26"/>
            <w:u w:val="single"/>
            <w:rtl/>
          </w:rPr>
          <w:t xml:space="preserve"> </w:t>
        </w:r>
        <w:r w:rsidRPr="005048E5">
          <w:rPr>
            <w:rFonts w:hint="cs"/>
            <w:color w:val="0000FF"/>
            <w:sz w:val="26"/>
            <w:szCs w:val="26"/>
            <w:u w:val="single"/>
            <w:rtl/>
          </w:rPr>
          <w:t>יפו</w:t>
        </w:r>
        <w:r w:rsidRPr="005048E5">
          <w:rPr>
            <w:color w:val="0000FF"/>
            <w:sz w:val="26"/>
            <w:szCs w:val="26"/>
            <w:u w:val="single"/>
            <w:rtl/>
          </w:rPr>
          <w:t>) 30582-09-13</w:t>
        </w:r>
      </w:hyperlink>
      <w:r w:rsidR="00B61B44" w:rsidRPr="002C383D">
        <w:rPr>
          <w:rFonts w:hint="cs"/>
          <w:sz w:val="26"/>
          <w:szCs w:val="26"/>
          <w:rtl/>
        </w:rPr>
        <w:t xml:space="preserve"> </w:t>
      </w:r>
      <w:r w:rsidR="00B61B44" w:rsidRPr="002C383D">
        <w:rPr>
          <w:rFonts w:hint="cs"/>
          <w:b/>
          <w:bCs/>
          <w:sz w:val="26"/>
          <w:szCs w:val="26"/>
          <w:rtl/>
        </w:rPr>
        <w:t>מדינת ישראל נ' מרדכי מור בוסקילה</w:t>
      </w:r>
      <w:r w:rsidR="00B61B44" w:rsidRPr="002C383D">
        <w:rPr>
          <w:rFonts w:hint="cs"/>
          <w:sz w:val="26"/>
          <w:szCs w:val="26"/>
          <w:rtl/>
        </w:rPr>
        <w:t xml:space="preserve">, (13.04.2016), שם דובר בנאשם אשר הורשע בעבירה של סיוע לסחר, בכך שמכר בצוותא חדא לסוכנת משטרתית סם מסוכן מסוג חשיש במשקל 9.89 גרם בתמורה לסך של 400 ₪. נקבע כי </w:t>
      </w:r>
      <w:r w:rsidR="00B61B44" w:rsidRPr="002C383D">
        <w:rPr>
          <w:rFonts w:hint="cs"/>
          <w:b/>
          <w:bCs/>
          <w:sz w:val="26"/>
          <w:szCs w:val="26"/>
          <w:rtl/>
        </w:rPr>
        <w:t>במקרה הנדון נע מתחם העונש ההולם בין מאסר מותנה לצד צו של"צ לבין 8 חודשי מאסר בפועל, והושתו על הנאשם עונשים בדמות צו של"צ, קנס בסך 1,500 ₪, מאסר מותנה והתחייבות</w:t>
      </w:r>
      <w:r w:rsidR="00B61B44" w:rsidRPr="002C383D">
        <w:rPr>
          <w:rFonts w:hint="cs"/>
          <w:sz w:val="26"/>
          <w:szCs w:val="26"/>
          <w:rtl/>
        </w:rPr>
        <w:t>.</w:t>
      </w:r>
    </w:p>
    <w:p w14:paraId="545CC093" w14:textId="77777777" w:rsidR="00B61B44" w:rsidRPr="002C383D" w:rsidRDefault="00B61B44" w:rsidP="00B61B44">
      <w:pPr>
        <w:pStyle w:val="ListParagraph"/>
        <w:spacing w:after="200"/>
        <w:ind w:left="-58" w:firstLine="0"/>
        <w:contextualSpacing w:val="0"/>
        <w:rPr>
          <w:sz w:val="26"/>
          <w:szCs w:val="26"/>
          <w:rtl/>
        </w:rPr>
      </w:pPr>
      <w:r w:rsidRPr="002C383D">
        <w:rPr>
          <w:rFonts w:hint="cs"/>
          <w:sz w:val="26"/>
          <w:szCs w:val="26"/>
          <w:rtl/>
        </w:rPr>
        <w:t xml:space="preserve">עוד ראו </w:t>
      </w:r>
      <w:hyperlink r:id="rId34" w:history="1">
        <w:r w:rsidR="005048E5" w:rsidRPr="005048E5">
          <w:rPr>
            <w:rFonts w:hint="cs"/>
            <w:color w:val="0000FF"/>
            <w:sz w:val="26"/>
            <w:szCs w:val="26"/>
            <w:u w:val="single"/>
            <w:rtl/>
          </w:rPr>
          <w:t>ת</w:t>
        </w:r>
        <w:r w:rsidR="005048E5" w:rsidRPr="005048E5">
          <w:rPr>
            <w:color w:val="0000FF"/>
            <w:sz w:val="26"/>
            <w:szCs w:val="26"/>
            <w:u w:val="single"/>
            <w:rtl/>
          </w:rPr>
          <w:t>"</w:t>
        </w:r>
        <w:r w:rsidR="005048E5" w:rsidRPr="005048E5">
          <w:rPr>
            <w:rFonts w:hint="cs"/>
            <w:color w:val="0000FF"/>
            <w:sz w:val="26"/>
            <w:szCs w:val="26"/>
            <w:u w:val="single"/>
            <w:rtl/>
          </w:rPr>
          <w:t>פ</w:t>
        </w:r>
        <w:r w:rsidR="005048E5" w:rsidRPr="005048E5">
          <w:rPr>
            <w:color w:val="0000FF"/>
            <w:sz w:val="26"/>
            <w:szCs w:val="26"/>
            <w:u w:val="single"/>
            <w:rtl/>
          </w:rPr>
          <w:t xml:space="preserve"> (</w:t>
        </w:r>
        <w:r w:rsidR="005048E5" w:rsidRPr="005048E5">
          <w:rPr>
            <w:rFonts w:hint="cs"/>
            <w:color w:val="0000FF"/>
            <w:sz w:val="26"/>
            <w:szCs w:val="26"/>
            <w:u w:val="single"/>
            <w:rtl/>
          </w:rPr>
          <w:t>שלום</w:t>
        </w:r>
        <w:r w:rsidR="005048E5" w:rsidRPr="005048E5">
          <w:rPr>
            <w:color w:val="0000FF"/>
            <w:sz w:val="26"/>
            <w:szCs w:val="26"/>
            <w:u w:val="single"/>
            <w:rtl/>
          </w:rPr>
          <w:t xml:space="preserve"> </w:t>
        </w:r>
        <w:r w:rsidR="005048E5" w:rsidRPr="005048E5">
          <w:rPr>
            <w:rFonts w:hint="cs"/>
            <w:color w:val="0000FF"/>
            <w:sz w:val="26"/>
            <w:szCs w:val="26"/>
            <w:u w:val="single"/>
            <w:rtl/>
          </w:rPr>
          <w:t>ירושלים</w:t>
        </w:r>
        <w:r w:rsidR="005048E5" w:rsidRPr="005048E5">
          <w:rPr>
            <w:color w:val="0000FF"/>
            <w:sz w:val="26"/>
            <w:szCs w:val="26"/>
            <w:u w:val="single"/>
            <w:rtl/>
          </w:rPr>
          <w:t>) 520-05-14</w:t>
        </w:r>
      </w:hyperlink>
      <w:r w:rsidRPr="002C383D">
        <w:rPr>
          <w:rFonts w:hint="cs"/>
          <w:sz w:val="26"/>
          <w:szCs w:val="26"/>
          <w:u w:val="single"/>
          <w:rtl/>
        </w:rPr>
        <w:t>‏</w:t>
      </w:r>
      <w:r w:rsidRPr="002C383D">
        <w:rPr>
          <w:rFonts w:hint="cs"/>
          <w:sz w:val="26"/>
          <w:szCs w:val="26"/>
          <w:rtl/>
        </w:rPr>
        <w:t xml:space="preserve"> ‏</w:t>
      </w:r>
      <w:r w:rsidRPr="002C383D">
        <w:rPr>
          <w:rFonts w:hint="cs"/>
          <w:b/>
          <w:bCs/>
          <w:sz w:val="26"/>
          <w:szCs w:val="26"/>
          <w:rtl/>
        </w:rPr>
        <w:t>מדינת ישראל נ' שי מברטה אמברבר</w:t>
      </w:r>
      <w:r w:rsidRPr="002C383D">
        <w:rPr>
          <w:rFonts w:hint="cs"/>
          <w:sz w:val="26"/>
          <w:szCs w:val="26"/>
          <w:rtl/>
        </w:rPr>
        <w:t>, (10.05.2015).</w:t>
      </w:r>
    </w:p>
    <w:p w14:paraId="0554A3B8" w14:textId="77777777" w:rsidR="00B61B44" w:rsidRPr="002C383D" w:rsidRDefault="00B61B44" w:rsidP="00B61B44">
      <w:pPr>
        <w:pStyle w:val="ListParagraph"/>
        <w:numPr>
          <w:ilvl w:val="0"/>
          <w:numId w:val="2"/>
        </w:numPr>
        <w:spacing w:after="200"/>
        <w:ind w:left="-58"/>
        <w:contextualSpacing w:val="0"/>
        <w:rPr>
          <w:sz w:val="26"/>
          <w:szCs w:val="26"/>
        </w:rPr>
      </w:pPr>
      <w:r w:rsidRPr="002C383D">
        <w:rPr>
          <w:rFonts w:hint="cs"/>
          <w:sz w:val="26"/>
          <w:szCs w:val="26"/>
          <w:rtl/>
        </w:rPr>
        <w:t>לסיכומה של נקודה זו, סבורתני כי מקום בו מדובר במעשה סיוע יחיד לסחר בסם מסוג קנבוס במשקל של גרם אחד בודד, שנמכר בתמורה לעשרות שקלים או לכל היותר בסכום שאינו עולה על 100 ₪, ובייחוד כאשר ניכר שחלקו של הנאשם ו"תרומתו" להתגשמותו של הסחר אינם גדולים ואף מינוריים, כאשר הוא איננו המוח המניע את הרעיון העברייני ולא זה שעמד מאחורי תכנון העבירות, הרי שניתן לקבוע מתחם עונש הולם שהרף התחתון שלו אינו כולל רכיב של מאסר בפועל. מנגד, הגם שהמאשימה לא עתרה לקביעת רף עליון מחמיר מזה, שוכנעתי כי אין מקום לקבוע מתחם עונש צר, שהרף העליון שלו הוא 6 חודשי מאסר בלבד.</w:t>
      </w:r>
    </w:p>
    <w:p w14:paraId="1B1974EE" w14:textId="77777777" w:rsidR="00B61B44" w:rsidRPr="002C383D" w:rsidRDefault="00B61B44" w:rsidP="00B61B44">
      <w:pPr>
        <w:pStyle w:val="ListParagraph"/>
        <w:spacing w:after="200"/>
        <w:ind w:left="-58" w:firstLine="0"/>
        <w:contextualSpacing w:val="0"/>
        <w:rPr>
          <w:sz w:val="26"/>
          <w:szCs w:val="26"/>
        </w:rPr>
      </w:pPr>
      <w:r w:rsidRPr="002C383D">
        <w:rPr>
          <w:rFonts w:hint="cs"/>
          <w:b/>
          <w:bCs/>
          <w:sz w:val="26"/>
          <w:szCs w:val="26"/>
          <w:rtl/>
        </w:rPr>
        <w:t>לאור כל האמור, הריני לקבוע כי מתחם העונש ההולם במקרה הנדון ינוע בין מאסר מותנה לצד של"צ בהיקף נרחב לבין 9 חודשי מאסר בפועל, לצד קנס הנע בין 750 ל- 3,000 ₪</w:t>
      </w:r>
      <w:r w:rsidRPr="002C383D">
        <w:rPr>
          <w:rFonts w:hint="cs"/>
          <w:sz w:val="26"/>
          <w:szCs w:val="26"/>
          <w:rtl/>
        </w:rPr>
        <w:t xml:space="preserve">. </w:t>
      </w:r>
    </w:p>
    <w:p w14:paraId="3AA792F2" w14:textId="77777777" w:rsidR="00B61B44" w:rsidRPr="002C383D" w:rsidRDefault="00B61B44" w:rsidP="00B61B44">
      <w:pPr>
        <w:spacing w:after="200" w:line="360" w:lineRule="auto"/>
        <w:ind w:firstLine="5"/>
        <w:jc w:val="both"/>
        <w:rPr>
          <w:sz w:val="26"/>
          <w:szCs w:val="26"/>
          <w:rtl/>
        </w:rPr>
      </w:pPr>
      <w:r w:rsidRPr="002C383D">
        <w:rPr>
          <w:rFonts w:hint="cs"/>
          <w:sz w:val="26"/>
          <w:szCs w:val="26"/>
          <w:rtl/>
        </w:rPr>
        <w:t xml:space="preserve">בשוליה של נקודה זו, מצאתי לציין כי עתירתה של המאשימה לקבוע בצורה אוטומטית כי מתחם העונש ההולם בעבירה של סיוע לסחר בסם מסוכן הינו מחצית מהמתחם שהיה נקבע אילו היה מדובר בעבירה של סחר בסם, עלולה לעורר קושי מסוים. אכן, לפי </w:t>
      </w:r>
      <w:hyperlink r:id="rId35" w:history="1">
        <w:r w:rsidR="00627056" w:rsidRPr="00627056">
          <w:rPr>
            <w:color w:val="0000FF"/>
            <w:sz w:val="26"/>
            <w:szCs w:val="26"/>
            <w:u w:val="single"/>
            <w:rtl/>
          </w:rPr>
          <w:t>סעיף 32</w:t>
        </w:r>
      </w:hyperlink>
      <w:r w:rsidRPr="002C383D">
        <w:rPr>
          <w:rFonts w:hint="cs"/>
          <w:sz w:val="26"/>
          <w:szCs w:val="26"/>
          <w:rtl/>
        </w:rPr>
        <w:t xml:space="preserve"> לחוק, עונשו של המסייע לעבור עבירה הינו מחצית העונש שנקבע בחיקוק בשל ביצועה העיקרי. אולם, ברי כי כשם שעונשו של כל נאשם בסיוע לעבירה זו אחרת צריך להיבחן לגופו, כך גם קביעת מתחם העונש ההולם בעניינו צריכה להיעשות בהתאם לכלל הפרמטרים הנקובים </w:t>
      </w:r>
      <w:hyperlink r:id="rId36" w:history="1">
        <w:r w:rsidR="00627056" w:rsidRPr="00627056">
          <w:rPr>
            <w:color w:val="0000FF"/>
            <w:sz w:val="26"/>
            <w:szCs w:val="26"/>
            <w:u w:val="single"/>
            <w:rtl/>
          </w:rPr>
          <w:t>בסעיף 40ג(א)</w:t>
        </w:r>
      </w:hyperlink>
      <w:r w:rsidRPr="002C383D">
        <w:rPr>
          <w:rFonts w:hint="cs"/>
          <w:sz w:val="26"/>
          <w:szCs w:val="26"/>
          <w:rtl/>
        </w:rPr>
        <w:t xml:space="preserve"> לחוק, </w:t>
      </w:r>
      <w:r w:rsidRPr="002C383D">
        <w:rPr>
          <w:rFonts w:hint="cs"/>
          <w:b/>
          <w:bCs/>
          <w:sz w:val="26"/>
          <w:szCs w:val="26"/>
          <w:rtl/>
        </w:rPr>
        <w:t>ובשים לב למאפייניו ומרכיביו של מעשה הסיוע עצמו</w:t>
      </w:r>
      <w:r w:rsidRPr="002C383D">
        <w:rPr>
          <w:rFonts w:hint="cs"/>
          <w:sz w:val="26"/>
          <w:szCs w:val="26"/>
          <w:rtl/>
        </w:rPr>
        <w:t>. כך למשל, בהנחה שלעבירת סחר בסם בנסיבות מסוימות נקבע מתחם עונש הולם כזה או אחר, הרי שעדיין לא ניתן לומר בצורה אוטומטית ובאופן גורף שבגין כל סיוע באשר הוא לביצועהּ של אותה עבירה ייקבע מחצית מהמתחם האמור. זאת כאשר ברי כי אין דינו של סיוע בדמות הסעת המבצע העיקרי ברכב למקום ביצוע עסקת הסחר ועזרה במילוטו, למשל, כדין סיוע בדמות הַעֲבָרָה פיזית בלבד של הסם.</w:t>
      </w:r>
    </w:p>
    <w:p w14:paraId="49BD2881" w14:textId="77777777" w:rsidR="00B61B44" w:rsidRPr="002C383D" w:rsidRDefault="00B61B44" w:rsidP="00B61B44">
      <w:pPr>
        <w:pStyle w:val="1"/>
        <w:numPr>
          <w:ilvl w:val="0"/>
          <w:numId w:val="1"/>
        </w:numPr>
        <w:spacing w:after="200" w:line="288" w:lineRule="auto"/>
        <w:jc w:val="both"/>
        <w:rPr>
          <w:sz w:val="34"/>
          <w:szCs w:val="34"/>
          <w:rtl/>
        </w:rPr>
      </w:pPr>
      <w:r w:rsidRPr="002C383D">
        <w:rPr>
          <w:rFonts w:hint="cs"/>
          <w:sz w:val="34"/>
          <w:szCs w:val="34"/>
          <w:rtl/>
        </w:rPr>
        <w:t>שאלת ההרשעה</w:t>
      </w:r>
    </w:p>
    <w:p w14:paraId="78C7A77D" w14:textId="77777777" w:rsidR="00B61B44" w:rsidRPr="002C383D" w:rsidRDefault="00B61B44" w:rsidP="00B61B44">
      <w:pPr>
        <w:pStyle w:val="ListParagraph"/>
        <w:numPr>
          <w:ilvl w:val="0"/>
          <w:numId w:val="2"/>
        </w:numPr>
        <w:spacing w:after="200"/>
        <w:ind w:left="-57"/>
        <w:contextualSpacing w:val="0"/>
        <w:rPr>
          <w:sz w:val="26"/>
          <w:szCs w:val="26"/>
          <w:rtl/>
        </w:rPr>
      </w:pPr>
      <w:r w:rsidRPr="002C383D">
        <w:rPr>
          <w:rFonts w:eastAsia="Times New Roman" w:hint="cs"/>
          <w:sz w:val="26"/>
          <w:szCs w:val="26"/>
          <w:rtl/>
        </w:rPr>
        <w:t xml:space="preserve">על פי ההלכה הפסוקה, אשר לא שונתה בעקבות תיקון 113 לחוק, משהוכח ביצועה של עבירה יש להרשיע את הנאשם, וסיום ההליך המשפטי ללא הרשעה ייעשה </w:t>
      </w:r>
      <w:r w:rsidRPr="002C383D">
        <w:rPr>
          <w:rFonts w:eastAsia="Times New Roman" w:hint="cs"/>
          <w:b/>
          <w:bCs/>
          <w:sz w:val="26"/>
          <w:szCs w:val="26"/>
          <w:rtl/>
        </w:rPr>
        <w:t>רק במקרים חריגים שבחריגים</w:t>
      </w:r>
      <w:r w:rsidRPr="002C383D">
        <w:rPr>
          <w:rFonts w:eastAsia="Times New Roman" w:hint="cs"/>
          <w:sz w:val="26"/>
          <w:szCs w:val="26"/>
          <w:rtl/>
        </w:rPr>
        <w:t xml:space="preserve">, בהם קיים יחס שאיננו סביר בין חומרת העבירה לבין הנזק הצפוי לנאשם מן ההרשעה (ראו בעניין זה, למשל, </w:t>
      </w:r>
      <w:hyperlink r:id="rId37" w:history="1">
        <w:r w:rsidR="005048E5" w:rsidRPr="005048E5">
          <w:rPr>
            <w:rFonts w:eastAsia="Times New Roman" w:hint="eastAsia"/>
            <w:color w:val="0000FF"/>
            <w:sz w:val="26"/>
            <w:szCs w:val="26"/>
            <w:u w:val="single"/>
            <w:rtl/>
          </w:rPr>
          <w:t>רע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11476/04</w:t>
        </w:r>
      </w:hyperlink>
      <w:r w:rsidRPr="002C383D">
        <w:rPr>
          <w:rFonts w:eastAsia="Times New Roman" w:hint="cs"/>
          <w:sz w:val="26"/>
          <w:szCs w:val="26"/>
          <w:rtl/>
        </w:rPr>
        <w:t xml:space="preserve"> </w:t>
      </w:r>
      <w:r w:rsidRPr="002C383D">
        <w:rPr>
          <w:rFonts w:eastAsia="Times New Roman" w:hint="cs"/>
          <w:b/>
          <w:bCs/>
          <w:sz w:val="26"/>
          <w:szCs w:val="26"/>
          <w:rtl/>
        </w:rPr>
        <w:t>מדינת ישראל נ' חברת השקעות דיסקונט בע"מ</w:t>
      </w:r>
      <w:r w:rsidRPr="002C383D">
        <w:rPr>
          <w:rFonts w:eastAsia="Times New Roman" w:hint="cs"/>
          <w:sz w:val="26"/>
          <w:szCs w:val="26"/>
          <w:rtl/>
        </w:rPr>
        <w:t xml:space="preserve">, (14.04.2010); </w:t>
      </w:r>
      <w:hyperlink r:id="rId38" w:history="1">
        <w:r w:rsidR="005048E5" w:rsidRPr="005048E5">
          <w:rPr>
            <w:rFonts w:eastAsia="Times New Roman" w:hint="eastAsia"/>
            <w:color w:val="0000FF"/>
            <w:sz w:val="26"/>
            <w:szCs w:val="26"/>
            <w:u w:val="single"/>
            <w:rtl/>
          </w:rPr>
          <w:t>רע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5100/14</w:t>
        </w:r>
      </w:hyperlink>
      <w:r w:rsidRPr="002C383D">
        <w:rPr>
          <w:rFonts w:eastAsia="Times New Roman" w:hint="cs"/>
          <w:sz w:val="26"/>
          <w:szCs w:val="26"/>
          <w:rtl/>
        </w:rPr>
        <w:t xml:space="preserve"> </w:t>
      </w:r>
      <w:r w:rsidRPr="002C383D">
        <w:rPr>
          <w:rFonts w:eastAsia="Times New Roman" w:hint="cs"/>
          <w:b/>
          <w:bCs/>
          <w:sz w:val="26"/>
          <w:szCs w:val="26"/>
          <w:rtl/>
        </w:rPr>
        <w:t>מסארווה נ' מדינת ישראל</w:t>
      </w:r>
      <w:r w:rsidRPr="002C383D">
        <w:rPr>
          <w:rFonts w:eastAsia="Times New Roman" w:hint="cs"/>
          <w:sz w:val="26"/>
          <w:szCs w:val="26"/>
          <w:rtl/>
        </w:rPr>
        <w:t xml:space="preserve">, (28.07.2014); </w:t>
      </w:r>
      <w:r w:rsidRPr="002C383D">
        <w:rPr>
          <w:rFonts w:eastAsia="Times New Roman" w:hint="cs"/>
          <w:sz w:val="26"/>
          <w:szCs w:val="26"/>
          <w:u w:val="single"/>
          <w:rtl/>
        </w:rPr>
        <w:t>ו</w:t>
      </w:r>
      <w:hyperlink r:id="rId39" w:history="1">
        <w:r w:rsidR="005048E5" w:rsidRPr="005048E5">
          <w:rPr>
            <w:rFonts w:eastAsia="Times New Roman" w:hint="eastAsia"/>
            <w:color w:val="0000FF"/>
            <w:sz w:val="26"/>
            <w:szCs w:val="26"/>
            <w:u w:val="single"/>
            <w:rtl/>
          </w:rPr>
          <w:t>רע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7224/14</w:t>
        </w:r>
      </w:hyperlink>
      <w:r w:rsidRPr="002C383D">
        <w:rPr>
          <w:rFonts w:eastAsia="Times New Roman" w:hint="cs"/>
          <w:sz w:val="26"/>
          <w:szCs w:val="26"/>
          <w:rtl/>
        </w:rPr>
        <w:t xml:space="preserve"> </w:t>
      </w:r>
      <w:r w:rsidRPr="002C383D">
        <w:rPr>
          <w:rFonts w:eastAsia="Times New Roman" w:hint="cs"/>
          <w:b/>
          <w:bCs/>
          <w:sz w:val="26"/>
          <w:szCs w:val="26"/>
          <w:rtl/>
        </w:rPr>
        <w:t>פרנסקי נ' מדינת ישראל</w:t>
      </w:r>
      <w:r w:rsidRPr="002C383D">
        <w:rPr>
          <w:rFonts w:eastAsia="Times New Roman" w:hint="cs"/>
          <w:sz w:val="26"/>
          <w:szCs w:val="26"/>
          <w:rtl/>
        </w:rPr>
        <w:t>, (10.11.2014))</w:t>
      </w:r>
      <w:r w:rsidRPr="002C383D">
        <w:rPr>
          <w:rFonts w:hint="cs"/>
          <w:sz w:val="26"/>
          <w:szCs w:val="26"/>
          <w:rtl/>
        </w:rPr>
        <w:t>.</w:t>
      </w:r>
      <w:r w:rsidRPr="002C383D">
        <w:rPr>
          <w:rFonts w:eastAsia="Times New Roman" w:hint="cs"/>
          <w:sz w:val="26"/>
          <w:szCs w:val="26"/>
          <w:rtl/>
        </w:rPr>
        <w:t xml:space="preserve"> זאת ועוד, בפסיקה המנחה בשאלת הימנעות מהרשעה נקבע כי זו מותנית בהצטבר שני גורמים: האחד, על ההרשעה לפגוע פגיעה חמורה בשיקום הנאשם והשני, סוג העבירה מאפשר ביטול ההרשעה מבלי לפגוע באופן מהותי בשיקולי ענישה אחרים (לעניין זה ראו: </w:t>
      </w:r>
      <w:hyperlink r:id="rId40" w:history="1">
        <w:r w:rsidR="005048E5" w:rsidRPr="005048E5">
          <w:rPr>
            <w:rFonts w:eastAsia="Times New Roman" w:hint="eastAsia"/>
            <w:color w:val="0000FF"/>
            <w:sz w:val="26"/>
            <w:szCs w:val="26"/>
            <w:u w:val="single"/>
            <w:rtl/>
          </w:rPr>
          <w:t>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2083/96 </w:t>
        </w:r>
        <w:r w:rsidR="005048E5" w:rsidRPr="005048E5">
          <w:rPr>
            <w:rFonts w:eastAsia="Times New Roman" w:hint="eastAsia"/>
            <w:color w:val="0000FF"/>
            <w:sz w:val="26"/>
            <w:szCs w:val="26"/>
            <w:u w:val="single"/>
            <w:rtl/>
          </w:rPr>
          <w:t>תמר</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כתב</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נ</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מדינת</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ישראל</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ד</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נב</w:t>
        </w:r>
      </w:hyperlink>
      <w:r w:rsidRPr="002C383D">
        <w:rPr>
          <w:rFonts w:eastAsia="Times New Roman" w:hint="cs"/>
          <w:sz w:val="26"/>
          <w:szCs w:val="26"/>
          <w:rtl/>
        </w:rPr>
        <w:t xml:space="preserve">(3) 337 (1997) (להלן: </w:t>
      </w:r>
      <w:r w:rsidRPr="002C383D">
        <w:rPr>
          <w:rFonts w:eastAsia="Times New Roman" w:hint="cs"/>
          <w:b/>
          <w:bCs/>
          <w:sz w:val="26"/>
          <w:szCs w:val="26"/>
          <w:rtl/>
        </w:rPr>
        <w:t>"פרשת כתב"</w:t>
      </w:r>
      <w:r w:rsidRPr="002C383D">
        <w:rPr>
          <w:rFonts w:eastAsia="Times New Roman" w:hint="cs"/>
          <w:sz w:val="26"/>
          <w:szCs w:val="26"/>
          <w:rtl/>
        </w:rPr>
        <w:t xml:space="preserve">); </w:t>
      </w:r>
      <w:hyperlink r:id="rId41" w:history="1">
        <w:r w:rsidR="005048E5" w:rsidRPr="005048E5">
          <w:rPr>
            <w:rFonts w:eastAsia="Times New Roman" w:hint="eastAsia"/>
            <w:color w:val="0000FF"/>
            <w:sz w:val="26"/>
            <w:szCs w:val="26"/>
            <w:u w:val="single"/>
            <w:rtl/>
          </w:rPr>
          <w:t>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2513/96 </w:t>
        </w:r>
        <w:r w:rsidR="005048E5" w:rsidRPr="005048E5">
          <w:rPr>
            <w:rFonts w:eastAsia="Times New Roman" w:hint="eastAsia"/>
            <w:color w:val="0000FF"/>
            <w:sz w:val="26"/>
            <w:szCs w:val="26"/>
            <w:u w:val="single"/>
            <w:rtl/>
          </w:rPr>
          <w:t>מדינת</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ישראל</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נ</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ויקטור</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שמש</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ד</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נ</w:t>
        </w:r>
      </w:hyperlink>
      <w:r w:rsidRPr="002C383D">
        <w:rPr>
          <w:rFonts w:eastAsia="Times New Roman" w:hint="cs"/>
          <w:sz w:val="26"/>
          <w:szCs w:val="26"/>
          <w:rtl/>
        </w:rPr>
        <w:t xml:space="preserve">(3) 682 (1996); </w:t>
      </w:r>
      <w:r w:rsidRPr="002C383D">
        <w:rPr>
          <w:rFonts w:eastAsia="Times New Roman" w:hint="cs"/>
          <w:sz w:val="26"/>
          <w:szCs w:val="26"/>
          <w:u w:val="single"/>
          <w:rtl/>
        </w:rPr>
        <w:t>ו</w:t>
      </w:r>
      <w:hyperlink r:id="rId42" w:history="1">
        <w:r w:rsidR="005048E5" w:rsidRPr="005048E5">
          <w:rPr>
            <w:rFonts w:eastAsia="Times New Roman" w:hint="eastAsia"/>
            <w:color w:val="0000FF"/>
            <w:sz w:val="26"/>
            <w:szCs w:val="26"/>
            <w:u w:val="single"/>
            <w:rtl/>
          </w:rPr>
          <w:t>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2669/00 </w:t>
        </w:r>
        <w:r w:rsidR="005048E5" w:rsidRPr="005048E5">
          <w:rPr>
            <w:rFonts w:eastAsia="Times New Roman" w:hint="eastAsia"/>
            <w:color w:val="0000FF"/>
            <w:sz w:val="26"/>
            <w:szCs w:val="26"/>
            <w:u w:val="single"/>
            <w:rtl/>
          </w:rPr>
          <w:t>מדינת</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ישראל</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נ</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פלוני</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ד</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נד</w:t>
        </w:r>
      </w:hyperlink>
      <w:r w:rsidRPr="002C383D">
        <w:rPr>
          <w:rFonts w:eastAsia="Times New Roman" w:hint="cs"/>
          <w:sz w:val="26"/>
          <w:szCs w:val="26"/>
          <w:rtl/>
        </w:rPr>
        <w:t>(3) 685, 690 (2000))</w:t>
      </w:r>
      <w:r w:rsidRPr="002C383D">
        <w:rPr>
          <w:rFonts w:hint="cs"/>
          <w:sz w:val="26"/>
          <w:szCs w:val="26"/>
          <w:rtl/>
        </w:rPr>
        <w:t>.</w:t>
      </w:r>
    </w:p>
    <w:p w14:paraId="1E716351" w14:textId="77777777" w:rsidR="00B61B44" w:rsidRPr="002C383D" w:rsidRDefault="00B61B44" w:rsidP="00B61B44">
      <w:pPr>
        <w:pStyle w:val="ListParagraph"/>
        <w:spacing w:after="200"/>
        <w:ind w:left="-57" w:firstLine="0"/>
        <w:contextualSpacing w:val="0"/>
        <w:rPr>
          <w:sz w:val="26"/>
          <w:szCs w:val="26"/>
        </w:rPr>
      </w:pPr>
      <w:r w:rsidRPr="002C383D">
        <w:rPr>
          <w:rFonts w:hint="cs"/>
          <w:sz w:val="26"/>
          <w:szCs w:val="26"/>
          <w:rtl/>
        </w:rPr>
        <w:t xml:space="preserve">עוד ניתן להפנות למבחני העזר בעניין זה, כפי שאלו פורטו </w:t>
      </w:r>
      <w:r w:rsidRPr="002C383D">
        <w:rPr>
          <w:rFonts w:hint="cs"/>
          <w:b/>
          <w:bCs/>
          <w:sz w:val="26"/>
          <w:szCs w:val="26"/>
          <w:rtl/>
        </w:rPr>
        <w:t>בפרשת כתב</w:t>
      </w:r>
      <w:r w:rsidRPr="002C383D">
        <w:rPr>
          <w:rFonts w:hint="cs"/>
          <w:sz w:val="26"/>
          <w:szCs w:val="26"/>
          <w:rtl/>
        </w:rPr>
        <w:t xml:space="preserve"> (בפסק דינו של כב' השופט ש' לוין) </w:t>
      </w:r>
      <w:r w:rsidRPr="002C383D">
        <w:rPr>
          <w:rFonts w:hint="cs"/>
          <w:sz w:val="26"/>
          <w:szCs w:val="26"/>
          <w:u w:val="single"/>
          <w:rtl/>
        </w:rPr>
        <w:t>וב</w:t>
      </w:r>
      <w:hyperlink r:id="rId43" w:history="1">
        <w:r w:rsidR="005048E5" w:rsidRPr="005048E5">
          <w:rPr>
            <w:rFonts w:hint="cs"/>
            <w:color w:val="0000FF"/>
            <w:sz w:val="26"/>
            <w:szCs w:val="26"/>
            <w:u w:val="single"/>
            <w:rtl/>
          </w:rPr>
          <w:t>ע</w:t>
        </w:r>
        <w:r w:rsidR="005048E5" w:rsidRPr="005048E5">
          <w:rPr>
            <w:color w:val="0000FF"/>
            <w:sz w:val="26"/>
            <w:szCs w:val="26"/>
            <w:u w:val="single"/>
            <w:rtl/>
          </w:rPr>
          <w:t>"</w:t>
        </w:r>
        <w:r w:rsidR="005048E5" w:rsidRPr="005048E5">
          <w:rPr>
            <w:rFonts w:hint="cs"/>
            <w:color w:val="0000FF"/>
            <w:sz w:val="26"/>
            <w:szCs w:val="26"/>
            <w:u w:val="single"/>
            <w:rtl/>
          </w:rPr>
          <w:t>פ</w:t>
        </w:r>
        <w:r w:rsidR="005048E5" w:rsidRPr="005048E5">
          <w:rPr>
            <w:color w:val="0000FF"/>
            <w:sz w:val="26"/>
            <w:szCs w:val="26"/>
            <w:u w:val="single"/>
            <w:rtl/>
          </w:rPr>
          <w:t xml:space="preserve"> 2669/00 </w:t>
        </w:r>
        <w:r w:rsidR="005048E5" w:rsidRPr="005048E5">
          <w:rPr>
            <w:rFonts w:hint="cs"/>
            <w:color w:val="0000FF"/>
            <w:sz w:val="26"/>
            <w:szCs w:val="26"/>
            <w:u w:val="single"/>
            <w:rtl/>
          </w:rPr>
          <w:t>מדינת</w:t>
        </w:r>
        <w:r w:rsidR="005048E5" w:rsidRPr="005048E5">
          <w:rPr>
            <w:color w:val="0000FF"/>
            <w:sz w:val="26"/>
            <w:szCs w:val="26"/>
            <w:u w:val="single"/>
            <w:rtl/>
          </w:rPr>
          <w:t xml:space="preserve"> </w:t>
        </w:r>
        <w:r w:rsidR="005048E5" w:rsidRPr="005048E5">
          <w:rPr>
            <w:rFonts w:hint="cs"/>
            <w:color w:val="0000FF"/>
            <w:sz w:val="26"/>
            <w:szCs w:val="26"/>
            <w:u w:val="single"/>
            <w:rtl/>
          </w:rPr>
          <w:t>ישראל</w:t>
        </w:r>
        <w:r w:rsidR="005048E5" w:rsidRPr="005048E5">
          <w:rPr>
            <w:color w:val="0000FF"/>
            <w:sz w:val="26"/>
            <w:szCs w:val="26"/>
            <w:u w:val="single"/>
            <w:rtl/>
          </w:rPr>
          <w:t xml:space="preserve"> </w:t>
        </w:r>
        <w:r w:rsidR="005048E5" w:rsidRPr="005048E5">
          <w:rPr>
            <w:rFonts w:hint="cs"/>
            <w:color w:val="0000FF"/>
            <w:sz w:val="26"/>
            <w:szCs w:val="26"/>
            <w:u w:val="single"/>
            <w:rtl/>
          </w:rPr>
          <w:t>נ</w:t>
        </w:r>
        <w:r w:rsidR="005048E5" w:rsidRPr="005048E5">
          <w:rPr>
            <w:color w:val="0000FF"/>
            <w:sz w:val="26"/>
            <w:szCs w:val="26"/>
            <w:u w:val="single"/>
            <w:rtl/>
          </w:rPr>
          <w:t xml:space="preserve">' </w:t>
        </w:r>
        <w:r w:rsidR="005048E5" w:rsidRPr="005048E5">
          <w:rPr>
            <w:rFonts w:hint="cs"/>
            <w:color w:val="0000FF"/>
            <w:sz w:val="26"/>
            <w:szCs w:val="26"/>
            <w:u w:val="single"/>
            <w:rtl/>
          </w:rPr>
          <w:t>פלוני</w:t>
        </w:r>
        <w:r w:rsidR="005048E5" w:rsidRPr="005048E5">
          <w:rPr>
            <w:color w:val="0000FF"/>
            <w:sz w:val="26"/>
            <w:szCs w:val="26"/>
            <w:u w:val="single"/>
            <w:rtl/>
          </w:rPr>
          <w:t xml:space="preserve">, </w:t>
        </w:r>
        <w:r w:rsidR="005048E5" w:rsidRPr="005048E5">
          <w:rPr>
            <w:rFonts w:hint="cs"/>
            <w:color w:val="0000FF"/>
            <w:sz w:val="26"/>
            <w:szCs w:val="26"/>
            <w:u w:val="single"/>
            <w:rtl/>
          </w:rPr>
          <w:t>פ</w:t>
        </w:r>
        <w:r w:rsidR="005048E5" w:rsidRPr="005048E5">
          <w:rPr>
            <w:color w:val="0000FF"/>
            <w:sz w:val="26"/>
            <w:szCs w:val="26"/>
            <w:u w:val="single"/>
            <w:rtl/>
          </w:rPr>
          <w:t>"</w:t>
        </w:r>
        <w:r w:rsidR="005048E5" w:rsidRPr="005048E5">
          <w:rPr>
            <w:rFonts w:hint="cs"/>
            <w:color w:val="0000FF"/>
            <w:sz w:val="26"/>
            <w:szCs w:val="26"/>
            <w:u w:val="single"/>
            <w:rtl/>
          </w:rPr>
          <w:t>ד</w:t>
        </w:r>
        <w:r w:rsidR="005048E5" w:rsidRPr="005048E5">
          <w:rPr>
            <w:color w:val="0000FF"/>
            <w:sz w:val="26"/>
            <w:szCs w:val="26"/>
            <w:u w:val="single"/>
            <w:rtl/>
          </w:rPr>
          <w:t xml:space="preserve"> </w:t>
        </w:r>
        <w:r w:rsidR="005048E5" w:rsidRPr="005048E5">
          <w:rPr>
            <w:rFonts w:hint="cs"/>
            <w:color w:val="0000FF"/>
            <w:sz w:val="26"/>
            <w:szCs w:val="26"/>
            <w:u w:val="single"/>
            <w:rtl/>
          </w:rPr>
          <w:t>נד</w:t>
        </w:r>
      </w:hyperlink>
      <w:r w:rsidRPr="002C383D">
        <w:rPr>
          <w:rFonts w:hint="cs"/>
          <w:sz w:val="26"/>
          <w:szCs w:val="26"/>
          <w:rtl/>
        </w:rPr>
        <w:t>(3) 685, 690 (2000).</w:t>
      </w:r>
    </w:p>
    <w:p w14:paraId="7EFBEC78" w14:textId="77777777" w:rsidR="00B61B44" w:rsidRPr="002C383D" w:rsidRDefault="00B61B44" w:rsidP="00B61B44">
      <w:pPr>
        <w:pStyle w:val="ListParagraph"/>
        <w:numPr>
          <w:ilvl w:val="0"/>
          <w:numId w:val="2"/>
        </w:numPr>
        <w:spacing w:after="200"/>
        <w:ind w:left="-57"/>
        <w:contextualSpacing w:val="0"/>
        <w:rPr>
          <w:sz w:val="26"/>
          <w:szCs w:val="26"/>
        </w:rPr>
      </w:pPr>
      <w:r w:rsidRPr="002C383D">
        <w:rPr>
          <w:rFonts w:hint="cs"/>
          <w:sz w:val="26"/>
          <w:szCs w:val="26"/>
          <w:rtl/>
        </w:rPr>
        <w:t xml:space="preserve">לאחר ששמעתי את טיעוני הצדדים, שוכנעתי כי מקרה זה </w:t>
      </w:r>
      <w:r w:rsidRPr="002C383D">
        <w:rPr>
          <w:rFonts w:hint="cs"/>
          <w:b/>
          <w:bCs/>
          <w:sz w:val="26"/>
          <w:szCs w:val="26"/>
          <w:rtl/>
        </w:rPr>
        <w:t>אינו</w:t>
      </w:r>
      <w:r w:rsidRPr="002C383D">
        <w:rPr>
          <w:rFonts w:hint="cs"/>
          <w:sz w:val="26"/>
          <w:szCs w:val="26"/>
          <w:rtl/>
        </w:rPr>
        <w:t xml:space="preserve"> נמנה בגדר אותם מקרים חריגים עליהם מדברת </w:t>
      </w:r>
      <w:r w:rsidRPr="002C383D">
        <w:rPr>
          <w:rFonts w:hint="cs"/>
          <w:b/>
          <w:bCs/>
          <w:sz w:val="26"/>
          <w:szCs w:val="26"/>
          <w:rtl/>
        </w:rPr>
        <w:t>הלכת כתב</w:t>
      </w:r>
      <w:r w:rsidRPr="002C383D">
        <w:rPr>
          <w:rFonts w:hint="cs"/>
          <w:sz w:val="26"/>
          <w:szCs w:val="26"/>
          <w:rtl/>
        </w:rPr>
        <w:t xml:space="preserve"> כמצדיקים סטייה מן הכלל, לפיו נאשם שעבר עבירה יורשע בדינו. </w:t>
      </w:r>
      <w:r w:rsidRPr="002C383D">
        <w:rPr>
          <w:rFonts w:hint="cs"/>
          <w:b/>
          <w:bCs/>
          <w:sz w:val="26"/>
          <w:szCs w:val="26"/>
          <w:rtl/>
        </w:rPr>
        <w:t>לא</w:t>
      </w:r>
      <w:r w:rsidRPr="002C383D">
        <w:rPr>
          <w:rFonts w:hint="cs"/>
          <w:sz w:val="26"/>
          <w:szCs w:val="26"/>
          <w:rtl/>
        </w:rPr>
        <w:t xml:space="preserve"> מצאתי כי עניינו של הנאשם נופל לגדר אותם "חריגים שבחריגים" וכי מתקיימות בו אותן נסיבות מיוחדות המצדיקות הימנעות מהרשעתו. למסקנתי זו הגעתי ממספר טעמים, שאפרטם להלן.</w:t>
      </w:r>
    </w:p>
    <w:p w14:paraId="21ABB3D4" w14:textId="77777777" w:rsidR="00B61B44" w:rsidRPr="002C383D" w:rsidRDefault="00B61B44" w:rsidP="00B61B44">
      <w:pPr>
        <w:pStyle w:val="ListParagraph"/>
        <w:numPr>
          <w:ilvl w:val="0"/>
          <w:numId w:val="2"/>
        </w:numPr>
        <w:spacing w:after="200"/>
        <w:ind w:left="-57"/>
        <w:contextualSpacing w:val="0"/>
        <w:rPr>
          <w:sz w:val="26"/>
          <w:szCs w:val="26"/>
        </w:rPr>
      </w:pPr>
      <w:r w:rsidRPr="002C383D">
        <w:rPr>
          <w:rFonts w:eastAsia="Times New Roman" w:hint="cs"/>
          <w:sz w:val="26"/>
          <w:szCs w:val="26"/>
          <w:rtl/>
        </w:rPr>
        <w:t>ראשית, הנאשם לא הוכיח ברמת ההוכחה הנדרשת כי הרשעה תפגע, לא כל שכן פגיעה חמורה, בתעסוקתו או בשיקומו</w:t>
      </w:r>
      <w:r w:rsidRPr="002C383D">
        <w:rPr>
          <w:rFonts w:hint="cs"/>
          <w:sz w:val="26"/>
          <w:szCs w:val="26"/>
          <w:rtl/>
        </w:rPr>
        <w:t>. לטענת ההגנה, לאור גילו הצעיר, הנאשם טרם גיבש עבור עצמו כוונות תעסוקתיות או לימודיות, כך שככל אדם בגילו, הוא אינו יכול להצביע על קיומו של נזק קונקרטי שייגרם לו אם יורשע בדינו. עוד נטען, כי בשל מעורבותו בעבירה שבמוקד כתב האישום, הנאשם לא גויס עד כה לצה"ל וכי הרשעתו בדין תביא לאי גיוסו גם בעתיד.</w:t>
      </w:r>
    </w:p>
    <w:p w14:paraId="531E85C9" w14:textId="77777777" w:rsidR="00B61B44" w:rsidRPr="002C383D" w:rsidRDefault="00B61B44" w:rsidP="00B61B44">
      <w:pPr>
        <w:pStyle w:val="ListParagraph"/>
        <w:spacing w:after="200"/>
        <w:ind w:left="-57" w:firstLine="0"/>
        <w:contextualSpacing w:val="0"/>
        <w:rPr>
          <w:rFonts w:eastAsia="Times New Roman"/>
          <w:sz w:val="26"/>
          <w:szCs w:val="26"/>
        </w:rPr>
      </w:pPr>
      <w:r w:rsidRPr="002C383D">
        <w:rPr>
          <w:rFonts w:hint="cs"/>
          <w:sz w:val="26"/>
          <w:szCs w:val="26"/>
          <w:rtl/>
        </w:rPr>
        <w:t xml:space="preserve">בעניין זה אציין, כי אכן לא נעלמה מעיני העובדה שהנאשם היה על סף הקטינות עת ביצע את העבירה, וכי כיום הוא </w:t>
      </w:r>
      <w:r w:rsidRPr="002C383D">
        <w:rPr>
          <w:rFonts w:eastAsia="Times New Roman" w:hint="cs"/>
          <w:sz w:val="26"/>
          <w:szCs w:val="26"/>
          <w:rtl/>
        </w:rPr>
        <w:t xml:space="preserve">נמנה עם קבוצת הגיל של ה"בגירים צעירים". הגם שכך, הרי שלא ניתן להניח באופן אפריורי כי הרשעה בהכרח תפגע בצורה מהותית בשיקומו או בעתידו התעסוקתי, וגם כשמדובר בנאשמים צעירים בגילם, ואפילו קטינים, עדיין לא נשלל מהם הצורך להוכיח קיומו של נזק קונקרטי, כתנאי להימנעות מהרשעתם. יפים לעניין זה דבריו של כב' השופט א' שהם </w:t>
      </w:r>
      <w:r w:rsidRPr="002C383D">
        <w:rPr>
          <w:rFonts w:hint="cs"/>
          <w:sz w:val="26"/>
          <w:szCs w:val="26"/>
          <w:u w:val="single"/>
          <w:rtl/>
        </w:rPr>
        <w:t>ב</w:t>
      </w:r>
      <w:hyperlink r:id="rId44" w:history="1">
        <w:r w:rsidR="005048E5" w:rsidRPr="005048E5">
          <w:rPr>
            <w:rFonts w:hint="cs"/>
            <w:color w:val="0000FF"/>
            <w:sz w:val="26"/>
            <w:szCs w:val="26"/>
            <w:u w:val="single"/>
            <w:rtl/>
          </w:rPr>
          <w:t>רע</w:t>
        </w:r>
        <w:r w:rsidR="005048E5" w:rsidRPr="005048E5">
          <w:rPr>
            <w:color w:val="0000FF"/>
            <w:sz w:val="26"/>
            <w:szCs w:val="26"/>
            <w:u w:val="single"/>
            <w:rtl/>
          </w:rPr>
          <w:t>"</w:t>
        </w:r>
        <w:r w:rsidR="005048E5" w:rsidRPr="005048E5">
          <w:rPr>
            <w:rFonts w:hint="cs"/>
            <w:color w:val="0000FF"/>
            <w:sz w:val="26"/>
            <w:szCs w:val="26"/>
            <w:u w:val="single"/>
            <w:rtl/>
          </w:rPr>
          <w:t>פ</w:t>
        </w:r>
        <w:r w:rsidR="005048E5" w:rsidRPr="005048E5">
          <w:rPr>
            <w:color w:val="0000FF"/>
            <w:sz w:val="26"/>
            <w:szCs w:val="26"/>
            <w:u w:val="single"/>
            <w:rtl/>
          </w:rPr>
          <w:t xml:space="preserve"> 2180/14</w:t>
        </w:r>
      </w:hyperlink>
      <w:r w:rsidRPr="002C383D">
        <w:rPr>
          <w:rFonts w:hint="cs"/>
          <w:sz w:val="26"/>
          <w:szCs w:val="26"/>
          <w:rtl/>
        </w:rPr>
        <w:t xml:space="preserve"> </w:t>
      </w:r>
      <w:r w:rsidRPr="002C383D">
        <w:rPr>
          <w:rFonts w:hint="cs"/>
          <w:b/>
          <w:bCs/>
          <w:sz w:val="26"/>
          <w:szCs w:val="26"/>
          <w:rtl/>
        </w:rPr>
        <w:t>ספיר שמואלי נ' מדינת ישראל,</w:t>
      </w:r>
      <w:r w:rsidRPr="002C383D">
        <w:rPr>
          <w:rFonts w:hint="cs"/>
          <w:sz w:val="26"/>
          <w:szCs w:val="26"/>
          <w:rtl/>
        </w:rPr>
        <w:t xml:space="preserve"> (24.04.2014) (להלן: </w:t>
      </w:r>
      <w:r w:rsidRPr="002C383D">
        <w:rPr>
          <w:rFonts w:hint="cs"/>
          <w:b/>
          <w:bCs/>
          <w:sz w:val="26"/>
          <w:szCs w:val="26"/>
          <w:rtl/>
        </w:rPr>
        <w:t>"עניין שמואלי"</w:t>
      </w:r>
      <w:r w:rsidRPr="002C383D">
        <w:rPr>
          <w:rFonts w:hint="cs"/>
          <w:sz w:val="26"/>
          <w:szCs w:val="26"/>
          <w:rtl/>
        </w:rPr>
        <w:t>):</w:t>
      </w:r>
    </w:p>
    <w:p w14:paraId="54FF4B95" w14:textId="77777777" w:rsidR="00B61B44" w:rsidRPr="002C383D" w:rsidRDefault="00B61B44" w:rsidP="00B61B44">
      <w:pPr>
        <w:pStyle w:val="ListParagraph"/>
        <w:tabs>
          <w:tab w:val="left" w:pos="8448"/>
        </w:tabs>
        <w:spacing w:after="200"/>
        <w:ind w:left="509" w:right="567" w:firstLine="0"/>
        <w:contextualSpacing w:val="0"/>
        <w:rPr>
          <w:rFonts w:eastAsia="Times New Roman"/>
          <w:sz w:val="26"/>
          <w:szCs w:val="26"/>
          <w:rtl/>
        </w:rPr>
      </w:pPr>
      <w:r w:rsidRPr="002C383D">
        <w:rPr>
          <w:rFonts w:eastAsia="Times New Roman" w:hint="cs"/>
          <w:sz w:val="26"/>
          <w:szCs w:val="26"/>
          <w:rtl/>
        </w:rPr>
        <w:t>"</w:t>
      </w:r>
      <w:r w:rsidRPr="002C383D">
        <w:rPr>
          <w:rFonts w:eastAsia="Times New Roman" w:hint="cs"/>
          <w:b/>
          <w:bCs/>
          <w:sz w:val="26"/>
          <w:szCs w:val="26"/>
          <w:rtl/>
        </w:rPr>
        <w:t>עוד יש להוסיף, כי בבחינת הנזק העלול להיגרם לנאשם, אין מקום להסתפק ב"תרחיש תיאורטי", ויש להצביע על קיומו של נזק מוחשי וקונקרטי אשר צפוי לנאשם כתוצאה מעצם ההרשעה... לשיטתי, אין מקום להניח כי כל הרשעה של קטין צפויה לפגוע, מניה וביה, באופן מהותי באפשרותו להשתקם, ולפיכך גם לגבי קטין, לא מתייתרת הדרישה להראות כי צפוי לנאשם נזק קונקרטי</w:t>
      </w:r>
      <w:r w:rsidRPr="002C383D">
        <w:rPr>
          <w:rFonts w:eastAsia="Times New Roman" w:hint="cs"/>
          <w:sz w:val="26"/>
          <w:szCs w:val="26"/>
          <w:rtl/>
        </w:rPr>
        <w:t>".</w:t>
      </w:r>
    </w:p>
    <w:p w14:paraId="61036B9E" w14:textId="77777777" w:rsidR="00B61B44" w:rsidRPr="002C383D" w:rsidRDefault="00B61B44" w:rsidP="00B61B44">
      <w:pPr>
        <w:tabs>
          <w:tab w:val="left" w:pos="8448"/>
        </w:tabs>
        <w:spacing w:after="200"/>
        <w:ind w:right="567"/>
        <w:jc w:val="both"/>
        <w:rPr>
          <w:sz w:val="26"/>
          <w:szCs w:val="26"/>
          <w:rtl/>
        </w:rPr>
      </w:pPr>
      <w:r w:rsidRPr="002C383D">
        <w:rPr>
          <w:rFonts w:hint="cs"/>
          <w:sz w:val="26"/>
          <w:szCs w:val="26"/>
          <w:rtl/>
        </w:rPr>
        <w:t>ובהמשך:</w:t>
      </w:r>
    </w:p>
    <w:p w14:paraId="5B447A18" w14:textId="77777777" w:rsidR="00B61B44" w:rsidRPr="002C383D" w:rsidRDefault="00B61B44" w:rsidP="00B61B44">
      <w:pPr>
        <w:pStyle w:val="ListParagraph"/>
        <w:spacing w:after="200"/>
        <w:ind w:left="509" w:right="567" w:firstLine="0"/>
        <w:contextualSpacing w:val="0"/>
        <w:rPr>
          <w:sz w:val="26"/>
          <w:szCs w:val="26"/>
          <w:rtl/>
        </w:rPr>
      </w:pPr>
      <w:r w:rsidRPr="002C383D">
        <w:rPr>
          <w:rFonts w:eastAsia="Times New Roman" w:hint="cs"/>
          <w:sz w:val="26"/>
          <w:szCs w:val="26"/>
          <w:rtl/>
        </w:rPr>
        <w:t>"</w:t>
      </w:r>
      <w:r w:rsidRPr="002C383D">
        <w:rPr>
          <w:rFonts w:eastAsia="Times New Roman" w:hint="cs"/>
          <w:b/>
          <w:bCs/>
          <w:sz w:val="26"/>
          <w:szCs w:val="26"/>
          <w:rtl/>
        </w:rPr>
        <w:t xml:space="preserve">די בכך שאזכיר, כי גם בנוגע להימנעות מהרשעתו של קטין, יש להראות כי ההרשעה תוביל לפגיעה מהותית וקונקרטית בעתידו או בשיקומו, כאמור. </w:t>
      </w:r>
      <w:r w:rsidRPr="002C383D">
        <w:rPr>
          <w:rFonts w:eastAsia="Times New Roman" w:hint="cs"/>
          <w:b/>
          <w:bCs/>
          <w:sz w:val="26"/>
          <w:szCs w:val="26"/>
          <w:u w:val="single"/>
          <w:rtl/>
        </w:rPr>
        <w:t>על אחת כמה וכמה, שדרישה זו עומדת בתוקפה כאשר מדובר בבגיר</w:t>
      </w:r>
      <w:r w:rsidRPr="002C383D">
        <w:rPr>
          <w:rFonts w:eastAsia="Times New Roman" w:hint="cs"/>
          <w:b/>
          <w:bCs/>
          <w:sz w:val="26"/>
          <w:szCs w:val="26"/>
          <w:rtl/>
        </w:rPr>
        <w:t xml:space="preserve"> [ההדגשה אינה במקור – נ.ש.מ], או ב'בגיר צעיר'</w:t>
      </w:r>
      <w:r w:rsidRPr="002C383D">
        <w:rPr>
          <w:rFonts w:eastAsia="Times New Roman" w:hint="cs"/>
          <w:sz w:val="26"/>
          <w:szCs w:val="26"/>
          <w:rtl/>
        </w:rPr>
        <w:t>".</w:t>
      </w:r>
    </w:p>
    <w:p w14:paraId="6D0CC18F" w14:textId="77777777" w:rsidR="00B61B44" w:rsidRPr="002C383D" w:rsidRDefault="00B61B44" w:rsidP="00B61B44">
      <w:pPr>
        <w:pStyle w:val="ListParagraph"/>
        <w:spacing w:after="200"/>
        <w:ind w:left="-57" w:firstLine="0"/>
        <w:contextualSpacing w:val="0"/>
        <w:rPr>
          <w:sz w:val="26"/>
          <w:szCs w:val="26"/>
        </w:rPr>
      </w:pPr>
      <w:r w:rsidRPr="002C383D">
        <w:rPr>
          <w:rFonts w:hint="cs"/>
          <w:sz w:val="26"/>
          <w:szCs w:val="26"/>
          <w:rtl/>
        </w:rPr>
        <w:t xml:space="preserve">ראו עוד: </w:t>
      </w:r>
      <w:r w:rsidRPr="002C383D">
        <w:rPr>
          <w:rFonts w:eastAsia="Times New Roman" w:hint="cs"/>
          <w:sz w:val="26"/>
          <w:szCs w:val="26"/>
          <w:rtl/>
        </w:rPr>
        <w:t xml:space="preserve">כן ראו בעניין זה: </w:t>
      </w:r>
      <w:hyperlink r:id="rId45" w:history="1">
        <w:r w:rsidR="005048E5" w:rsidRPr="005048E5">
          <w:rPr>
            <w:rFonts w:eastAsia="Times New Roman" w:hint="eastAsia"/>
            <w:color w:val="0000FF"/>
            <w:sz w:val="26"/>
            <w:szCs w:val="26"/>
            <w:u w:val="single"/>
            <w:rtl/>
          </w:rPr>
          <w:t>רע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2136/15</w:t>
        </w:r>
      </w:hyperlink>
      <w:r w:rsidRPr="002C383D">
        <w:rPr>
          <w:rFonts w:eastAsia="Times New Roman" w:hint="cs"/>
          <w:sz w:val="26"/>
          <w:szCs w:val="26"/>
          <w:rtl/>
        </w:rPr>
        <w:t xml:space="preserve"> </w:t>
      </w:r>
      <w:r w:rsidRPr="002C383D">
        <w:rPr>
          <w:rFonts w:eastAsia="Times New Roman" w:hint="cs"/>
          <w:b/>
          <w:bCs/>
          <w:sz w:val="26"/>
          <w:szCs w:val="26"/>
          <w:rtl/>
        </w:rPr>
        <w:t>‏פלוני נ' מדינת ישראל</w:t>
      </w:r>
      <w:r w:rsidRPr="002C383D">
        <w:rPr>
          <w:rFonts w:eastAsia="Times New Roman" w:hint="cs"/>
          <w:sz w:val="26"/>
          <w:szCs w:val="26"/>
          <w:rtl/>
        </w:rPr>
        <w:t xml:space="preserve">, (29.03.2015); </w:t>
      </w:r>
      <w:hyperlink r:id="rId46" w:history="1">
        <w:r w:rsidR="005048E5" w:rsidRPr="005048E5">
          <w:rPr>
            <w:rFonts w:eastAsia="Times New Roman" w:hint="eastAsia"/>
            <w:color w:val="0000FF"/>
            <w:sz w:val="26"/>
            <w:szCs w:val="26"/>
            <w:u w:val="single"/>
            <w:rtl/>
          </w:rPr>
          <w:t>רע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54/15</w:t>
        </w:r>
      </w:hyperlink>
      <w:r w:rsidRPr="002C383D">
        <w:rPr>
          <w:rFonts w:eastAsia="Times New Roman" w:hint="cs"/>
          <w:sz w:val="26"/>
          <w:szCs w:val="26"/>
          <w:rtl/>
        </w:rPr>
        <w:t xml:space="preserve"> </w:t>
      </w:r>
      <w:r w:rsidRPr="002C383D">
        <w:rPr>
          <w:rFonts w:eastAsia="Times New Roman" w:hint="cs"/>
          <w:b/>
          <w:bCs/>
          <w:sz w:val="26"/>
          <w:szCs w:val="26"/>
          <w:rtl/>
        </w:rPr>
        <w:t>פלוני נ' מדינת ישראל</w:t>
      </w:r>
      <w:r w:rsidRPr="002C383D">
        <w:rPr>
          <w:rFonts w:eastAsia="Times New Roman" w:hint="cs"/>
          <w:sz w:val="26"/>
          <w:szCs w:val="26"/>
          <w:rtl/>
        </w:rPr>
        <w:t xml:space="preserve">, (27.01.2015); </w:t>
      </w:r>
      <w:r w:rsidRPr="002C383D">
        <w:rPr>
          <w:rFonts w:eastAsia="Times New Roman" w:hint="cs"/>
          <w:sz w:val="26"/>
          <w:szCs w:val="26"/>
          <w:u w:val="single"/>
          <w:rtl/>
        </w:rPr>
        <w:t>ו</w:t>
      </w:r>
      <w:hyperlink r:id="rId47" w:history="1">
        <w:r w:rsidR="005048E5" w:rsidRPr="005048E5">
          <w:rPr>
            <w:rFonts w:eastAsia="Times New Roman" w:hint="eastAsia"/>
            <w:color w:val="0000FF"/>
            <w:sz w:val="26"/>
            <w:szCs w:val="26"/>
            <w:u w:val="single"/>
            <w:rtl/>
          </w:rPr>
          <w:t>רע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3989/15</w:t>
        </w:r>
      </w:hyperlink>
      <w:r w:rsidRPr="002C383D">
        <w:rPr>
          <w:rFonts w:eastAsia="Times New Roman" w:hint="cs"/>
          <w:sz w:val="26"/>
          <w:szCs w:val="26"/>
          <w:rtl/>
        </w:rPr>
        <w:t xml:space="preserve"> ‏</w:t>
      </w:r>
      <w:r w:rsidRPr="002C383D">
        <w:rPr>
          <w:rFonts w:eastAsia="Times New Roman" w:hint="cs"/>
          <w:b/>
          <w:bCs/>
          <w:sz w:val="26"/>
          <w:szCs w:val="26"/>
          <w:rtl/>
        </w:rPr>
        <w:t>גוזלאן נ' מדינת ישראל</w:t>
      </w:r>
      <w:r w:rsidRPr="002C383D">
        <w:rPr>
          <w:rFonts w:eastAsia="Times New Roman" w:hint="cs"/>
          <w:sz w:val="26"/>
          <w:szCs w:val="26"/>
          <w:rtl/>
        </w:rPr>
        <w:t>, (09.08.2015).</w:t>
      </w:r>
    </w:p>
    <w:p w14:paraId="1D6A78CC" w14:textId="77777777" w:rsidR="00B61B44" w:rsidRPr="002C383D" w:rsidRDefault="00B61B44" w:rsidP="00B61B44">
      <w:pPr>
        <w:pStyle w:val="ListParagraph"/>
        <w:spacing w:after="200"/>
        <w:ind w:left="-57" w:firstLine="0"/>
        <w:contextualSpacing w:val="0"/>
        <w:rPr>
          <w:sz w:val="26"/>
          <w:szCs w:val="26"/>
          <w:rtl/>
        </w:rPr>
      </w:pPr>
      <w:r w:rsidRPr="002C383D">
        <w:rPr>
          <w:rFonts w:eastAsia="Times New Roman" w:hint="cs"/>
          <w:sz w:val="26"/>
          <w:szCs w:val="26"/>
          <w:rtl/>
        </w:rPr>
        <w:t xml:space="preserve">כמו כן, לא שוכנעתי כי אצל הנאשם מתקיים אותו צבר של נסיבות מיוחדות אשר יהיה בו כדי להצדיק הימנעות מהרשעה, כחריג, אף במקרים שבהם בעניינם של "בגירים צעירים" לא הוכחה כדבעי פגיעה קונקרטית (ראו </w:t>
      </w:r>
      <w:hyperlink r:id="rId48" w:history="1">
        <w:r w:rsidR="005048E5" w:rsidRPr="005048E5">
          <w:rPr>
            <w:rFonts w:eastAsia="Times New Roman" w:hint="eastAsia"/>
            <w:color w:val="0000FF"/>
            <w:sz w:val="26"/>
            <w:szCs w:val="26"/>
            <w:u w:val="single"/>
            <w:rtl/>
          </w:rPr>
          <w:t>ת</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שלום</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קריית</w:t>
        </w:r>
        <w:r w:rsidR="005048E5" w:rsidRPr="005048E5">
          <w:rPr>
            <w:rFonts w:eastAsia="Times New Roman"/>
            <w:color w:val="0000FF"/>
            <w:sz w:val="26"/>
            <w:szCs w:val="26"/>
            <w:u w:val="single"/>
            <w:rtl/>
          </w:rPr>
          <w:t xml:space="preserve"> </w:t>
        </w:r>
        <w:r w:rsidR="005048E5" w:rsidRPr="005048E5">
          <w:rPr>
            <w:rFonts w:eastAsia="Times New Roman" w:hint="eastAsia"/>
            <w:color w:val="0000FF"/>
            <w:sz w:val="26"/>
            <w:szCs w:val="26"/>
            <w:u w:val="single"/>
            <w:rtl/>
          </w:rPr>
          <w:t>גת</w:t>
        </w:r>
        <w:r w:rsidR="005048E5" w:rsidRPr="005048E5">
          <w:rPr>
            <w:rFonts w:eastAsia="Times New Roman"/>
            <w:color w:val="0000FF"/>
            <w:sz w:val="26"/>
            <w:szCs w:val="26"/>
            <w:u w:val="single"/>
            <w:rtl/>
          </w:rPr>
          <w:t>) 3005-10-13</w:t>
        </w:r>
      </w:hyperlink>
      <w:r w:rsidRPr="002C383D">
        <w:rPr>
          <w:rFonts w:eastAsia="Times New Roman" w:hint="cs"/>
          <w:sz w:val="26"/>
          <w:szCs w:val="26"/>
          <w:rtl/>
        </w:rPr>
        <w:t xml:space="preserve"> </w:t>
      </w:r>
      <w:r w:rsidRPr="002C383D">
        <w:rPr>
          <w:rFonts w:eastAsia="Times New Roman" w:hint="cs"/>
          <w:b/>
          <w:bCs/>
          <w:sz w:val="26"/>
          <w:szCs w:val="26"/>
          <w:rtl/>
        </w:rPr>
        <w:t>מדינת ישראל נ' תומר צור</w:t>
      </w:r>
      <w:r w:rsidRPr="002C383D">
        <w:rPr>
          <w:rFonts w:eastAsia="Times New Roman" w:hint="cs"/>
          <w:sz w:val="26"/>
          <w:szCs w:val="26"/>
          <w:rtl/>
        </w:rPr>
        <w:t>, (06.06.2016), אשר ניתן על ידי מותב זה, וההפניות שם )</w:t>
      </w:r>
      <w:r w:rsidRPr="002C383D">
        <w:rPr>
          <w:rFonts w:hint="cs"/>
          <w:sz w:val="26"/>
          <w:szCs w:val="26"/>
          <w:rtl/>
        </w:rPr>
        <w:t>.</w:t>
      </w:r>
    </w:p>
    <w:p w14:paraId="18A8E8AD" w14:textId="77777777" w:rsidR="00B61B44" w:rsidRPr="002C383D" w:rsidRDefault="00B61B44" w:rsidP="00B61B44">
      <w:pPr>
        <w:pStyle w:val="ListParagraph"/>
        <w:numPr>
          <w:ilvl w:val="0"/>
          <w:numId w:val="2"/>
        </w:numPr>
        <w:spacing w:after="200"/>
        <w:ind w:left="-57"/>
        <w:contextualSpacing w:val="0"/>
        <w:rPr>
          <w:sz w:val="26"/>
          <w:szCs w:val="26"/>
          <w:rtl/>
        </w:rPr>
      </w:pPr>
      <w:r w:rsidRPr="002C383D">
        <w:rPr>
          <w:rFonts w:hint="cs"/>
          <w:sz w:val="26"/>
          <w:szCs w:val="26"/>
          <w:rtl/>
        </w:rPr>
        <w:t xml:space="preserve">אשר לטענה לפיה הרשעתו של הנאשם תפגע בגיוסו לצה"ל, תחילה אציין כי לא הובא בפני ולו בדל ראיה כדי לתמוך בה (וגם מהתסקיר לא עולה שהוצג בפני השירות מסמך כלשהו מטעם רשויות הצבא בעניין זה). למעשה, טענה זו נטענה בעלמא, ללא כל תימוכין בצדה. ואולם, אף אם אניח לטובת הדיון כי הרשעתו של הנאשם עלולה לפגוע בגיוסו לצבא, הרי שעדיין לא יהיה בכך כדי לשנות את מסקנתי בשאלת ההרשעה. שכן </w:t>
      </w:r>
      <w:r w:rsidRPr="002C383D">
        <w:rPr>
          <w:rFonts w:eastAsia="Times New Roman" w:hint="cs"/>
          <w:sz w:val="26"/>
          <w:szCs w:val="26"/>
          <w:rtl/>
        </w:rPr>
        <w:t>בכל מקרה, הרשעת הנאשם לא בהכרח סותמת את הגולל על אפשרות גיוסו של הנאשם לשירות צבאי. עבר פלילי הינו אך שיקול אחד מני שיקולים רבים בהחלטה של רשויות הצבא בדבר גיוס לצה"ל וההצבה בו. יש להניח כי רשויות הצבא ישקלו עניינית את אפשרות גיוסו של הנאשם לצבא, בהתאם לאמות המידה המקובלות עליהן במקרים מעין אלה ולנתוניו האישיים האחרים.</w:t>
      </w:r>
      <w:r w:rsidRPr="002C383D">
        <w:rPr>
          <w:rFonts w:hint="cs"/>
          <w:sz w:val="26"/>
          <w:szCs w:val="26"/>
          <w:rtl/>
        </w:rPr>
        <w:t xml:space="preserve"> גם בעניין זה, מצאתי להפנות לפסיקתו של בית המשפט העליון </w:t>
      </w:r>
      <w:r w:rsidRPr="002C383D">
        <w:rPr>
          <w:rFonts w:hint="cs"/>
          <w:b/>
          <w:bCs/>
          <w:sz w:val="26"/>
          <w:szCs w:val="26"/>
          <w:rtl/>
        </w:rPr>
        <w:t>בעניין שמואלי</w:t>
      </w:r>
      <w:r w:rsidRPr="002C383D">
        <w:rPr>
          <w:rFonts w:hint="cs"/>
          <w:sz w:val="26"/>
          <w:szCs w:val="26"/>
          <w:rtl/>
        </w:rPr>
        <w:t>, שם נקבע כהאי לישנא:</w:t>
      </w:r>
    </w:p>
    <w:p w14:paraId="22F30207" w14:textId="77777777" w:rsidR="00B61B44" w:rsidRPr="002C383D" w:rsidRDefault="00B61B44" w:rsidP="00B61B44">
      <w:pPr>
        <w:pStyle w:val="ListParagraph"/>
        <w:spacing w:after="200"/>
        <w:ind w:left="509" w:right="567" w:firstLine="0"/>
        <w:contextualSpacing w:val="0"/>
        <w:rPr>
          <w:b/>
          <w:bCs/>
          <w:sz w:val="26"/>
          <w:szCs w:val="26"/>
        </w:rPr>
      </w:pPr>
      <w:r w:rsidRPr="002C383D">
        <w:rPr>
          <w:rFonts w:hint="cs"/>
          <w:b/>
          <w:bCs/>
          <w:sz w:val="26"/>
          <w:szCs w:val="26"/>
          <w:rtl/>
        </w:rPr>
        <w:t>"ככל הידוע לי, שאלת קיומה של הרשעה בפלילים, היא רק שיקול אחד מבין שיקולים רבים העומדים בפני רשויות הצבא בבואן להחליט על גיוס לצה"ל. אני סמוך ובטוח כי רשויות הגיוס בצה"ל ישקלו את מכלול נתוניו האישיים של המבקש, ויחליטו לגבי גיוסו בהתאם לאמות המידה המקובלות בתחום זה. על כל פנים, החשש לפגיעה באפשרותו של המבקש להתגייס לצה"ל, אין בו כדי להצדיק כשלעצמו הימנעות מהרשעה".</w:t>
      </w:r>
    </w:p>
    <w:p w14:paraId="5FA17D77" w14:textId="77777777" w:rsidR="00B61B44" w:rsidRPr="002C383D" w:rsidRDefault="00B61B44" w:rsidP="00B61B44">
      <w:pPr>
        <w:pStyle w:val="ListParagraph"/>
        <w:spacing w:after="200"/>
        <w:ind w:left="-57" w:firstLine="0"/>
        <w:contextualSpacing w:val="0"/>
        <w:rPr>
          <w:rFonts w:eastAsia="Times New Roman"/>
          <w:sz w:val="26"/>
          <w:szCs w:val="26"/>
        </w:rPr>
      </w:pPr>
      <w:r w:rsidRPr="002C383D">
        <w:rPr>
          <w:rFonts w:eastAsia="Times New Roman" w:hint="cs"/>
          <w:sz w:val="26"/>
          <w:szCs w:val="26"/>
          <w:rtl/>
        </w:rPr>
        <w:t xml:space="preserve">כן ראו דברים שנאמרו ברוח דומה </w:t>
      </w:r>
      <w:r w:rsidRPr="002C383D">
        <w:rPr>
          <w:rFonts w:eastAsia="Times New Roman" w:hint="cs"/>
          <w:sz w:val="26"/>
          <w:szCs w:val="26"/>
          <w:u w:val="single"/>
          <w:rtl/>
        </w:rPr>
        <w:t>ב</w:t>
      </w:r>
      <w:hyperlink r:id="rId49" w:history="1">
        <w:r w:rsidR="005048E5" w:rsidRPr="005048E5">
          <w:rPr>
            <w:rFonts w:eastAsia="Times New Roman" w:hint="eastAsia"/>
            <w:color w:val="0000FF"/>
            <w:sz w:val="26"/>
            <w:szCs w:val="26"/>
            <w:u w:val="single"/>
            <w:rtl/>
          </w:rPr>
          <w:t>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2280/13</w:t>
        </w:r>
      </w:hyperlink>
      <w:r w:rsidRPr="002C383D">
        <w:rPr>
          <w:rFonts w:eastAsia="Times New Roman" w:hint="cs"/>
          <w:sz w:val="26"/>
          <w:szCs w:val="26"/>
          <w:rtl/>
        </w:rPr>
        <w:t xml:space="preserve"> </w:t>
      </w:r>
      <w:r w:rsidRPr="002C383D">
        <w:rPr>
          <w:rFonts w:eastAsia="Times New Roman" w:hint="cs"/>
          <w:b/>
          <w:bCs/>
          <w:sz w:val="26"/>
          <w:szCs w:val="26"/>
          <w:rtl/>
        </w:rPr>
        <w:t>פלוני נגד מדינת ישראל</w:t>
      </w:r>
      <w:r w:rsidRPr="002C383D">
        <w:rPr>
          <w:rFonts w:eastAsia="Times New Roman" w:hint="cs"/>
          <w:sz w:val="26"/>
          <w:szCs w:val="26"/>
          <w:rtl/>
        </w:rPr>
        <w:t xml:space="preserve">, (02.10.2013); </w:t>
      </w:r>
      <w:r w:rsidRPr="002C383D">
        <w:rPr>
          <w:rFonts w:eastAsia="Times New Roman" w:hint="cs"/>
          <w:sz w:val="26"/>
          <w:szCs w:val="26"/>
          <w:u w:val="single"/>
          <w:rtl/>
        </w:rPr>
        <w:t>וב</w:t>
      </w:r>
      <w:hyperlink r:id="rId50" w:history="1">
        <w:r w:rsidR="005048E5" w:rsidRPr="005048E5">
          <w:rPr>
            <w:rFonts w:eastAsia="Times New Roman" w:hint="eastAsia"/>
            <w:color w:val="0000FF"/>
            <w:sz w:val="26"/>
            <w:szCs w:val="26"/>
            <w:u w:val="single"/>
            <w:rtl/>
          </w:rPr>
          <w:t>ע</w:t>
        </w:r>
        <w:r w:rsidR="005048E5" w:rsidRPr="005048E5">
          <w:rPr>
            <w:rFonts w:eastAsia="Times New Roman"/>
            <w:color w:val="0000FF"/>
            <w:sz w:val="26"/>
            <w:szCs w:val="26"/>
            <w:u w:val="single"/>
            <w:rtl/>
          </w:rPr>
          <w:t>"</w:t>
        </w:r>
        <w:r w:rsidR="005048E5" w:rsidRPr="005048E5">
          <w:rPr>
            <w:rFonts w:eastAsia="Times New Roman" w:hint="eastAsia"/>
            <w:color w:val="0000FF"/>
            <w:sz w:val="26"/>
            <w:szCs w:val="26"/>
            <w:u w:val="single"/>
            <w:rtl/>
          </w:rPr>
          <w:t>פ</w:t>
        </w:r>
        <w:r w:rsidR="005048E5" w:rsidRPr="005048E5">
          <w:rPr>
            <w:rFonts w:eastAsia="Times New Roman"/>
            <w:color w:val="0000FF"/>
            <w:sz w:val="26"/>
            <w:szCs w:val="26"/>
            <w:u w:val="single"/>
            <w:rtl/>
          </w:rPr>
          <w:t xml:space="preserve"> 170/09</w:t>
        </w:r>
      </w:hyperlink>
      <w:r w:rsidRPr="002C383D">
        <w:rPr>
          <w:rFonts w:eastAsia="Times New Roman" w:hint="cs"/>
          <w:sz w:val="26"/>
          <w:szCs w:val="26"/>
          <w:rtl/>
        </w:rPr>
        <w:t xml:space="preserve"> </w:t>
      </w:r>
      <w:r w:rsidRPr="002C383D">
        <w:rPr>
          <w:rFonts w:eastAsia="Times New Roman" w:hint="cs"/>
          <w:b/>
          <w:bCs/>
          <w:sz w:val="26"/>
          <w:szCs w:val="26"/>
          <w:rtl/>
        </w:rPr>
        <w:t>‏פלוני נ' מדינת ישראל</w:t>
      </w:r>
      <w:r w:rsidRPr="002C383D">
        <w:rPr>
          <w:rFonts w:eastAsia="Times New Roman" w:hint="cs"/>
          <w:sz w:val="26"/>
          <w:szCs w:val="26"/>
          <w:rtl/>
        </w:rPr>
        <w:t>, (04.11.2009).</w:t>
      </w:r>
    </w:p>
    <w:p w14:paraId="51571D8A" w14:textId="77777777" w:rsidR="00B61B44" w:rsidRPr="002C383D" w:rsidRDefault="00B61B44" w:rsidP="00B61B44">
      <w:pPr>
        <w:pStyle w:val="ListParagraph"/>
        <w:numPr>
          <w:ilvl w:val="0"/>
          <w:numId w:val="2"/>
        </w:numPr>
        <w:spacing w:after="200"/>
        <w:ind w:left="-58"/>
        <w:contextualSpacing w:val="0"/>
        <w:rPr>
          <w:sz w:val="26"/>
          <w:szCs w:val="26"/>
          <w:rtl/>
        </w:rPr>
      </w:pPr>
      <w:r w:rsidRPr="002C383D">
        <w:rPr>
          <w:rFonts w:hint="cs"/>
          <w:sz w:val="26"/>
          <w:szCs w:val="26"/>
          <w:rtl/>
        </w:rPr>
        <w:t xml:space="preserve">לאור האמור, ומשלא הוכח כי הרשעתו של הנאשם בדין תביא לפגיעה חמורה בשיקומו או בתעסוקתו, הרי שאין מנוס מלקבוע כי הנאשם אינו עומד בתנאי הראשון אשר נקבע </w:t>
      </w:r>
      <w:r w:rsidRPr="002C383D">
        <w:rPr>
          <w:rFonts w:hint="cs"/>
          <w:b/>
          <w:bCs/>
          <w:sz w:val="26"/>
          <w:szCs w:val="26"/>
          <w:rtl/>
        </w:rPr>
        <w:t>בהלכת כתב</w:t>
      </w:r>
      <w:r w:rsidRPr="002C383D">
        <w:rPr>
          <w:rFonts w:hint="cs"/>
          <w:sz w:val="26"/>
          <w:szCs w:val="26"/>
          <w:rtl/>
        </w:rPr>
        <w:t xml:space="preserve"> בכל הנוגע לשאלת ההרשעה. </w:t>
      </w:r>
    </w:p>
    <w:p w14:paraId="161512C6" w14:textId="77777777" w:rsidR="00B61B44" w:rsidRPr="002C383D" w:rsidRDefault="00B61B44" w:rsidP="00B61B44">
      <w:pPr>
        <w:pStyle w:val="ListParagraph"/>
        <w:numPr>
          <w:ilvl w:val="0"/>
          <w:numId w:val="2"/>
        </w:numPr>
        <w:spacing w:after="200"/>
        <w:ind w:left="-58"/>
        <w:contextualSpacing w:val="0"/>
        <w:rPr>
          <w:sz w:val="26"/>
          <w:szCs w:val="26"/>
        </w:rPr>
      </w:pPr>
      <w:r w:rsidRPr="002C383D">
        <w:rPr>
          <w:rFonts w:hint="cs"/>
          <w:sz w:val="26"/>
          <w:szCs w:val="26"/>
          <w:rtl/>
        </w:rPr>
        <w:t xml:space="preserve">כאן גם מצאתי להתייחס לטיעוני הסנגור, אשר הפנה לפסיקה בה נמנעו בתי המשפט מלהרשיע את הנאשמים אף בהיעדר הוכחת פגיעה קונקרטית. כפי שכבר ציינתי לעיל, אכן הדבר ייתכן, אולם אך ורק במקרים חריגים שבחריגים, במקומות בהם קיים צבר של נסיבות מיוחדות, ואפנה שוב לפסיקתו של מותב זה בעניין </w:t>
      </w:r>
      <w:r w:rsidRPr="002C383D">
        <w:rPr>
          <w:rFonts w:hint="cs"/>
          <w:b/>
          <w:bCs/>
          <w:sz w:val="26"/>
          <w:szCs w:val="26"/>
          <w:rtl/>
        </w:rPr>
        <w:t>צור</w:t>
      </w:r>
      <w:r w:rsidRPr="002C383D">
        <w:rPr>
          <w:rFonts w:hint="cs"/>
          <w:sz w:val="26"/>
          <w:szCs w:val="26"/>
          <w:rtl/>
        </w:rPr>
        <w:t xml:space="preserve">, אשר אוזכרה לעיל, ולהפניות שם. בענייננו, כאמור, לא שוכנעתי כי קיים אותו צבר נסיבות שיצדיק הימנעות מהרשעתו של הנאשם חרף כך שלא הוכיח שהרשעה זו תסב נזק חמור לשיקומו או לתעסוקתו. מה גם, </w:t>
      </w:r>
      <w:r w:rsidRPr="002C383D">
        <w:rPr>
          <w:rFonts w:hint="cs"/>
          <w:b/>
          <w:bCs/>
          <w:sz w:val="26"/>
          <w:szCs w:val="26"/>
          <w:rtl/>
        </w:rPr>
        <w:t>שבעפ"ג 1848-05-16</w:t>
      </w:r>
      <w:r w:rsidRPr="002C383D">
        <w:rPr>
          <w:rFonts w:hint="cs"/>
          <w:sz w:val="26"/>
          <w:szCs w:val="26"/>
          <w:rtl/>
        </w:rPr>
        <w:t xml:space="preserve"> (אחד מפסקי הדין שאליהם הפנה הסנגור), בהתייחסו לשאלת הוכחת הנזק הקונקרטי, ציין בית המשפט המחוזי כי להבנתו, הנאשמת מתמידה באותו מקום עבודה לאורך כל השנים האחרונות, וכי </w:t>
      </w:r>
      <w:r w:rsidRPr="002C383D">
        <w:rPr>
          <w:rFonts w:hint="cs"/>
          <w:b/>
          <w:bCs/>
          <w:sz w:val="26"/>
          <w:szCs w:val="26"/>
          <w:rtl/>
        </w:rPr>
        <w:t>"אין המדובר בפגיעה תיאורטית וערטילאית אלא בפגיעה ממוקדת"</w:t>
      </w:r>
      <w:r w:rsidRPr="002C383D">
        <w:rPr>
          <w:rFonts w:hint="cs"/>
          <w:sz w:val="26"/>
          <w:szCs w:val="26"/>
          <w:rtl/>
        </w:rPr>
        <w:t xml:space="preserve">. </w:t>
      </w:r>
    </w:p>
    <w:p w14:paraId="417DEF06" w14:textId="77777777" w:rsidR="00B61B44" w:rsidRPr="002C383D" w:rsidRDefault="00B61B44" w:rsidP="00B61B44">
      <w:pPr>
        <w:pStyle w:val="ListParagraph"/>
        <w:spacing w:after="200"/>
        <w:ind w:left="-58" w:firstLine="0"/>
        <w:contextualSpacing w:val="0"/>
        <w:rPr>
          <w:sz w:val="26"/>
          <w:szCs w:val="26"/>
        </w:rPr>
      </w:pPr>
      <w:r w:rsidRPr="002C383D">
        <w:rPr>
          <w:rFonts w:hint="cs"/>
          <w:sz w:val="26"/>
          <w:szCs w:val="26"/>
          <w:rtl/>
        </w:rPr>
        <w:t xml:space="preserve">בעניין זה אף יש מקום להזכיר את פסיקתו של בית המשפט המחוזי מרכז </w:t>
      </w:r>
      <w:r w:rsidRPr="002C383D">
        <w:rPr>
          <w:rFonts w:hint="cs"/>
          <w:sz w:val="26"/>
          <w:szCs w:val="26"/>
          <w:u w:val="single"/>
          <w:rtl/>
        </w:rPr>
        <w:t>ב</w:t>
      </w:r>
      <w:hyperlink r:id="rId51" w:history="1">
        <w:r w:rsidR="005048E5" w:rsidRPr="005048E5">
          <w:rPr>
            <w:rFonts w:hint="cs"/>
            <w:color w:val="0000FF"/>
            <w:sz w:val="26"/>
            <w:szCs w:val="26"/>
            <w:u w:val="single"/>
            <w:rtl/>
          </w:rPr>
          <w:t>ע</w:t>
        </w:r>
        <w:r w:rsidR="005048E5" w:rsidRPr="005048E5">
          <w:rPr>
            <w:color w:val="0000FF"/>
            <w:sz w:val="26"/>
            <w:szCs w:val="26"/>
            <w:u w:val="single"/>
            <w:rtl/>
          </w:rPr>
          <w:t>"</w:t>
        </w:r>
        <w:r w:rsidR="005048E5" w:rsidRPr="005048E5">
          <w:rPr>
            <w:rFonts w:hint="cs"/>
            <w:color w:val="0000FF"/>
            <w:sz w:val="26"/>
            <w:szCs w:val="26"/>
            <w:u w:val="single"/>
            <w:rtl/>
          </w:rPr>
          <w:t>פ</w:t>
        </w:r>
        <w:r w:rsidR="005048E5" w:rsidRPr="005048E5">
          <w:rPr>
            <w:color w:val="0000FF"/>
            <w:sz w:val="26"/>
            <w:szCs w:val="26"/>
            <w:u w:val="single"/>
            <w:rtl/>
          </w:rPr>
          <w:t xml:space="preserve"> (</w:t>
        </w:r>
        <w:r w:rsidR="005048E5" w:rsidRPr="005048E5">
          <w:rPr>
            <w:rFonts w:hint="cs"/>
            <w:color w:val="0000FF"/>
            <w:sz w:val="26"/>
            <w:szCs w:val="26"/>
            <w:u w:val="single"/>
            <w:rtl/>
          </w:rPr>
          <w:t>מחוזי</w:t>
        </w:r>
        <w:r w:rsidR="005048E5" w:rsidRPr="005048E5">
          <w:rPr>
            <w:color w:val="0000FF"/>
            <w:sz w:val="26"/>
            <w:szCs w:val="26"/>
            <w:u w:val="single"/>
            <w:rtl/>
          </w:rPr>
          <w:t xml:space="preserve"> </w:t>
        </w:r>
        <w:r w:rsidR="005048E5" w:rsidRPr="005048E5">
          <w:rPr>
            <w:rFonts w:hint="cs"/>
            <w:color w:val="0000FF"/>
            <w:sz w:val="26"/>
            <w:szCs w:val="26"/>
            <w:u w:val="single"/>
            <w:rtl/>
          </w:rPr>
          <w:t>מרכז</w:t>
        </w:r>
        <w:r w:rsidR="005048E5" w:rsidRPr="005048E5">
          <w:rPr>
            <w:color w:val="0000FF"/>
            <w:sz w:val="26"/>
            <w:szCs w:val="26"/>
            <w:u w:val="single"/>
            <w:rtl/>
          </w:rPr>
          <w:t>) 24457-03-15</w:t>
        </w:r>
      </w:hyperlink>
      <w:r w:rsidRPr="002C383D">
        <w:rPr>
          <w:rFonts w:hint="cs"/>
          <w:sz w:val="26"/>
          <w:szCs w:val="26"/>
          <w:rtl/>
        </w:rPr>
        <w:t xml:space="preserve"> </w:t>
      </w:r>
      <w:r w:rsidRPr="002C383D">
        <w:rPr>
          <w:rFonts w:hint="cs"/>
          <w:b/>
          <w:bCs/>
          <w:sz w:val="26"/>
          <w:szCs w:val="26"/>
          <w:rtl/>
        </w:rPr>
        <w:t>פבל גוטרמן נ' מדינת ישראל</w:t>
      </w:r>
      <w:r w:rsidRPr="002C383D">
        <w:rPr>
          <w:rFonts w:hint="cs"/>
          <w:sz w:val="26"/>
          <w:szCs w:val="26"/>
          <w:rtl/>
        </w:rPr>
        <w:t xml:space="preserve">, (30.08.2015), שם נקבעה מעין </w:t>
      </w:r>
      <w:r w:rsidRPr="002C383D">
        <w:rPr>
          <w:rFonts w:hint="cs"/>
          <w:b/>
          <w:bCs/>
          <w:sz w:val="26"/>
          <w:szCs w:val="26"/>
          <w:rtl/>
        </w:rPr>
        <w:t>"מקבילית כוחות"</w:t>
      </w:r>
      <w:r w:rsidRPr="002C383D">
        <w:rPr>
          <w:rFonts w:hint="cs"/>
          <w:sz w:val="26"/>
          <w:szCs w:val="26"/>
          <w:rtl/>
        </w:rPr>
        <w:t>, כאשר מידת הפגיעה הקונקרטית שהוכחתה נדרשת כתנאי להימנעות מהרשעה תעמוד ביחס ישר לחומרת העבירות המיוחסות לנאשם (והדברים אף נלמדים מהתנאי הדורש קיומו של יחס בלתי סביר בין חומרת העבירה לבין מידת הפגיעה בנאשם). כלשונו של בית המשפט:</w:t>
      </w:r>
    </w:p>
    <w:p w14:paraId="1747A2C2" w14:textId="77777777" w:rsidR="00B61B44" w:rsidRPr="002C383D" w:rsidRDefault="00B61B44" w:rsidP="00B61B44">
      <w:pPr>
        <w:pStyle w:val="ListParagraph"/>
        <w:spacing w:after="200"/>
        <w:ind w:left="509" w:right="567" w:firstLine="0"/>
        <w:contextualSpacing w:val="0"/>
        <w:rPr>
          <w:sz w:val="26"/>
          <w:szCs w:val="26"/>
          <w:rtl/>
        </w:rPr>
      </w:pPr>
      <w:r w:rsidRPr="002C383D">
        <w:rPr>
          <w:rFonts w:hint="cs"/>
          <w:sz w:val="26"/>
          <w:szCs w:val="26"/>
          <w:rtl/>
        </w:rPr>
        <w:t>"</w:t>
      </w:r>
      <w:r w:rsidRPr="002C383D">
        <w:rPr>
          <w:rFonts w:hint="cs"/>
          <w:b/>
          <w:bCs/>
          <w:sz w:val="26"/>
          <w:szCs w:val="26"/>
          <w:rtl/>
        </w:rPr>
        <w:t>ככל שמעשי העבירה חמורים יותר, כך אין להסתפק בפגיעה כללית ועתידית, אלא נדרשת פגיעה קונקרטית, ברורה ומוחשית יותר. ולהיפך – ככל שמעשי העבירה קלים יותר, כך ניתן להסתפק בפגיעה כללית יותר, לרבות תוך התחשבות בעובדה שמדובר בצעירים המצויים בראשית דרכם ושעתידם עוד לפניהם. כמובן שכל זאת בתנאי שמלכתחילה אכן מדובר בעבירה מהסוג ומהנסיבות שמצדיקות בחינת האפשרות לוותר על ההרשעה מבלי שהדבר יפגע באופן חמור באינטרס הציבורי</w:t>
      </w:r>
      <w:r w:rsidRPr="002C383D">
        <w:rPr>
          <w:rFonts w:hint="cs"/>
          <w:sz w:val="26"/>
          <w:szCs w:val="26"/>
          <w:rtl/>
        </w:rPr>
        <w:t>".</w:t>
      </w:r>
    </w:p>
    <w:p w14:paraId="323B9D55" w14:textId="77777777" w:rsidR="00B61B44" w:rsidRPr="002C383D" w:rsidRDefault="00B61B44" w:rsidP="00B61B44">
      <w:pPr>
        <w:pStyle w:val="ListParagraph"/>
        <w:spacing w:after="200"/>
        <w:ind w:left="-58" w:firstLine="0"/>
        <w:contextualSpacing w:val="0"/>
        <w:rPr>
          <w:sz w:val="26"/>
          <w:szCs w:val="26"/>
        </w:rPr>
      </w:pPr>
      <w:r w:rsidRPr="002C383D">
        <w:rPr>
          <w:rFonts w:hint="cs"/>
          <w:sz w:val="26"/>
          <w:szCs w:val="26"/>
          <w:rtl/>
        </w:rPr>
        <w:t xml:space="preserve">כן ראו דברים דומים שנאמרו </w:t>
      </w:r>
      <w:r w:rsidRPr="002C383D">
        <w:rPr>
          <w:rFonts w:hint="cs"/>
          <w:sz w:val="26"/>
          <w:szCs w:val="26"/>
          <w:u w:val="single"/>
          <w:rtl/>
        </w:rPr>
        <w:t>ב</w:t>
      </w:r>
      <w:hyperlink r:id="rId52" w:history="1">
        <w:r w:rsidR="005048E5" w:rsidRPr="005048E5">
          <w:rPr>
            <w:rFonts w:hint="cs"/>
            <w:color w:val="0000FF"/>
            <w:sz w:val="26"/>
            <w:szCs w:val="26"/>
            <w:u w:val="single"/>
            <w:rtl/>
          </w:rPr>
          <w:t>ת</w:t>
        </w:r>
        <w:r w:rsidR="005048E5" w:rsidRPr="005048E5">
          <w:rPr>
            <w:color w:val="0000FF"/>
            <w:sz w:val="26"/>
            <w:szCs w:val="26"/>
            <w:u w:val="single"/>
            <w:rtl/>
          </w:rPr>
          <w:t>"</w:t>
        </w:r>
        <w:r w:rsidR="005048E5" w:rsidRPr="005048E5">
          <w:rPr>
            <w:rFonts w:hint="cs"/>
            <w:color w:val="0000FF"/>
            <w:sz w:val="26"/>
            <w:szCs w:val="26"/>
            <w:u w:val="single"/>
            <w:rtl/>
          </w:rPr>
          <w:t>פ</w:t>
        </w:r>
        <w:r w:rsidR="005048E5" w:rsidRPr="005048E5">
          <w:rPr>
            <w:color w:val="0000FF"/>
            <w:sz w:val="26"/>
            <w:szCs w:val="26"/>
            <w:u w:val="single"/>
            <w:rtl/>
          </w:rPr>
          <w:t xml:space="preserve"> (</w:t>
        </w:r>
        <w:r w:rsidR="005048E5" w:rsidRPr="005048E5">
          <w:rPr>
            <w:rFonts w:hint="cs"/>
            <w:color w:val="0000FF"/>
            <w:sz w:val="26"/>
            <w:szCs w:val="26"/>
            <w:u w:val="single"/>
            <w:rtl/>
          </w:rPr>
          <w:t>מחוזי</w:t>
        </w:r>
        <w:r w:rsidR="005048E5" w:rsidRPr="005048E5">
          <w:rPr>
            <w:color w:val="0000FF"/>
            <w:sz w:val="26"/>
            <w:szCs w:val="26"/>
            <w:u w:val="single"/>
            <w:rtl/>
          </w:rPr>
          <w:t xml:space="preserve"> </w:t>
        </w:r>
        <w:r w:rsidR="005048E5" w:rsidRPr="005048E5">
          <w:rPr>
            <w:rFonts w:hint="cs"/>
            <w:color w:val="0000FF"/>
            <w:sz w:val="26"/>
            <w:szCs w:val="26"/>
            <w:u w:val="single"/>
            <w:rtl/>
          </w:rPr>
          <w:t>ירושלים</w:t>
        </w:r>
        <w:r w:rsidR="005048E5" w:rsidRPr="005048E5">
          <w:rPr>
            <w:color w:val="0000FF"/>
            <w:sz w:val="26"/>
            <w:szCs w:val="26"/>
            <w:u w:val="single"/>
            <w:rtl/>
          </w:rPr>
          <w:t>) 36771-11-15</w:t>
        </w:r>
      </w:hyperlink>
      <w:r w:rsidRPr="002C383D">
        <w:rPr>
          <w:rFonts w:hint="cs"/>
          <w:sz w:val="26"/>
          <w:szCs w:val="26"/>
          <w:rtl/>
        </w:rPr>
        <w:t xml:space="preserve"> </w:t>
      </w:r>
      <w:r w:rsidRPr="002C383D">
        <w:rPr>
          <w:rFonts w:hint="cs"/>
          <w:b/>
          <w:bCs/>
          <w:sz w:val="26"/>
          <w:szCs w:val="26"/>
          <w:rtl/>
        </w:rPr>
        <w:t>מדינת ישראל נ' פנש ואח'</w:t>
      </w:r>
      <w:r w:rsidRPr="002C383D">
        <w:rPr>
          <w:rFonts w:hint="cs"/>
          <w:sz w:val="26"/>
          <w:szCs w:val="26"/>
          <w:rtl/>
        </w:rPr>
        <w:t>, (14.06.2016).</w:t>
      </w:r>
    </w:p>
    <w:p w14:paraId="340F89D7" w14:textId="77777777" w:rsidR="00B61B44" w:rsidRPr="002C383D" w:rsidRDefault="00B61B44" w:rsidP="00B61B44">
      <w:pPr>
        <w:pStyle w:val="ListParagraph"/>
        <w:spacing w:after="200"/>
        <w:ind w:left="-58" w:firstLine="0"/>
        <w:contextualSpacing w:val="0"/>
        <w:rPr>
          <w:b/>
          <w:bCs/>
          <w:sz w:val="26"/>
          <w:szCs w:val="26"/>
          <w:rtl/>
        </w:rPr>
      </w:pPr>
      <w:r w:rsidRPr="002C383D">
        <w:rPr>
          <w:rFonts w:hint="cs"/>
          <w:sz w:val="26"/>
          <w:szCs w:val="26"/>
          <w:rtl/>
        </w:rPr>
        <w:t xml:space="preserve">והנה בענייננו, הנאשם הורשע בעבירה חמורה של סיוע לסחר בסמים, ובנסיבות אלה היה עליו להוכיח פגיעה ממשית ומוחשית בעתידו ובתעסוקתו, ולא להסתפק בהוכחת פגיעה כללית וערטילאית. זאת כאמור, הוא לא עשה. אמנם הנאשם הורשע בעבירת הסיוע לסחר ולא בעבירת הסחר עצמה, אולם כאמור זה מכבר, על בתי המשפט להילחם בכול חוליותיה של שרשרת הפצת הסם, וראו דבריו של בית המשפט העליון </w:t>
      </w:r>
      <w:r w:rsidRPr="002C383D">
        <w:rPr>
          <w:rFonts w:hint="cs"/>
          <w:b/>
          <w:bCs/>
          <w:sz w:val="26"/>
          <w:szCs w:val="26"/>
          <w:rtl/>
        </w:rPr>
        <w:t>בעניין גבארה:</w:t>
      </w:r>
    </w:p>
    <w:p w14:paraId="5327CD47" w14:textId="77777777" w:rsidR="00B61B44" w:rsidRPr="002C383D" w:rsidRDefault="00B61B44" w:rsidP="00B61B44">
      <w:pPr>
        <w:pStyle w:val="ListParagraph"/>
        <w:spacing w:after="200"/>
        <w:ind w:left="509" w:right="567" w:firstLine="0"/>
        <w:contextualSpacing w:val="0"/>
        <w:rPr>
          <w:sz w:val="26"/>
          <w:szCs w:val="26"/>
          <w:rtl/>
        </w:rPr>
      </w:pPr>
      <w:r w:rsidRPr="002C383D">
        <w:rPr>
          <w:rFonts w:hint="cs"/>
          <w:sz w:val="26"/>
          <w:szCs w:val="26"/>
          <w:rtl/>
        </w:rPr>
        <w:t>"</w:t>
      </w:r>
      <w:r w:rsidRPr="002C383D">
        <w:rPr>
          <w:rFonts w:hint="cs"/>
          <w:b/>
          <w:bCs/>
          <w:sz w:val="26"/>
          <w:szCs w:val="26"/>
          <w:rtl/>
        </w:rPr>
        <w:t>בית משפט זה עמד פעמים רבות על החומרה הכרוכה בהפצת סמים מסוכנים ועל הצורך להכות בכל אחת מחוליות הפצת הסם, גם כאשר מדובר בשותף זוטר בלבד</w:t>
      </w:r>
      <w:r w:rsidRPr="002C383D">
        <w:rPr>
          <w:rFonts w:hint="cs"/>
          <w:sz w:val="26"/>
          <w:szCs w:val="26"/>
          <w:rtl/>
        </w:rPr>
        <w:t>".</w:t>
      </w:r>
    </w:p>
    <w:p w14:paraId="38FB0445" w14:textId="77777777" w:rsidR="00B61B44" w:rsidRPr="002C383D" w:rsidRDefault="00B61B44" w:rsidP="00B61B44">
      <w:pPr>
        <w:pStyle w:val="ListParagraph"/>
        <w:spacing w:after="200"/>
        <w:ind w:left="-58" w:firstLine="0"/>
        <w:contextualSpacing w:val="0"/>
        <w:rPr>
          <w:sz w:val="26"/>
          <w:szCs w:val="26"/>
        </w:rPr>
      </w:pPr>
      <w:r w:rsidRPr="002C383D">
        <w:rPr>
          <w:rFonts w:hint="cs"/>
          <w:b/>
          <w:bCs/>
          <w:sz w:val="26"/>
          <w:szCs w:val="26"/>
          <w:rtl/>
        </w:rPr>
        <w:t>בעניין גבארה</w:t>
      </w:r>
      <w:r w:rsidRPr="002C383D">
        <w:rPr>
          <w:rFonts w:hint="cs"/>
          <w:sz w:val="26"/>
          <w:szCs w:val="26"/>
          <w:rtl/>
        </w:rPr>
        <w:t xml:space="preserve"> האמור, נדחתה בקשתו של הנאשם, אשר הורשע בשתי עבירות של סיוע לסחר, להימנע מהרשעתו, חרף העובדה שזו עלולה הייתה למנוע ממנו קבלת רישיון לעסוק ברוקחות, תחום שאותו הוא לומד.</w:t>
      </w:r>
    </w:p>
    <w:p w14:paraId="10DF9EFD" w14:textId="77777777" w:rsidR="00B61B44" w:rsidRPr="002C383D" w:rsidRDefault="00B61B44" w:rsidP="00B61B44">
      <w:pPr>
        <w:pStyle w:val="ListParagraph"/>
        <w:numPr>
          <w:ilvl w:val="0"/>
          <w:numId w:val="2"/>
        </w:numPr>
        <w:spacing w:after="200"/>
        <w:ind w:left="-57"/>
        <w:contextualSpacing w:val="0"/>
        <w:rPr>
          <w:sz w:val="26"/>
          <w:szCs w:val="26"/>
          <w:rtl/>
        </w:rPr>
      </w:pPr>
      <w:r w:rsidRPr="002C383D">
        <w:rPr>
          <w:rFonts w:hint="cs"/>
          <w:sz w:val="26"/>
          <w:szCs w:val="26"/>
          <w:rtl/>
        </w:rPr>
        <w:t xml:space="preserve">הגם שדי היה באמור עד כה כדי לדחות את בקשתו של הנאשם להימנע מהרשעתו, סבורתני כי </w:t>
      </w:r>
      <w:r w:rsidRPr="002C383D">
        <w:rPr>
          <w:rFonts w:eastAsia="Times New Roman" w:hint="cs"/>
          <w:sz w:val="26"/>
          <w:szCs w:val="26"/>
          <w:rtl/>
        </w:rPr>
        <w:t>בשים לב לחומרת העבירה (</w:t>
      </w:r>
      <w:r w:rsidRPr="002C383D">
        <w:rPr>
          <w:rFonts w:hint="cs"/>
          <w:sz w:val="26"/>
          <w:szCs w:val="26"/>
          <w:rtl/>
        </w:rPr>
        <w:t>והדברים מובאים בהמשך לאמור בפסקה הקודמת</w:t>
      </w:r>
      <w:r w:rsidRPr="002C383D">
        <w:rPr>
          <w:rFonts w:eastAsia="Times New Roman" w:hint="cs"/>
          <w:sz w:val="26"/>
          <w:szCs w:val="26"/>
          <w:rtl/>
        </w:rPr>
        <w:t>), אף לא ניתן במקרה זה להימנע מהרשעתו מבלי לפגוע באופן מהותי בשיקולי ענישה אחרים. אמנם, ברי כי כל מקרה צריך להיבחן לגופו, ובהחלט ייתכן שיהיו מקרים בהם יהיה זה מוצדק להימנע מהרשעתו של נאשם שנמצא אשם בעבירה זהה או דומה לזו שבה הורשע הנאשם שבפניי. אולם לדידי, הימנעות מהרשעתו של הנאשם במקרה הנדון, תשלח לו וגם לציבור כולו מסר מוטעה של סלחנות</w:t>
      </w:r>
      <w:r w:rsidRPr="002C383D">
        <w:rPr>
          <w:rFonts w:hint="cs"/>
          <w:sz w:val="26"/>
          <w:szCs w:val="26"/>
          <w:rtl/>
        </w:rPr>
        <w:t xml:space="preserve">. </w:t>
      </w:r>
    </w:p>
    <w:p w14:paraId="6DE3142B" w14:textId="77777777" w:rsidR="00B61B44" w:rsidRPr="002C383D" w:rsidRDefault="00B61B44" w:rsidP="00B61B44">
      <w:pPr>
        <w:pStyle w:val="ListParagraph"/>
        <w:numPr>
          <w:ilvl w:val="0"/>
          <w:numId w:val="2"/>
        </w:numPr>
        <w:spacing w:after="200"/>
        <w:ind w:left="-57"/>
        <w:contextualSpacing w:val="0"/>
        <w:rPr>
          <w:sz w:val="26"/>
          <w:szCs w:val="26"/>
        </w:rPr>
      </w:pPr>
      <w:r w:rsidRPr="002C383D">
        <w:rPr>
          <w:rFonts w:hint="cs"/>
          <w:sz w:val="26"/>
          <w:szCs w:val="26"/>
          <w:rtl/>
        </w:rPr>
        <w:t>לא התעלמתי מטענת הסנגור, לפיה הנאשם עומד במרבית המבחנים אשר נקבעו על ידי כב' השופט ש' לוין</w:t>
      </w:r>
      <w:r w:rsidRPr="002C383D">
        <w:rPr>
          <w:rFonts w:hint="cs"/>
          <w:b/>
          <w:bCs/>
          <w:sz w:val="26"/>
          <w:szCs w:val="26"/>
          <w:rtl/>
        </w:rPr>
        <w:t xml:space="preserve"> בפרשת כתב</w:t>
      </w:r>
      <w:r w:rsidRPr="002C383D">
        <w:rPr>
          <w:rFonts w:hint="cs"/>
          <w:sz w:val="26"/>
          <w:szCs w:val="26"/>
          <w:rtl/>
        </w:rPr>
        <w:t xml:space="preserve">. אולם, המדובר במבחני עזר, ואילו התנאים לפיהם יש להוכיח פגיעה חמורה בשיקומו של הנאשם וכי סוג העבירה מאפשר בנסיבות הנתונות להימנע מהרשעתו של הנאשם מבלי לפגוע בשיקולי ענישה אחרים – הם תנאים מצטברים שבלעדיהם אין, ופסיקתו בעניין זה של בית המשפט העליון </w:t>
      </w:r>
      <w:r w:rsidRPr="002C383D">
        <w:rPr>
          <w:rFonts w:hint="cs"/>
          <w:b/>
          <w:bCs/>
          <w:sz w:val="26"/>
          <w:szCs w:val="26"/>
          <w:rtl/>
        </w:rPr>
        <w:t>בפרשת כתב</w:t>
      </w:r>
      <w:r w:rsidRPr="002C383D">
        <w:rPr>
          <w:rFonts w:hint="cs"/>
          <w:sz w:val="26"/>
          <w:szCs w:val="26"/>
          <w:rtl/>
        </w:rPr>
        <w:t xml:space="preserve"> היא ברורה:</w:t>
      </w:r>
    </w:p>
    <w:p w14:paraId="3B89A1AB" w14:textId="77777777" w:rsidR="00B61B44" w:rsidRPr="002C383D" w:rsidRDefault="00B61B44" w:rsidP="00B61B44">
      <w:pPr>
        <w:pStyle w:val="ListParagraph"/>
        <w:spacing w:after="200"/>
        <w:ind w:left="509" w:right="567" w:firstLine="0"/>
        <w:contextualSpacing w:val="0"/>
        <w:rPr>
          <w:b/>
          <w:bCs/>
          <w:sz w:val="26"/>
          <w:szCs w:val="26"/>
          <w:rtl/>
        </w:rPr>
      </w:pPr>
      <w:r w:rsidRPr="002C383D">
        <w:rPr>
          <w:rFonts w:hint="cs"/>
          <w:b/>
          <w:bCs/>
          <w:sz w:val="26"/>
          <w:szCs w:val="26"/>
          <w:rtl/>
        </w:rPr>
        <w:t xml:space="preserve">"הימנעות מהרשעה אפשרית אפוא </w:t>
      </w:r>
      <w:r w:rsidRPr="002C383D">
        <w:rPr>
          <w:rFonts w:hint="cs"/>
          <w:b/>
          <w:bCs/>
          <w:sz w:val="26"/>
          <w:szCs w:val="26"/>
          <w:u w:val="single"/>
          <w:rtl/>
        </w:rPr>
        <w:t>בהצטבר</w:t>
      </w:r>
      <w:r w:rsidRPr="002C383D">
        <w:rPr>
          <w:rFonts w:hint="cs"/>
          <w:b/>
          <w:bCs/>
          <w:sz w:val="26"/>
          <w:szCs w:val="26"/>
          <w:rtl/>
        </w:rPr>
        <w:t xml:space="preserve"> [ההדגשה איננה במקור] שני גורמים: ראשית, על ההרשעה לפגוע פגיעה חמורה בשיקום הנאשם, ושנית, סוג העבירה מאפשר לוותר בנסיבות המקרה המסוים על ההרשעה בלי לפגוע באופן מהותי בשיקולי הענישה האחרים המפורטים לעיל".</w:t>
      </w:r>
    </w:p>
    <w:p w14:paraId="2A0BF444" w14:textId="77777777" w:rsidR="00B61B44" w:rsidRPr="002C383D" w:rsidRDefault="00B61B44" w:rsidP="00B61B44">
      <w:pPr>
        <w:pStyle w:val="ListParagraph"/>
        <w:numPr>
          <w:ilvl w:val="0"/>
          <w:numId w:val="2"/>
        </w:numPr>
        <w:spacing w:after="200"/>
        <w:ind w:left="-57"/>
        <w:contextualSpacing w:val="0"/>
        <w:rPr>
          <w:sz w:val="26"/>
          <w:szCs w:val="26"/>
          <w:rtl/>
        </w:rPr>
      </w:pPr>
      <w:r w:rsidRPr="002C383D">
        <w:rPr>
          <w:rFonts w:hint="cs"/>
          <w:sz w:val="26"/>
          <w:szCs w:val="26"/>
          <w:rtl/>
        </w:rPr>
        <w:t xml:space="preserve">כך גם לא התעלמתי מהאמור בתסקיר שירות המבחן. אם כי אציין, שגם שירות המבחן אינו ממליץ בפה מלא להימנע מהרשעתו של הנאשם, אלא שהוא מתלבט בעניין זה, ומציין כי "במידה ובית המשפט ימצא לנכון לאמץ מסלול שיקומי, נמליץ על ביטול הרשעתו...". יתר על כן, אף אם אניח ששירות המבחן המליץ ללא סייג להימנע מהרשעתו של הנאשם, עדיין, כפי הידוע המלצתו של שירות המבחן, כשמה כן היא – המלצה בלבד, ובכל הכבוד הראוי, בית המשפט איננו מחויב לה. ככלל, שוקל שירות המבחן ומביא בחשבון בעת גיבוש המלצתו בעיקר את האינטרס האישי של הנאשם. לעומתו, אמון בית 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(ראו והשוו, דבריו של כב' השופט (כתוארו אז) מ' שמגר </w:t>
      </w:r>
      <w:r w:rsidRPr="002C383D">
        <w:rPr>
          <w:rFonts w:hint="cs"/>
          <w:sz w:val="26"/>
          <w:szCs w:val="26"/>
          <w:u w:val="single"/>
          <w:rtl/>
        </w:rPr>
        <w:t>ב</w:t>
      </w:r>
      <w:hyperlink r:id="rId53" w:history="1">
        <w:r w:rsidR="005048E5" w:rsidRPr="005048E5">
          <w:rPr>
            <w:rFonts w:hint="cs"/>
            <w:color w:val="0000FF"/>
            <w:sz w:val="26"/>
            <w:szCs w:val="26"/>
            <w:u w:val="single"/>
            <w:rtl/>
          </w:rPr>
          <w:t>ע</w:t>
        </w:r>
        <w:r w:rsidR="005048E5" w:rsidRPr="005048E5">
          <w:rPr>
            <w:color w:val="0000FF"/>
            <w:sz w:val="26"/>
            <w:szCs w:val="26"/>
            <w:u w:val="single"/>
            <w:rtl/>
          </w:rPr>
          <w:t>"</w:t>
        </w:r>
        <w:r w:rsidR="005048E5" w:rsidRPr="005048E5">
          <w:rPr>
            <w:rFonts w:hint="cs"/>
            <w:color w:val="0000FF"/>
            <w:sz w:val="26"/>
            <w:szCs w:val="26"/>
            <w:u w:val="single"/>
            <w:rtl/>
          </w:rPr>
          <w:t>פ</w:t>
        </w:r>
        <w:r w:rsidR="005048E5" w:rsidRPr="005048E5">
          <w:rPr>
            <w:color w:val="0000FF"/>
            <w:sz w:val="26"/>
            <w:szCs w:val="26"/>
            <w:u w:val="single"/>
            <w:rtl/>
          </w:rPr>
          <w:t xml:space="preserve"> 344/81 </w:t>
        </w:r>
        <w:r w:rsidR="005048E5" w:rsidRPr="005048E5">
          <w:rPr>
            <w:rFonts w:hint="cs"/>
            <w:color w:val="0000FF"/>
            <w:sz w:val="26"/>
            <w:szCs w:val="26"/>
            <w:u w:val="single"/>
            <w:rtl/>
          </w:rPr>
          <w:t>מדינת</w:t>
        </w:r>
        <w:r w:rsidR="005048E5" w:rsidRPr="005048E5">
          <w:rPr>
            <w:color w:val="0000FF"/>
            <w:sz w:val="26"/>
            <w:szCs w:val="26"/>
            <w:u w:val="single"/>
            <w:rtl/>
          </w:rPr>
          <w:t xml:space="preserve"> </w:t>
        </w:r>
        <w:r w:rsidR="005048E5" w:rsidRPr="005048E5">
          <w:rPr>
            <w:rFonts w:hint="cs"/>
            <w:color w:val="0000FF"/>
            <w:sz w:val="26"/>
            <w:szCs w:val="26"/>
            <w:u w:val="single"/>
            <w:rtl/>
          </w:rPr>
          <w:t>ישראל</w:t>
        </w:r>
        <w:r w:rsidR="005048E5" w:rsidRPr="005048E5">
          <w:rPr>
            <w:color w:val="0000FF"/>
            <w:sz w:val="26"/>
            <w:szCs w:val="26"/>
            <w:u w:val="single"/>
            <w:rtl/>
          </w:rPr>
          <w:t xml:space="preserve"> </w:t>
        </w:r>
        <w:r w:rsidR="005048E5" w:rsidRPr="005048E5">
          <w:rPr>
            <w:rFonts w:hint="cs"/>
            <w:color w:val="0000FF"/>
            <w:sz w:val="26"/>
            <w:szCs w:val="26"/>
            <w:u w:val="single"/>
            <w:rtl/>
          </w:rPr>
          <w:t>נ</w:t>
        </w:r>
        <w:r w:rsidR="005048E5" w:rsidRPr="005048E5">
          <w:rPr>
            <w:color w:val="0000FF"/>
            <w:sz w:val="26"/>
            <w:szCs w:val="26"/>
            <w:u w:val="single"/>
            <w:rtl/>
          </w:rPr>
          <w:t xml:space="preserve">' </w:t>
        </w:r>
        <w:r w:rsidR="005048E5" w:rsidRPr="005048E5">
          <w:rPr>
            <w:rFonts w:hint="cs"/>
            <w:color w:val="0000FF"/>
            <w:sz w:val="26"/>
            <w:szCs w:val="26"/>
            <w:u w:val="single"/>
            <w:rtl/>
          </w:rPr>
          <w:t>שחר</w:t>
        </w:r>
        <w:r w:rsidR="005048E5" w:rsidRPr="005048E5">
          <w:rPr>
            <w:color w:val="0000FF"/>
            <w:sz w:val="26"/>
            <w:szCs w:val="26"/>
            <w:u w:val="single"/>
            <w:rtl/>
          </w:rPr>
          <w:t xml:space="preserve"> </w:t>
        </w:r>
        <w:r w:rsidR="005048E5" w:rsidRPr="005048E5">
          <w:rPr>
            <w:rFonts w:hint="cs"/>
            <w:color w:val="0000FF"/>
            <w:sz w:val="26"/>
            <w:szCs w:val="26"/>
            <w:u w:val="single"/>
            <w:rtl/>
          </w:rPr>
          <w:t>סגל</w:t>
        </w:r>
        <w:r w:rsidR="005048E5" w:rsidRPr="005048E5">
          <w:rPr>
            <w:color w:val="0000FF"/>
            <w:sz w:val="26"/>
            <w:szCs w:val="26"/>
            <w:u w:val="single"/>
            <w:rtl/>
          </w:rPr>
          <w:t xml:space="preserve">, </w:t>
        </w:r>
        <w:r w:rsidR="005048E5" w:rsidRPr="005048E5">
          <w:rPr>
            <w:rFonts w:hint="cs"/>
            <w:color w:val="0000FF"/>
            <w:sz w:val="26"/>
            <w:szCs w:val="26"/>
            <w:u w:val="single"/>
            <w:rtl/>
          </w:rPr>
          <w:t>פ</w:t>
        </w:r>
        <w:r w:rsidR="005048E5" w:rsidRPr="005048E5">
          <w:rPr>
            <w:color w:val="0000FF"/>
            <w:sz w:val="26"/>
            <w:szCs w:val="26"/>
            <w:u w:val="single"/>
            <w:rtl/>
          </w:rPr>
          <w:t>"</w:t>
        </w:r>
        <w:r w:rsidR="005048E5" w:rsidRPr="005048E5">
          <w:rPr>
            <w:rFonts w:hint="cs"/>
            <w:color w:val="0000FF"/>
            <w:sz w:val="26"/>
            <w:szCs w:val="26"/>
            <w:u w:val="single"/>
            <w:rtl/>
          </w:rPr>
          <w:t>ד</w:t>
        </w:r>
        <w:r w:rsidR="005048E5" w:rsidRPr="005048E5">
          <w:rPr>
            <w:color w:val="0000FF"/>
            <w:sz w:val="26"/>
            <w:szCs w:val="26"/>
            <w:u w:val="single"/>
            <w:rtl/>
          </w:rPr>
          <w:t xml:space="preserve"> </w:t>
        </w:r>
        <w:r w:rsidR="005048E5" w:rsidRPr="005048E5">
          <w:rPr>
            <w:rFonts w:hint="cs"/>
            <w:color w:val="0000FF"/>
            <w:sz w:val="26"/>
            <w:szCs w:val="26"/>
            <w:u w:val="single"/>
            <w:rtl/>
          </w:rPr>
          <w:t>לה</w:t>
        </w:r>
      </w:hyperlink>
      <w:r w:rsidRPr="002C383D">
        <w:rPr>
          <w:rFonts w:hint="cs"/>
          <w:sz w:val="26"/>
          <w:szCs w:val="26"/>
          <w:rtl/>
        </w:rPr>
        <w:t xml:space="preserve">(4) 313, 318 (1981); </w:t>
      </w:r>
      <w:r w:rsidRPr="002C383D">
        <w:rPr>
          <w:rFonts w:hint="cs"/>
          <w:sz w:val="26"/>
          <w:szCs w:val="26"/>
          <w:u w:val="single"/>
          <w:rtl/>
        </w:rPr>
        <w:t>ב</w:t>
      </w:r>
      <w:hyperlink r:id="rId54" w:history="1">
        <w:r w:rsidR="005048E5" w:rsidRPr="005048E5">
          <w:rPr>
            <w:rFonts w:hint="cs"/>
            <w:color w:val="0000FF"/>
            <w:sz w:val="26"/>
            <w:szCs w:val="26"/>
            <w:u w:val="single"/>
            <w:rtl/>
          </w:rPr>
          <w:t>ע</w:t>
        </w:r>
        <w:r w:rsidR="005048E5" w:rsidRPr="005048E5">
          <w:rPr>
            <w:color w:val="0000FF"/>
            <w:sz w:val="26"/>
            <w:szCs w:val="26"/>
            <w:u w:val="single"/>
            <w:rtl/>
          </w:rPr>
          <w:t>"</w:t>
        </w:r>
        <w:r w:rsidR="005048E5" w:rsidRPr="005048E5">
          <w:rPr>
            <w:rFonts w:hint="cs"/>
            <w:color w:val="0000FF"/>
            <w:sz w:val="26"/>
            <w:szCs w:val="26"/>
            <w:u w:val="single"/>
            <w:rtl/>
          </w:rPr>
          <w:t>פ</w:t>
        </w:r>
        <w:r w:rsidR="005048E5" w:rsidRPr="005048E5">
          <w:rPr>
            <w:color w:val="0000FF"/>
            <w:sz w:val="26"/>
            <w:szCs w:val="26"/>
            <w:u w:val="single"/>
            <w:rtl/>
          </w:rPr>
          <w:t xml:space="preserve"> 1472/15</w:t>
        </w:r>
      </w:hyperlink>
      <w:r w:rsidRPr="002C383D">
        <w:rPr>
          <w:rFonts w:hint="cs"/>
          <w:sz w:val="26"/>
          <w:szCs w:val="26"/>
          <w:rtl/>
        </w:rPr>
        <w:t xml:space="preserve"> </w:t>
      </w:r>
      <w:r w:rsidRPr="002C383D">
        <w:rPr>
          <w:rFonts w:hint="cs"/>
          <w:b/>
          <w:bCs/>
          <w:sz w:val="26"/>
          <w:szCs w:val="26"/>
          <w:rtl/>
        </w:rPr>
        <w:t>שי שעשוע נ' מדינת ישראל</w:t>
      </w:r>
      <w:r w:rsidRPr="002C383D">
        <w:rPr>
          <w:rFonts w:hint="cs"/>
          <w:sz w:val="26"/>
          <w:szCs w:val="26"/>
          <w:rtl/>
        </w:rPr>
        <w:t xml:space="preserve">, (17.05.2015); </w:t>
      </w:r>
      <w:r w:rsidRPr="002C383D">
        <w:rPr>
          <w:rFonts w:hint="cs"/>
          <w:sz w:val="26"/>
          <w:szCs w:val="26"/>
          <w:u w:val="single"/>
          <w:rtl/>
        </w:rPr>
        <w:t>ב</w:t>
      </w:r>
      <w:hyperlink r:id="rId55" w:history="1">
        <w:r w:rsidR="005048E5" w:rsidRPr="005048E5">
          <w:rPr>
            <w:rFonts w:hint="cs"/>
            <w:color w:val="0000FF"/>
            <w:sz w:val="26"/>
            <w:szCs w:val="26"/>
            <w:u w:val="single"/>
            <w:rtl/>
          </w:rPr>
          <w:t>רע</w:t>
        </w:r>
        <w:r w:rsidR="005048E5" w:rsidRPr="005048E5">
          <w:rPr>
            <w:color w:val="0000FF"/>
            <w:sz w:val="26"/>
            <w:szCs w:val="26"/>
            <w:u w:val="single"/>
            <w:rtl/>
          </w:rPr>
          <w:t>"</w:t>
        </w:r>
        <w:r w:rsidR="005048E5" w:rsidRPr="005048E5">
          <w:rPr>
            <w:rFonts w:hint="cs"/>
            <w:color w:val="0000FF"/>
            <w:sz w:val="26"/>
            <w:szCs w:val="26"/>
            <w:u w:val="single"/>
            <w:rtl/>
          </w:rPr>
          <w:t>פ</w:t>
        </w:r>
        <w:r w:rsidR="005048E5" w:rsidRPr="005048E5">
          <w:rPr>
            <w:color w:val="0000FF"/>
            <w:sz w:val="26"/>
            <w:szCs w:val="26"/>
            <w:u w:val="single"/>
            <w:rtl/>
          </w:rPr>
          <w:t xml:space="preserve"> 7389/13</w:t>
        </w:r>
      </w:hyperlink>
      <w:r w:rsidRPr="002C383D">
        <w:rPr>
          <w:rFonts w:hint="cs"/>
          <w:sz w:val="26"/>
          <w:szCs w:val="26"/>
          <w:rtl/>
        </w:rPr>
        <w:t xml:space="preserve"> </w:t>
      </w:r>
      <w:r w:rsidRPr="002C383D">
        <w:rPr>
          <w:rFonts w:hint="cs"/>
          <w:b/>
          <w:bCs/>
          <w:sz w:val="26"/>
          <w:szCs w:val="26"/>
          <w:rtl/>
        </w:rPr>
        <w:t>נתן טייטלבאום נ' מדינת ישראל</w:t>
      </w:r>
      <w:r w:rsidRPr="002C383D">
        <w:rPr>
          <w:rFonts w:hint="cs"/>
          <w:sz w:val="26"/>
          <w:szCs w:val="26"/>
          <w:rtl/>
        </w:rPr>
        <w:t xml:space="preserve">, (17.12.2013); </w:t>
      </w:r>
      <w:r w:rsidRPr="002C383D">
        <w:rPr>
          <w:rFonts w:hint="cs"/>
          <w:sz w:val="26"/>
          <w:szCs w:val="26"/>
          <w:u w:val="single"/>
          <w:rtl/>
        </w:rPr>
        <w:t>ב</w:t>
      </w:r>
      <w:hyperlink r:id="rId56" w:history="1">
        <w:r w:rsidR="005048E5" w:rsidRPr="005048E5">
          <w:rPr>
            <w:rFonts w:hint="cs"/>
            <w:color w:val="0000FF"/>
            <w:sz w:val="26"/>
            <w:szCs w:val="26"/>
            <w:u w:val="single"/>
            <w:rtl/>
          </w:rPr>
          <w:t>רע</w:t>
        </w:r>
        <w:r w:rsidR="005048E5" w:rsidRPr="005048E5">
          <w:rPr>
            <w:color w:val="0000FF"/>
            <w:sz w:val="26"/>
            <w:szCs w:val="26"/>
            <w:u w:val="single"/>
            <w:rtl/>
          </w:rPr>
          <w:t>"</w:t>
        </w:r>
        <w:r w:rsidR="005048E5" w:rsidRPr="005048E5">
          <w:rPr>
            <w:rFonts w:hint="cs"/>
            <w:color w:val="0000FF"/>
            <w:sz w:val="26"/>
            <w:szCs w:val="26"/>
            <w:u w:val="single"/>
            <w:rtl/>
          </w:rPr>
          <w:t>פ</w:t>
        </w:r>
        <w:r w:rsidR="005048E5" w:rsidRPr="005048E5">
          <w:rPr>
            <w:color w:val="0000FF"/>
            <w:sz w:val="26"/>
            <w:szCs w:val="26"/>
            <w:u w:val="single"/>
            <w:rtl/>
          </w:rPr>
          <w:t xml:space="preserve"> 5212/13</w:t>
        </w:r>
      </w:hyperlink>
      <w:r w:rsidRPr="002C383D">
        <w:rPr>
          <w:rFonts w:hint="cs"/>
          <w:sz w:val="26"/>
          <w:szCs w:val="26"/>
          <w:rtl/>
        </w:rPr>
        <w:t xml:space="preserve"> </w:t>
      </w:r>
      <w:r w:rsidRPr="002C383D">
        <w:rPr>
          <w:rFonts w:hint="cs"/>
          <w:b/>
          <w:bCs/>
          <w:sz w:val="26"/>
          <w:szCs w:val="26"/>
          <w:rtl/>
        </w:rPr>
        <w:t>שמעון נ' מדינת ישראל</w:t>
      </w:r>
      <w:r w:rsidRPr="002C383D">
        <w:rPr>
          <w:rFonts w:hint="cs"/>
          <w:sz w:val="26"/>
          <w:szCs w:val="26"/>
          <w:rtl/>
        </w:rPr>
        <w:t>, (29.08.2013)).</w:t>
      </w:r>
    </w:p>
    <w:p w14:paraId="27A691B2" w14:textId="77777777" w:rsidR="00B61B44" w:rsidRPr="002C383D" w:rsidRDefault="00B61B44" w:rsidP="00B61B44">
      <w:pPr>
        <w:pStyle w:val="ListParagraph"/>
        <w:spacing w:after="200"/>
        <w:ind w:left="-57" w:firstLine="0"/>
        <w:contextualSpacing w:val="0"/>
        <w:rPr>
          <w:sz w:val="26"/>
          <w:szCs w:val="26"/>
        </w:rPr>
      </w:pPr>
      <w:r w:rsidRPr="002C383D">
        <w:rPr>
          <w:rFonts w:hint="cs"/>
          <w:sz w:val="26"/>
          <w:szCs w:val="26"/>
          <w:rtl/>
        </w:rPr>
        <w:t xml:space="preserve">אכן עסקינן בנאשם צעיר ונעדר עבר פלילי, שאף השתתף בקבוצה טיפולית ומסר בדיקות שתן שנמצאו נקיות משרידי סם. נתונים אלה, כמו גם יתר מאפייניו החיוביים, צריכים להישקל בגדרי מתחם הענישה, ואין בהם כשלעצמם כדי להפוך את הקערה על פיה ולהטות את הכף לעבר אי הרשעתו של הנאשם. והדברים אף צריכים להיאמר ביתר שאת, עת עסקינן בעבירה של סיוע לסחר בסמים. שכן, בעבירות סמים, בדרך כלל, פוחת משקלו של האינטרס האישי של הנאשם למול משקלם של אינטרסים אחרים (ראו בעניין זה, למשל, פסיקתו של בית המשפט העליון </w:t>
      </w:r>
      <w:r w:rsidRPr="002C383D">
        <w:rPr>
          <w:rFonts w:hint="cs"/>
          <w:sz w:val="26"/>
          <w:szCs w:val="26"/>
          <w:u w:val="single"/>
          <w:rtl/>
        </w:rPr>
        <w:t>ב</w:t>
      </w:r>
      <w:hyperlink r:id="rId57" w:history="1">
        <w:r w:rsidR="005048E5" w:rsidRPr="005048E5">
          <w:rPr>
            <w:rFonts w:hint="cs"/>
            <w:color w:val="0000FF"/>
            <w:sz w:val="26"/>
            <w:szCs w:val="26"/>
            <w:u w:val="single"/>
            <w:rtl/>
          </w:rPr>
          <w:t>ע</w:t>
        </w:r>
        <w:r w:rsidR="005048E5" w:rsidRPr="005048E5">
          <w:rPr>
            <w:color w:val="0000FF"/>
            <w:sz w:val="26"/>
            <w:szCs w:val="26"/>
            <w:u w:val="single"/>
            <w:rtl/>
          </w:rPr>
          <w:t>"</w:t>
        </w:r>
        <w:r w:rsidR="005048E5" w:rsidRPr="005048E5">
          <w:rPr>
            <w:rFonts w:hint="cs"/>
            <w:color w:val="0000FF"/>
            <w:sz w:val="26"/>
            <w:szCs w:val="26"/>
            <w:u w:val="single"/>
            <w:rtl/>
          </w:rPr>
          <w:t>פ</w:t>
        </w:r>
        <w:r w:rsidR="005048E5" w:rsidRPr="005048E5">
          <w:rPr>
            <w:color w:val="0000FF"/>
            <w:sz w:val="26"/>
            <w:szCs w:val="26"/>
            <w:u w:val="single"/>
            <w:rtl/>
          </w:rPr>
          <w:t xml:space="preserve"> 3820/09</w:t>
        </w:r>
      </w:hyperlink>
      <w:r w:rsidRPr="002C383D">
        <w:rPr>
          <w:rFonts w:hint="cs"/>
          <w:sz w:val="26"/>
          <w:szCs w:val="26"/>
          <w:rtl/>
        </w:rPr>
        <w:t xml:space="preserve"> </w:t>
      </w:r>
      <w:r w:rsidRPr="002C383D">
        <w:rPr>
          <w:rFonts w:hint="cs"/>
          <w:b/>
          <w:bCs/>
          <w:sz w:val="26"/>
          <w:szCs w:val="26"/>
          <w:rtl/>
        </w:rPr>
        <w:t>מדינת ישראל נ' חיים אוחיון</w:t>
      </w:r>
      <w:r w:rsidRPr="002C383D">
        <w:rPr>
          <w:rFonts w:hint="cs"/>
          <w:sz w:val="26"/>
          <w:szCs w:val="26"/>
          <w:rtl/>
        </w:rPr>
        <w:t xml:space="preserve">, (06.09.2009)), שם אמנם </w:t>
      </w:r>
      <w:r w:rsidRPr="002C383D">
        <w:rPr>
          <w:rFonts w:eastAsia="Times New Roman" w:hint="cs"/>
          <w:sz w:val="26"/>
          <w:szCs w:val="26"/>
          <w:rtl/>
        </w:rPr>
        <w:t>דובר בנאשם אשר ביצע מעשים חמורים מאלה שביצע הנאשם שבפניי, אך ברי כי כוחו של הרציונל העומד מאחורי הדברים יפה גם לענייננו</w:t>
      </w:r>
      <w:r w:rsidRPr="002C383D">
        <w:rPr>
          <w:rFonts w:hint="cs"/>
          <w:sz w:val="26"/>
          <w:szCs w:val="26"/>
          <w:rtl/>
        </w:rPr>
        <w:t xml:space="preserve">). </w:t>
      </w:r>
    </w:p>
    <w:p w14:paraId="3C302DF5" w14:textId="77777777" w:rsidR="00B61B44" w:rsidRPr="002C383D" w:rsidRDefault="00B61B44" w:rsidP="00B61B44">
      <w:pPr>
        <w:pStyle w:val="ListParagraph"/>
        <w:numPr>
          <w:ilvl w:val="0"/>
          <w:numId w:val="2"/>
        </w:numPr>
        <w:spacing w:after="200"/>
        <w:ind w:left="-57"/>
        <w:contextualSpacing w:val="0"/>
        <w:rPr>
          <w:sz w:val="26"/>
          <w:szCs w:val="26"/>
        </w:rPr>
      </w:pPr>
      <w:r w:rsidRPr="002C383D">
        <w:rPr>
          <w:rFonts w:hint="cs"/>
          <w:sz w:val="26"/>
          <w:szCs w:val="26"/>
          <w:rtl/>
        </w:rPr>
        <w:t xml:space="preserve">לבסוף ובבחינת למעלה מן הצורך אציין, כי אף שלא נטען שהנאשם ביצע את העבירה על רקע התמכרותו לסמים, הרי שבכול מקרה בית המשפט </w:t>
      </w:r>
      <w:r w:rsidRPr="002C383D">
        <w:rPr>
          <w:rFonts w:eastAsia="Times New Roman" w:hint="cs"/>
          <w:sz w:val="26"/>
          <w:szCs w:val="26"/>
          <w:rtl/>
        </w:rPr>
        <w:t>מבקש לחזק את ידיו, ככל שהוא מבקש לדבוק בגמילתו משימוש בסמים ולנהל חיים נורמטיביים.</w:t>
      </w:r>
      <w:r w:rsidRPr="002C383D">
        <w:rPr>
          <w:rFonts w:hint="cs"/>
          <w:sz w:val="26"/>
          <w:szCs w:val="26"/>
          <w:rtl/>
        </w:rPr>
        <w:t xml:space="preserve"> </w:t>
      </w:r>
      <w:r w:rsidRPr="002C383D">
        <w:rPr>
          <w:rFonts w:eastAsia="Times New Roman" w:hint="cs"/>
          <w:sz w:val="26"/>
          <w:szCs w:val="26"/>
          <w:rtl/>
        </w:rPr>
        <w:t xml:space="preserve">אולם, על הנאשם לדעת כי הליך הגמילה נועד בראש ובראשונה לשרת את טובתו שלו, ואין בו בהכרח וכשלעצמו כדי להצדיק הימנעות מהרשעה. </w:t>
      </w:r>
      <w:r w:rsidRPr="002C383D">
        <w:rPr>
          <w:rFonts w:hint="cs"/>
          <w:sz w:val="26"/>
          <w:szCs w:val="26"/>
          <w:rtl/>
        </w:rPr>
        <w:t>מה גם, ש</w:t>
      </w:r>
      <w:r w:rsidRPr="002C383D">
        <w:rPr>
          <w:rFonts w:eastAsia="Times New Roman" w:hint="cs"/>
          <w:sz w:val="26"/>
          <w:szCs w:val="26"/>
          <w:rtl/>
        </w:rPr>
        <w:t>ככל שרצונו של הנאשם לעבור מהפך בחייו ולהשתקם הוא רצון כן ואמתי, הרי שחזקה עליו כי יתמיד בהליך זה גם אם בית המשפט ידחה את בקשתו להימנע מהרשעתו.</w:t>
      </w:r>
    </w:p>
    <w:p w14:paraId="1F5FF71C" w14:textId="77777777" w:rsidR="00B61B44" w:rsidRPr="002C383D" w:rsidRDefault="00B61B44" w:rsidP="00B61B44">
      <w:pPr>
        <w:pStyle w:val="ListParagraph"/>
        <w:numPr>
          <w:ilvl w:val="0"/>
          <w:numId w:val="2"/>
        </w:numPr>
        <w:spacing w:after="200"/>
        <w:ind w:left="-57"/>
        <w:contextualSpacing w:val="0"/>
        <w:rPr>
          <w:sz w:val="26"/>
          <w:szCs w:val="26"/>
        </w:rPr>
      </w:pPr>
      <w:r w:rsidRPr="002C383D">
        <w:rPr>
          <w:rFonts w:hint="cs"/>
          <w:sz w:val="26"/>
          <w:szCs w:val="26"/>
          <w:rtl/>
        </w:rPr>
        <w:t xml:space="preserve">לאור כל האמור עד כה, ובייחוד לאור העובדה שלא הוכחה פגיעה ממשית שעלולה להיגרם לנאשם כתוצאה מהרשעתו, ולנוכח קביעתי לפיה לא ניתן במקרה הנדון להימנע מהרשעתו של הנאשם מבלי לפגוע בשיקולי ענישה אחרים, הריני מורה כי </w:t>
      </w:r>
      <w:r w:rsidRPr="002C383D">
        <w:rPr>
          <w:rFonts w:hint="cs"/>
          <w:b/>
          <w:bCs/>
          <w:sz w:val="26"/>
          <w:szCs w:val="26"/>
          <w:rtl/>
        </w:rPr>
        <w:t>הרשעתו של הנאשם תיוותר על כנה.</w:t>
      </w:r>
    </w:p>
    <w:p w14:paraId="3F979E40" w14:textId="77777777" w:rsidR="00B61B44" w:rsidRPr="002C383D" w:rsidRDefault="00B61B44" w:rsidP="00B61B44">
      <w:pPr>
        <w:pStyle w:val="1"/>
        <w:numPr>
          <w:ilvl w:val="0"/>
          <w:numId w:val="1"/>
        </w:numPr>
        <w:spacing w:after="200" w:line="288" w:lineRule="auto"/>
        <w:jc w:val="both"/>
        <w:rPr>
          <w:sz w:val="34"/>
          <w:szCs w:val="34"/>
        </w:rPr>
      </w:pPr>
      <w:r w:rsidRPr="002C383D">
        <w:rPr>
          <w:rFonts w:hint="cs"/>
          <w:sz w:val="34"/>
          <w:szCs w:val="34"/>
          <w:rtl/>
        </w:rPr>
        <w:t>גזירת העונש המתאים לנאשם</w:t>
      </w:r>
    </w:p>
    <w:p w14:paraId="369ED61E" w14:textId="77777777" w:rsidR="00B61B44" w:rsidRPr="002C383D" w:rsidRDefault="00B61B44" w:rsidP="00B61B44">
      <w:pPr>
        <w:pStyle w:val="ListParagraph"/>
        <w:numPr>
          <w:ilvl w:val="0"/>
          <w:numId w:val="2"/>
        </w:numPr>
        <w:spacing w:after="200"/>
        <w:ind w:left="-58"/>
        <w:contextualSpacing w:val="0"/>
        <w:rPr>
          <w:sz w:val="26"/>
          <w:szCs w:val="26"/>
          <w:rtl/>
        </w:rPr>
      </w:pPr>
      <w:r w:rsidRPr="002C383D">
        <w:rPr>
          <w:rFonts w:hint="cs"/>
          <w:sz w:val="26"/>
          <w:szCs w:val="26"/>
          <w:rtl/>
        </w:rPr>
        <w:t>תחילה אציין, כי לאור העובדה שהרף התחתון של מתחם העונש ההולם אשר קבעתי לעיל הוא מאסר מותנה לצד צו של"צ, הרי שממילא לא מצאתי כי בעניינו של הנאשם יש מקום לחרוג לקולא ממתחם עונש זה. כמו כן, ברי כי גם אין מקום לחרוג הימנו לחומרה.</w:t>
      </w:r>
    </w:p>
    <w:p w14:paraId="068900B6" w14:textId="77777777" w:rsidR="00B61B44" w:rsidRPr="002C383D" w:rsidRDefault="00B61B44" w:rsidP="00B61B44">
      <w:pPr>
        <w:pStyle w:val="ListParagraph"/>
        <w:numPr>
          <w:ilvl w:val="0"/>
          <w:numId w:val="2"/>
        </w:numPr>
        <w:spacing w:after="200"/>
        <w:ind w:left="-58"/>
        <w:contextualSpacing w:val="0"/>
        <w:rPr>
          <w:sz w:val="26"/>
          <w:szCs w:val="26"/>
        </w:rPr>
      </w:pPr>
      <w:r w:rsidRPr="002C383D">
        <w:rPr>
          <w:rFonts w:hint="cs"/>
          <w:sz w:val="26"/>
          <w:szCs w:val="26"/>
          <w:rtl/>
        </w:rPr>
        <w:t xml:space="preserve">כמצוות המחוקק </w:t>
      </w:r>
      <w:hyperlink r:id="rId58" w:history="1">
        <w:r w:rsidR="00627056" w:rsidRPr="00627056">
          <w:rPr>
            <w:rFonts w:hint="cs"/>
            <w:color w:val="0000FF"/>
            <w:sz w:val="26"/>
            <w:szCs w:val="26"/>
            <w:u w:val="single"/>
            <w:rtl/>
          </w:rPr>
          <w:t>בסעיף</w:t>
        </w:r>
        <w:r w:rsidR="00627056" w:rsidRPr="00627056">
          <w:rPr>
            <w:color w:val="0000FF"/>
            <w:sz w:val="26"/>
            <w:szCs w:val="26"/>
            <w:u w:val="single"/>
            <w:rtl/>
          </w:rPr>
          <w:t xml:space="preserve"> 40</w:t>
        </w:r>
        <w:r w:rsidR="00627056" w:rsidRPr="00627056">
          <w:rPr>
            <w:rFonts w:hint="cs"/>
            <w:color w:val="0000FF"/>
            <w:sz w:val="26"/>
            <w:szCs w:val="26"/>
            <w:u w:val="single"/>
            <w:rtl/>
          </w:rPr>
          <w:t>יא</w:t>
        </w:r>
      </w:hyperlink>
      <w:r w:rsidRPr="002C383D">
        <w:rPr>
          <w:rFonts w:hint="cs"/>
          <w:sz w:val="26"/>
          <w:szCs w:val="26"/>
          <w:rtl/>
        </w:rPr>
        <w:t xml:space="preserve"> ל</w:t>
      </w:r>
      <w:hyperlink r:id="rId59" w:history="1">
        <w:r w:rsidR="005048E5" w:rsidRPr="005048E5">
          <w:rPr>
            <w:rFonts w:hint="cs"/>
            <w:color w:val="0000FF"/>
            <w:sz w:val="26"/>
            <w:szCs w:val="26"/>
            <w:u w:val="single"/>
            <w:rtl/>
          </w:rPr>
          <w:t>חוק</w:t>
        </w:r>
        <w:r w:rsidR="005048E5" w:rsidRPr="005048E5">
          <w:rPr>
            <w:color w:val="0000FF"/>
            <w:sz w:val="26"/>
            <w:szCs w:val="26"/>
            <w:u w:val="single"/>
            <w:rtl/>
          </w:rPr>
          <w:t xml:space="preserve"> </w:t>
        </w:r>
        <w:r w:rsidR="005048E5" w:rsidRPr="005048E5">
          <w:rPr>
            <w:rFonts w:hint="cs"/>
            <w:color w:val="0000FF"/>
            <w:sz w:val="26"/>
            <w:szCs w:val="26"/>
            <w:u w:val="single"/>
            <w:rtl/>
          </w:rPr>
          <w:t>העונשין</w:t>
        </w:r>
      </w:hyperlink>
      <w:r w:rsidRPr="002C383D">
        <w:rPr>
          <w:rFonts w:hint="cs"/>
          <w:sz w:val="26"/>
          <w:szCs w:val="26"/>
          <w:rtl/>
        </w:rPr>
        <w:t>, יש להתחשב בנסיבות שאינן קשורות בביצוע העבירה. במסגרת זו, נתתי דעתי לעברו הפלילי הנקי של הנאשם, לגילו הצעיר, לעובדה כי הודה במיוחס לו, נטל אחריות על מעשיו, הביע עליהם צער והביא לחיסכון בזמן שיפוטי יקר. כן נתתי דעתי לפגיעה הצפויה בו ככל שיושת עליו עונש מאסר, ולו לריצוי בעבודות שירות.</w:t>
      </w:r>
    </w:p>
    <w:p w14:paraId="50ED085A" w14:textId="77777777" w:rsidR="00B61B44" w:rsidRPr="002C383D" w:rsidRDefault="00B61B44" w:rsidP="00B61B44">
      <w:pPr>
        <w:pStyle w:val="ListParagraph"/>
        <w:spacing w:after="200"/>
        <w:ind w:left="-58" w:firstLine="0"/>
        <w:contextualSpacing w:val="0"/>
        <w:rPr>
          <w:sz w:val="26"/>
          <w:szCs w:val="26"/>
        </w:rPr>
      </w:pPr>
      <w:r w:rsidRPr="002C383D">
        <w:rPr>
          <w:rFonts w:hint="cs"/>
          <w:sz w:val="26"/>
          <w:szCs w:val="26"/>
          <w:rtl/>
        </w:rPr>
        <w:t>עוד ולקולא, הבאתי בחשבון את העובדה שבמסגרת הליך המעצר השתלב הנאשם בקבוצה טיפולית, שיתף פעולה כנדרש ומסר בדיקות שתן המלמדות על כך שנגמל משימוש בסמים. בנוסף, שקלתי את העובדה שבגין ביצוע העבירה שבמוקד כתב האישום, הנאשם שהה במשך תקופה (הגם שאיננה ארוכה) מאחורי סורג ובריח ובהמשך שוחרר ממעצרו תחת תנאים מגבילים. ברי כי המעצר אינו בא בגדר עונש או "מקדמה על חשבון העונש", אך סבורתני, כשם שגם שירות המבחן התרשם, שהיה במעצרו (ובהליך הפלילי בכלל) כדי להעביר לו את המסר הנדרש ולהרתיעו מביצוע עבירות נוספות בעתיד.</w:t>
      </w:r>
    </w:p>
    <w:p w14:paraId="3066546A" w14:textId="77777777" w:rsidR="00B61B44" w:rsidRPr="002C383D" w:rsidRDefault="00B61B44" w:rsidP="00B61B44">
      <w:pPr>
        <w:pStyle w:val="ListParagraph"/>
        <w:numPr>
          <w:ilvl w:val="0"/>
          <w:numId w:val="2"/>
        </w:numPr>
        <w:spacing w:after="200"/>
        <w:ind w:left="-58"/>
        <w:contextualSpacing w:val="0"/>
        <w:rPr>
          <w:sz w:val="26"/>
          <w:szCs w:val="26"/>
        </w:rPr>
      </w:pPr>
      <w:r w:rsidRPr="002C383D">
        <w:rPr>
          <w:rFonts w:hint="cs"/>
          <w:sz w:val="26"/>
          <w:szCs w:val="26"/>
          <w:rtl/>
        </w:rPr>
        <w:t xml:space="preserve">בהינתן כל האמור, סבורתני כי עונשו של הנאשם צריך להיגזר ברף התחתון של מתחם העונש ההולם אשר קבעתי. </w:t>
      </w:r>
    </w:p>
    <w:p w14:paraId="60C139AD" w14:textId="77777777" w:rsidR="00B61B44" w:rsidRPr="002C383D" w:rsidRDefault="00B61B44" w:rsidP="00B61B44">
      <w:pPr>
        <w:pStyle w:val="ListParagraph"/>
        <w:numPr>
          <w:ilvl w:val="0"/>
          <w:numId w:val="2"/>
        </w:numPr>
        <w:spacing w:after="200"/>
        <w:ind w:left="-58"/>
        <w:contextualSpacing w:val="0"/>
        <w:rPr>
          <w:sz w:val="26"/>
          <w:szCs w:val="26"/>
        </w:rPr>
      </w:pPr>
      <w:r w:rsidRPr="002C383D">
        <w:rPr>
          <w:rFonts w:hint="cs"/>
          <w:sz w:val="26"/>
          <w:szCs w:val="26"/>
          <w:rtl/>
        </w:rPr>
        <w:t>אשר לעתירת המאשימה להורות על פסילה בפועל של רישיון הנהיגה של הנאשם, בשים לב לעובדה שהנאשם נגמל משימוש בסמים, כפי שניתן ללמוד מהאמור בתסקיר שירות המבחן, ולאור העובדה שזו הסתבכותו הראשונה בפלילים בכלל ובעבירות סמים בפרט, מצאתי, ולו לפנים משורת הדין, להסתפק בזו הפעם בפסילת רישיון מותנית בלבד.</w:t>
      </w:r>
    </w:p>
    <w:p w14:paraId="6FCE9383" w14:textId="77777777" w:rsidR="00B61B44" w:rsidRPr="002C383D" w:rsidRDefault="00B61B44" w:rsidP="00B61B44">
      <w:pPr>
        <w:pStyle w:val="ListParagraph"/>
        <w:numPr>
          <w:ilvl w:val="0"/>
          <w:numId w:val="2"/>
        </w:numPr>
        <w:spacing w:after="200"/>
        <w:ind w:left="-58"/>
        <w:contextualSpacing w:val="0"/>
        <w:rPr>
          <w:b/>
          <w:bCs/>
          <w:sz w:val="26"/>
          <w:szCs w:val="26"/>
        </w:rPr>
      </w:pPr>
      <w:r w:rsidRPr="002C383D">
        <w:rPr>
          <w:rFonts w:hint="cs"/>
          <w:b/>
          <w:bCs/>
          <w:sz w:val="26"/>
          <w:szCs w:val="26"/>
          <w:rtl/>
        </w:rPr>
        <w:t xml:space="preserve">לאור כל המקובץ לעיל, </w:t>
      </w:r>
      <w:r w:rsidRPr="002C383D">
        <w:rPr>
          <w:rFonts w:hint="cs"/>
          <w:b/>
          <w:bCs/>
          <w:sz w:val="26"/>
          <w:szCs w:val="26"/>
          <w:u w:val="single"/>
          <w:rtl/>
        </w:rPr>
        <w:t>הריני מורה כי הרשעתו של הנאשם תיוותר על כנה</w:t>
      </w:r>
      <w:r w:rsidRPr="002C383D">
        <w:rPr>
          <w:rFonts w:hint="cs"/>
          <w:b/>
          <w:bCs/>
          <w:sz w:val="26"/>
          <w:szCs w:val="26"/>
          <w:rtl/>
        </w:rPr>
        <w:t>, וגוזרת עליו את העונשים הבאים:</w:t>
      </w:r>
    </w:p>
    <w:p w14:paraId="62FDF77B" w14:textId="77777777" w:rsidR="00B61B44" w:rsidRPr="002C383D" w:rsidRDefault="00B61B44" w:rsidP="00B61B44">
      <w:pPr>
        <w:pStyle w:val="ListParagraph"/>
        <w:numPr>
          <w:ilvl w:val="0"/>
          <w:numId w:val="3"/>
        </w:numPr>
        <w:spacing w:after="200"/>
        <w:contextualSpacing w:val="0"/>
        <w:rPr>
          <w:b/>
          <w:bCs/>
          <w:sz w:val="26"/>
          <w:szCs w:val="26"/>
        </w:rPr>
      </w:pPr>
      <w:r w:rsidRPr="002C383D">
        <w:rPr>
          <w:rFonts w:hint="cs"/>
          <w:b/>
          <w:bCs/>
          <w:sz w:val="26"/>
          <w:szCs w:val="26"/>
          <w:rtl/>
        </w:rPr>
        <w:t xml:space="preserve">צו של"צ בהיקף של 250 שעות. </w:t>
      </w:r>
      <w:r w:rsidRPr="002C383D">
        <w:rPr>
          <w:rFonts w:hint="cs"/>
          <w:sz w:val="26"/>
          <w:szCs w:val="26"/>
          <w:rtl/>
        </w:rPr>
        <w:t>תוקף הצו הוא למשך שנה מהיום.</w:t>
      </w:r>
    </w:p>
    <w:p w14:paraId="440C234B" w14:textId="77777777" w:rsidR="00B61B44" w:rsidRPr="002C383D" w:rsidRDefault="00B61B44" w:rsidP="00B61B44">
      <w:pPr>
        <w:pStyle w:val="ListParagraph"/>
        <w:spacing w:after="200"/>
        <w:ind w:firstLine="0"/>
        <w:contextualSpacing w:val="0"/>
        <w:rPr>
          <w:rFonts w:eastAsia="Times New Roman"/>
          <w:sz w:val="26"/>
          <w:szCs w:val="26"/>
        </w:rPr>
      </w:pPr>
      <w:r w:rsidRPr="002C383D">
        <w:rPr>
          <w:rFonts w:eastAsia="Times New Roman" w:hint="cs"/>
          <w:sz w:val="26"/>
          <w:szCs w:val="26"/>
          <w:rtl/>
        </w:rPr>
        <w:t xml:space="preserve">שירות המבחן יגיש תכנית של"צ בעניינו של הנאשם תוך 14 יום מהיום. </w:t>
      </w:r>
      <w:r>
        <w:rPr>
          <w:rFonts w:eastAsia="Times New Roman"/>
          <w:sz w:val="26"/>
          <w:szCs w:val="26"/>
          <w:rtl/>
        </w:rPr>
        <w:tab/>
      </w:r>
      <w:r>
        <w:rPr>
          <w:rFonts w:eastAsia="Times New Roman"/>
          <w:sz w:val="26"/>
          <w:szCs w:val="26"/>
          <w:rtl/>
        </w:rPr>
        <w:br/>
      </w:r>
      <w:r w:rsidRPr="002C383D">
        <w:rPr>
          <w:rFonts w:eastAsia="Times New Roman" w:hint="cs"/>
          <w:sz w:val="26"/>
          <w:szCs w:val="26"/>
          <w:rtl/>
        </w:rPr>
        <w:t>לאחר קבלת התכנית, אאשרה ללא צורך בדיון נוסף.</w:t>
      </w:r>
    </w:p>
    <w:p w14:paraId="20B2C685" w14:textId="77777777" w:rsidR="00B61B44" w:rsidRPr="002C383D" w:rsidRDefault="00B61B44" w:rsidP="00B61B44">
      <w:pPr>
        <w:pStyle w:val="ListParagraph"/>
        <w:spacing w:after="200"/>
        <w:ind w:firstLine="0"/>
        <w:contextualSpacing w:val="0"/>
        <w:rPr>
          <w:b/>
          <w:bCs/>
          <w:sz w:val="26"/>
          <w:szCs w:val="26"/>
          <w:rtl/>
        </w:rPr>
      </w:pPr>
      <w:r w:rsidRPr="002C383D">
        <w:rPr>
          <w:rFonts w:hint="cs"/>
          <w:sz w:val="26"/>
          <w:szCs w:val="26"/>
          <w:rtl/>
        </w:rPr>
        <w:t>הובהרה לנאשם חשיבות שיתוף הפעולה עם שירות המבחן בביצוע עבודות השל"צ ומשמעות היעדר שיתוף הפעולה.</w:t>
      </w:r>
    </w:p>
    <w:p w14:paraId="0576A0BB" w14:textId="77777777" w:rsidR="00B61B44" w:rsidRPr="002C383D" w:rsidRDefault="00B61B44" w:rsidP="00B61B44">
      <w:pPr>
        <w:pStyle w:val="ListParagraph"/>
        <w:spacing w:after="200"/>
        <w:ind w:firstLine="0"/>
        <w:contextualSpacing w:val="0"/>
        <w:rPr>
          <w:b/>
          <w:bCs/>
          <w:sz w:val="26"/>
          <w:szCs w:val="26"/>
          <w:rtl/>
        </w:rPr>
      </w:pPr>
      <w:r w:rsidRPr="002C383D">
        <w:rPr>
          <w:rFonts w:hint="cs"/>
          <w:b/>
          <w:bCs/>
          <w:sz w:val="26"/>
          <w:szCs w:val="26"/>
          <w:rtl/>
        </w:rPr>
        <w:t>העתק ההחלטה בדחיפות לשירות המבחן.</w:t>
      </w:r>
    </w:p>
    <w:p w14:paraId="3300D331" w14:textId="77777777" w:rsidR="00B61B44" w:rsidRPr="002C383D" w:rsidRDefault="00B61B44" w:rsidP="00B61B44">
      <w:pPr>
        <w:pStyle w:val="ListParagraph"/>
        <w:numPr>
          <w:ilvl w:val="0"/>
          <w:numId w:val="3"/>
        </w:numPr>
        <w:spacing w:after="200"/>
        <w:contextualSpacing w:val="0"/>
        <w:rPr>
          <w:b/>
          <w:bCs/>
          <w:sz w:val="26"/>
          <w:szCs w:val="26"/>
        </w:rPr>
      </w:pPr>
      <w:r w:rsidRPr="002C383D">
        <w:rPr>
          <w:rFonts w:hint="cs"/>
          <w:b/>
          <w:bCs/>
          <w:sz w:val="26"/>
          <w:szCs w:val="26"/>
          <w:rtl/>
        </w:rPr>
        <w:t>מאסר מותנה למשך 8 חודשים, אשר יופעל אם תוך תקופה של 3 שנים מהיום יעבור הנאשם עבירה בניגוד לפקודת הסמים, מסוג פשע.</w:t>
      </w:r>
    </w:p>
    <w:p w14:paraId="41B2CD8D" w14:textId="77777777" w:rsidR="00B61B44" w:rsidRPr="002C383D" w:rsidRDefault="00B61B44" w:rsidP="00B61B44">
      <w:pPr>
        <w:pStyle w:val="ListParagraph"/>
        <w:numPr>
          <w:ilvl w:val="0"/>
          <w:numId w:val="3"/>
        </w:numPr>
        <w:spacing w:after="200"/>
        <w:contextualSpacing w:val="0"/>
        <w:rPr>
          <w:b/>
          <w:bCs/>
          <w:sz w:val="26"/>
          <w:szCs w:val="26"/>
        </w:rPr>
      </w:pPr>
      <w:r w:rsidRPr="002C383D">
        <w:rPr>
          <w:rFonts w:hint="cs"/>
          <w:b/>
          <w:bCs/>
          <w:sz w:val="26"/>
          <w:szCs w:val="26"/>
          <w:rtl/>
        </w:rPr>
        <w:t>מאסר מותנה למשך 4 חודשים, אשר יופעל אם תוך תקופה של 3 שנים מהיום יעבור הנאשם עבירה בניגוד לפקודת הסמים, מסוג עוון.</w:t>
      </w:r>
    </w:p>
    <w:p w14:paraId="03847065" w14:textId="77777777" w:rsidR="00B61B44" w:rsidRPr="002C383D" w:rsidRDefault="00B61B44" w:rsidP="00B61B44">
      <w:pPr>
        <w:pStyle w:val="ListParagraph"/>
        <w:numPr>
          <w:ilvl w:val="0"/>
          <w:numId w:val="3"/>
        </w:numPr>
        <w:spacing w:after="200"/>
        <w:contextualSpacing w:val="0"/>
        <w:rPr>
          <w:b/>
          <w:bCs/>
          <w:sz w:val="26"/>
          <w:szCs w:val="26"/>
        </w:rPr>
      </w:pPr>
      <w:r w:rsidRPr="002C383D">
        <w:rPr>
          <w:rFonts w:hint="cs"/>
          <w:b/>
          <w:bCs/>
          <w:sz w:val="26"/>
          <w:szCs w:val="26"/>
          <w:rtl/>
        </w:rPr>
        <w:t>צו מבחן של שירות המבחן למשך שנה מהיום.</w:t>
      </w:r>
    </w:p>
    <w:p w14:paraId="0AD881D3" w14:textId="77777777" w:rsidR="00B61B44" w:rsidRPr="002C383D" w:rsidRDefault="00B61B44" w:rsidP="00B61B44">
      <w:pPr>
        <w:pStyle w:val="ListParagraph"/>
        <w:numPr>
          <w:ilvl w:val="0"/>
          <w:numId w:val="3"/>
        </w:numPr>
        <w:spacing w:after="200"/>
        <w:contextualSpacing w:val="0"/>
        <w:rPr>
          <w:b/>
          <w:bCs/>
          <w:sz w:val="26"/>
          <w:szCs w:val="26"/>
        </w:rPr>
      </w:pPr>
      <w:r w:rsidRPr="002C383D">
        <w:rPr>
          <w:rFonts w:hint="cs"/>
          <w:b/>
          <w:bCs/>
          <w:sz w:val="26"/>
          <w:szCs w:val="26"/>
          <w:rtl/>
        </w:rPr>
        <w:t>אני פוסלת את הנאשם מלקבל או מלהחזיק רישיון נהיגה למשך 9 חודשים, וזאת על תנאי שלא יעבור כל עבירה בניגוד ל</w:t>
      </w:r>
      <w:hyperlink r:id="rId60" w:history="1">
        <w:r w:rsidR="005048E5" w:rsidRPr="005048E5">
          <w:rPr>
            <w:rFonts w:hint="cs"/>
            <w:b/>
            <w:bCs/>
            <w:color w:val="0000FF"/>
            <w:sz w:val="26"/>
            <w:szCs w:val="26"/>
            <w:u w:val="single"/>
            <w:rtl/>
          </w:rPr>
          <w:t>פקודת</w:t>
        </w:r>
        <w:r w:rsidR="005048E5" w:rsidRPr="005048E5">
          <w:rPr>
            <w:b/>
            <w:bCs/>
            <w:color w:val="0000FF"/>
            <w:sz w:val="26"/>
            <w:szCs w:val="26"/>
            <w:u w:val="single"/>
            <w:rtl/>
          </w:rPr>
          <w:t xml:space="preserve"> </w:t>
        </w:r>
        <w:r w:rsidR="005048E5" w:rsidRPr="005048E5">
          <w:rPr>
            <w:rFonts w:hint="cs"/>
            <w:b/>
            <w:bCs/>
            <w:color w:val="0000FF"/>
            <w:sz w:val="26"/>
            <w:szCs w:val="26"/>
            <w:u w:val="single"/>
            <w:rtl/>
          </w:rPr>
          <w:t>הסמים</w:t>
        </w:r>
        <w:r w:rsidR="005048E5" w:rsidRPr="005048E5">
          <w:rPr>
            <w:b/>
            <w:bCs/>
            <w:color w:val="0000FF"/>
            <w:sz w:val="26"/>
            <w:szCs w:val="26"/>
            <w:u w:val="single"/>
            <w:rtl/>
          </w:rPr>
          <w:t xml:space="preserve"> </w:t>
        </w:r>
        <w:r w:rsidR="005048E5" w:rsidRPr="005048E5">
          <w:rPr>
            <w:rFonts w:hint="cs"/>
            <w:b/>
            <w:bCs/>
            <w:color w:val="0000FF"/>
            <w:sz w:val="26"/>
            <w:szCs w:val="26"/>
            <w:u w:val="single"/>
            <w:rtl/>
          </w:rPr>
          <w:t>המסוכנים</w:t>
        </w:r>
      </w:hyperlink>
      <w:r w:rsidRPr="002C383D">
        <w:rPr>
          <w:rFonts w:hint="cs"/>
          <w:b/>
          <w:bCs/>
          <w:sz w:val="26"/>
          <w:szCs w:val="26"/>
          <w:rtl/>
        </w:rPr>
        <w:t xml:space="preserve"> במשך שנתיים מהיום.</w:t>
      </w:r>
    </w:p>
    <w:p w14:paraId="2EF938CC" w14:textId="77777777" w:rsidR="00B61B44" w:rsidRPr="002C383D" w:rsidRDefault="00B61B44" w:rsidP="00B61B44">
      <w:pPr>
        <w:pStyle w:val="ListParagraph"/>
        <w:numPr>
          <w:ilvl w:val="0"/>
          <w:numId w:val="3"/>
        </w:numPr>
        <w:spacing w:after="200"/>
        <w:contextualSpacing w:val="0"/>
        <w:rPr>
          <w:b/>
          <w:bCs/>
          <w:sz w:val="26"/>
          <w:szCs w:val="26"/>
        </w:rPr>
      </w:pPr>
      <w:r w:rsidRPr="002C383D">
        <w:rPr>
          <w:rFonts w:hint="cs"/>
          <w:b/>
          <w:bCs/>
          <w:sz w:val="26"/>
          <w:szCs w:val="26"/>
          <w:rtl/>
        </w:rPr>
        <w:t>קנס כספי בסך 750 ₪ או 10 ימי מאסר תמורתו.</w:t>
      </w:r>
      <w:r>
        <w:rPr>
          <w:b/>
          <w:bCs/>
          <w:sz w:val="26"/>
          <w:szCs w:val="26"/>
          <w:rtl/>
        </w:rPr>
        <w:tab/>
      </w:r>
      <w:r>
        <w:rPr>
          <w:b/>
          <w:bCs/>
          <w:sz w:val="26"/>
          <w:szCs w:val="26"/>
          <w:rtl/>
        </w:rPr>
        <w:br/>
      </w:r>
      <w:r>
        <w:rPr>
          <w:rFonts w:hint="cs"/>
          <w:b/>
          <w:bCs/>
          <w:sz w:val="26"/>
          <w:szCs w:val="26"/>
          <w:rtl/>
        </w:rPr>
        <w:t xml:space="preserve">הקנס יקוזז מסכום ההפקדה שהפקיד הנאשם במסגרת הליך המעצר מושא תיק זה וזאת ככל שלא קיים עיקול על כספים אלו. ככל שלא קיימת הפקדה, הרי שעל הנאשם לשלם הקנס בתוך 60 יום מהיום. </w:t>
      </w:r>
    </w:p>
    <w:p w14:paraId="2A04A5FB" w14:textId="77777777" w:rsidR="00B61B44" w:rsidRPr="005D6DB9" w:rsidRDefault="00B61B44" w:rsidP="00B61B44">
      <w:pPr>
        <w:spacing w:after="200"/>
        <w:jc w:val="both"/>
        <w:rPr>
          <w:sz w:val="2"/>
          <w:szCs w:val="2"/>
          <w:rtl/>
        </w:rPr>
      </w:pPr>
    </w:p>
    <w:p w14:paraId="0F6046AF" w14:textId="77777777" w:rsidR="00B61B44" w:rsidRDefault="00B61B44" w:rsidP="00B61B44">
      <w:pPr>
        <w:spacing w:after="200"/>
        <w:jc w:val="both"/>
        <w:rPr>
          <w:sz w:val="26"/>
          <w:szCs w:val="26"/>
          <w:rtl/>
        </w:rPr>
      </w:pPr>
      <w:r w:rsidRPr="002C383D">
        <w:rPr>
          <w:rFonts w:hint="cs"/>
          <w:sz w:val="26"/>
          <w:szCs w:val="26"/>
          <w:rtl/>
        </w:rPr>
        <w:t xml:space="preserve">הריני מורה על השמדת המוצגים בתיק – סמים, </w:t>
      </w:r>
      <w:r>
        <w:rPr>
          <w:rFonts w:hint="cs"/>
          <w:sz w:val="26"/>
          <w:szCs w:val="26"/>
          <w:rtl/>
        </w:rPr>
        <w:t xml:space="preserve">דיסקים, </w:t>
      </w:r>
      <w:r w:rsidRPr="002C383D">
        <w:rPr>
          <w:rFonts w:hint="cs"/>
          <w:sz w:val="26"/>
          <w:szCs w:val="26"/>
          <w:rtl/>
        </w:rPr>
        <w:t>בכפוף לחלוף תקופת הערעור.</w:t>
      </w:r>
    </w:p>
    <w:p w14:paraId="7B845966" w14:textId="77777777" w:rsidR="00B61B44" w:rsidRDefault="00B61B44" w:rsidP="00B61B44">
      <w:pPr>
        <w:spacing w:after="200"/>
        <w:jc w:val="both"/>
        <w:rPr>
          <w:sz w:val="26"/>
          <w:szCs w:val="26"/>
          <w:rtl/>
        </w:rPr>
      </w:pPr>
      <w:r>
        <w:rPr>
          <w:rFonts w:hint="cs"/>
          <w:sz w:val="26"/>
          <w:szCs w:val="26"/>
          <w:rtl/>
        </w:rPr>
        <w:t xml:space="preserve">פלאפון מסוג אייפון שחור, (מסך שבור) ימסר לנאשם. </w:t>
      </w:r>
    </w:p>
    <w:p w14:paraId="1F66963E" w14:textId="77777777" w:rsidR="00B61B44" w:rsidRDefault="00B61B44" w:rsidP="00B61B44">
      <w:pPr>
        <w:bidi w:val="0"/>
        <w:rPr>
          <w:sz w:val="26"/>
          <w:szCs w:val="26"/>
          <w:rtl/>
        </w:rPr>
      </w:pPr>
      <w:r>
        <w:rPr>
          <w:sz w:val="26"/>
          <w:szCs w:val="26"/>
          <w:rtl/>
        </w:rPr>
        <w:br w:type="page"/>
      </w:r>
    </w:p>
    <w:p w14:paraId="3D9E897D" w14:textId="77777777" w:rsidR="00B61B44" w:rsidRDefault="00B61B44" w:rsidP="00B61B44">
      <w:pPr>
        <w:spacing w:after="200"/>
        <w:jc w:val="both"/>
        <w:rPr>
          <w:sz w:val="26"/>
          <w:szCs w:val="26"/>
          <w:rtl/>
        </w:rPr>
      </w:pPr>
    </w:p>
    <w:p w14:paraId="060D4666" w14:textId="77777777" w:rsidR="00B61B44" w:rsidRPr="002C383D" w:rsidRDefault="005048E5" w:rsidP="00B61B44">
      <w:pPr>
        <w:spacing w:after="200" w:line="360" w:lineRule="auto"/>
        <w:jc w:val="both"/>
        <w:rPr>
          <w:sz w:val="26"/>
          <w:szCs w:val="26"/>
          <w:rtl/>
        </w:rPr>
      </w:pPr>
      <w:r w:rsidRPr="005048E5">
        <w:rPr>
          <w:color w:val="FFFFFF"/>
          <w:sz w:val="2"/>
          <w:szCs w:val="2"/>
          <w:rtl/>
        </w:rPr>
        <w:t>5129371</w:t>
      </w:r>
      <w:r w:rsidR="00B61B44">
        <w:rPr>
          <w:rFonts w:hint="cs"/>
          <w:sz w:val="26"/>
          <w:szCs w:val="26"/>
          <w:rtl/>
        </w:rPr>
        <w:t xml:space="preserve">העתק הפרוטוקול ישלח לשלטונות צה"ל אשר ישקלו בחיוב את גיוסו של הנאשם לצבא לאור התהליך הטיפולי החיובי שעבר הנאשם במסגרת שירות המבחן. </w:t>
      </w:r>
    </w:p>
    <w:p w14:paraId="46525D31" w14:textId="77777777" w:rsidR="00B61B44" w:rsidRPr="005048E5" w:rsidRDefault="005048E5" w:rsidP="00B61B44">
      <w:pPr>
        <w:spacing w:after="200"/>
        <w:jc w:val="both"/>
        <w:rPr>
          <w:color w:val="FFFFFF"/>
          <w:sz w:val="2"/>
          <w:szCs w:val="2"/>
          <w:rtl/>
        </w:rPr>
      </w:pPr>
      <w:r w:rsidRPr="005048E5">
        <w:rPr>
          <w:color w:val="FFFFFF"/>
          <w:sz w:val="2"/>
          <w:szCs w:val="2"/>
          <w:rtl/>
        </w:rPr>
        <w:t>54678313</w:t>
      </w:r>
    </w:p>
    <w:p w14:paraId="60CE0C19" w14:textId="77777777" w:rsidR="00B61B44" w:rsidRDefault="00B61B44" w:rsidP="00B61B44">
      <w:pPr>
        <w:spacing w:after="200"/>
        <w:jc w:val="both"/>
        <w:rPr>
          <w:b/>
          <w:bCs/>
          <w:sz w:val="26"/>
          <w:szCs w:val="26"/>
          <w:rtl/>
        </w:rPr>
      </w:pPr>
      <w:r w:rsidRPr="005D6DB9">
        <w:rPr>
          <w:rFonts w:hint="cs"/>
          <w:b/>
          <w:bCs/>
          <w:sz w:val="26"/>
          <w:szCs w:val="26"/>
          <w:rtl/>
        </w:rPr>
        <w:t>זכות ערעור כחוק.</w:t>
      </w:r>
    </w:p>
    <w:p w14:paraId="5BB2F91E" w14:textId="77777777" w:rsidR="00B61B44" w:rsidRPr="005D6DB9" w:rsidRDefault="00B61B44" w:rsidP="00B61B44">
      <w:pPr>
        <w:spacing w:after="200"/>
        <w:jc w:val="both"/>
        <w:rPr>
          <w:b/>
          <w:bCs/>
          <w:sz w:val="26"/>
          <w:szCs w:val="26"/>
          <w:rtl/>
        </w:rPr>
      </w:pPr>
    </w:p>
    <w:p w14:paraId="7C0BCC29" w14:textId="77777777" w:rsidR="00B61B44" w:rsidRPr="002C383D" w:rsidRDefault="005048E5" w:rsidP="00B61B44">
      <w:pPr>
        <w:spacing w:after="200" w:line="360" w:lineRule="auto"/>
        <w:ind w:left="3600" w:firstLine="720"/>
        <w:jc w:val="both"/>
      </w:pPr>
      <w:r>
        <w:rPr>
          <w:rFonts w:ascii="Arial" w:hAnsi="Arial"/>
          <w:b/>
          <w:bCs/>
          <w:noProof w:val="0"/>
          <w:sz w:val="26"/>
          <w:szCs w:val="26"/>
          <w:rtl/>
        </w:rPr>
        <w:t xml:space="preserve">ניתנה היום,  י"ח טבת תשע"ז, 16 ינואר 2017, בהעדר הצדדים. </w:t>
      </w:r>
    </w:p>
    <w:p w14:paraId="6BA4400C" w14:textId="77777777" w:rsidR="00B61B44" w:rsidRPr="00343398" w:rsidRDefault="00343398" w:rsidP="00B61B44">
      <w:pPr>
        <w:spacing w:after="200" w:line="360" w:lineRule="auto"/>
        <w:ind w:left="3600" w:firstLine="720"/>
        <w:jc w:val="both"/>
        <w:rPr>
          <w:rFonts w:ascii="Arial" w:hAnsi="Arial"/>
          <w:noProof w:val="0"/>
          <w:color w:val="FFFFFF"/>
          <w:sz w:val="2"/>
          <w:szCs w:val="2"/>
          <w:rtl/>
        </w:rPr>
      </w:pPr>
      <w:r w:rsidRPr="00343398">
        <w:rPr>
          <w:rFonts w:ascii="Arial" w:hAnsi="Arial"/>
          <w:noProof w:val="0"/>
          <w:color w:val="FFFFFF"/>
          <w:sz w:val="2"/>
          <w:szCs w:val="2"/>
          <w:rtl/>
        </w:rPr>
        <w:t>5129371</w:t>
      </w:r>
    </w:p>
    <w:p w14:paraId="1739EFA4" w14:textId="77777777" w:rsidR="005048E5" w:rsidRPr="00343398" w:rsidRDefault="00343398" w:rsidP="005048E5">
      <w:pPr>
        <w:keepNext/>
        <w:rPr>
          <w:rFonts w:ascii="David" w:hAnsi="David"/>
          <w:color w:val="FFFFFF"/>
          <w:sz w:val="2"/>
          <w:szCs w:val="2"/>
          <w:rtl/>
        </w:rPr>
      </w:pPr>
      <w:r w:rsidRPr="00343398">
        <w:rPr>
          <w:rFonts w:ascii="David" w:hAnsi="David"/>
          <w:color w:val="FFFFFF"/>
          <w:sz w:val="2"/>
          <w:szCs w:val="2"/>
          <w:rtl/>
        </w:rPr>
        <w:t>512937154678313</w:t>
      </w:r>
    </w:p>
    <w:p w14:paraId="24AB33FB" w14:textId="77777777" w:rsidR="005048E5" w:rsidRPr="005048E5" w:rsidRDefault="00343398" w:rsidP="005048E5">
      <w:pPr>
        <w:keepNext/>
        <w:rPr>
          <w:rFonts w:ascii="David" w:hAnsi="David"/>
          <w:color w:val="000000"/>
          <w:sz w:val="22"/>
          <w:szCs w:val="22"/>
          <w:rtl/>
        </w:rPr>
      </w:pPr>
      <w:r w:rsidRPr="00343398">
        <w:rPr>
          <w:rFonts w:ascii="David" w:hAnsi="David"/>
          <w:color w:val="FFFFFF"/>
          <w:sz w:val="2"/>
          <w:szCs w:val="2"/>
          <w:rtl/>
        </w:rPr>
        <w:t>54678313</w:t>
      </w:r>
      <w:r w:rsidR="005048E5" w:rsidRPr="005048E5">
        <w:rPr>
          <w:rFonts w:ascii="David" w:hAnsi="David"/>
          <w:color w:val="000000"/>
          <w:sz w:val="22"/>
          <w:szCs w:val="22"/>
          <w:rtl/>
        </w:rPr>
        <w:t>הה נגה שמואלי מאייר 54678313</w:t>
      </w:r>
    </w:p>
    <w:p w14:paraId="56F5F003" w14:textId="77777777" w:rsidR="005048E5" w:rsidRDefault="005048E5" w:rsidP="005048E5">
      <w:r w:rsidRPr="005048E5">
        <w:rPr>
          <w:color w:val="000000"/>
          <w:rtl/>
        </w:rPr>
        <w:t>נוסח מסמך זה כפוף לשינויי ניסוח ועריכה</w:t>
      </w:r>
    </w:p>
    <w:p w14:paraId="34057609" w14:textId="77777777" w:rsidR="005048E5" w:rsidRDefault="005048E5" w:rsidP="005048E5">
      <w:pPr>
        <w:rPr>
          <w:rtl/>
        </w:rPr>
      </w:pPr>
    </w:p>
    <w:p w14:paraId="508E1408" w14:textId="77777777" w:rsidR="005048E5" w:rsidRDefault="005048E5" w:rsidP="005048E5">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75A34BCC" w14:textId="77777777" w:rsidR="00343398" w:rsidRPr="00343398" w:rsidRDefault="00343398" w:rsidP="00343398">
      <w:pPr>
        <w:keepNext/>
        <w:rPr>
          <w:rFonts w:ascii="David" w:hAnsi="David"/>
          <w:color w:val="000000"/>
          <w:sz w:val="22"/>
          <w:szCs w:val="22"/>
          <w:rtl/>
        </w:rPr>
      </w:pPr>
    </w:p>
    <w:p w14:paraId="149FC999" w14:textId="77777777" w:rsidR="00B35717" w:rsidRPr="005048E5" w:rsidRDefault="00B35717" w:rsidP="00343398">
      <w:pPr>
        <w:rPr>
          <w:color w:val="0000FF"/>
          <w:u w:val="single"/>
        </w:rPr>
      </w:pPr>
    </w:p>
    <w:sectPr w:rsidR="00B35717" w:rsidRPr="005048E5" w:rsidSect="00343398">
      <w:headerReference w:type="even" r:id="rId62"/>
      <w:headerReference w:type="default" r:id="rId63"/>
      <w:footerReference w:type="even" r:id="rId64"/>
      <w:footerReference w:type="default" r:id="rId65"/>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6293A" w14:textId="77777777" w:rsidR="00D9359B" w:rsidRDefault="00D9359B">
      <w:r>
        <w:separator/>
      </w:r>
    </w:p>
  </w:endnote>
  <w:endnote w:type="continuationSeparator" w:id="0">
    <w:p w14:paraId="54DEDC74" w14:textId="77777777" w:rsidR="00D9359B" w:rsidRDefault="00D9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DC0A3" w14:textId="77777777" w:rsidR="00343398" w:rsidRDefault="00343398" w:rsidP="0034339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10</w:t>
    </w:r>
    <w:r>
      <w:rPr>
        <w:rFonts w:ascii="FrankRuehl" w:hAnsi="FrankRuehl" w:cs="FrankRuehl"/>
        <w:rtl/>
      </w:rPr>
      <w:fldChar w:fldCharType="end"/>
    </w:r>
  </w:p>
  <w:p w14:paraId="0753E5F0" w14:textId="77777777" w:rsidR="005048E5" w:rsidRPr="00343398" w:rsidRDefault="00343398" w:rsidP="00343398">
    <w:pPr>
      <w:pStyle w:val="a4"/>
      <w:pBdr>
        <w:top w:val="single" w:sz="4" w:space="1" w:color="auto"/>
        <w:between w:val="single" w:sz="4" w:space="0" w:color="auto"/>
      </w:pBdr>
      <w:spacing w:after="60"/>
      <w:jc w:val="center"/>
      <w:rPr>
        <w:rFonts w:ascii="FrankRuehl" w:hAnsi="FrankRuehl" w:cs="FrankRuehl"/>
        <w:color w:val="000000"/>
      </w:rPr>
    </w:pPr>
    <w:r w:rsidRPr="003433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29931" w14:textId="77777777" w:rsidR="00343398" w:rsidRDefault="00343398" w:rsidP="00343398">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hint="cs"/>
      </w:rPr>
      <w:instrText>PAGE</w:instrText>
    </w:r>
    <w:r>
      <w:rPr>
        <w:rStyle w:val="a5"/>
        <w:rFonts w:ascii="FrankRuehl" w:hAnsi="FrankRuehl" w:cs="FrankRuehl" w:hint="cs"/>
        <w:rtl/>
      </w:rPr>
      <w:instrText xml:space="preserve">  \* </w:instrText>
    </w:r>
    <w:r>
      <w:rPr>
        <w:rStyle w:val="a5"/>
        <w:rFonts w:ascii="FrankRuehl" w:hAnsi="FrankRuehl" w:cs="FrankRuehl" w:hint="cs"/>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4E1C12">
      <w:rPr>
        <w:rStyle w:val="a5"/>
        <w:rFonts w:ascii="FrankRuehl" w:hAnsi="FrankRuehl" w:cs="FrankRuehl"/>
        <w:rtl/>
      </w:rPr>
      <w:t>1</w:t>
    </w:r>
    <w:r>
      <w:rPr>
        <w:rStyle w:val="a5"/>
        <w:rFonts w:ascii="FrankRuehl" w:hAnsi="FrankRuehl" w:cs="FrankRuehl"/>
        <w:rtl/>
      </w:rPr>
      <w:fldChar w:fldCharType="end"/>
    </w:r>
  </w:p>
  <w:p w14:paraId="671BD540" w14:textId="77777777" w:rsidR="005048E5" w:rsidRPr="00343398" w:rsidRDefault="00343398" w:rsidP="00343398">
    <w:pPr>
      <w:pStyle w:val="a4"/>
      <w:pBdr>
        <w:top w:val="single" w:sz="4" w:space="1" w:color="auto"/>
        <w:between w:val="single" w:sz="4" w:space="0" w:color="auto"/>
      </w:pBdr>
      <w:spacing w:after="60"/>
      <w:jc w:val="center"/>
      <w:rPr>
        <w:rStyle w:val="a5"/>
        <w:rFonts w:ascii="FrankRuehl" w:hAnsi="FrankRuehl" w:cs="FrankRuehl" w:hint="cs"/>
        <w:color w:val="000000"/>
      </w:rPr>
    </w:pPr>
    <w:r w:rsidRPr="00343398">
      <w:rPr>
        <w:rStyle w:val="a5"/>
        <w:rFonts w:ascii="FrankRuehl" w:hAnsi="FrankRuehl" w:cs="FrankRuehl" w:hint="cs"/>
        <w:color w:val="000000"/>
      </w:rPr>
      <w:pict w14:anchorId="79355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359F2" w14:textId="77777777" w:rsidR="00D9359B" w:rsidRDefault="00D9359B">
      <w:r>
        <w:separator/>
      </w:r>
    </w:p>
  </w:footnote>
  <w:footnote w:type="continuationSeparator" w:id="0">
    <w:p w14:paraId="6B4EBA00" w14:textId="77777777" w:rsidR="00D9359B" w:rsidRDefault="00D93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994AF" w14:textId="77777777" w:rsidR="005048E5" w:rsidRPr="00343398" w:rsidRDefault="00343398" w:rsidP="003433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20484-05-16</w:t>
    </w:r>
    <w:r>
      <w:rPr>
        <w:rFonts w:ascii="David" w:hAnsi="David"/>
        <w:color w:val="000000"/>
        <w:sz w:val="22"/>
        <w:szCs w:val="22"/>
        <w:rtl/>
      </w:rPr>
      <w:tab/>
      <w:t xml:space="preserve"> מדינת ישראל נ' אביב כהן סבן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3A39D" w14:textId="77777777" w:rsidR="005048E5" w:rsidRPr="00343398" w:rsidRDefault="00343398" w:rsidP="003433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20484-05-16</w:t>
    </w:r>
    <w:r>
      <w:rPr>
        <w:rFonts w:ascii="David" w:hAnsi="David"/>
        <w:color w:val="000000"/>
        <w:sz w:val="22"/>
        <w:szCs w:val="22"/>
        <w:rtl/>
      </w:rPr>
      <w:tab/>
      <w:t xml:space="preserve"> מדינת ישראל נ' אביב כהן סבן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24E5A"/>
    <w:multiLevelType w:val="hybridMultilevel"/>
    <w:tmpl w:val="ABAC6172"/>
    <w:lvl w:ilvl="0" w:tplc="D70C7376">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277F34"/>
    <w:multiLevelType w:val="hybridMultilevel"/>
    <w:tmpl w:val="99B2E02E"/>
    <w:lvl w:ilvl="0" w:tplc="CB2E1D22">
      <w:start w:val="1"/>
      <w:numFmt w:val="decimal"/>
      <w:lvlText w:val="%1."/>
      <w:lvlJc w:val="left"/>
      <w:pPr>
        <w:ind w:left="662" w:hanging="360"/>
      </w:pPr>
      <w:rPr>
        <w:b w:val="0"/>
        <w:bCs w:val="0"/>
      </w:rPr>
    </w:lvl>
    <w:lvl w:ilvl="1" w:tplc="04090019">
      <w:start w:val="1"/>
      <w:numFmt w:val="lowerLetter"/>
      <w:lvlText w:val="%2."/>
      <w:lvlJc w:val="left"/>
      <w:pPr>
        <w:ind w:left="1382" w:hanging="360"/>
      </w:p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abstractNum w:abstractNumId="2" w15:restartNumberingAfterBreak="0">
    <w:nsid w:val="633E1DE5"/>
    <w:multiLevelType w:val="hybridMultilevel"/>
    <w:tmpl w:val="CCD2444A"/>
    <w:lvl w:ilvl="0" w:tplc="39F60BB0">
      <w:start w:val="1"/>
      <w:numFmt w:val="hebrew1"/>
      <w:lvlText w:val="%1."/>
      <w:lvlJc w:val="center"/>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50788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27349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7081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1B44"/>
    <w:rsid w:val="00004B4A"/>
    <w:rsid w:val="00011C6E"/>
    <w:rsid w:val="000258C6"/>
    <w:rsid w:val="00092DB2"/>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43398"/>
    <w:rsid w:val="00361242"/>
    <w:rsid w:val="00371D27"/>
    <w:rsid w:val="00374124"/>
    <w:rsid w:val="003C709F"/>
    <w:rsid w:val="003D65D3"/>
    <w:rsid w:val="003E51B4"/>
    <w:rsid w:val="003F02C5"/>
    <w:rsid w:val="004729D3"/>
    <w:rsid w:val="004D1A95"/>
    <w:rsid w:val="004D5997"/>
    <w:rsid w:val="004E1C12"/>
    <w:rsid w:val="005048E5"/>
    <w:rsid w:val="00533D5C"/>
    <w:rsid w:val="00551C5E"/>
    <w:rsid w:val="005638FB"/>
    <w:rsid w:val="00582B08"/>
    <w:rsid w:val="005847C1"/>
    <w:rsid w:val="005B4DDE"/>
    <w:rsid w:val="005E305D"/>
    <w:rsid w:val="00627056"/>
    <w:rsid w:val="00635D0F"/>
    <w:rsid w:val="00671477"/>
    <w:rsid w:val="006D1E81"/>
    <w:rsid w:val="00710EDB"/>
    <w:rsid w:val="007171C2"/>
    <w:rsid w:val="00720984"/>
    <w:rsid w:val="007528FB"/>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86298"/>
    <w:rsid w:val="00A96648"/>
    <w:rsid w:val="00AE1669"/>
    <w:rsid w:val="00B07251"/>
    <w:rsid w:val="00B10E9A"/>
    <w:rsid w:val="00B24722"/>
    <w:rsid w:val="00B35717"/>
    <w:rsid w:val="00B47E2E"/>
    <w:rsid w:val="00B61B44"/>
    <w:rsid w:val="00B6502B"/>
    <w:rsid w:val="00B73086"/>
    <w:rsid w:val="00B922D9"/>
    <w:rsid w:val="00B970C5"/>
    <w:rsid w:val="00BA5B6F"/>
    <w:rsid w:val="00BD5087"/>
    <w:rsid w:val="00BF5C5D"/>
    <w:rsid w:val="00C22EAD"/>
    <w:rsid w:val="00C25259"/>
    <w:rsid w:val="00C303EF"/>
    <w:rsid w:val="00C4483F"/>
    <w:rsid w:val="00C66536"/>
    <w:rsid w:val="00C6661F"/>
    <w:rsid w:val="00C9418A"/>
    <w:rsid w:val="00D11A80"/>
    <w:rsid w:val="00D308EF"/>
    <w:rsid w:val="00D357B5"/>
    <w:rsid w:val="00D40041"/>
    <w:rsid w:val="00D56203"/>
    <w:rsid w:val="00D807AC"/>
    <w:rsid w:val="00D84912"/>
    <w:rsid w:val="00D9359B"/>
    <w:rsid w:val="00DD36BA"/>
    <w:rsid w:val="00DE166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5041BE"/>
  <w15:chartTrackingRefBased/>
  <w15:docId w15:val="{FC40CF5A-CC0E-4B90-BF84-3A137334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1B44"/>
    <w:pPr>
      <w:bidi/>
    </w:pPr>
    <w:rPr>
      <w:rFonts w:cs="David"/>
      <w:noProof/>
      <w:sz w:val="24"/>
      <w:szCs w:val="24"/>
    </w:rPr>
  </w:style>
  <w:style w:type="paragraph" w:styleId="1">
    <w:name w:val="heading 1"/>
    <w:basedOn w:val="a"/>
    <w:next w:val="a"/>
    <w:link w:val="10"/>
    <w:qFormat/>
    <w:rsid w:val="00B61B44"/>
    <w:pPr>
      <w:keepNext/>
      <w:keepLines/>
      <w:spacing w:before="240"/>
      <w:outlineLvl w:val="0"/>
    </w:pPr>
    <w:rPr>
      <w:rFonts w:ascii="Cambria" w:hAnsi="Cambria" w:cs="Times New Roman"/>
      <w:color w:val="365F91"/>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61B44"/>
    <w:pPr>
      <w:tabs>
        <w:tab w:val="center" w:pos="4153"/>
        <w:tab w:val="right" w:pos="8306"/>
      </w:tabs>
    </w:pPr>
  </w:style>
  <w:style w:type="paragraph" w:styleId="a4">
    <w:name w:val="footer"/>
    <w:basedOn w:val="a"/>
    <w:rsid w:val="00B61B44"/>
    <w:pPr>
      <w:tabs>
        <w:tab w:val="center" w:pos="4153"/>
        <w:tab w:val="right" w:pos="8306"/>
      </w:tabs>
    </w:pPr>
  </w:style>
  <w:style w:type="character" w:styleId="a5">
    <w:name w:val="page number"/>
    <w:basedOn w:val="a0"/>
    <w:rsid w:val="00B61B44"/>
  </w:style>
  <w:style w:type="character" w:customStyle="1" w:styleId="10">
    <w:name w:val="כותרת 1 תו"/>
    <w:link w:val="1"/>
    <w:rsid w:val="00B61B44"/>
    <w:rPr>
      <w:rFonts w:ascii="Cambria" w:hAnsi="Cambria"/>
      <w:noProof/>
      <w:color w:val="365F91"/>
      <w:sz w:val="32"/>
      <w:szCs w:val="32"/>
      <w:lang w:val="en-US" w:eastAsia="en-US" w:bidi="he-IL"/>
    </w:rPr>
  </w:style>
  <w:style w:type="paragraph" w:customStyle="1" w:styleId="ListParagraph">
    <w:name w:val="List Paragraph"/>
    <w:basedOn w:val="a"/>
    <w:rsid w:val="00B61B44"/>
    <w:pPr>
      <w:spacing w:after="160" w:line="360" w:lineRule="auto"/>
      <w:ind w:left="720" w:hanging="357"/>
      <w:contextualSpacing/>
      <w:jc w:val="both"/>
    </w:pPr>
    <w:rPr>
      <w:rFonts w:ascii="Calibri" w:eastAsia="Calibri" w:hAnsi="Calibri"/>
      <w:noProof w:val="0"/>
    </w:rPr>
  </w:style>
  <w:style w:type="character" w:styleId="Hyperlink">
    <w:name w:val="Hyperlink"/>
    <w:rsid w:val="005048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fCa1S" TargetMode="External"/><Relationship Id="rId34" Type="http://schemas.openxmlformats.org/officeDocument/2006/relationships/hyperlink" Target="http://www.nevo.co.il/case/16901059" TargetMode="External"/><Relationship Id="rId42" Type="http://schemas.openxmlformats.org/officeDocument/2006/relationships/hyperlink" Target="http://www.nevo.co.il/case/5849797" TargetMode="External"/><Relationship Id="rId47" Type="http://schemas.openxmlformats.org/officeDocument/2006/relationships/hyperlink" Target="http://www.nevo.co.il/case/20341521" TargetMode="External"/><Relationship Id="rId50" Type="http://schemas.openxmlformats.org/officeDocument/2006/relationships/hyperlink" Target="http://www.nevo.co.il/case/6243741" TargetMode="External"/><Relationship Id="rId55" Type="http://schemas.openxmlformats.org/officeDocument/2006/relationships/hyperlink" Target="http://www.nevo.co.il/case/10442894"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5786821" TargetMode="External"/><Relationship Id="rId11" Type="http://schemas.openxmlformats.org/officeDocument/2006/relationships/hyperlink" Target="http://www.nevo.co.il/law/70301/31" TargetMode="External"/><Relationship Id="rId24" Type="http://schemas.openxmlformats.org/officeDocument/2006/relationships/hyperlink" Target="http://www.nevo.co.il/case/11206432" TargetMode="External"/><Relationship Id="rId32" Type="http://schemas.openxmlformats.org/officeDocument/2006/relationships/hyperlink" Target="http://www.nevo.co.il/case/20321459" TargetMode="External"/><Relationship Id="rId37" Type="http://schemas.openxmlformats.org/officeDocument/2006/relationships/hyperlink" Target="http://www.nevo.co.il/case/6180864" TargetMode="External"/><Relationship Id="rId40" Type="http://schemas.openxmlformats.org/officeDocument/2006/relationships/hyperlink" Target="http://www.nevo.co.il/case/5810781" TargetMode="External"/><Relationship Id="rId45" Type="http://schemas.openxmlformats.org/officeDocument/2006/relationships/hyperlink" Target="http://www.nevo.co.il/case/20145253" TargetMode="External"/><Relationship Id="rId53" Type="http://schemas.openxmlformats.org/officeDocument/2006/relationships/hyperlink" Target="http://www.nevo.co.il/case/17939098" TargetMode="External"/><Relationship Id="rId58" Type="http://schemas.openxmlformats.org/officeDocument/2006/relationships/hyperlink" Target="http://www.nevo.co.il/law/70301/40ja"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31"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 TargetMode="External"/><Relationship Id="rId30" Type="http://schemas.openxmlformats.org/officeDocument/2006/relationships/hyperlink" Target="http://www.nevo.co.il/case/6094597" TargetMode="External"/><Relationship Id="rId35" Type="http://schemas.openxmlformats.org/officeDocument/2006/relationships/hyperlink" Target="http://www.nevo.co.il/law/70301/32" TargetMode="External"/><Relationship Id="rId43" Type="http://schemas.openxmlformats.org/officeDocument/2006/relationships/hyperlink" Target="http://www.nevo.co.il/case/5849797" TargetMode="External"/><Relationship Id="rId48" Type="http://schemas.openxmlformats.org/officeDocument/2006/relationships/hyperlink" Target="http://www.nevo.co.il/case/8252719" TargetMode="External"/><Relationship Id="rId56" Type="http://schemas.openxmlformats.org/officeDocument/2006/relationships/hyperlink" Target="http://www.nevo.co.il/case/7807295" TargetMode="External"/><Relationship Id="rId64" Type="http://schemas.openxmlformats.org/officeDocument/2006/relationships/footer" Target="footer1.xml"/><Relationship Id="rId8" Type="http://schemas.openxmlformats.org/officeDocument/2006/relationships/hyperlink" Target="http://www.nevo.co.il/law/4216/13" TargetMode="External"/><Relationship Id="rId51" Type="http://schemas.openxmlformats.org/officeDocument/2006/relationships/hyperlink" Target="http://www.nevo.co.il/case/20114120" TargetMode="External"/><Relationship Id="rId3" Type="http://schemas.openxmlformats.org/officeDocument/2006/relationships/settings" Target="settings.xml"/><Relationship Id="rId12" Type="http://schemas.openxmlformats.org/officeDocument/2006/relationships/hyperlink" Target="http://www.nevo.co.il/law/70301/32"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case/10446944" TargetMode="External"/><Relationship Id="rId38" Type="http://schemas.openxmlformats.org/officeDocument/2006/relationships/hyperlink" Target="http://www.nevo.co.il/case/17075628" TargetMode="External"/><Relationship Id="rId46" Type="http://schemas.openxmlformats.org/officeDocument/2006/relationships/hyperlink" Target="http://www.nevo.co.il/case/19994809" TargetMode="External"/><Relationship Id="rId59" Type="http://schemas.openxmlformats.org/officeDocument/2006/relationships/hyperlink" Target="http://www.nevo.co.il/law/70301" TargetMode="External"/><Relationship Id="rId67"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case/17916229" TargetMode="External"/><Relationship Id="rId54" Type="http://schemas.openxmlformats.org/officeDocument/2006/relationships/hyperlink" Target="http://www.nevo.co.il/case/20053795"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fCa1S" TargetMode="External"/><Relationship Id="rId23" Type="http://schemas.openxmlformats.org/officeDocument/2006/relationships/hyperlink" Target="http://www.nevo.co.il/case/6243627" TargetMode="External"/><Relationship Id="rId28" Type="http://schemas.openxmlformats.org/officeDocument/2006/relationships/hyperlink" Target="http://www.nevo.co.il/case/5698919" TargetMode="External"/><Relationship Id="rId36" Type="http://schemas.openxmlformats.org/officeDocument/2006/relationships/hyperlink" Target="http://www.nevo.co.il/law/70301/40c.a" TargetMode="External"/><Relationship Id="rId49" Type="http://schemas.openxmlformats.org/officeDocument/2006/relationships/hyperlink" Target="http://www.nevo.co.il/case/10442463" TargetMode="External"/><Relationship Id="rId57" Type="http://schemas.openxmlformats.org/officeDocument/2006/relationships/hyperlink" Target="http://www.nevo.co.il/case/5917767"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13022245" TargetMode="External"/><Relationship Id="rId44" Type="http://schemas.openxmlformats.org/officeDocument/2006/relationships/hyperlink" Target="http://www.nevo.co.il/case/16900367" TargetMode="External"/><Relationship Id="rId52" Type="http://schemas.openxmlformats.org/officeDocument/2006/relationships/hyperlink" Target="http://www.nevo.co.il/case/20732711" TargetMode="External"/><Relationship Id="rId60" Type="http://schemas.openxmlformats.org/officeDocument/2006/relationships/hyperlink" Target="http://www.nevo.co.il/law/4216"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40c.a" TargetMode="External"/><Relationship Id="rId18" Type="http://schemas.openxmlformats.org/officeDocument/2006/relationships/hyperlink" Target="http://www.nevo.co.il/law/4216" TargetMode="External"/><Relationship Id="rId39" Type="http://schemas.openxmlformats.org/officeDocument/2006/relationships/hyperlink" Target="http://www.nevo.co.il/case/1811885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4735</Words>
  <Characters>23678</Characters>
  <Application>Microsoft Office Word</Application>
  <DocSecurity>0</DocSecurity>
  <Lines>197</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28357</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8257637</vt:i4>
      </vt:variant>
      <vt:variant>
        <vt:i4>159</vt:i4>
      </vt:variant>
      <vt:variant>
        <vt:i4>0</vt:i4>
      </vt:variant>
      <vt:variant>
        <vt:i4>5</vt:i4>
      </vt:variant>
      <vt:variant>
        <vt:lpwstr>http://www.nevo.co.il/law/4216</vt:lpwstr>
      </vt:variant>
      <vt:variant>
        <vt:lpwstr/>
      </vt:variant>
      <vt:variant>
        <vt:i4>7995492</vt:i4>
      </vt:variant>
      <vt:variant>
        <vt:i4>156</vt:i4>
      </vt:variant>
      <vt:variant>
        <vt:i4>0</vt:i4>
      </vt:variant>
      <vt:variant>
        <vt:i4>5</vt:i4>
      </vt:variant>
      <vt:variant>
        <vt:lpwstr>http://www.nevo.co.il/law/70301</vt:lpwstr>
      </vt:variant>
      <vt:variant>
        <vt:lpwstr/>
      </vt:variant>
      <vt:variant>
        <vt:i4>262155</vt:i4>
      </vt:variant>
      <vt:variant>
        <vt:i4>153</vt:i4>
      </vt:variant>
      <vt:variant>
        <vt:i4>0</vt:i4>
      </vt:variant>
      <vt:variant>
        <vt:i4>5</vt:i4>
      </vt:variant>
      <vt:variant>
        <vt:lpwstr>http://www.nevo.co.il/law/70301/40ja</vt:lpwstr>
      </vt:variant>
      <vt:variant>
        <vt:lpwstr/>
      </vt:variant>
      <vt:variant>
        <vt:i4>3407996</vt:i4>
      </vt:variant>
      <vt:variant>
        <vt:i4>150</vt:i4>
      </vt:variant>
      <vt:variant>
        <vt:i4>0</vt:i4>
      </vt:variant>
      <vt:variant>
        <vt:i4>5</vt:i4>
      </vt:variant>
      <vt:variant>
        <vt:lpwstr>http://www.nevo.co.il/case/5917767</vt:lpwstr>
      </vt:variant>
      <vt:variant>
        <vt:lpwstr/>
      </vt:variant>
      <vt:variant>
        <vt:i4>3145842</vt:i4>
      </vt:variant>
      <vt:variant>
        <vt:i4>147</vt:i4>
      </vt:variant>
      <vt:variant>
        <vt:i4>0</vt:i4>
      </vt:variant>
      <vt:variant>
        <vt:i4>5</vt:i4>
      </vt:variant>
      <vt:variant>
        <vt:lpwstr>http://www.nevo.co.il/case/7807295</vt:lpwstr>
      </vt:variant>
      <vt:variant>
        <vt:lpwstr/>
      </vt:variant>
      <vt:variant>
        <vt:i4>4063352</vt:i4>
      </vt:variant>
      <vt:variant>
        <vt:i4>144</vt:i4>
      </vt:variant>
      <vt:variant>
        <vt:i4>0</vt:i4>
      </vt:variant>
      <vt:variant>
        <vt:i4>5</vt:i4>
      </vt:variant>
      <vt:variant>
        <vt:lpwstr>http://www.nevo.co.il/case/10442894</vt:lpwstr>
      </vt:variant>
      <vt:variant>
        <vt:lpwstr/>
      </vt:variant>
      <vt:variant>
        <vt:i4>3670134</vt:i4>
      </vt:variant>
      <vt:variant>
        <vt:i4>141</vt:i4>
      </vt:variant>
      <vt:variant>
        <vt:i4>0</vt:i4>
      </vt:variant>
      <vt:variant>
        <vt:i4>5</vt:i4>
      </vt:variant>
      <vt:variant>
        <vt:lpwstr>http://www.nevo.co.il/case/20053795</vt:lpwstr>
      </vt:variant>
      <vt:variant>
        <vt:lpwstr/>
      </vt:variant>
      <vt:variant>
        <vt:i4>3670128</vt:i4>
      </vt:variant>
      <vt:variant>
        <vt:i4>138</vt:i4>
      </vt:variant>
      <vt:variant>
        <vt:i4>0</vt:i4>
      </vt:variant>
      <vt:variant>
        <vt:i4>5</vt:i4>
      </vt:variant>
      <vt:variant>
        <vt:lpwstr>http://www.nevo.co.il/case/17939098</vt:lpwstr>
      </vt:variant>
      <vt:variant>
        <vt:lpwstr/>
      </vt:variant>
      <vt:variant>
        <vt:i4>3539056</vt:i4>
      </vt:variant>
      <vt:variant>
        <vt:i4>135</vt:i4>
      </vt:variant>
      <vt:variant>
        <vt:i4>0</vt:i4>
      </vt:variant>
      <vt:variant>
        <vt:i4>5</vt:i4>
      </vt:variant>
      <vt:variant>
        <vt:lpwstr>http://www.nevo.co.il/case/20732711</vt:lpwstr>
      </vt:variant>
      <vt:variant>
        <vt:lpwstr/>
      </vt:variant>
      <vt:variant>
        <vt:i4>3473524</vt:i4>
      </vt:variant>
      <vt:variant>
        <vt:i4>132</vt:i4>
      </vt:variant>
      <vt:variant>
        <vt:i4>0</vt:i4>
      </vt:variant>
      <vt:variant>
        <vt:i4>5</vt:i4>
      </vt:variant>
      <vt:variant>
        <vt:lpwstr>http://www.nevo.co.il/case/20114120</vt:lpwstr>
      </vt:variant>
      <vt:variant>
        <vt:lpwstr/>
      </vt:variant>
      <vt:variant>
        <vt:i4>3407985</vt:i4>
      </vt:variant>
      <vt:variant>
        <vt:i4>129</vt:i4>
      </vt:variant>
      <vt:variant>
        <vt:i4>0</vt:i4>
      </vt:variant>
      <vt:variant>
        <vt:i4>5</vt:i4>
      </vt:variant>
      <vt:variant>
        <vt:lpwstr>http://www.nevo.co.il/case/6243741</vt:lpwstr>
      </vt:variant>
      <vt:variant>
        <vt:lpwstr/>
      </vt:variant>
      <vt:variant>
        <vt:i4>3211380</vt:i4>
      </vt:variant>
      <vt:variant>
        <vt:i4>126</vt:i4>
      </vt:variant>
      <vt:variant>
        <vt:i4>0</vt:i4>
      </vt:variant>
      <vt:variant>
        <vt:i4>5</vt:i4>
      </vt:variant>
      <vt:variant>
        <vt:lpwstr>http://www.nevo.co.il/case/10442463</vt:lpwstr>
      </vt:variant>
      <vt:variant>
        <vt:lpwstr/>
      </vt:variant>
      <vt:variant>
        <vt:i4>3342453</vt:i4>
      </vt:variant>
      <vt:variant>
        <vt:i4>123</vt:i4>
      </vt:variant>
      <vt:variant>
        <vt:i4>0</vt:i4>
      </vt:variant>
      <vt:variant>
        <vt:i4>5</vt:i4>
      </vt:variant>
      <vt:variant>
        <vt:lpwstr>http://www.nevo.co.il/case/8252719</vt:lpwstr>
      </vt:variant>
      <vt:variant>
        <vt:lpwstr/>
      </vt:variant>
      <vt:variant>
        <vt:i4>3276917</vt:i4>
      </vt:variant>
      <vt:variant>
        <vt:i4>120</vt:i4>
      </vt:variant>
      <vt:variant>
        <vt:i4>0</vt:i4>
      </vt:variant>
      <vt:variant>
        <vt:i4>5</vt:i4>
      </vt:variant>
      <vt:variant>
        <vt:lpwstr>http://www.nevo.co.il/case/20341521</vt:lpwstr>
      </vt:variant>
      <vt:variant>
        <vt:lpwstr/>
      </vt:variant>
      <vt:variant>
        <vt:i4>3932284</vt:i4>
      </vt:variant>
      <vt:variant>
        <vt:i4>117</vt:i4>
      </vt:variant>
      <vt:variant>
        <vt:i4>0</vt:i4>
      </vt:variant>
      <vt:variant>
        <vt:i4>5</vt:i4>
      </vt:variant>
      <vt:variant>
        <vt:lpwstr>http://www.nevo.co.il/case/19994809</vt:lpwstr>
      </vt:variant>
      <vt:variant>
        <vt:lpwstr/>
      </vt:variant>
      <vt:variant>
        <vt:i4>3342450</vt:i4>
      </vt:variant>
      <vt:variant>
        <vt:i4>114</vt:i4>
      </vt:variant>
      <vt:variant>
        <vt:i4>0</vt:i4>
      </vt:variant>
      <vt:variant>
        <vt:i4>5</vt:i4>
      </vt:variant>
      <vt:variant>
        <vt:lpwstr>http://www.nevo.co.il/case/20145253</vt:lpwstr>
      </vt:variant>
      <vt:variant>
        <vt:lpwstr/>
      </vt:variant>
      <vt:variant>
        <vt:i4>4063345</vt:i4>
      </vt:variant>
      <vt:variant>
        <vt:i4>111</vt:i4>
      </vt:variant>
      <vt:variant>
        <vt:i4>0</vt:i4>
      </vt:variant>
      <vt:variant>
        <vt:i4>5</vt:i4>
      </vt:variant>
      <vt:variant>
        <vt:lpwstr>http://www.nevo.co.il/case/16900367</vt:lpwstr>
      </vt:variant>
      <vt:variant>
        <vt:lpwstr/>
      </vt:variant>
      <vt:variant>
        <vt:i4>3211388</vt:i4>
      </vt:variant>
      <vt:variant>
        <vt:i4>108</vt:i4>
      </vt:variant>
      <vt:variant>
        <vt:i4>0</vt:i4>
      </vt:variant>
      <vt:variant>
        <vt:i4>5</vt:i4>
      </vt:variant>
      <vt:variant>
        <vt:lpwstr>http://www.nevo.co.il/case/5849797</vt:lpwstr>
      </vt:variant>
      <vt:variant>
        <vt:lpwstr/>
      </vt:variant>
      <vt:variant>
        <vt:i4>3211388</vt:i4>
      </vt:variant>
      <vt:variant>
        <vt:i4>105</vt:i4>
      </vt:variant>
      <vt:variant>
        <vt:i4>0</vt:i4>
      </vt:variant>
      <vt:variant>
        <vt:i4>5</vt:i4>
      </vt:variant>
      <vt:variant>
        <vt:lpwstr>http://www.nevo.co.il/case/5849797</vt:lpwstr>
      </vt:variant>
      <vt:variant>
        <vt:lpwstr/>
      </vt:variant>
      <vt:variant>
        <vt:i4>3932272</vt:i4>
      </vt:variant>
      <vt:variant>
        <vt:i4>102</vt:i4>
      </vt:variant>
      <vt:variant>
        <vt:i4>0</vt:i4>
      </vt:variant>
      <vt:variant>
        <vt:i4>5</vt:i4>
      </vt:variant>
      <vt:variant>
        <vt:lpwstr>http://www.nevo.co.il/case/17916229</vt:lpwstr>
      </vt:variant>
      <vt:variant>
        <vt:lpwstr/>
      </vt:variant>
      <vt:variant>
        <vt:i4>3276916</vt:i4>
      </vt:variant>
      <vt:variant>
        <vt:i4>99</vt:i4>
      </vt:variant>
      <vt:variant>
        <vt:i4>0</vt:i4>
      </vt:variant>
      <vt:variant>
        <vt:i4>5</vt:i4>
      </vt:variant>
      <vt:variant>
        <vt:lpwstr>http://www.nevo.co.il/case/5810781</vt:lpwstr>
      </vt:variant>
      <vt:variant>
        <vt:lpwstr/>
      </vt:variant>
      <vt:variant>
        <vt:i4>3997813</vt:i4>
      </vt:variant>
      <vt:variant>
        <vt:i4>96</vt:i4>
      </vt:variant>
      <vt:variant>
        <vt:i4>0</vt:i4>
      </vt:variant>
      <vt:variant>
        <vt:i4>5</vt:i4>
      </vt:variant>
      <vt:variant>
        <vt:lpwstr>http://www.nevo.co.il/case/18118854</vt:lpwstr>
      </vt:variant>
      <vt:variant>
        <vt:lpwstr/>
      </vt:variant>
      <vt:variant>
        <vt:i4>3539058</vt:i4>
      </vt:variant>
      <vt:variant>
        <vt:i4>93</vt:i4>
      </vt:variant>
      <vt:variant>
        <vt:i4>0</vt:i4>
      </vt:variant>
      <vt:variant>
        <vt:i4>5</vt:i4>
      </vt:variant>
      <vt:variant>
        <vt:lpwstr>http://www.nevo.co.il/case/17075628</vt:lpwstr>
      </vt:variant>
      <vt:variant>
        <vt:lpwstr/>
      </vt:variant>
      <vt:variant>
        <vt:i4>3276915</vt:i4>
      </vt:variant>
      <vt:variant>
        <vt:i4>90</vt:i4>
      </vt:variant>
      <vt:variant>
        <vt:i4>0</vt:i4>
      </vt:variant>
      <vt:variant>
        <vt:i4>5</vt:i4>
      </vt:variant>
      <vt:variant>
        <vt:lpwstr>http://www.nevo.co.il/case/6180864</vt:lpwstr>
      </vt:variant>
      <vt:variant>
        <vt:lpwstr/>
      </vt:variant>
      <vt:variant>
        <vt:i4>4915202</vt:i4>
      </vt:variant>
      <vt:variant>
        <vt:i4>87</vt:i4>
      </vt:variant>
      <vt:variant>
        <vt:i4>0</vt:i4>
      </vt:variant>
      <vt:variant>
        <vt:i4>5</vt:i4>
      </vt:variant>
      <vt:variant>
        <vt:lpwstr>http://www.nevo.co.il/law/70301/40c.a</vt:lpwstr>
      </vt:variant>
      <vt:variant>
        <vt:lpwstr/>
      </vt:variant>
      <vt:variant>
        <vt:i4>6750310</vt:i4>
      </vt:variant>
      <vt:variant>
        <vt:i4>84</vt:i4>
      </vt:variant>
      <vt:variant>
        <vt:i4>0</vt:i4>
      </vt:variant>
      <vt:variant>
        <vt:i4>5</vt:i4>
      </vt:variant>
      <vt:variant>
        <vt:lpwstr>http://www.nevo.co.il/law/70301/32</vt:lpwstr>
      </vt:variant>
      <vt:variant>
        <vt:lpwstr/>
      </vt:variant>
      <vt:variant>
        <vt:i4>3932274</vt:i4>
      </vt:variant>
      <vt:variant>
        <vt:i4>81</vt:i4>
      </vt:variant>
      <vt:variant>
        <vt:i4>0</vt:i4>
      </vt:variant>
      <vt:variant>
        <vt:i4>5</vt:i4>
      </vt:variant>
      <vt:variant>
        <vt:lpwstr>http://www.nevo.co.il/case/16901059</vt:lpwstr>
      </vt:variant>
      <vt:variant>
        <vt:lpwstr/>
      </vt:variant>
      <vt:variant>
        <vt:i4>3604601</vt:i4>
      </vt:variant>
      <vt:variant>
        <vt:i4>78</vt:i4>
      </vt:variant>
      <vt:variant>
        <vt:i4>0</vt:i4>
      </vt:variant>
      <vt:variant>
        <vt:i4>5</vt:i4>
      </vt:variant>
      <vt:variant>
        <vt:lpwstr>http://www.nevo.co.il/case/10446944</vt:lpwstr>
      </vt:variant>
      <vt:variant>
        <vt:lpwstr/>
      </vt:variant>
      <vt:variant>
        <vt:i4>3473522</vt:i4>
      </vt:variant>
      <vt:variant>
        <vt:i4>75</vt:i4>
      </vt:variant>
      <vt:variant>
        <vt:i4>0</vt:i4>
      </vt:variant>
      <vt:variant>
        <vt:i4>5</vt:i4>
      </vt:variant>
      <vt:variant>
        <vt:lpwstr>http://www.nevo.co.il/case/20321459</vt:lpwstr>
      </vt:variant>
      <vt:variant>
        <vt:lpwstr/>
      </vt:variant>
      <vt:variant>
        <vt:i4>3604599</vt:i4>
      </vt:variant>
      <vt:variant>
        <vt:i4>72</vt:i4>
      </vt:variant>
      <vt:variant>
        <vt:i4>0</vt:i4>
      </vt:variant>
      <vt:variant>
        <vt:i4>5</vt:i4>
      </vt:variant>
      <vt:variant>
        <vt:lpwstr>http://www.nevo.co.il/case/13022245</vt:lpwstr>
      </vt:variant>
      <vt:variant>
        <vt:lpwstr/>
      </vt:variant>
      <vt:variant>
        <vt:i4>3997817</vt:i4>
      </vt:variant>
      <vt:variant>
        <vt:i4>69</vt:i4>
      </vt:variant>
      <vt:variant>
        <vt:i4>0</vt:i4>
      </vt:variant>
      <vt:variant>
        <vt:i4>5</vt:i4>
      </vt:variant>
      <vt:variant>
        <vt:lpwstr>http://www.nevo.co.il/case/6094597</vt:lpwstr>
      </vt:variant>
      <vt:variant>
        <vt:lpwstr/>
      </vt:variant>
      <vt:variant>
        <vt:i4>3407991</vt:i4>
      </vt:variant>
      <vt:variant>
        <vt:i4>66</vt:i4>
      </vt:variant>
      <vt:variant>
        <vt:i4>0</vt:i4>
      </vt:variant>
      <vt:variant>
        <vt:i4>5</vt:i4>
      </vt:variant>
      <vt:variant>
        <vt:lpwstr>http://www.nevo.co.il/case/5786821</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8257637</vt:i4>
      </vt:variant>
      <vt:variant>
        <vt:i4>60</vt:i4>
      </vt:variant>
      <vt:variant>
        <vt:i4>0</vt:i4>
      </vt:variant>
      <vt:variant>
        <vt:i4>5</vt:i4>
      </vt:variant>
      <vt:variant>
        <vt:lpwstr>http://www.nevo.co.il/law/4216</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3539057</vt:i4>
      </vt:variant>
      <vt:variant>
        <vt:i4>51</vt:i4>
      </vt:variant>
      <vt:variant>
        <vt:i4>0</vt:i4>
      </vt:variant>
      <vt:variant>
        <vt:i4>5</vt:i4>
      </vt:variant>
      <vt:variant>
        <vt:lpwstr>http://www.nevo.co.il/case/11206432</vt:lpwstr>
      </vt:variant>
      <vt:variant>
        <vt:lpwstr/>
      </vt:variant>
      <vt:variant>
        <vt:i4>3342455</vt:i4>
      </vt:variant>
      <vt:variant>
        <vt:i4>48</vt:i4>
      </vt:variant>
      <vt:variant>
        <vt:i4>0</vt:i4>
      </vt:variant>
      <vt:variant>
        <vt:i4>5</vt:i4>
      </vt:variant>
      <vt:variant>
        <vt:lpwstr>http://www.nevo.co.il/case/6243627</vt:lpwstr>
      </vt:variant>
      <vt:variant>
        <vt:lpwstr/>
      </vt:variant>
      <vt:variant>
        <vt:i4>7995492</vt:i4>
      </vt:variant>
      <vt:variant>
        <vt:i4>45</vt:i4>
      </vt:variant>
      <vt:variant>
        <vt:i4>0</vt:i4>
      </vt:variant>
      <vt:variant>
        <vt:i4>5</vt:i4>
      </vt:variant>
      <vt:variant>
        <vt:lpwstr>http://www.nevo.co.il/law/70301</vt:lpwstr>
      </vt:variant>
      <vt:variant>
        <vt:lpwstr/>
      </vt:variant>
      <vt:variant>
        <vt:i4>458834</vt:i4>
      </vt:variant>
      <vt:variant>
        <vt:i4>42</vt:i4>
      </vt:variant>
      <vt:variant>
        <vt:i4>0</vt:i4>
      </vt:variant>
      <vt:variant>
        <vt:i4>5</vt:i4>
      </vt:variant>
      <vt:variant>
        <vt:lpwstr>http://www.nevo.co.il/law/70301/fCa1S</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458834</vt:i4>
      </vt:variant>
      <vt:variant>
        <vt:i4>24</vt:i4>
      </vt:variant>
      <vt:variant>
        <vt:i4>0</vt:i4>
      </vt:variant>
      <vt:variant>
        <vt:i4>5</vt:i4>
      </vt:variant>
      <vt:variant>
        <vt:lpwstr>http://www.nevo.co.il/law/70301/fCa1S</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6750310</vt:i4>
      </vt:variant>
      <vt:variant>
        <vt:i4>15</vt:i4>
      </vt:variant>
      <vt:variant>
        <vt:i4>0</vt:i4>
      </vt:variant>
      <vt:variant>
        <vt:i4>5</vt:i4>
      </vt:variant>
      <vt:variant>
        <vt:lpwstr>http://www.nevo.co.il/law/70301/32</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2025-04-22T23:03:00Z</dcterms:created>
  <dcterms:modified xsi:type="dcterms:W3CDTF">2025-04-22T23:03:00Z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20484</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אביב כהן סבן</vt:lpwstr>
  </property>
  <property fmtid="{D5CDD505-2E9C-101B-9397-08002B2CF9AE}" pid="10" name="LAWYER">
    <vt:lpwstr>עמית חומרי;חיים שטיינברגר</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20170116</vt:lpwstr>
  </property>
  <property fmtid="{D5CDD505-2E9C-101B-9397-08002B2CF9AE}" pid="14" name="TYPE_N_DATE">
    <vt:lpwstr>38020170116</vt:lpwstr>
  </property>
  <property fmtid="{D5CDD505-2E9C-101B-9397-08002B2CF9AE}" pid="15" name="WORDNUMPAGES">
    <vt:lpwstr>14</vt:lpwstr>
  </property>
  <property fmtid="{D5CDD505-2E9C-101B-9397-08002B2CF9AE}" pid="16" name="TYPE_ABS_DATE">
    <vt:lpwstr>380020170116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6243627;11206432;5698919;5786821;6094597;13022245;20321459;10446944;16901059;6180864;17075628;18118854;5810781;17916229;5849797:2;16900367;20145253;19994809;20341521;8252719;10442463;6243741;20114120;20732711;17939098;20053795;10442894;7807295;5917767</vt:lpwstr>
  </property>
  <property fmtid="{D5CDD505-2E9C-101B-9397-08002B2CF9AE}" pid="36" name="LAWLISTTMP1">
    <vt:lpwstr>4216/013;019a</vt:lpwstr>
  </property>
  <property fmtid="{D5CDD505-2E9C-101B-9397-08002B2CF9AE}" pid="37" name="LAWLISTTMP2">
    <vt:lpwstr>70301/031;fCa1S;040c.a:2;032;40ja</vt:lpwstr>
  </property>
</Properties>
</file>