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65231" w:rsidRPr="0009367C" w14:paraId="2008881A" w14:textId="77777777" w:rsidTr="0009367C">
        <w:trPr>
          <w:trHeight w:hRule="exact" w:val="418"/>
          <w:jc w:val="center"/>
        </w:trPr>
        <w:tc>
          <w:tcPr>
            <w:tcW w:w="8721" w:type="dxa"/>
            <w:gridSpan w:val="2"/>
          </w:tcPr>
          <w:p w14:paraId="2E5C251D" w14:textId="77777777" w:rsidR="00065231" w:rsidRPr="0009367C" w:rsidRDefault="00065231" w:rsidP="0009367C">
            <w:pPr>
              <w:pStyle w:val="a3"/>
              <w:jc w:val="center"/>
              <w:rPr>
                <w:rFonts w:ascii="Tahoma" w:hAnsi="Tahoma" w:cs="Tahoma"/>
                <w:noProof w:val="0"/>
                <w:color w:val="000080"/>
                <w:rtl/>
              </w:rPr>
            </w:pPr>
            <w:bookmarkStart w:id="0" w:name="LastJudge"/>
            <w:r w:rsidRPr="0009367C">
              <w:rPr>
                <w:rFonts w:ascii="Tahoma" w:hAnsi="Tahoma" w:cs="Tahoma"/>
                <w:b/>
                <w:bCs/>
                <w:noProof w:val="0"/>
                <w:color w:val="000080"/>
                <w:rtl/>
              </w:rPr>
              <w:t>בית משפט השלום בקריית גת</w:t>
            </w:r>
          </w:p>
        </w:tc>
      </w:tr>
      <w:tr w:rsidR="00065231" w:rsidRPr="0009367C" w14:paraId="2D9962AC" w14:textId="77777777" w:rsidTr="0009367C">
        <w:trPr>
          <w:trHeight w:val="337"/>
          <w:jc w:val="center"/>
        </w:trPr>
        <w:tc>
          <w:tcPr>
            <w:tcW w:w="5047" w:type="dxa"/>
          </w:tcPr>
          <w:p w14:paraId="025A1AA0" w14:textId="77777777" w:rsidR="00065231" w:rsidRPr="0009367C" w:rsidRDefault="00065231" w:rsidP="0009367C">
            <w:pPr>
              <w:rPr>
                <w:b/>
                <w:bCs/>
                <w:noProof w:val="0"/>
                <w:sz w:val="26"/>
                <w:szCs w:val="26"/>
                <w:rtl/>
              </w:rPr>
            </w:pPr>
          </w:p>
        </w:tc>
        <w:tc>
          <w:tcPr>
            <w:tcW w:w="3674" w:type="dxa"/>
          </w:tcPr>
          <w:p w14:paraId="55BC230C" w14:textId="77777777" w:rsidR="00065231" w:rsidRPr="0009367C" w:rsidRDefault="00065231" w:rsidP="0009367C">
            <w:pPr>
              <w:pStyle w:val="a3"/>
              <w:jc w:val="right"/>
              <w:rPr>
                <w:b/>
                <w:bCs/>
                <w:noProof w:val="0"/>
                <w:sz w:val="26"/>
                <w:szCs w:val="26"/>
                <w:rtl/>
              </w:rPr>
            </w:pPr>
            <w:r w:rsidRPr="0009367C">
              <w:rPr>
                <w:b/>
                <w:bCs/>
                <w:noProof w:val="0"/>
                <w:sz w:val="26"/>
                <w:szCs w:val="26"/>
                <w:rtl/>
              </w:rPr>
              <w:t>16 אוקטובר 2017</w:t>
            </w:r>
          </w:p>
        </w:tc>
      </w:tr>
      <w:tr w:rsidR="00065231" w:rsidRPr="0009367C" w14:paraId="6F38C0E7" w14:textId="77777777" w:rsidTr="0009367C">
        <w:trPr>
          <w:trHeight w:val="337"/>
          <w:jc w:val="center"/>
        </w:trPr>
        <w:tc>
          <w:tcPr>
            <w:tcW w:w="8721" w:type="dxa"/>
            <w:gridSpan w:val="2"/>
          </w:tcPr>
          <w:p w14:paraId="706B2CC2" w14:textId="77777777" w:rsidR="00065231" w:rsidRPr="0009367C" w:rsidRDefault="00065231" w:rsidP="0009367C">
            <w:pPr>
              <w:rPr>
                <w:b/>
                <w:bCs/>
                <w:noProof w:val="0"/>
                <w:sz w:val="26"/>
                <w:szCs w:val="26"/>
                <w:rtl/>
              </w:rPr>
            </w:pPr>
            <w:r w:rsidRPr="0009367C">
              <w:rPr>
                <w:b/>
                <w:bCs/>
                <w:noProof w:val="0"/>
                <w:sz w:val="26"/>
                <w:szCs w:val="26"/>
                <w:rtl/>
              </w:rPr>
              <w:t>ת"פ 40484-05-16 מדינת ישראל נ' אשר</w:t>
            </w:r>
          </w:p>
          <w:p w14:paraId="5AA10B3B" w14:textId="77777777" w:rsidR="00065231" w:rsidRPr="0009367C" w:rsidRDefault="00065231" w:rsidP="0009367C">
            <w:pPr>
              <w:rPr>
                <w:rtl/>
              </w:rPr>
            </w:pPr>
          </w:p>
        </w:tc>
      </w:tr>
    </w:tbl>
    <w:p w14:paraId="6F4D6263" w14:textId="77777777" w:rsidR="00065231" w:rsidRPr="0009367C" w:rsidRDefault="00065231" w:rsidP="00065231"/>
    <w:tbl>
      <w:tblPr>
        <w:bidiVisual/>
        <w:tblW w:w="0" w:type="auto"/>
        <w:jc w:val="center"/>
        <w:tblLook w:val="0000" w:firstRow="0" w:lastRow="0" w:firstColumn="0" w:lastColumn="0" w:noHBand="0" w:noVBand="0"/>
      </w:tblPr>
      <w:tblGrid>
        <w:gridCol w:w="873"/>
        <w:gridCol w:w="7848"/>
      </w:tblGrid>
      <w:tr w:rsidR="00065231" w:rsidRPr="0009367C" w14:paraId="42D2FCEE" w14:textId="77777777" w:rsidTr="0009367C">
        <w:trPr>
          <w:trHeight w:val="337"/>
          <w:jc w:val="center"/>
        </w:trPr>
        <w:tc>
          <w:tcPr>
            <w:tcW w:w="873" w:type="dxa"/>
          </w:tcPr>
          <w:p w14:paraId="06C47591" w14:textId="77777777" w:rsidR="00065231" w:rsidRPr="0009367C" w:rsidRDefault="00065231" w:rsidP="0009367C">
            <w:pPr>
              <w:tabs>
                <w:tab w:val="left" w:pos="1710"/>
              </w:tabs>
              <w:rPr>
                <w:b/>
                <w:bCs/>
                <w:sz w:val="28"/>
                <w:szCs w:val="28"/>
                <w:rtl/>
              </w:rPr>
            </w:pPr>
            <w:r w:rsidRPr="0009367C">
              <w:rPr>
                <w:rFonts w:hint="cs"/>
                <w:b/>
                <w:bCs/>
                <w:sz w:val="28"/>
                <w:szCs w:val="28"/>
                <w:rtl/>
              </w:rPr>
              <w:t>בפני</w:t>
            </w:r>
          </w:p>
        </w:tc>
        <w:tc>
          <w:tcPr>
            <w:tcW w:w="7848" w:type="dxa"/>
          </w:tcPr>
          <w:p w14:paraId="39DEEA0F" w14:textId="77777777" w:rsidR="00065231" w:rsidRPr="0009367C" w:rsidRDefault="00065231" w:rsidP="0009367C">
            <w:pPr>
              <w:rPr>
                <w:rFonts w:ascii="Arial" w:hAnsi="Arial"/>
                <w:b/>
                <w:bCs/>
                <w:sz w:val="28"/>
                <w:szCs w:val="28"/>
                <w:rtl/>
              </w:rPr>
            </w:pPr>
            <w:r w:rsidRPr="0009367C">
              <w:rPr>
                <w:rFonts w:ascii="Arial" w:hAnsi="Arial" w:hint="cs"/>
                <w:b/>
                <w:bCs/>
                <w:sz w:val="28"/>
                <w:szCs w:val="28"/>
                <w:rtl/>
              </w:rPr>
              <w:t>כב' ה</w:t>
            </w:r>
            <w:r w:rsidRPr="0009367C">
              <w:rPr>
                <w:rFonts w:ascii="Arial" w:hAnsi="Arial"/>
                <w:b/>
                <w:bCs/>
                <w:sz w:val="28"/>
                <w:szCs w:val="28"/>
                <w:rtl/>
              </w:rPr>
              <w:t>סגנית נשיאה</w:t>
            </w:r>
            <w:r w:rsidRPr="0009367C">
              <w:rPr>
                <w:rFonts w:ascii="Arial" w:hAnsi="Arial" w:hint="cs"/>
                <w:b/>
                <w:bCs/>
                <w:sz w:val="28"/>
                <w:szCs w:val="28"/>
                <w:rtl/>
              </w:rPr>
              <w:t xml:space="preserve">  </w:t>
            </w:r>
            <w:r w:rsidRPr="0009367C">
              <w:rPr>
                <w:rFonts w:ascii="Arial" w:hAnsi="Arial"/>
                <w:b/>
                <w:bCs/>
                <w:sz w:val="28"/>
                <w:szCs w:val="28"/>
                <w:rtl/>
              </w:rPr>
              <w:t>ד''ר נגה שמואלי-מאייר</w:t>
            </w:r>
          </w:p>
          <w:p w14:paraId="37C605A3" w14:textId="77777777" w:rsidR="00065231" w:rsidRPr="0009367C" w:rsidRDefault="00065231" w:rsidP="0009367C">
            <w:pPr>
              <w:tabs>
                <w:tab w:val="left" w:pos="1710"/>
              </w:tabs>
              <w:rPr>
                <w:rtl/>
              </w:rPr>
            </w:pPr>
          </w:p>
        </w:tc>
      </w:tr>
    </w:tbl>
    <w:p w14:paraId="333E1193" w14:textId="77777777" w:rsidR="00065231" w:rsidRPr="0009367C" w:rsidRDefault="00065231" w:rsidP="00065231">
      <w:pPr>
        <w:pStyle w:val="a3"/>
        <w:rPr>
          <w:noProof w:val="0"/>
          <w:rtl/>
        </w:rPr>
      </w:pPr>
      <w:r w:rsidRPr="0009367C">
        <w:rPr>
          <w:noProof w:val="0"/>
          <w:rtl/>
        </w:rPr>
        <w:t xml:space="preserve"> </w:t>
      </w:r>
    </w:p>
    <w:p w14:paraId="6F350972" w14:textId="77777777" w:rsidR="00065231" w:rsidRPr="0009367C" w:rsidRDefault="00065231" w:rsidP="00065231">
      <w:pPr>
        <w:spacing w:line="360" w:lineRule="auto"/>
        <w:jc w:val="both"/>
        <w:rPr>
          <w:rtl/>
        </w:rPr>
      </w:pPr>
    </w:p>
    <w:tbl>
      <w:tblPr>
        <w:bidiVisual/>
        <w:tblW w:w="8820" w:type="dxa"/>
        <w:jc w:val="center"/>
        <w:tblLook w:val="01E0" w:firstRow="1" w:lastRow="1" w:firstColumn="1" w:lastColumn="1" w:noHBand="0" w:noVBand="0"/>
      </w:tblPr>
      <w:tblGrid>
        <w:gridCol w:w="5603"/>
        <w:gridCol w:w="3217"/>
      </w:tblGrid>
      <w:tr w:rsidR="00065231" w:rsidRPr="0009367C" w14:paraId="211B92CC" w14:textId="77777777" w:rsidTr="00065231">
        <w:trPr>
          <w:jc w:val="center"/>
        </w:trPr>
        <w:tc>
          <w:tcPr>
            <w:tcW w:w="5603" w:type="dxa"/>
            <w:shd w:val="clear" w:color="auto" w:fill="auto"/>
          </w:tcPr>
          <w:p w14:paraId="60B83A78" w14:textId="77777777" w:rsidR="00065231" w:rsidRPr="0009367C" w:rsidRDefault="00065231" w:rsidP="00065231">
            <w:pPr>
              <w:spacing w:line="360" w:lineRule="auto"/>
              <w:jc w:val="both"/>
              <w:rPr>
                <w:b/>
                <w:bCs/>
                <w:noProof w:val="0"/>
                <w:sz w:val="28"/>
                <w:szCs w:val="28"/>
                <w:rtl/>
              </w:rPr>
            </w:pPr>
            <w:bookmarkStart w:id="1" w:name="FirstAppellant"/>
            <w:bookmarkStart w:id="2" w:name="FirstLawyer"/>
            <w:r w:rsidRPr="0009367C">
              <w:rPr>
                <w:rFonts w:ascii="Arial" w:hAnsi="Arial" w:hint="cs"/>
                <w:b/>
                <w:bCs/>
                <w:noProof w:val="0"/>
                <w:sz w:val="28"/>
                <w:szCs w:val="28"/>
                <w:rtl/>
              </w:rPr>
              <w:t>מדינת ישראל</w:t>
            </w:r>
          </w:p>
          <w:p w14:paraId="16A808B4" w14:textId="77777777" w:rsidR="00065231" w:rsidRPr="0009367C" w:rsidRDefault="00065231" w:rsidP="00065231">
            <w:pPr>
              <w:spacing w:line="360" w:lineRule="auto"/>
              <w:jc w:val="both"/>
              <w:rPr>
                <w:b/>
                <w:bCs/>
                <w:sz w:val="28"/>
                <w:szCs w:val="28"/>
                <w:rtl/>
              </w:rPr>
            </w:pPr>
            <w:r w:rsidRPr="0009367C">
              <w:rPr>
                <w:rFonts w:hint="cs"/>
                <w:b/>
                <w:bCs/>
                <w:sz w:val="28"/>
                <w:szCs w:val="28"/>
                <w:rtl/>
              </w:rPr>
              <w:t xml:space="preserve">ע"י ב"כ עוה"ד לירן פרג' </w:t>
            </w:r>
            <w:r w:rsidRPr="0009367C">
              <w:rPr>
                <w:b/>
                <w:bCs/>
                <w:sz w:val="28"/>
                <w:szCs w:val="28"/>
                <w:rtl/>
              </w:rPr>
              <w:t>–</w:t>
            </w:r>
            <w:r w:rsidRPr="0009367C">
              <w:rPr>
                <w:rFonts w:hint="cs"/>
                <w:b/>
                <w:bCs/>
                <w:sz w:val="28"/>
                <w:szCs w:val="28"/>
                <w:rtl/>
              </w:rPr>
              <w:t xml:space="preserve"> נוכחת</w:t>
            </w:r>
          </w:p>
        </w:tc>
        <w:tc>
          <w:tcPr>
            <w:tcW w:w="3217" w:type="dxa"/>
            <w:shd w:val="clear" w:color="auto" w:fill="auto"/>
          </w:tcPr>
          <w:p w14:paraId="4762A593" w14:textId="77777777" w:rsidR="00065231" w:rsidRPr="0009367C" w:rsidRDefault="00065231" w:rsidP="00065231">
            <w:pPr>
              <w:bidi w:val="0"/>
              <w:spacing w:line="360" w:lineRule="auto"/>
              <w:jc w:val="right"/>
              <w:rPr>
                <w:rFonts w:ascii="Arial" w:hAnsi="Arial"/>
                <w:b/>
                <w:bCs/>
                <w:noProof w:val="0"/>
                <w:sz w:val="28"/>
                <w:szCs w:val="28"/>
                <w:rtl/>
              </w:rPr>
            </w:pPr>
            <w:r w:rsidRPr="0009367C">
              <w:rPr>
                <w:rFonts w:ascii="Arial" w:hAnsi="Arial" w:hint="cs"/>
                <w:b/>
                <w:bCs/>
                <w:noProof w:val="0"/>
                <w:sz w:val="28"/>
                <w:szCs w:val="28"/>
                <w:rtl/>
              </w:rPr>
              <w:t>ה</w:t>
            </w:r>
            <w:r w:rsidRPr="0009367C">
              <w:rPr>
                <w:rFonts w:ascii="Arial" w:hAnsi="Arial"/>
                <w:b/>
                <w:bCs/>
                <w:noProof w:val="0"/>
                <w:sz w:val="28"/>
                <w:szCs w:val="28"/>
                <w:rtl/>
              </w:rPr>
              <w:t>מאשימה</w:t>
            </w:r>
          </w:p>
          <w:p w14:paraId="2E76DD7B" w14:textId="77777777" w:rsidR="00065231" w:rsidRPr="0009367C" w:rsidRDefault="00065231" w:rsidP="00065231">
            <w:pPr>
              <w:spacing w:line="360" w:lineRule="auto"/>
              <w:jc w:val="both"/>
              <w:rPr>
                <w:b/>
                <w:bCs/>
                <w:noProof w:val="0"/>
                <w:sz w:val="26"/>
                <w:szCs w:val="26"/>
                <w:rtl/>
              </w:rPr>
            </w:pPr>
          </w:p>
        </w:tc>
      </w:tr>
      <w:bookmarkEnd w:id="1"/>
      <w:bookmarkEnd w:id="2"/>
      <w:tr w:rsidR="00065231" w:rsidRPr="0009367C" w14:paraId="3290C53A" w14:textId="77777777" w:rsidTr="00065231">
        <w:trPr>
          <w:jc w:val="center"/>
        </w:trPr>
        <w:tc>
          <w:tcPr>
            <w:tcW w:w="8820" w:type="dxa"/>
            <w:gridSpan w:val="2"/>
            <w:shd w:val="clear" w:color="auto" w:fill="auto"/>
          </w:tcPr>
          <w:p w14:paraId="39DB7127" w14:textId="77777777" w:rsidR="00065231" w:rsidRPr="0009367C" w:rsidRDefault="00065231" w:rsidP="00065231">
            <w:pPr>
              <w:spacing w:line="360" w:lineRule="auto"/>
              <w:jc w:val="center"/>
              <w:rPr>
                <w:rFonts w:ascii="Arial" w:hAnsi="Arial"/>
                <w:b/>
                <w:bCs/>
                <w:noProof w:val="0"/>
                <w:sz w:val="28"/>
                <w:szCs w:val="28"/>
              </w:rPr>
            </w:pPr>
            <w:r w:rsidRPr="0009367C">
              <w:rPr>
                <w:rFonts w:ascii="Arial" w:hAnsi="Arial"/>
                <w:b/>
                <w:bCs/>
                <w:noProof w:val="0"/>
                <w:sz w:val="28"/>
                <w:szCs w:val="28"/>
                <w:rtl/>
              </w:rPr>
              <w:t>נ</w:t>
            </w:r>
            <w:r w:rsidRPr="0009367C">
              <w:rPr>
                <w:rFonts w:ascii="Arial" w:hAnsi="Arial" w:hint="cs"/>
                <w:b/>
                <w:bCs/>
                <w:noProof w:val="0"/>
                <w:sz w:val="28"/>
                <w:szCs w:val="28"/>
                <w:rtl/>
              </w:rPr>
              <w:t xml:space="preserve"> </w:t>
            </w:r>
            <w:r w:rsidRPr="0009367C">
              <w:rPr>
                <w:rFonts w:ascii="Arial" w:hAnsi="Arial"/>
                <w:b/>
                <w:bCs/>
                <w:noProof w:val="0"/>
                <w:sz w:val="28"/>
                <w:szCs w:val="28"/>
                <w:rtl/>
              </w:rPr>
              <w:t>ג</w:t>
            </w:r>
            <w:r w:rsidRPr="0009367C">
              <w:rPr>
                <w:rFonts w:ascii="Arial" w:hAnsi="Arial" w:hint="cs"/>
                <w:b/>
                <w:bCs/>
                <w:noProof w:val="0"/>
                <w:sz w:val="28"/>
                <w:szCs w:val="28"/>
                <w:rtl/>
              </w:rPr>
              <w:t xml:space="preserve"> </w:t>
            </w:r>
            <w:r w:rsidRPr="0009367C">
              <w:rPr>
                <w:rFonts w:ascii="Arial" w:hAnsi="Arial"/>
                <w:b/>
                <w:bCs/>
                <w:noProof w:val="0"/>
                <w:sz w:val="28"/>
                <w:szCs w:val="28"/>
                <w:rtl/>
              </w:rPr>
              <w:t>ד</w:t>
            </w:r>
          </w:p>
        </w:tc>
      </w:tr>
      <w:tr w:rsidR="00065231" w:rsidRPr="0009367C" w14:paraId="5CBFE0F5" w14:textId="77777777" w:rsidTr="00065231">
        <w:trPr>
          <w:jc w:val="center"/>
        </w:trPr>
        <w:tc>
          <w:tcPr>
            <w:tcW w:w="5603" w:type="dxa"/>
            <w:shd w:val="clear" w:color="auto" w:fill="auto"/>
          </w:tcPr>
          <w:p w14:paraId="76EB16A9" w14:textId="77777777" w:rsidR="00065231" w:rsidRPr="0009367C" w:rsidRDefault="00065231" w:rsidP="00065231">
            <w:pPr>
              <w:spacing w:line="360" w:lineRule="auto"/>
              <w:jc w:val="both"/>
            </w:pPr>
            <w:r w:rsidRPr="0009367C">
              <w:rPr>
                <w:rFonts w:ascii="Arial" w:hAnsi="Arial" w:hint="cs"/>
                <w:b/>
                <w:bCs/>
                <w:noProof w:val="0"/>
                <w:sz w:val="28"/>
                <w:szCs w:val="28"/>
                <w:rtl/>
              </w:rPr>
              <w:t>אדיר אשר - נוכח</w:t>
            </w:r>
          </w:p>
          <w:p w14:paraId="33D1545F" w14:textId="77777777" w:rsidR="00065231" w:rsidRPr="0009367C" w:rsidRDefault="00065231" w:rsidP="00065231">
            <w:pPr>
              <w:spacing w:line="360" w:lineRule="auto"/>
              <w:jc w:val="both"/>
              <w:rPr>
                <w:b/>
                <w:bCs/>
                <w:noProof w:val="0"/>
                <w:sz w:val="28"/>
                <w:szCs w:val="28"/>
                <w:rtl/>
              </w:rPr>
            </w:pPr>
            <w:r w:rsidRPr="0009367C">
              <w:rPr>
                <w:rFonts w:hint="cs"/>
                <w:b/>
                <w:bCs/>
                <w:sz w:val="28"/>
                <w:szCs w:val="28"/>
                <w:rtl/>
              </w:rPr>
              <w:t xml:space="preserve">ע"י ב"כ עוה"ד חן בן חיים </w:t>
            </w:r>
            <w:r w:rsidRPr="0009367C">
              <w:rPr>
                <w:b/>
                <w:bCs/>
                <w:sz w:val="28"/>
                <w:szCs w:val="28"/>
                <w:rtl/>
              </w:rPr>
              <w:t>–</w:t>
            </w:r>
            <w:r w:rsidRPr="0009367C">
              <w:rPr>
                <w:rFonts w:hint="cs"/>
                <w:b/>
                <w:bCs/>
                <w:sz w:val="28"/>
                <w:szCs w:val="28"/>
                <w:rtl/>
              </w:rPr>
              <w:t xml:space="preserve"> נוכחת</w:t>
            </w:r>
          </w:p>
        </w:tc>
        <w:tc>
          <w:tcPr>
            <w:tcW w:w="3217" w:type="dxa"/>
            <w:shd w:val="clear" w:color="auto" w:fill="auto"/>
          </w:tcPr>
          <w:p w14:paraId="009E8779" w14:textId="77777777" w:rsidR="00065231" w:rsidRPr="0009367C" w:rsidRDefault="00065231" w:rsidP="00065231">
            <w:pPr>
              <w:spacing w:line="360" w:lineRule="auto"/>
              <w:jc w:val="both"/>
              <w:rPr>
                <w:b/>
                <w:bCs/>
                <w:noProof w:val="0"/>
                <w:sz w:val="28"/>
                <w:szCs w:val="28"/>
                <w:rtl/>
              </w:rPr>
            </w:pPr>
            <w:r w:rsidRPr="0009367C">
              <w:rPr>
                <w:rFonts w:ascii="Arial" w:hAnsi="Arial" w:hint="cs"/>
                <w:b/>
                <w:bCs/>
                <w:noProof w:val="0"/>
                <w:sz w:val="28"/>
                <w:szCs w:val="28"/>
                <w:rtl/>
              </w:rPr>
              <w:t>ה</w:t>
            </w:r>
            <w:r w:rsidRPr="0009367C">
              <w:rPr>
                <w:rFonts w:ascii="Arial" w:hAnsi="Arial"/>
                <w:b/>
                <w:bCs/>
                <w:noProof w:val="0"/>
                <w:sz w:val="28"/>
                <w:szCs w:val="28"/>
                <w:rtl/>
              </w:rPr>
              <w:t>נאשם</w:t>
            </w:r>
          </w:p>
        </w:tc>
      </w:tr>
    </w:tbl>
    <w:p w14:paraId="4825F317" w14:textId="77777777" w:rsidR="00460955" w:rsidRDefault="00460955" w:rsidP="00065231">
      <w:pPr>
        <w:spacing w:line="360" w:lineRule="auto"/>
        <w:jc w:val="both"/>
        <w:rPr>
          <w:rtl/>
        </w:rPr>
      </w:pPr>
      <w:bookmarkStart w:id="3" w:name="LawTable"/>
      <w:bookmarkEnd w:id="3"/>
    </w:p>
    <w:p w14:paraId="72EBA7B9" w14:textId="77777777" w:rsidR="00460955" w:rsidRPr="00460955" w:rsidRDefault="00460955" w:rsidP="00460955">
      <w:pPr>
        <w:spacing w:after="120" w:line="240" w:lineRule="exact"/>
        <w:ind w:left="283" w:hanging="283"/>
        <w:jc w:val="both"/>
        <w:rPr>
          <w:rFonts w:ascii="FrankRuehl" w:hAnsi="FrankRuehl" w:cs="FrankRuehl"/>
          <w:rtl/>
        </w:rPr>
      </w:pPr>
    </w:p>
    <w:p w14:paraId="558E5366" w14:textId="77777777" w:rsidR="00460955" w:rsidRPr="00460955" w:rsidRDefault="00460955" w:rsidP="00460955">
      <w:pPr>
        <w:spacing w:after="120" w:line="240" w:lineRule="exact"/>
        <w:ind w:left="283" w:hanging="283"/>
        <w:jc w:val="both"/>
        <w:rPr>
          <w:rFonts w:ascii="FrankRuehl" w:hAnsi="FrankRuehl" w:cs="FrankRuehl"/>
          <w:rtl/>
        </w:rPr>
      </w:pPr>
      <w:r w:rsidRPr="00460955">
        <w:rPr>
          <w:rFonts w:ascii="FrankRuehl" w:hAnsi="FrankRuehl" w:cs="FrankRuehl"/>
          <w:rtl/>
        </w:rPr>
        <w:t xml:space="preserve">חקיקה שאוזכרה: </w:t>
      </w:r>
    </w:p>
    <w:p w14:paraId="50225F2C" w14:textId="77777777" w:rsidR="00460955" w:rsidRPr="00460955" w:rsidRDefault="00460955" w:rsidP="00460955">
      <w:pPr>
        <w:spacing w:after="120" w:line="240" w:lineRule="exact"/>
        <w:ind w:left="283" w:hanging="283"/>
        <w:jc w:val="both"/>
        <w:rPr>
          <w:rFonts w:ascii="FrankRuehl" w:hAnsi="FrankRuehl" w:cs="FrankRuehl"/>
          <w:rtl/>
        </w:rPr>
      </w:pPr>
      <w:hyperlink r:id="rId7" w:history="1">
        <w:r w:rsidRPr="00460955">
          <w:rPr>
            <w:rFonts w:ascii="FrankRuehl" w:hAnsi="FrankRuehl" w:cs="FrankRuehl"/>
            <w:color w:val="0000FF"/>
            <w:u w:val="single"/>
            <w:rtl/>
          </w:rPr>
          <w:t>פקודת הסמים המסוכנים [נוסח חדש], תשל"ג-1973</w:t>
        </w:r>
      </w:hyperlink>
      <w:r w:rsidRPr="00460955">
        <w:rPr>
          <w:rFonts w:ascii="FrankRuehl" w:hAnsi="FrankRuehl" w:cs="FrankRuehl"/>
          <w:rtl/>
        </w:rPr>
        <w:t xml:space="preserve">: סע'  </w:t>
      </w:r>
      <w:hyperlink r:id="rId8" w:history="1">
        <w:r w:rsidRPr="00460955">
          <w:rPr>
            <w:rFonts w:ascii="FrankRuehl" w:hAnsi="FrankRuehl" w:cs="FrankRuehl"/>
            <w:color w:val="0000FF"/>
            <w:u w:val="single"/>
            <w:rtl/>
          </w:rPr>
          <w:t>6</w:t>
        </w:r>
      </w:hyperlink>
      <w:r w:rsidRPr="00460955">
        <w:rPr>
          <w:rFonts w:ascii="FrankRuehl" w:hAnsi="FrankRuehl" w:cs="FrankRuehl"/>
          <w:rtl/>
        </w:rPr>
        <w:t xml:space="preserve">, </w:t>
      </w:r>
      <w:hyperlink r:id="rId9" w:history="1">
        <w:r w:rsidRPr="00460955">
          <w:rPr>
            <w:rFonts w:ascii="FrankRuehl" w:hAnsi="FrankRuehl" w:cs="FrankRuehl"/>
            <w:color w:val="0000FF"/>
            <w:u w:val="single"/>
            <w:rtl/>
          </w:rPr>
          <w:t>10</w:t>
        </w:r>
      </w:hyperlink>
    </w:p>
    <w:p w14:paraId="51AA0322" w14:textId="77777777" w:rsidR="00460955" w:rsidRPr="00460955" w:rsidRDefault="00460955" w:rsidP="00460955">
      <w:pPr>
        <w:spacing w:after="120" w:line="240" w:lineRule="exact"/>
        <w:ind w:left="283" w:hanging="283"/>
        <w:jc w:val="both"/>
        <w:rPr>
          <w:rFonts w:ascii="FrankRuehl" w:hAnsi="FrankRuehl" w:cs="FrankRuehl"/>
          <w:rtl/>
        </w:rPr>
      </w:pPr>
      <w:hyperlink r:id="rId10" w:history="1">
        <w:r w:rsidRPr="00460955">
          <w:rPr>
            <w:rFonts w:ascii="FrankRuehl" w:hAnsi="FrankRuehl" w:cs="FrankRuehl"/>
            <w:color w:val="0000FF"/>
            <w:u w:val="single"/>
            <w:rtl/>
          </w:rPr>
          <w:t>חוק העונשין, תשל"ז-1977</w:t>
        </w:r>
      </w:hyperlink>
      <w:r w:rsidRPr="00460955">
        <w:rPr>
          <w:rFonts w:ascii="FrankRuehl" w:hAnsi="FrankRuehl" w:cs="FrankRuehl"/>
          <w:rtl/>
        </w:rPr>
        <w:t xml:space="preserve">: סע'  </w:t>
      </w:r>
      <w:hyperlink r:id="rId11" w:history="1">
        <w:r w:rsidRPr="00460955">
          <w:rPr>
            <w:rFonts w:ascii="FrankRuehl" w:hAnsi="FrankRuehl" w:cs="FrankRuehl"/>
            <w:color w:val="0000FF"/>
            <w:u w:val="single"/>
            <w:rtl/>
          </w:rPr>
          <w:t>40ג(א)</w:t>
        </w:r>
      </w:hyperlink>
      <w:r w:rsidRPr="00460955">
        <w:rPr>
          <w:rFonts w:ascii="FrankRuehl" w:hAnsi="FrankRuehl" w:cs="FrankRuehl"/>
          <w:rtl/>
        </w:rPr>
        <w:t xml:space="preserve">, </w:t>
      </w:r>
      <w:hyperlink r:id="rId12" w:history="1">
        <w:r w:rsidRPr="00460955">
          <w:rPr>
            <w:rFonts w:ascii="FrankRuehl" w:hAnsi="FrankRuehl" w:cs="FrankRuehl"/>
            <w:color w:val="0000FF"/>
            <w:u w:val="single"/>
            <w:rtl/>
          </w:rPr>
          <w:t>40ג(ב)</w:t>
        </w:r>
      </w:hyperlink>
      <w:r w:rsidRPr="00460955">
        <w:rPr>
          <w:rFonts w:ascii="FrankRuehl" w:hAnsi="FrankRuehl" w:cs="FrankRuehl"/>
          <w:rtl/>
        </w:rPr>
        <w:t xml:space="preserve">, </w:t>
      </w:r>
      <w:hyperlink r:id="rId13" w:history="1">
        <w:r w:rsidRPr="00460955">
          <w:rPr>
            <w:rFonts w:ascii="FrankRuehl" w:hAnsi="FrankRuehl" w:cs="FrankRuehl"/>
            <w:color w:val="0000FF"/>
            <w:u w:val="single"/>
            <w:rtl/>
          </w:rPr>
          <w:t>40ד(א)</w:t>
        </w:r>
      </w:hyperlink>
      <w:r w:rsidRPr="00460955">
        <w:rPr>
          <w:rFonts w:ascii="FrankRuehl" w:hAnsi="FrankRuehl" w:cs="FrankRuehl"/>
          <w:rtl/>
        </w:rPr>
        <w:t xml:space="preserve">, </w:t>
      </w:r>
      <w:hyperlink r:id="rId14" w:history="1">
        <w:r w:rsidRPr="00460955">
          <w:rPr>
            <w:rFonts w:ascii="FrankRuehl" w:hAnsi="FrankRuehl" w:cs="FrankRuehl"/>
            <w:color w:val="0000FF"/>
            <w:u w:val="single"/>
            <w:rtl/>
          </w:rPr>
          <w:t>40יא(3)</w:t>
        </w:r>
      </w:hyperlink>
    </w:p>
    <w:p w14:paraId="02471BA1" w14:textId="77777777" w:rsidR="00460955" w:rsidRPr="00460955" w:rsidRDefault="00460955" w:rsidP="00460955">
      <w:pPr>
        <w:spacing w:after="120" w:line="240" w:lineRule="exact"/>
        <w:ind w:left="283" w:hanging="283"/>
        <w:jc w:val="both"/>
        <w:rPr>
          <w:rFonts w:ascii="FrankRuehl" w:hAnsi="FrankRuehl" w:cs="FrankRuehl"/>
          <w:rtl/>
        </w:rPr>
      </w:pPr>
    </w:p>
    <w:p w14:paraId="7CFB8EA8" w14:textId="77777777" w:rsidR="00460955" w:rsidRPr="00460955" w:rsidRDefault="00460955" w:rsidP="00065231">
      <w:pPr>
        <w:spacing w:line="360" w:lineRule="auto"/>
        <w:jc w:val="both"/>
        <w:rPr>
          <w:rtl/>
        </w:rPr>
      </w:pPr>
      <w:bookmarkStart w:id="4" w:name="LawTable_End"/>
      <w:bookmarkEnd w:id="4"/>
    </w:p>
    <w:p w14:paraId="599CB273" w14:textId="77777777" w:rsidR="00065231" w:rsidRPr="00870889" w:rsidRDefault="00065231" w:rsidP="00065231">
      <w:pPr>
        <w:spacing w:line="360" w:lineRule="auto"/>
        <w:jc w:val="both"/>
      </w:pPr>
    </w:p>
    <w:tbl>
      <w:tblPr>
        <w:bidiVisual/>
        <w:tblW w:w="8820" w:type="dxa"/>
        <w:jc w:val="center"/>
        <w:tblLook w:val="01E0" w:firstRow="1" w:lastRow="1" w:firstColumn="1" w:lastColumn="1" w:noHBand="0" w:noVBand="0"/>
      </w:tblPr>
      <w:tblGrid>
        <w:gridCol w:w="8820"/>
      </w:tblGrid>
      <w:tr w:rsidR="00065231" w:rsidRPr="009C351E" w14:paraId="24E2BACA" w14:textId="77777777" w:rsidTr="00065231">
        <w:trPr>
          <w:jc w:val="center"/>
        </w:trPr>
        <w:tc>
          <w:tcPr>
            <w:tcW w:w="8820" w:type="dxa"/>
            <w:shd w:val="clear" w:color="auto" w:fill="auto"/>
          </w:tcPr>
          <w:p w14:paraId="6B76DA70" w14:textId="77777777" w:rsidR="0009367C" w:rsidRPr="0009367C" w:rsidRDefault="0009367C" w:rsidP="0009367C">
            <w:pPr>
              <w:bidi w:val="0"/>
              <w:spacing w:line="360" w:lineRule="auto"/>
              <w:jc w:val="center"/>
              <w:rPr>
                <w:rFonts w:ascii="Arial" w:hAnsi="Arial"/>
                <w:b/>
                <w:bCs/>
                <w:noProof w:val="0"/>
                <w:sz w:val="32"/>
                <w:szCs w:val="32"/>
                <w:u w:val="single"/>
                <w:rtl/>
              </w:rPr>
            </w:pPr>
            <w:bookmarkStart w:id="5" w:name="PsakDin" w:colFirst="0" w:colLast="0"/>
            <w:bookmarkEnd w:id="0"/>
            <w:r w:rsidRPr="0009367C">
              <w:rPr>
                <w:rFonts w:ascii="Arial" w:hAnsi="Arial"/>
                <w:b/>
                <w:bCs/>
                <w:noProof w:val="0"/>
                <w:sz w:val="32"/>
                <w:szCs w:val="32"/>
                <w:u w:val="single"/>
                <w:rtl/>
              </w:rPr>
              <w:t>גזר דין</w:t>
            </w:r>
          </w:p>
          <w:p w14:paraId="49A6F3C5" w14:textId="77777777" w:rsidR="00065231" w:rsidRPr="0009367C" w:rsidRDefault="00065231" w:rsidP="0009367C">
            <w:pPr>
              <w:bidi w:val="0"/>
              <w:spacing w:line="360" w:lineRule="auto"/>
              <w:jc w:val="center"/>
              <w:rPr>
                <w:rFonts w:ascii="Arial" w:hAnsi="Arial"/>
                <w:b/>
                <w:bCs/>
                <w:noProof w:val="0"/>
                <w:sz w:val="32"/>
                <w:szCs w:val="32"/>
                <w:u w:val="single"/>
              </w:rPr>
            </w:pPr>
          </w:p>
        </w:tc>
      </w:tr>
    </w:tbl>
    <w:bookmarkEnd w:id="5"/>
    <w:p w14:paraId="29249247" w14:textId="77777777" w:rsidR="00065231" w:rsidRPr="009C351E" w:rsidRDefault="00065231" w:rsidP="00065231">
      <w:pPr>
        <w:pStyle w:val="1"/>
        <w:numPr>
          <w:ilvl w:val="0"/>
          <w:numId w:val="1"/>
        </w:numPr>
        <w:spacing w:line="360" w:lineRule="auto"/>
        <w:ind w:left="252"/>
        <w:jc w:val="both"/>
        <w:rPr>
          <w:rFonts w:cs="David"/>
          <w:b/>
          <w:bCs/>
          <w:color w:val="auto"/>
          <w:szCs w:val="28"/>
          <w:u w:val="single"/>
          <w:rtl/>
        </w:rPr>
      </w:pPr>
      <w:r w:rsidRPr="009C351E">
        <w:rPr>
          <w:rFonts w:cs="David" w:hint="cs"/>
          <w:b/>
          <w:bCs/>
          <w:color w:val="auto"/>
          <w:rtl/>
        </w:rPr>
        <w:t>רקע עובדתי</w:t>
      </w:r>
    </w:p>
    <w:p w14:paraId="7B0C7ECA" w14:textId="77777777" w:rsidR="00065231" w:rsidRPr="009C351E" w:rsidRDefault="00065231" w:rsidP="00065231">
      <w:pPr>
        <w:pStyle w:val="ListParagraph"/>
        <w:numPr>
          <w:ilvl w:val="0"/>
          <w:numId w:val="2"/>
        </w:numPr>
        <w:ind w:left="-166"/>
        <w:rPr>
          <w:rtl/>
        </w:rPr>
      </w:pPr>
      <w:bookmarkStart w:id="6" w:name="ABSTRACT_START"/>
      <w:bookmarkEnd w:id="6"/>
      <w:r w:rsidRPr="009C351E">
        <w:rPr>
          <w:rFonts w:hint="cs"/>
          <w:rtl/>
        </w:rPr>
        <w:t>כפי הנטען בכתב האישום המתוקן, מזה כחודש עובר ליום 16.05.2016 גידל הנאשם בתוך חדר בדירה 16 שתילי קנבוס, במשקל של 2 ק"ג נטו. לצורך כך ועל מנת ליצור תנאים מתאימים יותר לגידול השתילים, החזיק הנאשם בדירה אוהל שחור גדול שבתוכו גידל את השתילים ושאותו צייד במאוורר ושתי מנורות חימום</w:t>
      </w:r>
      <w:bookmarkStart w:id="7" w:name="ABSTRACT_END"/>
      <w:bookmarkEnd w:id="7"/>
      <w:r w:rsidRPr="009C351E">
        <w:rPr>
          <w:rFonts w:hint="cs"/>
          <w:rtl/>
        </w:rPr>
        <w:t>.</w:t>
      </w:r>
    </w:p>
    <w:p w14:paraId="2968F2C9" w14:textId="77777777" w:rsidR="00065231" w:rsidRPr="009C351E" w:rsidRDefault="00065231" w:rsidP="00065231">
      <w:pPr>
        <w:pStyle w:val="ListParagraph"/>
        <w:ind w:left="-166" w:firstLine="0"/>
      </w:pPr>
      <w:r w:rsidRPr="009C351E">
        <w:rPr>
          <w:rFonts w:hint="cs"/>
          <w:rtl/>
        </w:rPr>
        <w:t xml:space="preserve">הנאשם הודה במיוחס לו לעיל, ועל יסוד הודאתו זו הורשע בעבירות של </w:t>
      </w:r>
      <w:r w:rsidRPr="009C351E">
        <w:rPr>
          <w:rFonts w:hint="cs"/>
          <w:b/>
          <w:bCs/>
          <w:rtl/>
        </w:rPr>
        <w:t>גידול סמים מסוכנים</w:t>
      </w:r>
      <w:r w:rsidRPr="009C351E">
        <w:rPr>
          <w:rFonts w:hint="cs"/>
          <w:rtl/>
        </w:rPr>
        <w:t xml:space="preserve">, לפי </w:t>
      </w:r>
      <w:hyperlink r:id="rId15" w:history="1">
        <w:r w:rsidR="00870889" w:rsidRPr="00870889">
          <w:rPr>
            <w:rFonts w:hint="cs"/>
            <w:color w:val="0000FF"/>
            <w:u w:val="single"/>
            <w:rtl/>
          </w:rPr>
          <w:t>סעיף</w:t>
        </w:r>
        <w:r w:rsidR="00870889" w:rsidRPr="00870889">
          <w:rPr>
            <w:color w:val="0000FF"/>
            <w:u w:val="single"/>
            <w:rtl/>
          </w:rPr>
          <w:t xml:space="preserve"> 6</w:t>
        </w:r>
      </w:hyperlink>
      <w:r w:rsidRPr="009C351E">
        <w:rPr>
          <w:rFonts w:hint="cs"/>
          <w:rtl/>
        </w:rPr>
        <w:t xml:space="preserve"> ל</w:t>
      </w:r>
      <w:hyperlink r:id="rId16" w:history="1">
        <w:r w:rsidR="0009367C" w:rsidRPr="0009367C">
          <w:rPr>
            <w:rStyle w:val="Hyperlink"/>
            <w:rFonts w:hint="cs"/>
            <w:rtl/>
          </w:rPr>
          <w:t>פקודת</w:t>
        </w:r>
        <w:r w:rsidR="0009367C" w:rsidRPr="0009367C">
          <w:rPr>
            <w:rStyle w:val="Hyperlink"/>
            <w:rtl/>
          </w:rPr>
          <w:t xml:space="preserve"> </w:t>
        </w:r>
        <w:r w:rsidR="0009367C" w:rsidRPr="0009367C">
          <w:rPr>
            <w:rStyle w:val="Hyperlink"/>
            <w:rFonts w:hint="cs"/>
            <w:rtl/>
          </w:rPr>
          <w:t>הסמים</w:t>
        </w:r>
        <w:r w:rsidR="0009367C" w:rsidRPr="0009367C">
          <w:rPr>
            <w:rStyle w:val="Hyperlink"/>
            <w:rtl/>
          </w:rPr>
          <w:t xml:space="preserve"> </w:t>
        </w:r>
        <w:r w:rsidR="0009367C" w:rsidRPr="0009367C">
          <w:rPr>
            <w:rStyle w:val="Hyperlink"/>
            <w:rFonts w:hint="cs"/>
            <w:rtl/>
          </w:rPr>
          <w:t>המסוכנים</w:t>
        </w:r>
      </w:hyperlink>
      <w:r w:rsidRPr="009C351E">
        <w:rPr>
          <w:rFonts w:hint="cs"/>
          <w:rtl/>
        </w:rPr>
        <w:t xml:space="preserve"> [נוסח חדש], התשל"ג-1973 (להלן: </w:t>
      </w:r>
      <w:r w:rsidRPr="009C351E">
        <w:rPr>
          <w:rFonts w:hint="cs"/>
          <w:b/>
          <w:bCs/>
          <w:rtl/>
        </w:rPr>
        <w:t>"הפקודה"</w:t>
      </w:r>
      <w:r w:rsidRPr="009C351E">
        <w:rPr>
          <w:rFonts w:hint="cs"/>
          <w:rtl/>
        </w:rPr>
        <w:t xml:space="preserve">); </w:t>
      </w:r>
      <w:r w:rsidRPr="009C351E">
        <w:rPr>
          <w:rFonts w:hint="cs"/>
          <w:b/>
          <w:bCs/>
          <w:rtl/>
        </w:rPr>
        <w:t>והחזקת כלים להכנת סם שלא לצריכה עצמית</w:t>
      </w:r>
      <w:r w:rsidRPr="009C351E">
        <w:rPr>
          <w:rFonts w:hint="cs"/>
          <w:rtl/>
        </w:rPr>
        <w:t xml:space="preserve">, לפי </w:t>
      </w:r>
      <w:hyperlink r:id="rId17" w:history="1">
        <w:r w:rsidR="00870889" w:rsidRPr="00870889">
          <w:rPr>
            <w:rFonts w:hint="cs"/>
            <w:color w:val="0000FF"/>
            <w:u w:val="single"/>
            <w:rtl/>
          </w:rPr>
          <w:t>סעיף</w:t>
        </w:r>
        <w:r w:rsidR="00870889" w:rsidRPr="00870889">
          <w:rPr>
            <w:color w:val="0000FF"/>
            <w:u w:val="single"/>
            <w:rtl/>
          </w:rPr>
          <w:t xml:space="preserve"> 10</w:t>
        </w:r>
      </w:hyperlink>
      <w:r w:rsidRPr="009C351E">
        <w:rPr>
          <w:rFonts w:hint="cs"/>
          <w:rtl/>
        </w:rPr>
        <w:t xml:space="preserve"> רישא לפקודה.</w:t>
      </w:r>
    </w:p>
    <w:p w14:paraId="3A36D5F9" w14:textId="77777777" w:rsidR="00065231" w:rsidRPr="009C351E" w:rsidRDefault="00065231" w:rsidP="00065231">
      <w:pPr>
        <w:pStyle w:val="ListParagraph"/>
        <w:numPr>
          <w:ilvl w:val="0"/>
          <w:numId w:val="2"/>
        </w:numPr>
        <w:ind w:left="-166"/>
      </w:pPr>
      <w:r w:rsidRPr="009C351E">
        <w:rPr>
          <w:rFonts w:hint="cs"/>
          <w:rtl/>
        </w:rPr>
        <w:t xml:space="preserve">הצדדים לא הגיעו להסכמות בעניין העונש, אך הוסכם כי הנאשם יופנה לשירות המבחן על מנת שיתקבל תסקיר בעניינו, תוך שההגנה ביקשה לבחון את שאלת ההרשעה ואילו המאשימה הצהירה כי עמדתה העונשית בתיק זה היא למאסר בפועל. </w:t>
      </w:r>
    </w:p>
    <w:p w14:paraId="64BB79D6" w14:textId="77777777" w:rsidR="00065231" w:rsidRPr="009C351E" w:rsidRDefault="00065231" w:rsidP="00065231">
      <w:pPr>
        <w:pStyle w:val="ListParagraph"/>
        <w:numPr>
          <w:ilvl w:val="0"/>
          <w:numId w:val="2"/>
        </w:numPr>
        <w:ind w:left="-166"/>
      </w:pPr>
      <w:r w:rsidRPr="009C351E">
        <w:rPr>
          <w:rFonts w:hint="cs"/>
          <w:rtl/>
        </w:rPr>
        <w:t xml:space="preserve">בעניינו של הנאשם התקבלו שלושה תסקירים, המלמדים כי הקשר שלו עם שירות המבחן ידע עליות ומורדות. אולם בסופו של דבר, ולאחר שהנאשם מסר באופן רצוף 4 בדיקות שתן שהצביעו על ניקיונו </w:t>
      </w:r>
      <w:r w:rsidRPr="009C351E">
        <w:rPr>
          <w:rFonts w:hint="cs"/>
          <w:rtl/>
        </w:rPr>
        <w:lastRenderedPageBreak/>
        <w:t>מסמים, המליץ שירות המבחן להורות על ביטול הרשעתו, לצד השתת ענישה בדמות צו של"צ וצו מבחן. אשר לגופם של התסקירים, מטעמים של צנעת הפרט לא אעלה עלי גזר הדין את כל המפורט שם, וזאת מלבד אותם נתונים הרלוונטיים לשאלת העונש, שאליהם אתייחס בהמשך.</w:t>
      </w:r>
    </w:p>
    <w:p w14:paraId="073DF26B" w14:textId="77777777" w:rsidR="00065231" w:rsidRPr="009C351E" w:rsidRDefault="00065231" w:rsidP="00065231">
      <w:pPr>
        <w:pStyle w:val="ListParagraph"/>
        <w:numPr>
          <w:ilvl w:val="0"/>
          <w:numId w:val="2"/>
        </w:numPr>
        <w:ind w:left="-166"/>
      </w:pPr>
      <w:r w:rsidRPr="009C351E">
        <w:rPr>
          <w:rFonts w:hint="cs"/>
          <w:b/>
          <w:bCs/>
          <w:rtl/>
        </w:rPr>
        <w:t>מחוות דעת הממונה על עבודות השירות</w:t>
      </w:r>
      <w:r w:rsidRPr="009C351E">
        <w:rPr>
          <w:rFonts w:hint="cs"/>
          <w:rtl/>
        </w:rPr>
        <w:t xml:space="preserve">, שהתקבלה ביום 01.10.2017, עולה כי הנאשם מתאים לביצוע עבודות שירות. </w:t>
      </w:r>
    </w:p>
    <w:p w14:paraId="6E89A705" w14:textId="77777777" w:rsidR="00065231" w:rsidRPr="009C351E" w:rsidRDefault="00065231" w:rsidP="00065231">
      <w:pPr>
        <w:pStyle w:val="1"/>
        <w:numPr>
          <w:ilvl w:val="0"/>
          <w:numId w:val="1"/>
        </w:numPr>
        <w:spacing w:line="360" w:lineRule="auto"/>
        <w:ind w:left="252"/>
        <w:jc w:val="both"/>
        <w:rPr>
          <w:rFonts w:cs="David"/>
          <w:b/>
          <w:bCs/>
          <w:color w:val="auto"/>
        </w:rPr>
      </w:pPr>
      <w:r w:rsidRPr="009C351E">
        <w:rPr>
          <w:rFonts w:cs="David" w:hint="cs"/>
          <w:b/>
          <w:bCs/>
          <w:color w:val="auto"/>
          <w:rtl/>
        </w:rPr>
        <w:t>טיעוני הצדדים (עיקרי הדברים)</w:t>
      </w:r>
    </w:p>
    <w:p w14:paraId="31D954D7" w14:textId="77777777" w:rsidR="00065231" w:rsidRPr="009C351E" w:rsidRDefault="00065231" w:rsidP="00065231">
      <w:pPr>
        <w:pStyle w:val="ListParagraph"/>
        <w:numPr>
          <w:ilvl w:val="0"/>
          <w:numId w:val="2"/>
        </w:numPr>
        <w:ind w:left="-166"/>
      </w:pPr>
      <w:r w:rsidRPr="009C351E">
        <w:rPr>
          <w:rFonts w:hint="cs"/>
          <w:rtl/>
        </w:rPr>
        <w:t xml:space="preserve">באת כוח המאשימה עמדה על הערכים המוגנים שנפגעו כתוצאה ממעשיו של הנאשם ועל חומרת הנסיבות שנלוו אליהם. בכלל זה, הלה הפנתה לציוד שהחזיק הנאשם לשם הגידול וטענה כי המשקל של השתילים מלמד כי הנאשם גידלם שלא לצריכתו העצמית. בהמשך, עתרה המאשימה לקבוע מתחם עונש הולם הנע בין 6 ל- 24 חודשי מאסר, ובשים לב לעובדה כי הנאשם לא עבר כל הליך טיפולי, עתרה להשית עליו עונש מאסר בגדרי המתחם, לצד מאסר מותנה, קנס, פסילת רישיון נהיגה (בפועל ומותנית) והתחייבות. אשר לשאלת ההרשעה, נטען כי הנאשם אינו עומד בתנאים שנקבעו בעניין זה בהלכת כתב, וזאת בשים לב לחומרת העבירות ולכך שלא הוכיח קיומו של נזק קונקרטי. </w:t>
      </w:r>
    </w:p>
    <w:p w14:paraId="799896D7" w14:textId="77777777" w:rsidR="00065231" w:rsidRPr="009C351E" w:rsidRDefault="00065231" w:rsidP="00065231">
      <w:pPr>
        <w:pStyle w:val="ListParagraph"/>
        <w:numPr>
          <w:ilvl w:val="0"/>
          <w:numId w:val="2"/>
        </w:numPr>
        <w:ind w:left="-166"/>
      </w:pPr>
      <w:r w:rsidRPr="009C351E">
        <w:rPr>
          <w:rFonts w:hint="cs"/>
          <w:rtl/>
        </w:rPr>
        <w:t>מנגד, באת כוח הנאשם לא חלקה על מתחם העונש ההולם אשר הוצג על ידי המאשימה, אך טענה כי במקרה הנדון יש לסטות הימנו לקולא, וזאת בשים לב, בין היתר, להמלצת שירות המבחן והעובדה שהנאשם חדל מלהשתמש בסמים. עוד ובהתייחס לטענת המאשימה, נטען כי בהיעדר אינדיקציה אחרת בכתב האישום, יש לראות בנאשם כמי שגידל את הסמים לצריכתו העצמית בלבד. כמו כן, ההגנה ביקשה להורות על ביטול הרשעתו של הנאשם, תוך שטענה כי כיום אין עוד חובה להצביע על קיומו של נזק קונקרטי. במסגרת זו, הלה גם הפנתה להמלצתו של שירות המבחן, לעברו הפלילי הנקי של הנאשם ולניקיונו מסמים.</w:t>
      </w:r>
    </w:p>
    <w:p w14:paraId="6DDFB508" w14:textId="77777777" w:rsidR="00065231" w:rsidRPr="009C351E" w:rsidRDefault="00065231" w:rsidP="00065231">
      <w:pPr>
        <w:pStyle w:val="ListParagraph"/>
        <w:numPr>
          <w:ilvl w:val="0"/>
          <w:numId w:val="2"/>
        </w:numPr>
        <w:ind w:left="-166"/>
      </w:pPr>
      <w:r w:rsidRPr="009C351E">
        <w:rPr>
          <w:rFonts w:hint="cs"/>
          <w:rtl/>
        </w:rPr>
        <w:t>הנאשם מסר שהוא מקבל אחריות על מעשיו וכי המדובר במעידה חד פעמית בלבד, וטען כי הוא משתף פעולה עם שירות המבחן.</w:t>
      </w:r>
    </w:p>
    <w:p w14:paraId="3A30E8B8" w14:textId="77777777" w:rsidR="00065231" w:rsidRPr="009C351E" w:rsidRDefault="00065231" w:rsidP="00065231">
      <w:pPr>
        <w:pStyle w:val="1"/>
        <w:spacing w:line="360" w:lineRule="auto"/>
        <w:jc w:val="both"/>
        <w:rPr>
          <w:rFonts w:cs="David"/>
          <w:b/>
          <w:bCs/>
          <w:color w:val="auto"/>
          <w:sz w:val="36"/>
          <w:szCs w:val="36"/>
          <w:u w:val="single"/>
        </w:rPr>
      </w:pPr>
      <w:r w:rsidRPr="009C351E">
        <w:rPr>
          <w:rFonts w:cs="David" w:hint="cs"/>
          <w:b/>
          <w:bCs/>
          <w:color w:val="auto"/>
          <w:sz w:val="36"/>
          <w:szCs w:val="36"/>
          <w:u w:val="single"/>
          <w:rtl/>
        </w:rPr>
        <w:t>דיון והכרעה</w:t>
      </w:r>
    </w:p>
    <w:p w14:paraId="015CBB95" w14:textId="77777777" w:rsidR="00065231" w:rsidRPr="009C351E" w:rsidRDefault="00065231" w:rsidP="00065231">
      <w:pPr>
        <w:pStyle w:val="ListParagraph"/>
        <w:numPr>
          <w:ilvl w:val="0"/>
          <w:numId w:val="2"/>
        </w:numPr>
        <w:ind w:left="-166"/>
      </w:pPr>
      <w:r w:rsidRPr="009C351E">
        <w:rPr>
          <w:rFonts w:hint="cs"/>
          <w:rtl/>
        </w:rPr>
        <w:t>בהתאם למתווה שקבע המחוקק בתיקון 113 ל</w:t>
      </w:r>
      <w:hyperlink r:id="rId18" w:history="1">
        <w:r w:rsidR="0009367C" w:rsidRPr="0009367C">
          <w:rPr>
            <w:rStyle w:val="Hyperlink"/>
            <w:rFonts w:hint="cs"/>
            <w:rtl/>
          </w:rPr>
          <w:t>חוק</w:t>
        </w:r>
        <w:r w:rsidR="0009367C" w:rsidRPr="0009367C">
          <w:rPr>
            <w:rStyle w:val="Hyperlink"/>
            <w:rtl/>
          </w:rPr>
          <w:t xml:space="preserve"> </w:t>
        </w:r>
        <w:r w:rsidR="0009367C" w:rsidRPr="0009367C">
          <w:rPr>
            <w:rStyle w:val="Hyperlink"/>
            <w:rFonts w:hint="cs"/>
            <w:rtl/>
          </w:rPr>
          <w:t>העונשין</w:t>
        </w:r>
      </w:hyperlink>
      <w:r w:rsidRPr="009C351E">
        <w:rPr>
          <w:rFonts w:hint="cs"/>
          <w:rtl/>
        </w:rPr>
        <w:t xml:space="preserve"> (ופורש לאחר מכן בפסיקתו של בית המשפט העליון), בשלב הראשון על בית המשפט לקבוע את מתחם העונש ההולם את המעשים שבגינם הנאשם נותן את הדין. לאחר מכן, על בית המשפט לבחון אם יש מקום לסטות לקולא מהמתחם האמור או שמא יש לגזור את עונשו של הנאשם בתוך גדריו (אודות המתווה לגזירת העונש, ראו למשל: </w:t>
      </w:r>
      <w:hyperlink r:id="rId19"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8641/12</w:t>
        </w:r>
      </w:hyperlink>
      <w:r w:rsidRPr="009C351E">
        <w:rPr>
          <w:rFonts w:hint="cs"/>
          <w:rtl/>
        </w:rPr>
        <w:t xml:space="preserve"> </w:t>
      </w:r>
      <w:r w:rsidRPr="009C351E">
        <w:rPr>
          <w:rFonts w:hint="cs"/>
          <w:b/>
          <w:bCs/>
          <w:rtl/>
        </w:rPr>
        <w:t>מוחמד סעד נ' מדינת ישראל</w:t>
      </w:r>
      <w:r w:rsidRPr="009C351E">
        <w:rPr>
          <w:rFonts w:hint="cs"/>
          <w:rtl/>
        </w:rPr>
        <w:t xml:space="preserve">, (05.08.2013)). </w:t>
      </w:r>
    </w:p>
    <w:p w14:paraId="5D94E359" w14:textId="77777777" w:rsidR="00065231" w:rsidRPr="009C351E" w:rsidRDefault="00065231" w:rsidP="00065231">
      <w:pPr>
        <w:pStyle w:val="1"/>
        <w:numPr>
          <w:ilvl w:val="0"/>
          <w:numId w:val="1"/>
        </w:numPr>
        <w:spacing w:line="360" w:lineRule="auto"/>
        <w:ind w:left="252"/>
        <w:jc w:val="both"/>
        <w:rPr>
          <w:rFonts w:cs="David"/>
          <w:b/>
          <w:bCs/>
          <w:color w:val="auto"/>
        </w:rPr>
      </w:pPr>
      <w:r w:rsidRPr="009C351E">
        <w:rPr>
          <w:rFonts w:cs="David" w:hint="cs"/>
          <w:b/>
          <w:bCs/>
          <w:color w:val="auto"/>
          <w:rtl/>
        </w:rPr>
        <w:t>קביעת מתחם העונש ההולם</w:t>
      </w:r>
    </w:p>
    <w:p w14:paraId="33E2AB38" w14:textId="77777777" w:rsidR="00065231" w:rsidRPr="009C351E" w:rsidRDefault="00065231" w:rsidP="00065231">
      <w:pPr>
        <w:pStyle w:val="ListParagraph"/>
        <w:numPr>
          <w:ilvl w:val="0"/>
          <w:numId w:val="2"/>
        </w:numPr>
        <w:ind w:left="-166"/>
      </w:pPr>
      <w:r w:rsidRPr="009C351E">
        <w:rPr>
          <w:rFonts w:hint="cs"/>
          <w:rtl/>
        </w:rPr>
        <w:t xml:space="preserve">בתיק זה מוסכם בין הצדדים כי מתחם העונש ההולם צריך לנוע בין 6 ל- 24 חודשי מאסר. כמצוותו של המחוקק </w:t>
      </w:r>
      <w:hyperlink r:id="rId20" w:history="1">
        <w:r w:rsidR="00870889" w:rsidRPr="00870889">
          <w:rPr>
            <w:rFonts w:hint="cs"/>
            <w:color w:val="0000FF"/>
            <w:u w:val="single"/>
            <w:rtl/>
          </w:rPr>
          <w:t>בסעיף</w:t>
        </w:r>
        <w:r w:rsidR="00870889" w:rsidRPr="00870889">
          <w:rPr>
            <w:color w:val="0000FF"/>
            <w:u w:val="single"/>
            <w:rtl/>
          </w:rPr>
          <w:t xml:space="preserve"> 40</w:t>
        </w:r>
        <w:r w:rsidR="00870889" w:rsidRPr="00870889">
          <w:rPr>
            <w:rFonts w:hint="cs"/>
            <w:color w:val="0000FF"/>
            <w:u w:val="single"/>
            <w:rtl/>
          </w:rPr>
          <w:t>ג</w:t>
        </w:r>
        <w:r w:rsidR="00870889" w:rsidRPr="00870889">
          <w:rPr>
            <w:color w:val="0000FF"/>
            <w:u w:val="single"/>
            <w:rtl/>
          </w:rPr>
          <w:t>(</w:t>
        </w:r>
        <w:r w:rsidR="00870889" w:rsidRPr="00870889">
          <w:rPr>
            <w:rFonts w:hint="cs"/>
            <w:color w:val="0000FF"/>
            <w:u w:val="single"/>
            <w:rtl/>
          </w:rPr>
          <w:t>א</w:t>
        </w:r>
        <w:r w:rsidR="00870889" w:rsidRPr="00870889">
          <w:rPr>
            <w:color w:val="0000FF"/>
            <w:u w:val="single"/>
            <w:rtl/>
          </w:rPr>
          <w:t>)</w:t>
        </w:r>
      </w:hyperlink>
      <w:r w:rsidRPr="009C351E">
        <w:rPr>
          <w:rFonts w:hint="cs"/>
          <w:rtl/>
        </w:rPr>
        <w:t xml:space="preserve"> ל</w:t>
      </w:r>
      <w:hyperlink r:id="rId21" w:history="1">
        <w:r w:rsidR="0009367C" w:rsidRPr="0009367C">
          <w:rPr>
            <w:rStyle w:val="Hyperlink"/>
            <w:rFonts w:hint="cs"/>
            <w:rtl/>
          </w:rPr>
          <w:t>חוק</w:t>
        </w:r>
        <w:r w:rsidR="0009367C" w:rsidRPr="0009367C">
          <w:rPr>
            <w:rStyle w:val="Hyperlink"/>
            <w:rtl/>
          </w:rPr>
          <w:t xml:space="preserve"> </w:t>
        </w:r>
        <w:r w:rsidR="0009367C" w:rsidRPr="0009367C">
          <w:rPr>
            <w:rStyle w:val="Hyperlink"/>
            <w:rFonts w:hint="cs"/>
            <w:rtl/>
          </w:rPr>
          <w:t>העונשין</w:t>
        </w:r>
      </w:hyperlink>
      <w:r w:rsidRPr="009C351E">
        <w:rPr>
          <w:rFonts w:hint="cs"/>
          <w:rtl/>
        </w:rPr>
        <w:t xml:space="preserve">, התשל"ז-1977 (להלן: </w:t>
      </w:r>
      <w:r w:rsidRPr="009C351E">
        <w:rPr>
          <w:rFonts w:hint="cs"/>
          <w:b/>
          <w:bCs/>
          <w:rtl/>
        </w:rPr>
        <w:t>"חוק העונשין"</w:t>
      </w:r>
      <w:r w:rsidRPr="009C351E">
        <w:rPr>
          <w:rFonts w:hint="cs"/>
          <w:rtl/>
        </w:rPr>
        <w:t xml:space="preserve">), ולאחר שנתתי דעתי לערכים המוגנים שנפגעו כתוצאה ממעשיו של הנאשם, למידת הפגיעה בהם ולצורך של בתי המשפט להילחם בנגע הסמים בכלל ובאלו המגדלים סמים בביתם בפרט (ראו למשל: </w:t>
      </w:r>
      <w:hyperlink r:id="rId22" w:history="1">
        <w:r w:rsidR="0009367C" w:rsidRPr="0009367C">
          <w:rPr>
            <w:rStyle w:val="Hyperlink"/>
            <w:rFonts w:hint="cs"/>
            <w:rtl/>
          </w:rPr>
          <w:t>עפ</w:t>
        </w:r>
        <w:r w:rsidR="0009367C" w:rsidRPr="0009367C">
          <w:rPr>
            <w:rStyle w:val="Hyperlink"/>
            <w:rtl/>
          </w:rPr>
          <w:t>"</w:t>
        </w:r>
        <w:r w:rsidR="0009367C" w:rsidRPr="0009367C">
          <w:rPr>
            <w:rStyle w:val="Hyperlink"/>
            <w:rFonts w:hint="cs"/>
            <w:rtl/>
          </w:rPr>
          <w:t>ג</w:t>
        </w:r>
        <w:r w:rsidR="0009367C" w:rsidRPr="0009367C">
          <w:rPr>
            <w:rStyle w:val="Hyperlink"/>
            <w:rtl/>
          </w:rPr>
          <w:t xml:space="preserve"> (</w:t>
        </w:r>
        <w:r w:rsidR="0009367C" w:rsidRPr="0009367C">
          <w:rPr>
            <w:rStyle w:val="Hyperlink"/>
            <w:rFonts w:hint="cs"/>
            <w:rtl/>
          </w:rPr>
          <w:t>מחוזי</w:t>
        </w:r>
        <w:r w:rsidR="0009367C" w:rsidRPr="0009367C">
          <w:rPr>
            <w:rStyle w:val="Hyperlink"/>
            <w:rtl/>
          </w:rPr>
          <w:t xml:space="preserve"> </w:t>
        </w:r>
        <w:r w:rsidR="0009367C" w:rsidRPr="0009367C">
          <w:rPr>
            <w:rStyle w:val="Hyperlink"/>
            <w:rFonts w:hint="cs"/>
            <w:rtl/>
          </w:rPr>
          <w:t>תל</w:t>
        </w:r>
        <w:r w:rsidR="0009367C" w:rsidRPr="0009367C">
          <w:rPr>
            <w:rStyle w:val="Hyperlink"/>
            <w:rtl/>
          </w:rPr>
          <w:t xml:space="preserve"> </w:t>
        </w:r>
        <w:r w:rsidR="0009367C" w:rsidRPr="0009367C">
          <w:rPr>
            <w:rStyle w:val="Hyperlink"/>
            <w:rFonts w:hint="cs"/>
            <w:rtl/>
          </w:rPr>
          <w:t>אביב</w:t>
        </w:r>
        <w:r w:rsidR="0009367C" w:rsidRPr="0009367C">
          <w:rPr>
            <w:rStyle w:val="Hyperlink"/>
            <w:rtl/>
          </w:rPr>
          <w:t xml:space="preserve"> </w:t>
        </w:r>
        <w:r w:rsidR="0009367C" w:rsidRPr="0009367C">
          <w:rPr>
            <w:rStyle w:val="Hyperlink"/>
            <w:rFonts w:hint="cs"/>
            <w:rtl/>
          </w:rPr>
          <w:t>יפו</w:t>
        </w:r>
        <w:r w:rsidR="0009367C" w:rsidRPr="0009367C">
          <w:rPr>
            <w:rStyle w:val="Hyperlink"/>
            <w:rtl/>
          </w:rPr>
          <w:t>) 42358-10-14</w:t>
        </w:r>
      </w:hyperlink>
      <w:r w:rsidRPr="009C351E">
        <w:rPr>
          <w:rFonts w:hint="cs"/>
          <w:rtl/>
        </w:rPr>
        <w:t xml:space="preserve"> </w:t>
      </w:r>
      <w:r w:rsidRPr="009C351E">
        <w:rPr>
          <w:rFonts w:hint="cs"/>
          <w:b/>
          <w:bCs/>
          <w:rtl/>
        </w:rPr>
        <w:t>אבי גיא נ' מדינת ישראל</w:t>
      </w:r>
      <w:r w:rsidRPr="009C351E">
        <w:rPr>
          <w:rFonts w:hint="cs"/>
          <w:rtl/>
        </w:rPr>
        <w:t xml:space="preserve">, (18.02.2015)); לנסיבות הקשורות בביצוע העבירות, </w:t>
      </w:r>
      <w:r w:rsidRPr="009C351E">
        <w:rPr>
          <w:rFonts w:hint="cs"/>
          <w:rtl/>
        </w:rPr>
        <w:lastRenderedPageBreak/>
        <w:t xml:space="preserve">ובכלל זה לכמות השתילים שגידל הנאשם ולמשקלם, ולציוד שהחזיק הנאשם לצורך כך, עת הפך את הדירה ל"מעבדת סם ביתית" של ממש; ולמדיניות הענישה הנוהגת (ראו למשל: </w:t>
      </w:r>
      <w:hyperlink r:id="rId23"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314/16</w:t>
        </w:r>
      </w:hyperlink>
      <w:r w:rsidRPr="009C351E">
        <w:rPr>
          <w:rFonts w:hint="cs"/>
          <w:rtl/>
        </w:rPr>
        <w:t xml:space="preserve"> </w:t>
      </w:r>
      <w:r w:rsidRPr="009C351E">
        <w:rPr>
          <w:rFonts w:hint="cs"/>
          <w:b/>
          <w:bCs/>
          <w:rtl/>
        </w:rPr>
        <w:t>גיא בן צבי נ' מדינת ישראל</w:t>
      </w:r>
      <w:r w:rsidRPr="009C351E">
        <w:rPr>
          <w:rFonts w:hint="cs"/>
          <w:rtl/>
        </w:rPr>
        <w:t xml:space="preserve">, (22.02.2016); </w:t>
      </w:r>
      <w:hyperlink r:id="rId24"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7005/14</w:t>
        </w:r>
      </w:hyperlink>
      <w:r w:rsidRPr="009C351E">
        <w:rPr>
          <w:rFonts w:hint="cs"/>
          <w:rtl/>
        </w:rPr>
        <w:t xml:space="preserve"> ‏</w:t>
      </w:r>
      <w:r w:rsidRPr="009C351E">
        <w:rPr>
          <w:rFonts w:hint="cs"/>
          <w:b/>
          <w:bCs/>
          <w:rtl/>
        </w:rPr>
        <w:t>עידן דגן נגד מדינת ישראל</w:t>
      </w:r>
      <w:r w:rsidRPr="009C351E">
        <w:rPr>
          <w:rFonts w:hint="cs"/>
          <w:rtl/>
        </w:rPr>
        <w:t xml:space="preserve">, (30.11.2014); </w:t>
      </w:r>
      <w:hyperlink r:id="rId25" w:history="1">
        <w:r w:rsidR="0009367C" w:rsidRPr="0009367C">
          <w:rPr>
            <w:rStyle w:val="Hyperlink"/>
            <w:rFonts w:hint="cs"/>
            <w:rtl/>
          </w:rPr>
          <w:t>עפ</w:t>
        </w:r>
        <w:r w:rsidR="0009367C" w:rsidRPr="0009367C">
          <w:rPr>
            <w:rStyle w:val="Hyperlink"/>
            <w:rtl/>
          </w:rPr>
          <w:t>"</w:t>
        </w:r>
        <w:r w:rsidR="0009367C" w:rsidRPr="0009367C">
          <w:rPr>
            <w:rStyle w:val="Hyperlink"/>
            <w:rFonts w:hint="cs"/>
            <w:rtl/>
          </w:rPr>
          <w:t>ג</w:t>
        </w:r>
        <w:r w:rsidR="0009367C" w:rsidRPr="0009367C">
          <w:rPr>
            <w:rStyle w:val="Hyperlink"/>
            <w:rtl/>
          </w:rPr>
          <w:t xml:space="preserve"> (</w:t>
        </w:r>
        <w:r w:rsidR="0009367C" w:rsidRPr="0009367C">
          <w:rPr>
            <w:rStyle w:val="Hyperlink"/>
            <w:rFonts w:hint="cs"/>
            <w:rtl/>
          </w:rPr>
          <w:t>מחוזי</w:t>
        </w:r>
        <w:r w:rsidR="0009367C" w:rsidRPr="0009367C">
          <w:rPr>
            <w:rStyle w:val="Hyperlink"/>
            <w:rtl/>
          </w:rPr>
          <w:t xml:space="preserve"> </w:t>
        </w:r>
        <w:r w:rsidR="0009367C" w:rsidRPr="0009367C">
          <w:rPr>
            <w:rStyle w:val="Hyperlink"/>
            <w:rFonts w:hint="cs"/>
            <w:rtl/>
          </w:rPr>
          <w:t>ירושלים</w:t>
        </w:r>
        <w:r w:rsidR="0009367C" w:rsidRPr="0009367C">
          <w:rPr>
            <w:rStyle w:val="Hyperlink"/>
            <w:rtl/>
          </w:rPr>
          <w:t>) 56662-05-16</w:t>
        </w:r>
      </w:hyperlink>
      <w:r w:rsidRPr="009C351E">
        <w:rPr>
          <w:rFonts w:hint="cs"/>
          <w:rtl/>
        </w:rPr>
        <w:t xml:space="preserve"> </w:t>
      </w:r>
      <w:r w:rsidRPr="009C351E">
        <w:rPr>
          <w:rFonts w:hint="cs"/>
          <w:b/>
          <w:bCs/>
          <w:rtl/>
        </w:rPr>
        <w:t>ישראל מאיר ששון בוקעי נ' מדינת ישראל</w:t>
      </w:r>
      <w:r w:rsidRPr="009C351E">
        <w:rPr>
          <w:rFonts w:hint="cs"/>
          <w:rtl/>
        </w:rPr>
        <w:t xml:space="preserve">, (09.05.2017); </w:t>
      </w:r>
      <w:hyperlink r:id="rId26" w:history="1">
        <w:r w:rsidR="0009367C" w:rsidRPr="0009367C">
          <w:rPr>
            <w:rStyle w:val="Hyperlink"/>
            <w:rFonts w:hint="cs"/>
            <w:rtl/>
          </w:rPr>
          <w:t>עפ</w:t>
        </w:r>
        <w:r w:rsidR="0009367C" w:rsidRPr="0009367C">
          <w:rPr>
            <w:rStyle w:val="Hyperlink"/>
            <w:rtl/>
          </w:rPr>
          <w:t>"</w:t>
        </w:r>
        <w:r w:rsidR="0009367C" w:rsidRPr="0009367C">
          <w:rPr>
            <w:rStyle w:val="Hyperlink"/>
            <w:rFonts w:hint="cs"/>
            <w:rtl/>
          </w:rPr>
          <w:t>ג</w:t>
        </w:r>
        <w:r w:rsidR="0009367C" w:rsidRPr="0009367C">
          <w:rPr>
            <w:rStyle w:val="Hyperlink"/>
            <w:rtl/>
          </w:rPr>
          <w:t xml:space="preserve"> (</w:t>
        </w:r>
        <w:r w:rsidR="0009367C" w:rsidRPr="0009367C">
          <w:rPr>
            <w:rStyle w:val="Hyperlink"/>
            <w:rFonts w:hint="cs"/>
            <w:rtl/>
          </w:rPr>
          <w:t>מחוזי</w:t>
        </w:r>
        <w:r w:rsidR="0009367C" w:rsidRPr="0009367C">
          <w:rPr>
            <w:rStyle w:val="Hyperlink"/>
            <w:rtl/>
          </w:rPr>
          <w:t xml:space="preserve"> </w:t>
        </w:r>
        <w:r w:rsidR="0009367C" w:rsidRPr="0009367C">
          <w:rPr>
            <w:rStyle w:val="Hyperlink"/>
            <w:rFonts w:hint="cs"/>
            <w:rtl/>
          </w:rPr>
          <w:t>מרכז</w:t>
        </w:r>
        <w:r w:rsidR="0009367C" w:rsidRPr="0009367C">
          <w:rPr>
            <w:rStyle w:val="Hyperlink"/>
            <w:rtl/>
          </w:rPr>
          <w:t>) 8650-04-15</w:t>
        </w:r>
      </w:hyperlink>
      <w:r w:rsidRPr="009C351E">
        <w:rPr>
          <w:rFonts w:hint="cs"/>
          <w:rtl/>
        </w:rPr>
        <w:t xml:space="preserve"> </w:t>
      </w:r>
      <w:r w:rsidRPr="009C351E">
        <w:rPr>
          <w:rFonts w:hint="cs"/>
          <w:b/>
          <w:bCs/>
          <w:rtl/>
        </w:rPr>
        <w:t>שמעון שורץ נגד מדינת ישראל</w:t>
      </w:r>
      <w:r w:rsidRPr="009C351E">
        <w:rPr>
          <w:rFonts w:hint="cs"/>
          <w:rtl/>
        </w:rPr>
        <w:t xml:space="preserve">, (22.12.2015); </w:t>
      </w:r>
      <w:hyperlink r:id="rId27" w:history="1">
        <w:r w:rsidR="0009367C" w:rsidRPr="0009367C">
          <w:rPr>
            <w:rStyle w:val="Hyperlink"/>
            <w:rFonts w:hint="cs"/>
            <w:rtl/>
          </w:rPr>
          <w:t>עפ</w:t>
        </w:r>
        <w:r w:rsidR="0009367C" w:rsidRPr="0009367C">
          <w:rPr>
            <w:rStyle w:val="Hyperlink"/>
            <w:rtl/>
          </w:rPr>
          <w:t>"</w:t>
        </w:r>
        <w:r w:rsidR="0009367C" w:rsidRPr="0009367C">
          <w:rPr>
            <w:rStyle w:val="Hyperlink"/>
            <w:rFonts w:hint="cs"/>
            <w:rtl/>
          </w:rPr>
          <w:t>ג</w:t>
        </w:r>
        <w:r w:rsidR="0009367C" w:rsidRPr="0009367C">
          <w:rPr>
            <w:rStyle w:val="Hyperlink"/>
            <w:rtl/>
          </w:rPr>
          <w:t xml:space="preserve"> (</w:t>
        </w:r>
        <w:r w:rsidR="0009367C" w:rsidRPr="0009367C">
          <w:rPr>
            <w:rStyle w:val="Hyperlink"/>
            <w:rFonts w:hint="cs"/>
            <w:rtl/>
          </w:rPr>
          <w:t>מחוזי</w:t>
        </w:r>
        <w:r w:rsidR="0009367C" w:rsidRPr="0009367C">
          <w:rPr>
            <w:rStyle w:val="Hyperlink"/>
            <w:rtl/>
          </w:rPr>
          <w:t xml:space="preserve"> </w:t>
        </w:r>
        <w:r w:rsidR="0009367C" w:rsidRPr="0009367C">
          <w:rPr>
            <w:rStyle w:val="Hyperlink"/>
            <w:rFonts w:hint="cs"/>
            <w:rtl/>
          </w:rPr>
          <w:t>באר</w:t>
        </w:r>
        <w:r w:rsidR="0009367C" w:rsidRPr="0009367C">
          <w:rPr>
            <w:rStyle w:val="Hyperlink"/>
            <w:rtl/>
          </w:rPr>
          <w:t xml:space="preserve"> </w:t>
        </w:r>
        <w:r w:rsidR="0009367C" w:rsidRPr="0009367C">
          <w:rPr>
            <w:rStyle w:val="Hyperlink"/>
            <w:rFonts w:hint="cs"/>
            <w:rtl/>
          </w:rPr>
          <w:t>שבע</w:t>
        </w:r>
        <w:r w:rsidR="0009367C" w:rsidRPr="0009367C">
          <w:rPr>
            <w:rStyle w:val="Hyperlink"/>
            <w:rtl/>
          </w:rPr>
          <w:t>) 13901-11-15</w:t>
        </w:r>
      </w:hyperlink>
      <w:r w:rsidRPr="009C351E">
        <w:rPr>
          <w:rFonts w:hint="cs"/>
          <w:rtl/>
        </w:rPr>
        <w:t xml:space="preserve"> </w:t>
      </w:r>
      <w:r w:rsidRPr="009C351E">
        <w:rPr>
          <w:rFonts w:hint="cs"/>
          <w:b/>
          <w:bCs/>
          <w:rtl/>
        </w:rPr>
        <w:t>עזרא נ' מדינת ישראל</w:t>
      </w:r>
      <w:r w:rsidRPr="009C351E">
        <w:rPr>
          <w:rFonts w:hint="cs"/>
          <w:rtl/>
        </w:rPr>
        <w:t>, (09.12.2015)); מצאתי כי מתחם העונש המוסכם על הצדדים הינו סביר בנסיבות העניין ועל כן אכבדו.</w:t>
      </w:r>
    </w:p>
    <w:p w14:paraId="19CF5924" w14:textId="77777777" w:rsidR="00065231" w:rsidRPr="009C351E" w:rsidRDefault="00065231" w:rsidP="00065231">
      <w:pPr>
        <w:pStyle w:val="ListParagraph"/>
        <w:ind w:left="-166" w:firstLine="0"/>
      </w:pPr>
      <w:r w:rsidRPr="009C351E">
        <w:rPr>
          <w:rFonts w:hint="cs"/>
          <w:b/>
          <w:bCs/>
          <w:rtl/>
        </w:rPr>
        <w:t>אשר על כן, הריני קובעת כי מתחם העונש ההולם ינוע במקרה הנדון בין 6 ל- 24 חודשי מאסר</w:t>
      </w:r>
      <w:r w:rsidRPr="009C351E">
        <w:rPr>
          <w:rFonts w:hint="cs"/>
          <w:rtl/>
        </w:rPr>
        <w:t xml:space="preserve">. </w:t>
      </w:r>
    </w:p>
    <w:p w14:paraId="429B6CBB" w14:textId="77777777" w:rsidR="00065231" w:rsidRPr="009C351E" w:rsidRDefault="00065231" w:rsidP="00065231">
      <w:pPr>
        <w:pStyle w:val="ListParagraph"/>
        <w:numPr>
          <w:ilvl w:val="0"/>
          <w:numId w:val="2"/>
        </w:numPr>
        <w:ind w:left="-166"/>
      </w:pPr>
      <w:r w:rsidRPr="009C351E">
        <w:rPr>
          <w:rFonts w:hint="cs"/>
          <w:rtl/>
        </w:rPr>
        <w:t xml:space="preserve">בשולי נקודה זו, אתייחס למחלוקת שנפלה בין הצדדים בשאלה אם יש לראות בשתילי הסם שנמצאו בדירה ככאלה שגודלו לצריכתו העצמית של הנאשם אם לאו. אכן, צודקת הסנגורית בטענתה לפיה מקום בו אין בכתב האישום אינדיקציה לכך שהנאשם גידל את הסמים שלא לצריכתו העצמית, כי אז יש לילך בדרך המקלה עם הנאשם, ולראות בו כמי שגידלם לצריכתו העצמית בלבד. דא עקא, במקרה הנדון ייתכן שדווקא יש בכתב האישום המתוקן אינדיקציה לדברים. שכן, הנאשם הודה בכך שלצורך גידול הסמים הוא החזיק בכלים, ואילו כלים אלה – כך כאמור בסעיפי האישום שבהם הנאשם הודה – הוחזקו לצורך הכנת סם </w:t>
      </w:r>
      <w:r w:rsidRPr="009C351E">
        <w:rPr>
          <w:rFonts w:hint="cs"/>
          <w:b/>
          <w:bCs/>
          <w:rtl/>
        </w:rPr>
        <w:t>שלא לצריכה עצמית</w:t>
      </w:r>
      <w:r w:rsidRPr="009C351E">
        <w:rPr>
          <w:rFonts w:hint="cs"/>
          <w:rtl/>
        </w:rPr>
        <w:t>. ואולם, כך או כך, הסיבה לגידול הסם היא בבחינת נסיבה הקשורה בביצוע העבירה, וככזו היא צריכה להישקל לצורך קביעת מתחם העונש ההולם – אלא שבמקרה הנדון, כאמור, מתחם העונש ההולם כלל אינו נתון במחלוקת.</w:t>
      </w:r>
    </w:p>
    <w:p w14:paraId="5FA713AE" w14:textId="77777777" w:rsidR="00065231" w:rsidRPr="009C351E" w:rsidRDefault="00065231" w:rsidP="00065231">
      <w:pPr>
        <w:pStyle w:val="1"/>
        <w:numPr>
          <w:ilvl w:val="0"/>
          <w:numId w:val="1"/>
        </w:numPr>
        <w:spacing w:line="360" w:lineRule="auto"/>
        <w:ind w:left="252"/>
        <w:jc w:val="both"/>
        <w:rPr>
          <w:rFonts w:cs="David"/>
          <w:b/>
          <w:bCs/>
          <w:color w:val="auto"/>
        </w:rPr>
      </w:pPr>
      <w:r w:rsidRPr="009C351E">
        <w:rPr>
          <w:rFonts w:cs="David" w:hint="cs"/>
          <w:b/>
          <w:bCs/>
          <w:color w:val="auto"/>
          <w:rtl/>
        </w:rPr>
        <w:t>שאלת ההרשעה</w:t>
      </w:r>
    </w:p>
    <w:p w14:paraId="27AADA92" w14:textId="77777777" w:rsidR="00065231" w:rsidRPr="009C351E" w:rsidRDefault="00065231" w:rsidP="00065231">
      <w:pPr>
        <w:pStyle w:val="ListParagraph"/>
        <w:numPr>
          <w:ilvl w:val="0"/>
          <w:numId w:val="2"/>
        </w:numPr>
        <w:ind w:left="-166"/>
      </w:pPr>
      <w:r w:rsidRPr="009C351E">
        <w:rPr>
          <w:rFonts w:hint="cs"/>
          <w:rtl/>
        </w:rPr>
        <w:t>על פי ההלכה הפסוקה, אשר לא שונתה בעקבות תיקון 113 ל</w:t>
      </w:r>
      <w:hyperlink r:id="rId28" w:history="1">
        <w:r w:rsidR="0009367C" w:rsidRPr="0009367C">
          <w:rPr>
            <w:rStyle w:val="Hyperlink"/>
            <w:rFonts w:hint="cs"/>
            <w:rtl/>
          </w:rPr>
          <w:t>חוק</w:t>
        </w:r>
        <w:r w:rsidR="0009367C" w:rsidRPr="0009367C">
          <w:rPr>
            <w:rStyle w:val="Hyperlink"/>
            <w:rtl/>
          </w:rPr>
          <w:t xml:space="preserve"> </w:t>
        </w:r>
        <w:r w:rsidR="0009367C" w:rsidRPr="0009367C">
          <w:rPr>
            <w:rStyle w:val="Hyperlink"/>
            <w:rFonts w:hint="cs"/>
            <w:rtl/>
          </w:rPr>
          <w:t>העונשין</w:t>
        </w:r>
      </w:hyperlink>
      <w:r w:rsidRPr="009C351E">
        <w:rPr>
          <w:rFonts w:hint="cs"/>
          <w:rtl/>
        </w:rPr>
        <w:t xml:space="preserve">, משהוכח ביצועה של עבירה יש להרשיע את הנאשם, וסיום ההליך המשפטי ללא הרשעה ייעשה רק במקרים חריגים שבחריגים, בהם היחס שבין חומרת העבירה לבין הנזק הצפוי לנאשם מן ההרשעה, אינו סביר (ראו בעניין זה, למשל, </w:t>
      </w:r>
      <w:hyperlink r:id="rId29"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11476/04</w:t>
        </w:r>
      </w:hyperlink>
      <w:r w:rsidRPr="009C351E">
        <w:rPr>
          <w:rFonts w:hint="cs"/>
          <w:rtl/>
        </w:rPr>
        <w:t xml:space="preserve"> </w:t>
      </w:r>
      <w:r w:rsidRPr="009C351E">
        <w:rPr>
          <w:rFonts w:hint="cs"/>
          <w:b/>
          <w:bCs/>
          <w:rtl/>
        </w:rPr>
        <w:t>מדינת ישראל נ' חברת השקעות דיסקונט בע"מ</w:t>
      </w:r>
      <w:r w:rsidRPr="009C351E">
        <w:rPr>
          <w:rFonts w:hint="cs"/>
          <w:rtl/>
        </w:rPr>
        <w:t xml:space="preserve">, (14.04.2010); </w:t>
      </w:r>
      <w:hyperlink r:id="rId30"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5100/14</w:t>
        </w:r>
      </w:hyperlink>
      <w:r w:rsidRPr="009C351E">
        <w:rPr>
          <w:rFonts w:hint="cs"/>
          <w:rtl/>
        </w:rPr>
        <w:t xml:space="preserve"> </w:t>
      </w:r>
      <w:r w:rsidRPr="009C351E">
        <w:rPr>
          <w:rFonts w:hint="cs"/>
          <w:b/>
          <w:bCs/>
          <w:rtl/>
        </w:rPr>
        <w:t>מסארווה נ' מדינת ישראל</w:t>
      </w:r>
      <w:r w:rsidRPr="009C351E">
        <w:rPr>
          <w:rFonts w:hint="cs"/>
          <w:rtl/>
        </w:rPr>
        <w:t xml:space="preserve">, (28.07.2014); </w:t>
      </w:r>
      <w:r w:rsidRPr="009C351E">
        <w:rPr>
          <w:rFonts w:hint="cs"/>
          <w:u w:val="single"/>
          <w:rtl/>
        </w:rPr>
        <w:t>ו</w:t>
      </w:r>
      <w:hyperlink r:id="rId31"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7224/14</w:t>
        </w:r>
      </w:hyperlink>
      <w:r w:rsidRPr="009C351E">
        <w:rPr>
          <w:rFonts w:hint="cs"/>
          <w:rtl/>
        </w:rPr>
        <w:t xml:space="preserve"> </w:t>
      </w:r>
      <w:r w:rsidRPr="009C351E">
        <w:rPr>
          <w:rFonts w:hint="cs"/>
          <w:b/>
          <w:bCs/>
          <w:rtl/>
        </w:rPr>
        <w:t>פרנסקי נ' מדינת ישראל</w:t>
      </w:r>
      <w:r w:rsidRPr="009C351E">
        <w:rPr>
          <w:rFonts w:hint="cs"/>
          <w:rtl/>
        </w:rPr>
        <w:t xml:space="preserve">, (10.11.2014)).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32"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2083/96 </w:t>
        </w:r>
        <w:r w:rsidR="0009367C" w:rsidRPr="0009367C">
          <w:rPr>
            <w:rStyle w:val="Hyperlink"/>
            <w:rFonts w:hint="cs"/>
            <w:rtl/>
          </w:rPr>
          <w:t>תמר</w:t>
        </w:r>
        <w:r w:rsidR="0009367C" w:rsidRPr="0009367C">
          <w:rPr>
            <w:rStyle w:val="Hyperlink"/>
            <w:rtl/>
          </w:rPr>
          <w:t xml:space="preserve"> </w:t>
        </w:r>
        <w:r w:rsidR="0009367C" w:rsidRPr="0009367C">
          <w:rPr>
            <w:rStyle w:val="Hyperlink"/>
            <w:rFonts w:hint="cs"/>
            <w:rtl/>
          </w:rPr>
          <w:t>כתב</w:t>
        </w:r>
        <w:r w:rsidR="0009367C" w:rsidRPr="0009367C">
          <w:rPr>
            <w:rStyle w:val="Hyperlink"/>
            <w:rtl/>
          </w:rPr>
          <w:t xml:space="preserve"> </w:t>
        </w:r>
        <w:r w:rsidR="0009367C" w:rsidRPr="0009367C">
          <w:rPr>
            <w:rStyle w:val="Hyperlink"/>
            <w:rFonts w:hint="cs"/>
            <w:rtl/>
          </w:rPr>
          <w:t>נ</w:t>
        </w:r>
        <w:r w:rsidR="0009367C" w:rsidRPr="0009367C">
          <w:rPr>
            <w:rStyle w:val="Hyperlink"/>
            <w:rtl/>
          </w:rPr>
          <w:t xml:space="preserve">' </w:t>
        </w:r>
        <w:r w:rsidR="0009367C" w:rsidRPr="0009367C">
          <w:rPr>
            <w:rStyle w:val="Hyperlink"/>
            <w:rFonts w:hint="cs"/>
            <w:rtl/>
          </w:rPr>
          <w:t>מדינת</w:t>
        </w:r>
        <w:r w:rsidR="0009367C" w:rsidRPr="0009367C">
          <w:rPr>
            <w:rStyle w:val="Hyperlink"/>
            <w:rtl/>
          </w:rPr>
          <w:t xml:space="preserve"> </w:t>
        </w:r>
        <w:r w:rsidR="0009367C" w:rsidRPr="0009367C">
          <w:rPr>
            <w:rStyle w:val="Hyperlink"/>
            <w:rFonts w:hint="cs"/>
            <w:rtl/>
          </w:rPr>
          <w:t>ישראל</w:t>
        </w:r>
        <w:r w:rsidR="0009367C" w:rsidRPr="0009367C">
          <w:rPr>
            <w:rStyle w:val="Hyperlink"/>
            <w:rtl/>
          </w:rPr>
          <w:t xml:space="preserve">, </w:t>
        </w:r>
        <w:r w:rsidR="0009367C" w:rsidRPr="0009367C">
          <w:rPr>
            <w:rStyle w:val="Hyperlink"/>
            <w:rFonts w:hint="cs"/>
            <w:rtl/>
          </w:rPr>
          <w:t>פ</w:t>
        </w:r>
        <w:r w:rsidR="0009367C" w:rsidRPr="0009367C">
          <w:rPr>
            <w:rStyle w:val="Hyperlink"/>
            <w:rtl/>
          </w:rPr>
          <w:t>"</w:t>
        </w:r>
        <w:r w:rsidR="0009367C" w:rsidRPr="0009367C">
          <w:rPr>
            <w:rStyle w:val="Hyperlink"/>
            <w:rFonts w:hint="cs"/>
            <w:rtl/>
          </w:rPr>
          <w:t>ד</w:t>
        </w:r>
        <w:r w:rsidR="0009367C" w:rsidRPr="0009367C">
          <w:rPr>
            <w:rStyle w:val="Hyperlink"/>
            <w:rtl/>
          </w:rPr>
          <w:t xml:space="preserve"> </w:t>
        </w:r>
        <w:r w:rsidR="0009367C" w:rsidRPr="0009367C">
          <w:rPr>
            <w:rStyle w:val="Hyperlink"/>
            <w:rFonts w:hint="cs"/>
            <w:rtl/>
          </w:rPr>
          <w:t>נב</w:t>
        </w:r>
      </w:hyperlink>
      <w:r w:rsidRPr="009C351E">
        <w:rPr>
          <w:rFonts w:hint="cs"/>
          <w:rtl/>
        </w:rPr>
        <w:t xml:space="preserve">(3) 337 (1997) (להלן: </w:t>
      </w:r>
      <w:r w:rsidRPr="009C351E">
        <w:rPr>
          <w:rFonts w:hint="cs"/>
          <w:b/>
          <w:bCs/>
          <w:rtl/>
        </w:rPr>
        <w:t>"פרשת כתב"</w:t>
      </w:r>
      <w:r w:rsidRPr="009C351E">
        <w:rPr>
          <w:rFonts w:hint="cs"/>
          <w:rtl/>
        </w:rPr>
        <w:t xml:space="preserve">) </w:t>
      </w:r>
      <w:r w:rsidRPr="009C351E">
        <w:rPr>
          <w:rFonts w:hint="cs"/>
          <w:u w:val="single"/>
          <w:rtl/>
        </w:rPr>
        <w:t>ו</w:t>
      </w:r>
      <w:hyperlink r:id="rId33"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2513/96 </w:t>
        </w:r>
        <w:r w:rsidR="0009367C" w:rsidRPr="0009367C">
          <w:rPr>
            <w:rStyle w:val="Hyperlink"/>
            <w:rFonts w:hint="cs"/>
            <w:rtl/>
          </w:rPr>
          <w:t>מדינת</w:t>
        </w:r>
        <w:r w:rsidR="0009367C" w:rsidRPr="0009367C">
          <w:rPr>
            <w:rStyle w:val="Hyperlink"/>
            <w:rtl/>
          </w:rPr>
          <w:t xml:space="preserve"> </w:t>
        </w:r>
        <w:r w:rsidR="0009367C" w:rsidRPr="0009367C">
          <w:rPr>
            <w:rStyle w:val="Hyperlink"/>
            <w:rFonts w:hint="cs"/>
            <w:rtl/>
          </w:rPr>
          <w:t>ישראל</w:t>
        </w:r>
        <w:r w:rsidR="0009367C" w:rsidRPr="0009367C">
          <w:rPr>
            <w:rStyle w:val="Hyperlink"/>
            <w:rtl/>
          </w:rPr>
          <w:t xml:space="preserve"> </w:t>
        </w:r>
        <w:r w:rsidR="0009367C" w:rsidRPr="0009367C">
          <w:rPr>
            <w:rStyle w:val="Hyperlink"/>
            <w:rFonts w:hint="cs"/>
            <w:rtl/>
          </w:rPr>
          <w:t>נ</w:t>
        </w:r>
        <w:r w:rsidR="0009367C" w:rsidRPr="0009367C">
          <w:rPr>
            <w:rStyle w:val="Hyperlink"/>
            <w:rtl/>
          </w:rPr>
          <w:t xml:space="preserve">' </w:t>
        </w:r>
        <w:r w:rsidR="0009367C" w:rsidRPr="0009367C">
          <w:rPr>
            <w:rStyle w:val="Hyperlink"/>
            <w:rFonts w:hint="cs"/>
            <w:rtl/>
          </w:rPr>
          <w:t>ויקטור</w:t>
        </w:r>
        <w:r w:rsidR="0009367C" w:rsidRPr="0009367C">
          <w:rPr>
            <w:rStyle w:val="Hyperlink"/>
            <w:rtl/>
          </w:rPr>
          <w:t xml:space="preserve"> </w:t>
        </w:r>
        <w:r w:rsidR="0009367C" w:rsidRPr="0009367C">
          <w:rPr>
            <w:rStyle w:val="Hyperlink"/>
            <w:rFonts w:hint="cs"/>
            <w:rtl/>
          </w:rPr>
          <w:t>שמש</w:t>
        </w:r>
        <w:r w:rsidR="0009367C" w:rsidRPr="0009367C">
          <w:rPr>
            <w:rStyle w:val="Hyperlink"/>
            <w:rtl/>
          </w:rPr>
          <w:t xml:space="preserve">, </w:t>
        </w:r>
        <w:r w:rsidR="0009367C" w:rsidRPr="0009367C">
          <w:rPr>
            <w:rStyle w:val="Hyperlink"/>
            <w:rFonts w:hint="cs"/>
            <w:rtl/>
          </w:rPr>
          <w:t>פ</w:t>
        </w:r>
        <w:r w:rsidR="0009367C" w:rsidRPr="0009367C">
          <w:rPr>
            <w:rStyle w:val="Hyperlink"/>
            <w:rtl/>
          </w:rPr>
          <w:t>"</w:t>
        </w:r>
        <w:r w:rsidR="0009367C" w:rsidRPr="0009367C">
          <w:rPr>
            <w:rStyle w:val="Hyperlink"/>
            <w:rFonts w:hint="cs"/>
            <w:rtl/>
          </w:rPr>
          <w:t>ד</w:t>
        </w:r>
        <w:r w:rsidR="0009367C" w:rsidRPr="0009367C">
          <w:rPr>
            <w:rStyle w:val="Hyperlink"/>
            <w:rtl/>
          </w:rPr>
          <w:t xml:space="preserve"> </w:t>
        </w:r>
        <w:r w:rsidR="0009367C" w:rsidRPr="0009367C">
          <w:rPr>
            <w:rStyle w:val="Hyperlink"/>
            <w:rFonts w:hint="cs"/>
            <w:rtl/>
          </w:rPr>
          <w:t>נ</w:t>
        </w:r>
      </w:hyperlink>
      <w:r w:rsidRPr="009C351E">
        <w:rPr>
          <w:rFonts w:hint="cs"/>
          <w:rtl/>
        </w:rPr>
        <w:t>(3) 682 (1996)).</w:t>
      </w:r>
    </w:p>
    <w:p w14:paraId="608FDD24" w14:textId="77777777" w:rsidR="00065231" w:rsidRPr="009C351E" w:rsidRDefault="00065231" w:rsidP="00065231">
      <w:pPr>
        <w:pStyle w:val="ListParagraph"/>
        <w:ind w:left="-166" w:firstLine="0"/>
      </w:pPr>
      <w:r w:rsidRPr="009C351E">
        <w:rPr>
          <w:rFonts w:hint="cs"/>
          <w:rtl/>
        </w:rPr>
        <w:t xml:space="preserve">כן ראו את מבחני העזר בעניין זה, כפי שעמד עליהם כב' השופט ש' לוין בפרשת כתב ואת פסיקתו של בית המשפט העליון </w:t>
      </w:r>
      <w:r w:rsidRPr="009C351E">
        <w:rPr>
          <w:rFonts w:hint="cs"/>
          <w:u w:val="single"/>
          <w:rtl/>
        </w:rPr>
        <w:t>ב</w:t>
      </w:r>
      <w:hyperlink r:id="rId34"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2669/00 </w:t>
        </w:r>
        <w:r w:rsidR="0009367C" w:rsidRPr="0009367C">
          <w:rPr>
            <w:rStyle w:val="Hyperlink"/>
            <w:rFonts w:hint="cs"/>
            <w:rtl/>
          </w:rPr>
          <w:t>מדינת</w:t>
        </w:r>
        <w:r w:rsidR="0009367C" w:rsidRPr="0009367C">
          <w:rPr>
            <w:rStyle w:val="Hyperlink"/>
            <w:rtl/>
          </w:rPr>
          <w:t xml:space="preserve"> </w:t>
        </w:r>
        <w:r w:rsidR="0009367C" w:rsidRPr="0009367C">
          <w:rPr>
            <w:rStyle w:val="Hyperlink"/>
            <w:rFonts w:hint="cs"/>
            <w:rtl/>
          </w:rPr>
          <w:t>ישראל</w:t>
        </w:r>
        <w:r w:rsidR="0009367C" w:rsidRPr="0009367C">
          <w:rPr>
            <w:rStyle w:val="Hyperlink"/>
            <w:rtl/>
          </w:rPr>
          <w:t xml:space="preserve"> </w:t>
        </w:r>
        <w:r w:rsidR="0009367C" w:rsidRPr="0009367C">
          <w:rPr>
            <w:rStyle w:val="Hyperlink"/>
            <w:rFonts w:hint="cs"/>
            <w:rtl/>
          </w:rPr>
          <w:t>נ</w:t>
        </w:r>
        <w:r w:rsidR="0009367C" w:rsidRPr="0009367C">
          <w:rPr>
            <w:rStyle w:val="Hyperlink"/>
            <w:rtl/>
          </w:rPr>
          <w:t xml:space="preserve">' </w:t>
        </w:r>
        <w:r w:rsidR="0009367C" w:rsidRPr="0009367C">
          <w:rPr>
            <w:rStyle w:val="Hyperlink"/>
            <w:rFonts w:hint="cs"/>
            <w:rtl/>
          </w:rPr>
          <w:t>פלוני</w:t>
        </w:r>
        <w:r w:rsidR="0009367C" w:rsidRPr="0009367C">
          <w:rPr>
            <w:rStyle w:val="Hyperlink"/>
            <w:rtl/>
          </w:rPr>
          <w:t xml:space="preserve">, </w:t>
        </w:r>
        <w:r w:rsidR="0009367C" w:rsidRPr="0009367C">
          <w:rPr>
            <w:rStyle w:val="Hyperlink"/>
            <w:rFonts w:hint="cs"/>
            <w:rtl/>
          </w:rPr>
          <w:t>פ</w:t>
        </w:r>
        <w:r w:rsidR="0009367C" w:rsidRPr="0009367C">
          <w:rPr>
            <w:rStyle w:val="Hyperlink"/>
            <w:rtl/>
          </w:rPr>
          <w:t>"</w:t>
        </w:r>
        <w:r w:rsidR="0009367C" w:rsidRPr="0009367C">
          <w:rPr>
            <w:rStyle w:val="Hyperlink"/>
            <w:rFonts w:hint="cs"/>
            <w:rtl/>
          </w:rPr>
          <w:t>ד</w:t>
        </w:r>
        <w:r w:rsidR="0009367C" w:rsidRPr="0009367C">
          <w:rPr>
            <w:rStyle w:val="Hyperlink"/>
            <w:rtl/>
          </w:rPr>
          <w:t xml:space="preserve"> </w:t>
        </w:r>
        <w:r w:rsidR="0009367C" w:rsidRPr="0009367C">
          <w:rPr>
            <w:rStyle w:val="Hyperlink"/>
            <w:rFonts w:hint="cs"/>
            <w:rtl/>
          </w:rPr>
          <w:t>נד</w:t>
        </w:r>
      </w:hyperlink>
      <w:r w:rsidRPr="009C351E">
        <w:rPr>
          <w:rFonts w:hint="cs"/>
          <w:rtl/>
        </w:rPr>
        <w:t>(3) 685, 690 (2000).</w:t>
      </w:r>
    </w:p>
    <w:p w14:paraId="0A23A092" w14:textId="77777777" w:rsidR="00065231" w:rsidRPr="009C351E" w:rsidRDefault="00065231" w:rsidP="00065231">
      <w:pPr>
        <w:pStyle w:val="ListParagraph"/>
        <w:numPr>
          <w:ilvl w:val="0"/>
          <w:numId w:val="2"/>
        </w:numPr>
        <w:ind w:left="-166"/>
      </w:pPr>
      <w:r w:rsidRPr="009C351E">
        <w:rPr>
          <w:rFonts w:hint="cs"/>
          <w:rtl/>
        </w:rPr>
        <w:t xml:space="preserve">לאחר ששמעתי את טיעוני הצדדים ועיינתי בתסקירי שירות המבחן אשר הוגשו בעניינו של הנאשם, שוכנעתי כי מקרה זה </w:t>
      </w:r>
      <w:r w:rsidRPr="009C351E">
        <w:rPr>
          <w:rFonts w:hint="cs"/>
          <w:b/>
          <w:bCs/>
          <w:rtl/>
        </w:rPr>
        <w:t>אינו</w:t>
      </w:r>
      <w:r w:rsidRPr="009C351E">
        <w:rPr>
          <w:rFonts w:hint="cs"/>
          <w:rtl/>
        </w:rPr>
        <w:t xml:space="preserve"> נמנה בגדר אותם מקרים חריגים עליהם מדברת </w:t>
      </w:r>
      <w:r w:rsidRPr="009C351E">
        <w:rPr>
          <w:rFonts w:hint="cs"/>
          <w:b/>
          <w:bCs/>
          <w:rtl/>
        </w:rPr>
        <w:t>הלכת כתב</w:t>
      </w:r>
      <w:r w:rsidRPr="009C351E">
        <w:rPr>
          <w:rFonts w:hint="cs"/>
          <w:rtl/>
        </w:rPr>
        <w:t xml:space="preserve"> כמצדיקים סטייה מן הכלל, לפיו נאשם שעבר עבירה יורשע בדינו. </w:t>
      </w:r>
      <w:r w:rsidRPr="009C351E">
        <w:rPr>
          <w:rFonts w:hint="cs"/>
          <w:b/>
          <w:bCs/>
          <w:rtl/>
        </w:rPr>
        <w:t>לא</w:t>
      </w:r>
      <w:r w:rsidRPr="009C351E">
        <w:rPr>
          <w:rFonts w:hint="cs"/>
          <w:rtl/>
        </w:rPr>
        <w:t xml:space="preserve"> מצאתי כי עניינו של הנאשם נופל לגדר אותם "חריגים שבחריגים" וכי מתקיימות בו אותן נסיבות מיוחדות המצדיקות הימנעות מהרשעתו. למסקנתי זו הגעתי ממספר טעמים, שאפרטם להלן.</w:t>
      </w:r>
    </w:p>
    <w:p w14:paraId="13D3C97F" w14:textId="77777777" w:rsidR="00065231" w:rsidRPr="009C351E" w:rsidRDefault="00065231" w:rsidP="00065231">
      <w:pPr>
        <w:pStyle w:val="ListParagraph"/>
        <w:numPr>
          <w:ilvl w:val="0"/>
          <w:numId w:val="2"/>
        </w:numPr>
        <w:ind w:left="-166"/>
      </w:pPr>
      <w:r w:rsidRPr="009C351E">
        <w:rPr>
          <w:rFonts w:hint="cs"/>
          <w:rtl/>
        </w:rPr>
        <w:t xml:space="preserve">ראשית, </w:t>
      </w:r>
      <w:r w:rsidRPr="009C351E">
        <w:rPr>
          <w:rFonts w:eastAsia="Times New Roman" w:hint="cs"/>
          <w:rtl/>
        </w:rPr>
        <w:t>הנאשם לא הוכיח ברמת ההוכחה הנדרשת כי הרשעה תפגע, לא כל שכן פגיעה חמורה, בתעסוקתו או בשיקומו</w:t>
      </w:r>
      <w:r w:rsidRPr="009C351E">
        <w:rPr>
          <w:rFonts w:hint="cs"/>
          <w:rtl/>
        </w:rPr>
        <w:t>. כפי העולה מהמסמכים שהוגשו על ידי ההגנה, הנאשם עובד בחברת "על-בד". בפרט, במכתבה של גב' מלול, רכזת משאבי אנוש בחברה, צוין כי העבודה בחברה "מותנית רק בהעסקה במתכונות של משמרות". אולם, לא נאמר שם כי הותרת הרשעתו של הנאשם על כנה עלולה להביא לפיטוריו.</w:t>
      </w:r>
    </w:p>
    <w:p w14:paraId="3EE5D96A" w14:textId="77777777" w:rsidR="00065231" w:rsidRPr="009C351E" w:rsidRDefault="00065231" w:rsidP="00065231">
      <w:pPr>
        <w:pStyle w:val="ListParagraph"/>
        <w:ind w:left="-166" w:firstLine="0"/>
      </w:pPr>
      <w:r w:rsidRPr="009C351E">
        <w:rPr>
          <w:rFonts w:hint="cs"/>
          <w:rtl/>
        </w:rPr>
        <w:t xml:space="preserve">עוד יצוין, כי לא אוכל לקבל את טענת ההגנה, לפיה כיום לא נדרש עוד להוכיח קיומו של נזק קונקרטי שעלול להיגרם כתוצאה מהרשעתו של הנאשם, כתנאי לביטולה. אכן, מצינו בפסיקה מקרים שבהם בית המשפט נמנע מהרשעת נאשם אף שלא הוכחה כדבעי פגיעה ממשית בשיקומו או בתעסוקתו (ראו למשל: </w:t>
      </w:r>
      <w:hyperlink r:id="rId35"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4466/13</w:t>
        </w:r>
      </w:hyperlink>
      <w:r w:rsidRPr="009C351E">
        <w:rPr>
          <w:rFonts w:hint="cs"/>
          <w:rtl/>
        </w:rPr>
        <w:t xml:space="preserve"> </w:t>
      </w:r>
      <w:r w:rsidRPr="009C351E">
        <w:rPr>
          <w:rFonts w:hint="cs"/>
          <w:b/>
          <w:bCs/>
          <w:rtl/>
        </w:rPr>
        <w:t>נתנאל אסולין פורטל נ' מדינת ישראל</w:t>
      </w:r>
      <w:r w:rsidRPr="009C351E">
        <w:rPr>
          <w:rFonts w:hint="cs"/>
          <w:rtl/>
        </w:rPr>
        <w:t>, (22.05.2014); ו</w:t>
      </w:r>
      <w:r w:rsidRPr="009C351E">
        <w:rPr>
          <w:rFonts w:hint="cs"/>
          <w:u w:val="single"/>
          <w:rtl/>
        </w:rPr>
        <w:t xml:space="preserve"> </w:t>
      </w:r>
      <w:hyperlink r:id="rId36"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111/14</w:t>
        </w:r>
      </w:hyperlink>
      <w:r w:rsidRPr="009C351E">
        <w:rPr>
          <w:rFonts w:hint="cs"/>
          <w:rtl/>
        </w:rPr>
        <w:t xml:space="preserve"> </w:t>
      </w:r>
      <w:r w:rsidRPr="009C351E">
        <w:rPr>
          <w:rFonts w:hint="cs"/>
          <w:b/>
          <w:bCs/>
          <w:rtl/>
        </w:rPr>
        <w:t>פלוני נ' מדינת ישראל</w:t>
      </w:r>
      <w:r w:rsidRPr="009C351E">
        <w:rPr>
          <w:rFonts w:hint="cs"/>
          <w:rtl/>
        </w:rPr>
        <w:t xml:space="preserve">, (01.04.2014)). אלא שהמדובר במקרים חריגים ביותר, בהם דובר בנאשמים שביצעו את העבירות עת היו בני 18 בלבד ושהתקיים בעניינם צבר נסיבות שהטה את הכף לכיוון אי הרשעתם. בהיעדר אותו צבר נסיבות, הרי שהכלל היה ונותר כפי שנקבע בהלכת כתב: הוכחת קיומו של נזק ממשי וקונקרטי הינו תנאי בלעדיו אין להימנעות מהרשעת נאשם, אפילו אם מדובר בנאשם שהינו קטין (וקל וחומר בנאשם בגיר), וראו בעניין זה דבריו של כב' השופט א' שהם </w:t>
      </w:r>
      <w:r w:rsidRPr="009C351E">
        <w:rPr>
          <w:rFonts w:hint="cs"/>
          <w:u w:val="single"/>
          <w:rtl/>
        </w:rPr>
        <w:t>ב</w:t>
      </w:r>
      <w:hyperlink r:id="rId37"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2180/14</w:t>
        </w:r>
      </w:hyperlink>
      <w:r w:rsidRPr="009C351E">
        <w:rPr>
          <w:rFonts w:hint="cs"/>
          <w:rtl/>
        </w:rPr>
        <w:t xml:space="preserve"> </w:t>
      </w:r>
      <w:r w:rsidRPr="009C351E">
        <w:rPr>
          <w:rFonts w:hint="cs"/>
          <w:b/>
          <w:bCs/>
          <w:rtl/>
        </w:rPr>
        <w:t>ספיר שמואלי נ' מדינת ישראל</w:t>
      </w:r>
      <w:r w:rsidRPr="009C351E">
        <w:rPr>
          <w:rFonts w:hint="cs"/>
          <w:rtl/>
        </w:rPr>
        <w:t>, (24.04.2014):</w:t>
      </w:r>
    </w:p>
    <w:p w14:paraId="12D28DE7" w14:textId="77777777" w:rsidR="00065231" w:rsidRPr="009C351E" w:rsidRDefault="00065231" w:rsidP="00065231">
      <w:pPr>
        <w:pStyle w:val="ListParagraph"/>
        <w:ind w:left="-166" w:firstLine="0"/>
        <w:rPr>
          <w:rtl/>
        </w:rPr>
      </w:pPr>
      <w:r w:rsidRPr="009C351E">
        <w:rPr>
          <w:rFonts w:hint="cs"/>
          <w:b/>
          <w:bCs/>
          <w:rtl/>
        </w:rPr>
        <w:t>"די בכך שאזכיר, כי גם בנוגע להימנעות מהרשעתו של קטין, יש להראות כי ההרשעה תוביל לפגיעה מהותית וקונקרטית בעתידו או בשיקומו, כאמור. על אחת כמה וכמה, שדרישה זו עומדת בתוקפה כאשר מדובר בבגיר, או ב'בגיר צעיר'"</w:t>
      </w:r>
      <w:r w:rsidRPr="009C351E">
        <w:rPr>
          <w:rFonts w:hint="cs"/>
          <w:rtl/>
        </w:rPr>
        <w:t>.</w:t>
      </w:r>
    </w:p>
    <w:p w14:paraId="329A9AF4" w14:textId="77777777" w:rsidR="00065231" w:rsidRPr="009C351E" w:rsidRDefault="00065231" w:rsidP="00065231">
      <w:pPr>
        <w:spacing w:line="360" w:lineRule="auto"/>
        <w:ind w:left="-108"/>
        <w:jc w:val="both"/>
      </w:pPr>
      <w:r w:rsidRPr="009C351E">
        <w:rPr>
          <w:rFonts w:hint="cs"/>
          <w:rtl/>
        </w:rPr>
        <w:t xml:space="preserve">על דברים אלה חזר בית המשפט העליון פעמים רבות, ולאחרונה אך לפני כמה חודשים מפיו של כב' השופט ג' קרא </w:t>
      </w:r>
      <w:r w:rsidRPr="009C351E">
        <w:rPr>
          <w:rFonts w:hint="cs"/>
          <w:u w:val="single"/>
          <w:rtl/>
        </w:rPr>
        <w:t xml:space="preserve">ברע"פ </w:t>
      </w:r>
      <w:hyperlink r:id="rId38" w:history="1">
        <w:r w:rsidR="00460955" w:rsidRPr="00460955">
          <w:rPr>
            <w:color w:val="0000FF"/>
            <w:u w:val="single"/>
            <w:rtl/>
          </w:rPr>
          <w:t xml:space="preserve">5949/17‏ </w:t>
        </w:r>
      </w:hyperlink>
      <w:r w:rsidRPr="009C351E">
        <w:rPr>
          <w:rFonts w:hint="cs"/>
          <w:rtl/>
        </w:rPr>
        <w:t xml:space="preserve"> </w:t>
      </w:r>
      <w:r w:rsidRPr="009C351E">
        <w:rPr>
          <w:rFonts w:hint="cs"/>
          <w:b/>
          <w:bCs/>
          <w:rtl/>
        </w:rPr>
        <w:t>משה אמר נ' מדינת ישראל</w:t>
      </w:r>
      <w:r w:rsidRPr="009C351E">
        <w:rPr>
          <w:rFonts w:hint="cs"/>
          <w:rtl/>
        </w:rPr>
        <w:t>, (25.07.2017).</w:t>
      </w:r>
    </w:p>
    <w:p w14:paraId="703759C8" w14:textId="77777777" w:rsidR="00065231" w:rsidRPr="009C351E" w:rsidRDefault="00065231" w:rsidP="00065231">
      <w:pPr>
        <w:spacing w:line="360" w:lineRule="auto"/>
        <w:ind w:left="-108"/>
        <w:jc w:val="both"/>
        <w:rPr>
          <w:rtl/>
        </w:rPr>
      </w:pPr>
      <w:r w:rsidRPr="009C351E">
        <w:rPr>
          <w:rFonts w:hint="cs"/>
          <w:rtl/>
        </w:rPr>
        <w:t xml:space="preserve">עוד בעניין זה, מצאתי להביא את פסיקתו של בית המשפט המחוזי מרכז </w:t>
      </w:r>
      <w:r w:rsidRPr="009C351E">
        <w:rPr>
          <w:rFonts w:hint="cs"/>
          <w:u w:val="single"/>
          <w:rtl/>
        </w:rPr>
        <w:t>ב</w:t>
      </w:r>
      <w:hyperlink r:id="rId39" w:history="1">
        <w:r w:rsidR="0009367C" w:rsidRPr="0009367C">
          <w:rPr>
            <w:rStyle w:val="Hyperlink"/>
            <w:rFonts w:hint="eastAsia"/>
            <w:rtl/>
          </w:rPr>
          <w:t>ע</w:t>
        </w:r>
        <w:r w:rsidR="0009367C" w:rsidRPr="0009367C">
          <w:rPr>
            <w:rStyle w:val="Hyperlink"/>
            <w:rtl/>
          </w:rPr>
          <w:t>"פ (מחוזי מרכז) 24457-03-15</w:t>
        </w:r>
      </w:hyperlink>
      <w:r w:rsidRPr="009C351E">
        <w:rPr>
          <w:rFonts w:hint="cs"/>
          <w:rtl/>
        </w:rPr>
        <w:t xml:space="preserve"> </w:t>
      </w:r>
      <w:r w:rsidRPr="009C351E">
        <w:rPr>
          <w:rFonts w:hint="cs"/>
          <w:b/>
          <w:bCs/>
          <w:rtl/>
        </w:rPr>
        <w:t>פבל גוטרמן נ' מדינת ישראל</w:t>
      </w:r>
      <w:r w:rsidRPr="009C351E">
        <w:rPr>
          <w:rFonts w:hint="cs"/>
          <w:rtl/>
        </w:rPr>
        <w:t xml:space="preserve">, (30.08.2015), שם נקבעה מעין </w:t>
      </w:r>
      <w:r w:rsidRPr="009C351E">
        <w:rPr>
          <w:rFonts w:hint="cs"/>
          <w:b/>
          <w:bCs/>
          <w:rtl/>
        </w:rPr>
        <w:t>"מקבילית כוחות"</w:t>
      </w:r>
      <w:r w:rsidRPr="009C351E">
        <w:rPr>
          <w:rFonts w:hint="cs"/>
          <w:rtl/>
        </w:rPr>
        <w:t>, כאשר מידת הפגיעה הקונקרטית שהוכחתה נדרשת כתנאי להימנעות מהרשעה תעמוד ביחס ישר לחומרת העבירות המיוחסות לנאשם. במקרה שלנו, בשים לב לחומרת העבירות שבהן הורשע הנאשם, הרי שכתנאי לביטול הרשעתו נדרש היה שהוא יוכיח כדבעי קיומה של פגיעה ממשית בשיקומו או בתעסוקתו.</w:t>
      </w:r>
    </w:p>
    <w:p w14:paraId="167C3104" w14:textId="77777777" w:rsidR="00065231" w:rsidRPr="009C351E" w:rsidRDefault="00065231" w:rsidP="00065231">
      <w:pPr>
        <w:pStyle w:val="ListParagraph"/>
        <w:ind w:left="-166" w:firstLine="0"/>
      </w:pPr>
      <w:r w:rsidRPr="009C351E">
        <w:rPr>
          <w:rFonts w:hint="cs"/>
          <w:rtl/>
        </w:rPr>
        <w:t>אשר על כן, ומשקבעתי כי הנאשם לא הוכיח שהותרת הרשעתו על כנה עלולה לגרום לו נזק ממשי, הרי שגם לא ניתן לקבוע ש</w:t>
      </w:r>
      <w:r w:rsidRPr="009C351E">
        <w:rPr>
          <w:rFonts w:eastAsia="Times New Roman" w:hint="cs"/>
          <w:rtl/>
        </w:rPr>
        <w:t>בנסיבות המקרה הנדון קיים יחס שאינו סביר בין חומרת העבירה לבין הנזק הצפוי לנאשם מן ההרשעה.</w:t>
      </w:r>
    </w:p>
    <w:p w14:paraId="35711489" w14:textId="77777777" w:rsidR="00065231" w:rsidRPr="009C351E" w:rsidRDefault="00065231" w:rsidP="00065231">
      <w:pPr>
        <w:pStyle w:val="ListParagraph"/>
        <w:numPr>
          <w:ilvl w:val="0"/>
          <w:numId w:val="2"/>
        </w:numPr>
        <w:ind w:left="-166"/>
      </w:pPr>
      <w:r w:rsidRPr="009C351E">
        <w:rPr>
          <w:rFonts w:hint="cs"/>
          <w:rtl/>
        </w:rPr>
        <w:t xml:space="preserve">שנית, ואף שדי היה באמור עד כה כדי לדחות את בקשתו של הנאשם </w:t>
      </w:r>
      <w:r w:rsidRPr="009C351E">
        <w:rPr>
          <w:rFonts w:eastAsia="Times New Roman" w:hint="cs"/>
          <w:rtl/>
        </w:rPr>
        <w:t>לסיים את ההליך הפלילי בעניינו ללא הרשעה</w:t>
      </w:r>
      <w:r w:rsidRPr="009C351E">
        <w:rPr>
          <w:rFonts w:hint="cs"/>
          <w:rtl/>
        </w:rPr>
        <w:t>, אציין כי אף לא השתכנעתי ש</w:t>
      </w:r>
      <w:r w:rsidRPr="009C351E">
        <w:rPr>
          <w:rFonts w:eastAsia="Times New Roman" w:hint="cs"/>
          <w:rtl/>
        </w:rPr>
        <w:t>ניתן במקרה זה להימנע מהרשעתו מבלי לפגוע באופן מהותי בשיקולי ענישה אחרים.</w:t>
      </w:r>
      <w:r w:rsidRPr="009C351E">
        <w:rPr>
          <w:rFonts w:hint="cs"/>
          <w:rtl/>
        </w:rPr>
        <w:t xml:space="preserve"> הנאשם הורשע בשתי עבירות סמים, שבצידה של כל אחת מהן עונש מרבי של 20 שנות מאסר. חומרת העבירות אף מתעצמת לנוכח כמות השתילים שהנאשם גידל ומשקלם, הנמדד בקילוגרמים. מה גם, שיש ליתן את הדעת לכך שבמקרה דנן אין המדובר בגידול ספורדי גרידא, כי אם במעשה מוקפד ומתוכנן היטב, שלשם הוצאתו אל הפועל הנאשם הצטייד ברכוש והחזיק בכלים להכנת סם שלא לצריכה עצמית.</w:t>
      </w:r>
    </w:p>
    <w:p w14:paraId="4E2D9A72" w14:textId="77777777" w:rsidR="00065231" w:rsidRPr="009C351E" w:rsidRDefault="00065231" w:rsidP="00065231">
      <w:pPr>
        <w:pStyle w:val="ListParagraph"/>
        <w:ind w:left="-166" w:firstLine="0"/>
      </w:pPr>
      <w:r w:rsidRPr="009C351E">
        <w:rPr>
          <w:rFonts w:hint="cs"/>
          <w:rtl/>
        </w:rPr>
        <w:t xml:space="preserve">זאת ועוד, כפי שצוין קודם לכן עבירות גידול הסמים הפכו זה מכבר ל"מכת מדינה" של ממש, מה שמחייב את בתי המשפט להעלות תרומתם לשירוש התופעה, וזאת בין היתר באמצעות אי גילוי סובלנות כלפי המורשעים בעבירות אלו (ראו והשוו דבריו של בית המשפט החוזי </w:t>
      </w:r>
      <w:r w:rsidRPr="009C351E">
        <w:rPr>
          <w:rFonts w:hint="cs"/>
          <w:b/>
          <w:bCs/>
          <w:rtl/>
        </w:rPr>
        <w:t>בעניין אבי גיא</w:t>
      </w:r>
      <w:r w:rsidRPr="009C351E">
        <w:rPr>
          <w:rFonts w:hint="cs"/>
          <w:rtl/>
        </w:rPr>
        <w:t xml:space="preserve"> שאוזכר קודם לכן </w:t>
      </w:r>
      <w:r w:rsidRPr="009C351E">
        <w:rPr>
          <w:rFonts w:hint="cs"/>
          <w:u w:val="single"/>
          <w:rtl/>
        </w:rPr>
        <w:t>וב</w:t>
      </w:r>
      <w:hyperlink r:id="rId40" w:history="1">
        <w:r w:rsidR="0009367C" w:rsidRPr="0009367C">
          <w:rPr>
            <w:rStyle w:val="Hyperlink"/>
            <w:rFonts w:hint="cs"/>
            <w:rtl/>
          </w:rPr>
          <w:t>עפ</w:t>
        </w:r>
        <w:r w:rsidR="0009367C" w:rsidRPr="0009367C">
          <w:rPr>
            <w:rStyle w:val="Hyperlink"/>
            <w:rtl/>
          </w:rPr>
          <w:t>"</w:t>
        </w:r>
        <w:r w:rsidR="0009367C" w:rsidRPr="0009367C">
          <w:rPr>
            <w:rStyle w:val="Hyperlink"/>
            <w:rFonts w:hint="cs"/>
            <w:rtl/>
          </w:rPr>
          <w:t>ג</w:t>
        </w:r>
        <w:r w:rsidR="0009367C" w:rsidRPr="0009367C">
          <w:rPr>
            <w:rStyle w:val="Hyperlink"/>
            <w:rtl/>
          </w:rPr>
          <w:t xml:space="preserve"> (</w:t>
        </w:r>
        <w:r w:rsidR="0009367C" w:rsidRPr="0009367C">
          <w:rPr>
            <w:rStyle w:val="Hyperlink"/>
            <w:rFonts w:hint="cs"/>
            <w:rtl/>
          </w:rPr>
          <w:t>מחוזי</w:t>
        </w:r>
        <w:r w:rsidR="0009367C" w:rsidRPr="0009367C">
          <w:rPr>
            <w:rStyle w:val="Hyperlink"/>
            <w:rtl/>
          </w:rPr>
          <w:t xml:space="preserve"> </w:t>
        </w:r>
        <w:r w:rsidR="0009367C" w:rsidRPr="0009367C">
          <w:rPr>
            <w:rStyle w:val="Hyperlink"/>
            <w:rFonts w:hint="cs"/>
            <w:rtl/>
          </w:rPr>
          <w:t>תל</w:t>
        </w:r>
        <w:r w:rsidR="0009367C" w:rsidRPr="0009367C">
          <w:rPr>
            <w:rStyle w:val="Hyperlink"/>
            <w:rtl/>
          </w:rPr>
          <w:t xml:space="preserve"> </w:t>
        </w:r>
        <w:r w:rsidR="0009367C" w:rsidRPr="0009367C">
          <w:rPr>
            <w:rStyle w:val="Hyperlink"/>
            <w:rFonts w:hint="cs"/>
            <w:rtl/>
          </w:rPr>
          <w:t>אביב</w:t>
        </w:r>
        <w:r w:rsidR="0009367C" w:rsidRPr="0009367C">
          <w:rPr>
            <w:rStyle w:val="Hyperlink"/>
            <w:rtl/>
          </w:rPr>
          <w:t xml:space="preserve"> </w:t>
        </w:r>
        <w:r w:rsidR="0009367C" w:rsidRPr="0009367C">
          <w:rPr>
            <w:rStyle w:val="Hyperlink"/>
            <w:rFonts w:hint="cs"/>
            <w:rtl/>
          </w:rPr>
          <w:t>יפו</w:t>
        </w:r>
        <w:r w:rsidR="0009367C" w:rsidRPr="0009367C">
          <w:rPr>
            <w:rStyle w:val="Hyperlink"/>
            <w:rtl/>
          </w:rPr>
          <w:t>) 4706-10-15</w:t>
        </w:r>
      </w:hyperlink>
      <w:r w:rsidRPr="009C351E">
        <w:rPr>
          <w:rFonts w:hint="cs"/>
          <w:rtl/>
        </w:rPr>
        <w:t xml:space="preserve"> </w:t>
      </w:r>
      <w:r w:rsidRPr="009C351E">
        <w:rPr>
          <w:rFonts w:hint="cs"/>
          <w:b/>
          <w:bCs/>
          <w:rtl/>
        </w:rPr>
        <w:t>מדינת ישראל נ' עמרי מסרי</w:t>
      </w:r>
      <w:r w:rsidRPr="009C351E">
        <w:rPr>
          <w:rFonts w:hint="cs"/>
          <w:rtl/>
        </w:rPr>
        <w:t>, (23.11.2015)).</w:t>
      </w:r>
    </w:p>
    <w:p w14:paraId="468AD69D" w14:textId="77777777" w:rsidR="00065231" w:rsidRPr="009C351E" w:rsidRDefault="00065231" w:rsidP="00065231">
      <w:pPr>
        <w:pStyle w:val="ListParagraph"/>
        <w:ind w:left="-166" w:firstLine="0"/>
        <w:rPr>
          <w:rFonts w:eastAsia="Times New Roman"/>
        </w:rPr>
      </w:pPr>
      <w:r w:rsidRPr="009C351E">
        <w:rPr>
          <w:rFonts w:eastAsia="Times New Roman" w:hint="cs"/>
          <w:rtl/>
        </w:rPr>
        <w:t xml:space="preserve">ברי כי כל מקרה צריך להיבחן לגופו, ובהחלט ייתכן כי יהיו מקרים בהם יהיה זה מוצדק להימנע מהרשעתו של מאן דהוא שהואשם בעבירות זהות לאלה שביצע הנאשם (וראו </w:t>
      </w:r>
      <w:hyperlink r:id="rId41" w:history="1">
        <w:r w:rsidR="0009367C" w:rsidRPr="0009367C">
          <w:rPr>
            <w:rStyle w:val="Hyperlink"/>
            <w:rFonts w:eastAsia="Times New Roman" w:hint="eastAsia"/>
            <w:rtl/>
          </w:rPr>
          <w:t>ת</w:t>
        </w:r>
        <w:r w:rsidR="0009367C" w:rsidRPr="0009367C">
          <w:rPr>
            <w:rStyle w:val="Hyperlink"/>
            <w:rFonts w:eastAsia="Times New Roman"/>
            <w:rtl/>
          </w:rPr>
          <w:t>"</w:t>
        </w:r>
        <w:r w:rsidR="0009367C" w:rsidRPr="0009367C">
          <w:rPr>
            <w:rStyle w:val="Hyperlink"/>
            <w:rFonts w:eastAsia="Times New Roman" w:hint="eastAsia"/>
            <w:rtl/>
          </w:rPr>
          <w:t>פ</w:t>
        </w:r>
        <w:r w:rsidR="0009367C" w:rsidRPr="0009367C">
          <w:rPr>
            <w:rStyle w:val="Hyperlink"/>
            <w:rFonts w:eastAsia="Times New Roman"/>
            <w:rtl/>
          </w:rPr>
          <w:t xml:space="preserve"> (</w:t>
        </w:r>
        <w:r w:rsidR="0009367C" w:rsidRPr="0009367C">
          <w:rPr>
            <w:rStyle w:val="Hyperlink"/>
            <w:rFonts w:eastAsia="Times New Roman" w:hint="eastAsia"/>
            <w:rtl/>
          </w:rPr>
          <w:t>שלום</w:t>
        </w:r>
        <w:r w:rsidR="0009367C" w:rsidRPr="0009367C">
          <w:rPr>
            <w:rStyle w:val="Hyperlink"/>
            <w:rFonts w:eastAsia="Times New Roman"/>
            <w:rtl/>
          </w:rPr>
          <w:t xml:space="preserve"> </w:t>
        </w:r>
        <w:r w:rsidR="0009367C" w:rsidRPr="0009367C">
          <w:rPr>
            <w:rStyle w:val="Hyperlink"/>
            <w:rFonts w:eastAsia="Times New Roman" w:hint="eastAsia"/>
            <w:rtl/>
          </w:rPr>
          <w:t>קריית</w:t>
        </w:r>
        <w:r w:rsidR="0009367C" w:rsidRPr="0009367C">
          <w:rPr>
            <w:rStyle w:val="Hyperlink"/>
            <w:rFonts w:eastAsia="Times New Roman"/>
            <w:rtl/>
          </w:rPr>
          <w:t xml:space="preserve"> </w:t>
        </w:r>
        <w:r w:rsidR="0009367C" w:rsidRPr="0009367C">
          <w:rPr>
            <w:rStyle w:val="Hyperlink"/>
            <w:rFonts w:eastAsia="Times New Roman" w:hint="eastAsia"/>
            <w:rtl/>
          </w:rPr>
          <w:t>גת</w:t>
        </w:r>
        <w:r w:rsidR="0009367C" w:rsidRPr="0009367C">
          <w:rPr>
            <w:rStyle w:val="Hyperlink"/>
            <w:rFonts w:eastAsia="Times New Roman"/>
            <w:rtl/>
          </w:rPr>
          <w:t>) 53716-03-15</w:t>
        </w:r>
      </w:hyperlink>
      <w:r w:rsidRPr="009C351E">
        <w:rPr>
          <w:rFonts w:eastAsia="Times New Roman" w:hint="cs"/>
          <w:rtl/>
        </w:rPr>
        <w:t xml:space="preserve"> </w:t>
      </w:r>
      <w:r w:rsidRPr="009C351E">
        <w:rPr>
          <w:rFonts w:eastAsia="Times New Roman" w:hint="cs"/>
          <w:b/>
          <w:bCs/>
          <w:rtl/>
        </w:rPr>
        <w:t>מדינת ישראל נ' זגורי</w:t>
      </w:r>
      <w:r w:rsidRPr="009C351E">
        <w:rPr>
          <w:rFonts w:eastAsia="Times New Roman" w:hint="cs"/>
          <w:rtl/>
        </w:rPr>
        <w:t>, (05.04.2016), אשר ניתן על ידי מותב זה). אולם לדידי, עניינו של הנאשם שבפניי איננו אותו מקרה חריג שבחריגים, וביטול ההרשעה במקרה הנדון עלולה לשגר לציבור מסר מוטעה ומטעה של סלחנות וסובלנות כלפי מגדלי סמים בביתם.</w:t>
      </w:r>
    </w:p>
    <w:p w14:paraId="57581EA6" w14:textId="77777777" w:rsidR="00065231" w:rsidRPr="009C351E" w:rsidRDefault="00065231" w:rsidP="00065231">
      <w:pPr>
        <w:pStyle w:val="ListParagraph"/>
        <w:ind w:left="-166" w:firstLine="0"/>
        <w:rPr>
          <w:rtl/>
        </w:rPr>
      </w:pPr>
      <w:r w:rsidRPr="009C351E">
        <w:rPr>
          <w:rFonts w:eastAsia="Times New Roman" w:hint="cs"/>
          <w:rtl/>
        </w:rPr>
        <w:t>לאור אלה, כאמור, שוכנעתי כי לא ניתן במקרה זה להימנע מהרשעתו של הנאשם מבלי לפגוע באופן מהותי בשיקולי ענישה אחרים</w:t>
      </w:r>
      <w:r w:rsidRPr="009C351E">
        <w:rPr>
          <w:rFonts w:hint="cs"/>
          <w:rtl/>
        </w:rPr>
        <w:t>.</w:t>
      </w:r>
    </w:p>
    <w:p w14:paraId="6A9CA96F" w14:textId="77777777" w:rsidR="00065231" w:rsidRPr="009C351E" w:rsidRDefault="00065231" w:rsidP="00065231">
      <w:pPr>
        <w:pStyle w:val="ListParagraph"/>
        <w:numPr>
          <w:ilvl w:val="0"/>
          <w:numId w:val="2"/>
        </w:numPr>
        <w:ind w:left="-166"/>
        <w:rPr>
          <w:rtl/>
        </w:rPr>
      </w:pPr>
      <w:r w:rsidRPr="009C351E">
        <w:rPr>
          <w:rFonts w:hint="cs"/>
          <w:rtl/>
        </w:rPr>
        <w:t xml:space="preserve">כאן אף אציין, כי לא התעלמתי מהמלצתו של שירות המבחן להורות על ביטול הרשעתו של הנאשם. יחד עם זאת, </w:t>
      </w:r>
      <w:r w:rsidRPr="009C351E">
        <w:rPr>
          <w:rFonts w:eastAsia="Times New Roman" w:hint="cs"/>
          <w:rtl/>
        </w:rPr>
        <w:t xml:space="preserve">ברי כי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w:t>
      </w:r>
      <w:r w:rsidRPr="009C351E">
        <w:rPr>
          <w:rFonts w:hint="cs"/>
          <w:rtl/>
        </w:rPr>
        <w:t xml:space="preserve">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השופט מ' שמגר </w:t>
      </w:r>
      <w:r w:rsidRPr="009C351E">
        <w:rPr>
          <w:rFonts w:hint="cs"/>
          <w:u w:val="single"/>
          <w:rtl/>
        </w:rPr>
        <w:t>ב</w:t>
      </w:r>
      <w:hyperlink r:id="rId42"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344/81 </w:t>
        </w:r>
        <w:r w:rsidR="0009367C" w:rsidRPr="0009367C">
          <w:rPr>
            <w:rStyle w:val="Hyperlink"/>
            <w:rFonts w:hint="cs"/>
            <w:rtl/>
          </w:rPr>
          <w:t>מדינת</w:t>
        </w:r>
        <w:r w:rsidR="0009367C" w:rsidRPr="0009367C">
          <w:rPr>
            <w:rStyle w:val="Hyperlink"/>
            <w:rtl/>
          </w:rPr>
          <w:t xml:space="preserve"> </w:t>
        </w:r>
        <w:r w:rsidR="0009367C" w:rsidRPr="0009367C">
          <w:rPr>
            <w:rStyle w:val="Hyperlink"/>
            <w:rFonts w:hint="cs"/>
            <w:rtl/>
          </w:rPr>
          <w:t>ישראל</w:t>
        </w:r>
        <w:r w:rsidR="0009367C" w:rsidRPr="0009367C">
          <w:rPr>
            <w:rStyle w:val="Hyperlink"/>
            <w:rtl/>
          </w:rPr>
          <w:t xml:space="preserve"> </w:t>
        </w:r>
        <w:r w:rsidR="0009367C" w:rsidRPr="0009367C">
          <w:rPr>
            <w:rStyle w:val="Hyperlink"/>
            <w:rFonts w:hint="cs"/>
            <w:rtl/>
          </w:rPr>
          <w:t>נ</w:t>
        </w:r>
        <w:r w:rsidR="0009367C" w:rsidRPr="0009367C">
          <w:rPr>
            <w:rStyle w:val="Hyperlink"/>
            <w:rtl/>
          </w:rPr>
          <w:t xml:space="preserve">' </w:t>
        </w:r>
        <w:r w:rsidR="0009367C" w:rsidRPr="0009367C">
          <w:rPr>
            <w:rStyle w:val="Hyperlink"/>
            <w:rFonts w:hint="cs"/>
            <w:rtl/>
          </w:rPr>
          <w:t>שחר</w:t>
        </w:r>
        <w:r w:rsidR="0009367C" w:rsidRPr="0009367C">
          <w:rPr>
            <w:rStyle w:val="Hyperlink"/>
            <w:rtl/>
          </w:rPr>
          <w:t xml:space="preserve"> </w:t>
        </w:r>
        <w:r w:rsidR="0009367C" w:rsidRPr="0009367C">
          <w:rPr>
            <w:rStyle w:val="Hyperlink"/>
            <w:rFonts w:hint="cs"/>
            <w:rtl/>
          </w:rPr>
          <w:t>סגל</w:t>
        </w:r>
        <w:r w:rsidR="0009367C" w:rsidRPr="0009367C">
          <w:rPr>
            <w:rStyle w:val="Hyperlink"/>
            <w:rtl/>
          </w:rPr>
          <w:t xml:space="preserve">, </w:t>
        </w:r>
        <w:r w:rsidR="0009367C" w:rsidRPr="0009367C">
          <w:rPr>
            <w:rStyle w:val="Hyperlink"/>
            <w:rFonts w:hint="cs"/>
            <w:rtl/>
          </w:rPr>
          <w:t>פ</w:t>
        </w:r>
        <w:r w:rsidR="0009367C" w:rsidRPr="0009367C">
          <w:rPr>
            <w:rStyle w:val="Hyperlink"/>
            <w:rtl/>
          </w:rPr>
          <w:t>"</w:t>
        </w:r>
        <w:r w:rsidR="0009367C" w:rsidRPr="0009367C">
          <w:rPr>
            <w:rStyle w:val="Hyperlink"/>
            <w:rFonts w:hint="cs"/>
            <w:rtl/>
          </w:rPr>
          <w:t>ד</w:t>
        </w:r>
        <w:r w:rsidR="0009367C" w:rsidRPr="0009367C">
          <w:rPr>
            <w:rStyle w:val="Hyperlink"/>
            <w:rtl/>
          </w:rPr>
          <w:t xml:space="preserve"> </w:t>
        </w:r>
        <w:r w:rsidR="0009367C" w:rsidRPr="0009367C">
          <w:rPr>
            <w:rStyle w:val="Hyperlink"/>
            <w:rFonts w:hint="cs"/>
            <w:rtl/>
          </w:rPr>
          <w:t>לה</w:t>
        </w:r>
      </w:hyperlink>
      <w:r w:rsidRPr="009C351E">
        <w:rPr>
          <w:rFonts w:hint="cs"/>
          <w:rtl/>
        </w:rPr>
        <w:t xml:space="preserve">(4) 313, 318 (1981); </w:t>
      </w:r>
      <w:r w:rsidRPr="009C351E">
        <w:rPr>
          <w:rFonts w:hint="cs"/>
          <w:u w:val="single"/>
          <w:rtl/>
        </w:rPr>
        <w:t>ב</w:t>
      </w:r>
      <w:hyperlink r:id="rId43"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1472/15</w:t>
        </w:r>
      </w:hyperlink>
      <w:r w:rsidRPr="009C351E">
        <w:rPr>
          <w:rFonts w:hint="cs"/>
          <w:rtl/>
        </w:rPr>
        <w:t xml:space="preserve"> </w:t>
      </w:r>
      <w:r w:rsidRPr="009C351E">
        <w:rPr>
          <w:rFonts w:hint="cs"/>
          <w:b/>
          <w:bCs/>
          <w:rtl/>
        </w:rPr>
        <w:t>שי שעשוע נ' מדינת ישראל</w:t>
      </w:r>
      <w:r w:rsidRPr="009C351E">
        <w:rPr>
          <w:rFonts w:hint="cs"/>
          <w:rtl/>
        </w:rPr>
        <w:t xml:space="preserve">, (17.05.2015); </w:t>
      </w:r>
      <w:r w:rsidRPr="009C351E">
        <w:rPr>
          <w:rFonts w:hint="cs"/>
          <w:u w:val="single"/>
          <w:rtl/>
        </w:rPr>
        <w:t>ב</w:t>
      </w:r>
      <w:hyperlink r:id="rId44"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7389/13</w:t>
        </w:r>
      </w:hyperlink>
      <w:r w:rsidRPr="009C351E">
        <w:rPr>
          <w:rFonts w:hint="cs"/>
          <w:rtl/>
        </w:rPr>
        <w:t xml:space="preserve"> </w:t>
      </w:r>
      <w:r w:rsidRPr="009C351E">
        <w:rPr>
          <w:rFonts w:hint="cs"/>
          <w:b/>
          <w:bCs/>
          <w:rtl/>
        </w:rPr>
        <w:t>נתן טייטלבאום נ' מדינת ישראל</w:t>
      </w:r>
      <w:r w:rsidRPr="009C351E">
        <w:rPr>
          <w:rFonts w:hint="cs"/>
          <w:rtl/>
        </w:rPr>
        <w:t xml:space="preserve">, (17.12.2013); </w:t>
      </w:r>
      <w:r w:rsidRPr="009C351E">
        <w:rPr>
          <w:rFonts w:hint="cs"/>
          <w:u w:val="single"/>
          <w:rtl/>
        </w:rPr>
        <w:t>ב</w:t>
      </w:r>
      <w:hyperlink r:id="rId45"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5212/13</w:t>
        </w:r>
      </w:hyperlink>
      <w:r w:rsidRPr="009C351E">
        <w:rPr>
          <w:rFonts w:hint="cs"/>
          <w:rtl/>
        </w:rPr>
        <w:t xml:space="preserve"> </w:t>
      </w:r>
      <w:r w:rsidRPr="009C351E">
        <w:rPr>
          <w:rFonts w:hint="cs"/>
          <w:b/>
          <w:bCs/>
          <w:rtl/>
        </w:rPr>
        <w:t>שמעון נ' מדינת ישראל</w:t>
      </w:r>
      <w:r w:rsidRPr="009C351E">
        <w:rPr>
          <w:rFonts w:hint="cs"/>
          <w:rtl/>
        </w:rPr>
        <w:t xml:space="preserve">, (29.08.2013)) (ראו בעניין זה </w:t>
      </w:r>
      <w:r w:rsidRPr="009C351E">
        <w:rPr>
          <w:rFonts w:eastAsia="Times New Roman" w:hint="cs"/>
          <w:u w:val="single"/>
          <w:rtl/>
        </w:rPr>
        <w:t xml:space="preserve">ע"פ </w:t>
      </w:r>
      <w:hyperlink r:id="rId46" w:history="1">
        <w:r w:rsidR="00460955" w:rsidRPr="00460955">
          <w:rPr>
            <w:rFonts w:eastAsia="Times New Roman"/>
            <w:color w:val="0000FF"/>
            <w:u w:val="single"/>
            <w:rtl/>
          </w:rPr>
          <w:t xml:space="preserve">344/81 </w:t>
        </w:r>
      </w:hyperlink>
      <w:r w:rsidRPr="009C351E">
        <w:rPr>
          <w:rFonts w:eastAsia="Times New Roman" w:hint="cs"/>
          <w:rtl/>
        </w:rPr>
        <w:t xml:space="preserve"> </w:t>
      </w:r>
      <w:r w:rsidRPr="009C351E">
        <w:rPr>
          <w:rFonts w:eastAsia="Times New Roman" w:hint="cs"/>
          <w:b/>
          <w:bCs/>
          <w:rtl/>
        </w:rPr>
        <w:t>מדינת ישראל נ' שחר סגל</w:t>
      </w:r>
      <w:r w:rsidRPr="009C351E">
        <w:rPr>
          <w:rFonts w:eastAsia="Times New Roman" w:hint="cs"/>
          <w:rtl/>
        </w:rPr>
        <w:t>, פ"ד לה(4) 313, 318 (1981)</w:t>
      </w:r>
      <w:r w:rsidRPr="009C351E">
        <w:rPr>
          <w:rFonts w:hint="cs"/>
          <w:rtl/>
        </w:rPr>
        <w:t xml:space="preserve">; </w:t>
      </w:r>
      <w:hyperlink r:id="rId47" w:history="1">
        <w:r w:rsidR="0009367C" w:rsidRPr="0009367C">
          <w:rPr>
            <w:rStyle w:val="Hyperlink"/>
            <w:rFonts w:eastAsia="Times New Roman" w:hint="eastAsia"/>
            <w:rtl/>
          </w:rPr>
          <w:t>ע</w:t>
        </w:r>
        <w:r w:rsidR="0009367C" w:rsidRPr="0009367C">
          <w:rPr>
            <w:rStyle w:val="Hyperlink"/>
            <w:rFonts w:eastAsia="Times New Roman"/>
            <w:rtl/>
          </w:rPr>
          <w:t>"</w:t>
        </w:r>
        <w:r w:rsidR="0009367C" w:rsidRPr="0009367C">
          <w:rPr>
            <w:rStyle w:val="Hyperlink"/>
            <w:rFonts w:eastAsia="Times New Roman" w:hint="eastAsia"/>
            <w:rtl/>
          </w:rPr>
          <w:t>פ</w:t>
        </w:r>
        <w:r w:rsidR="0009367C" w:rsidRPr="0009367C">
          <w:rPr>
            <w:rStyle w:val="Hyperlink"/>
            <w:rFonts w:eastAsia="Times New Roman"/>
            <w:rtl/>
          </w:rPr>
          <w:t xml:space="preserve"> 1472/15</w:t>
        </w:r>
      </w:hyperlink>
      <w:r w:rsidRPr="009C351E">
        <w:rPr>
          <w:rFonts w:eastAsia="Times New Roman" w:hint="cs"/>
          <w:rtl/>
        </w:rPr>
        <w:t xml:space="preserve"> </w:t>
      </w:r>
      <w:r w:rsidRPr="009C351E">
        <w:rPr>
          <w:rFonts w:eastAsia="Times New Roman" w:hint="cs"/>
          <w:b/>
          <w:bCs/>
          <w:rtl/>
        </w:rPr>
        <w:t>שי שעשוע נ' מדינת ישראל</w:t>
      </w:r>
      <w:r w:rsidRPr="009C351E">
        <w:rPr>
          <w:rFonts w:eastAsia="Times New Roman" w:hint="cs"/>
          <w:rtl/>
        </w:rPr>
        <w:t xml:space="preserve">, (17.05.2015); </w:t>
      </w:r>
      <w:hyperlink r:id="rId48" w:history="1">
        <w:r w:rsidR="0009367C" w:rsidRPr="0009367C">
          <w:rPr>
            <w:rStyle w:val="Hyperlink"/>
            <w:rFonts w:eastAsia="Times New Roman" w:hint="eastAsia"/>
            <w:rtl/>
          </w:rPr>
          <w:t>רע</w:t>
        </w:r>
        <w:r w:rsidR="0009367C" w:rsidRPr="0009367C">
          <w:rPr>
            <w:rStyle w:val="Hyperlink"/>
            <w:rFonts w:eastAsia="Times New Roman"/>
            <w:rtl/>
          </w:rPr>
          <w:t>"</w:t>
        </w:r>
        <w:r w:rsidR="0009367C" w:rsidRPr="0009367C">
          <w:rPr>
            <w:rStyle w:val="Hyperlink"/>
            <w:rFonts w:eastAsia="Times New Roman" w:hint="eastAsia"/>
            <w:rtl/>
          </w:rPr>
          <w:t>פ</w:t>
        </w:r>
        <w:r w:rsidR="0009367C" w:rsidRPr="0009367C">
          <w:rPr>
            <w:rStyle w:val="Hyperlink"/>
            <w:rFonts w:eastAsia="Times New Roman"/>
            <w:rtl/>
          </w:rPr>
          <w:t xml:space="preserve"> 7389/13</w:t>
        </w:r>
      </w:hyperlink>
      <w:r w:rsidRPr="009C351E">
        <w:rPr>
          <w:rFonts w:eastAsia="Times New Roman" w:hint="cs"/>
          <w:rtl/>
        </w:rPr>
        <w:t xml:space="preserve"> </w:t>
      </w:r>
      <w:r w:rsidRPr="009C351E">
        <w:rPr>
          <w:rFonts w:eastAsia="Times New Roman" w:hint="cs"/>
          <w:b/>
          <w:bCs/>
          <w:rtl/>
        </w:rPr>
        <w:t>נתן טייטלבאום נ' מדינת ישראל</w:t>
      </w:r>
      <w:r w:rsidRPr="009C351E">
        <w:rPr>
          <w:rFonts w:eastAsia="Times New Roman" w:hint="cs"/>
          <w:rtl/>
        </w:rPr>
        <w:t xml:space="preserve">, (17.12.2013); </w:t>
      </w:r>
      <w:r w:rsidRPr="009C351E">
        <w:rPr>
          <w:rFonts w:eastAsia="Times New Roman" w:hint="cs"/>
          <w:u w:val="single"/>
          <w:rtl/>
        </w:rPr>
        <w:t>ו</w:t>
      </w:r>
      <w:hyperlink r:id="rId49" w:history="1">
        <w:r w:rsidR="0009367C" w:rsidRPr="0009367C">
          <w:rPr>
            <w:rStyle w:val="Hyperlink"/>
            <w:rFonts w:eastAsia="Times New Roman" w:hint="eastAsia"/>
            <w:rtl/>
          </w:rPr>
          <w:t>רע</w:t>
        </w:r>
        <w:r w:rsidR="0009367C" w:rsidRPr="0009367C">
          <w:rPr>
            <w:rStyle w:val="Hyperlink"/>
            <w:rFonts w:eastAsia="Times New Roman"/>
            <w:rtl/>
          </w:rPr>
          <w:t>"</w:t>
        </w:r>
        <w:r w:rsidR="0009367C" w:rsidRPr="0009367C">
          <w:rPr>
            <w:rStyle w:val="Hyperlink"/>
            <w:rFonts w:eastAsia="Times New Roman" w:hint="eastAsia"/>
            <w:rtl/>
          </w:rPr>
          <w:t>פ</w:t>
        </w:r>
        <w:r w:rsidR="0009367C" w:rsidRPr="0009367C">
          <w:rPr>
            <w:rStyle w:val="Hyperlink"/>
            <w:rFonts w:eastAsia="Times New Roman"/>
            <w:rtl/>
          </w:rPr>
          <w:t xml:space="preserve"> 5212/13</w:t>
        </w:r>
      </w:hyperlink>
      <w:r w:rsidRPr="009C351E">
        <w:rPr>
          <w:rFonts w:eastAsia="Times New Roman" w:hint="cs"/>
          <w:rtl/>
        </w:rPr>
        <w:t xml:space="preserve"> </w:t>
      </w:r>
      <w:r w:rsidRPr="009C351E">
        <w:rPr>
          <w:rFonts w:eastAsia="Times New Roman" w:hint="cs"/>
          <w:b/>
          <w:bCs/>
          <w:rtl/>
        </w:rPr>
        <w:t>שמעון נ' מדינת ישראל</w:t>
      </w:r>
      <w:r w:rsidRPr="009C351E">
        <w:rPr>
          <w:rFonts w:eastAsia="Times New Roman" w:hint="cs"/>
          <w:rtl/>
        </w:rPr>
        <w:t>, (29.08.2013)</w:t>
      </w:r>
      <w:r w:rsidRPr="009C351E">
        <w:rPr>
          <w:rFonts w:hint="cs"/>
          <w:rtl/>
        </w:rPr>
        <w:t>).</w:t>
      </w:r>
    </w:p>
    <w:p w14:paraId="171CED14" w14:textId="77777777" w:rsidR="00065231" w:rsidRPr="009C351E" w:rsidRDefault="00065231" w:rsidP="00065231">
      <w:pPr>
        <w:pStyle w:val="ListParagraph"/>
        <w:numPr>
          <w:ilvl w:val="0"/>
          <w:numId w:val="2"/>
        </w:numPr>
        <w:ind w:left="-166"/>
      </w:pPr>
      <w:r w:rsidRPr="009C351E">
        <w:rPr>
          <w:rFonts w:hint="cs"/>
          <w:rtl/>
        </w:rPr>
        <w:t xml:space="preserve">לבסוף אציין, כי אף לא התעלמתי מיתר נתוניו החיוביים של הנאשם, ובכלל זה מהעובדה שאין לחובתו הרשעות קודמות ומכך שבדיקות השתן האחרונות שמסר הצביעו על ניקיונו מסמים. כפי שיפורט בהמשך, נסיבות אלה בהחלט יקבלו את המשקל הראוי להן בשלב גזירת העונש המתאים לנאשם, אולם לדידי אין בהן כשלעצמן, בשים לב לכל האמור עד כה, כדי להביא לחריגה מהכלל לפיו נאשם שנמצא אשם בביצוע עבירה – יורשע בדינו. </w:t>
      </w:r>
    </w:p>
    <w:p w14:paraId="4BBFE55E" w14:textId="77777777" w:rsidR="00065231" w:rsidRPr="009C351E" w:rsidRDefault="00065231" w:rsidP="00065231">
      <w:pPr>
        <w:pStyle w:val="ListParagraph"/>
        <w:numPr>
          <w:ilvl w:val="0"/>
          <w:numId w:val="2"/>
        </w:numPr>
        <w:ind w:left="-166"/>
      </w:pPr>
      <w:r w:rsidRPr="009C351E">
        <w:rPr>
          <w:rFonts w:hint="cs"/>
          <w:rtl/>
        </w:rPr>
        <w:t xml:space="preserve">לאור כל האמור, משקבעתי כי הנאשם לא הוכיח שהרשעתו עלולה להסב לו נזק ממשי, כך שלא ניתן לומר כי קיים יחס שאינו </w:t>
      </w:r>
      <w:r w:rsidRPr="009C351E">
        <w:rPr>
          <w:rFonts w:eastAsia="Times New Roman" w:hint="cs"/>
          <w:rtl/>
        </w:rPr>
        <w:t>סביר בין חומרת העבירה לבין הנזק הצפוי לו מן ההרשעה</w:t>
      </w:r>
      <w:r w:rsidRPr="009C351E">
        <w:rPr>
          <w:rFonts w:hint="cs"/>
          <w:rtl/>
        </w:rPr>
        <w:t xml:space="preserve">; ולאחר ששוכנעתי כי לא ניתן במקרה הנדון להימנע מהרשעתו מבלי לפגוע באופן מהותי בשיקולי הענישה הרלוונטיים, </w:t>
      </w:r>
      <w:r w:rsidRPr="009C351E">
        <w:rPr>
          <w:rFonts w:hint="cs"/>
          <w:b/>
          <w:bCs/>
          <w:rtl/>
        </w:rPr>
        <w:t>הריני מורה כי הרשעתו של הנאשם תיוותר על כנה</w:t>
      </w:r>
      <w:r w:rsidRPr="009C351E">
        <w:rPr>
          <w:rFonts w:hint="cs"/>
          <w:rtl/>
        </w:rPr>
        <w:t>.</w:t>
      </w:r>
    </w:p>
    <w:p w14:paraId="1BCF1D78" w14:textId="77777777" w:rsidR="00065231" w:rsidRPr="009C351E" w:rsidRDefault="00065231" w:rsidP="00065231">
      <w:pPr>
        <w:pStyle w:val="1"/>
        <w:numPr>
          <w:ilvl w:val="0"/>
          <w:numId w:val="1"/>
        </w:numPr>
        <w:spacing w:line="360" w:lineRule="auto"/>
        <w:ind w:left="252"/>
        <w:jc w:val="both"/>
        <w:rPr>
          <w:rFonts w:cs="David"/>
          <w:b/>
          <w:bCs/>
          <w:color w:val="auto"/>
        </w:rPr>
      </w:pPr>
      <w:r w:rsidRPr="009C351E">
        <w:rPr>
          <w:rFonts w:cs="David" w:hint="cs"/>
          <w:b/>
          <w:bCs/>
          <w:color w:val="auto"/>
          <w:rtl/>
        </w:rPr>
        <w:t>גזירת העונש המתאים לנאשם</w:t>
      </w:r>
    </w:p>
    <w:p w14:paraId="73AA41A8" w14:textId="77777777" w:rsidR="00065231" w:rsidRPr="009C351E" w:rsidRDefault="00065231" w:rsidP="00065231">
      <w:pPr>
        <w:pStyle w:val="ListParagraph"/>
        <w:numPr>
          <w:ilvl w:val="0"/>
          <w:numId w:val="2"/>
        </w:numPr>
        <w:ind w:left="-166"/>
        <w:rPr>
          <w:rtl/>
        </w:rPr>
      </w:pPr>
      <w:r w:rsidRPr="009C351E">
        <w:rPr>
          <w:rFonts w:hint="cs"/>
          <w:rtl/>
        </w:rPr>
        <w:t xml:space="preserve">כאמור </w:t>
      </w:r>
      <w:hyperlink r:id="rId50" w:history="1">
        <w:r w:rsidR="00870889" w:rsidRPr="00870889">
          <w:rPr>
            <w:rFonts w:hint="cs"/>
            <w:color w:val="0000FF"/>
            <w:u w:val="single"/>
            <w:rtl/>
          </w:rPr>
          <w:t>בסעיף</w:t>
        </w:r>
        <w:r w:rsidR="00870889" w:rsidRPr="00870889">
          <w:rPr>
            <w:color w:val="0000FF"/>
            <w:u w:val="single"/>
            <w:rtl/>
          </w:rPr>
          <w:t xml:space="preserve"> 40</w:t>
        </w:r>
        <w:r w:rsidR="00870889" w:rsidRPr="00870889">
          <w:rPr>
            <w:rFonts w:hint="cs"/>
            <w:color w:val="0000FF"/>
            <w:u w:val="single"/>
            <w:rtl/>
          </w:rPr>
          <w:t>ג</w:t>
        </w:r>
        <w:r w:rsidR="00870889" w:rsidRPr="00870889">
          <w:rPr>
            <w:color w:val="0000FF"/>
            <w:u w:val="single"/>
            <w:rtl/>
          </w:rPr>
          <w:t>(</w:t>
        </w:r>
        <w:r w:rsidR="00870889" w:rsidRPr="00870889">
          <w:rPr>
            <w:rFonts w:hint="cs"/>
            <w:color w:val="0000FF"/>
            <w:u w:val="single"/>
            <w:rtl/>
          </w:rPr>
          <w:t>ב</w:t>
        </w:r>
        <w:r w:rsidR="00870889" w:rsidRPr="00870889">
          <w:rPr>
            <w:color w:val="0000FF"/>
            <w:u w:val="single"/>
            <w:rtl/>
          </w:rPr>
          <w:t>)</w:t>
        </w:r>
      </w:hyperlink>
      <w:r w:rsidRPr="009C351E">
        <w:rPr>
          <w:rFonts w:hint="cs"/>
          <w:rtl/>
        </w:rPr>
        <w:t xml:space="preserve"> ל</w:t>
      </w:r>
      <w:hyperlink r:id="rId51" w:history="1">
        <w:r w:rsidR="0009367C" w:rsidRPr="0009367C">
          <w:rPr>
            <w:rStyle w:val="Hyperlink"/>
            <w:rFonts w:hint="cs"/>
            <w:rtl/>
          </w:rPr>
          <w:t>חוק</w:t>
        </w:r>
        <w:r w:rsidR="0009367C" w:rsidRPr="0009367C">
          <w:rPr>
            <w:rStyle w:val="Hyperlink"/>
            <w:rtl/>
          </w:rPr>
          <w:t xml:space="preserve"> </w:t>
        </w:r>
        <w:r w:rsidR="0009367C" w:rsidRPr="0009367C">
          <w:rPr>
            <w:rStyle w:val="Hyperlink"/>
            <w:rFonts w:hint="cs"/>
            <w:rtl/>
          </w:rPr>
          <w:t>העונשין</w:t>
        </w:r>
      </w:hyperlink>
      <w:r w:rsidRPr="009C351E">
        <w:rPr>
          <w:rFonts w:hint="cs"/>
          <w:rtl/>
        </w:rPr>
        <w:t>, עובר לגזירת העונש המתאים לנאשם, בית המשפט ישקול את הנסיבות שאינן קשורות בביצוע העבירות.</w:t>
      </w:r>
    </w:p>
    <w:p w14:paraId="65A5CBA8" w14:textId="77777777" w:rsidR="00065231" w:rsidRPr="009C351E" w:rsidRDefault="00065231" w:rsidP="00065231">
      <w:pPr>
        <w:pStyle w:val="ListParagraph"/>
        <w:numPr>
          <w:ilvl w:val="0"/>
          <w:numId w:val="2"/>
        </w:numPr>
        <w:ind w:left="-166"/>
      </w:pPr>
      <w:r w:rsidRPr="009C351E">
        <w:rPr>
          <w:rFonts w:hint="cs"/>
          <w:rtl/>
        </w:rPr>
        <w:t>בעניין זה, בנוסף לחלוף הזמן מאז ביצוע העבירות, נתתי דעתי לעברו הפלילי הנקי של הנאשם ולעובדה כי זו הסתבכותו הראשונה בפלילים. כן נתתי דעתי לעובדה שעסקינן בנאשם צעיר באופן יחסי ולפגיעה שעלולה להיגרם לו אם יושת עליו עונש מאסר, וזאת בשים לב לפגיעה הכלכלית הטמונה בכך ולנוכח כך שהלה טרם ריצה עונשי מאסר בעברו. בנוסף בית המשפט זוקף לזכותו של הנאשם את העובדה שהוא הודה במיוחס לו, מה שהביא לחיסכון בזמן שיפוטי יקר, והביע חרטה כנה על מעשיו.</w:t>
      </w:r>
    </w:p>
    <w:p w14:paraId="2482CF2A" w14:textId="77777777" w:rsidR="00065231" w:rsidRPr="009C351E" w:rsidRDefault="00065231" w:rsidP="00065231">
      <w:pPr>
        <w:pStyle w:val="ListParagraph"/>
        <w:ind w:left="-166" w:firstLine="0"/>
      </w:pPr>
      <w:r w:rsidRPr="009C351E">
        <w:rPr>
          <w:rFonts w:hint="cs"/>
          <w:rtl/>
        </w:rPr>
        <w:t xml:space="preserve">כמו כן, שקלתי את העובדה שהנאשם היה עצור בתיק זה במשך כמה ימים ובמשך תקופה לא מבוטלת נוספת שהה תחת תנאים מגבילים. ברי כי המעצר או הליך המעצר איננו "מקדמה על חשבון העונש", אולם נדמה כי ניתן ליתן לדברים משקל במסגרת הנסיבה הקבועה </w:t>
      </w:r>
      <w:hyperlink r:id="rId52" w:history="1">
        <w:r w:rsidR="00870889" w:rsidRPr="00870889">
          <w:rPr>
            <w:rFonts w:hint="cs"/>
            <w:color w:val="0000FF"/>
            <w:u w:val="single"/>
            <w:rtl/>
          </w:rPr>
          <w:t>בסעיף</w:t>
        </w:r>
        <w:r w:rsidR="00870889" w:rsidRPr="00870889">
          <w:rPr>
            <w:color w:val="0000FF"/>
            <w:u w:val="single"/>
            <w:rtl/>
          </w:rPr>
          <w:t xml:space="preserve"> 40</w:t>
        </w:r>
        <w:r w:rsidR="00870889" w:rsidRPr="00870889">
          <w:rPr>
            <w:rFonts w:hint="cs"/>
            <w:color w:val="0000FF"/>
            <w:u w:val="single"/>
            <w:rtl/>
          </w:rPr>
          <w:t>יא</w:t>
        </w:r>
        <w:r w:rsidR="00870889" w:rsidRPr="00870889">
          <w:rPr>
            <w:color w:val="0000FF"/>
            <w:u w:val="single"/>
            <w:rtl/>
          </w:rPr>
          <w:t>(3)</w:t>
        </w:r>
      </w:hyperlink>
      <w:r w:rsidRPr="009C351E">
        <w:rPr>
          <w:rFonts w:hint="cs"/>
          <w:rtl/>
        </w:rPr>
        <w:t xml:space="preserve"> ל</w:t>
      </w:r>
      <w:hyperlink r:id="rId53" w:history="1">
        <w:r w:rsidR="0009367C" w:rsidRPr="0009367C">
          <w:rPr>
            <w:rStyle w:val="Hyperlink"/>
            <w:rFonts w:hint="cs"/>
            <w:rtl/>
          </w:rPr>
          <w:t>חוק</w:t>
        </w:r>
        <w:r w:rsidR="0009367C" w:rsidRPr="0009367C">
          <w:rPr>
            <w:rStyle w:val="Hyperlink"/>
            <w:rtl/>
          </w:rPr>
          <w:t xml:space="preserve"> </w:t>
        </w:r>
        <w:r w:rsidR="0009367C" w:rsidRPr="0009367C">
          <w:rPr>
            <w:rStyle w:val="Hyperlink"/>
            <w:rFonts w:hint="cs"/>
            <w:rtl/>
          </w:rPr>
          <w:t>העונשין</w:t>
        </w:r>
      </w:hyperlink>
      <w:r w:rsidRPr="009C351E">
        <w:rPr>
          <w:rFonts w:hint="cs"/>
          <w:rtl/>
        </w:rPr>
        <w:t xml:space="preserve">. </w:t>
      </w:r>
    </w:p>
    <w:p w14:paraId="49523DA6" w14:textId="77777777" w:rsidR="00065231" w:rsidRPr="009C351E" w:rsidRDefault="00065231" w:rsidP="00065231">
      <w:pPr>
        <w:pStyle w:val="ListParagraph"/>
        <w:numPr>
          <w:ilvl w:val="0"/>
          <w:numId w:val="2"/>
        </w:numPr>
        <w:ind w:left="-166"/>
        <w:rPr>
          <w:rtl/>
        </w:rPr>
      </w:pPr>
      <w:r w:rsidRPr="009C351E">
        <w:rPr>
          <w:rFonts w:hint="cs"/>
          <w:rtl/>
        </w:rPr>
        <w:t>בנוסף לאמור, בית המשפט מוצא לשקול לקולא את העובדה שהנאשם מסר בדיקות שתן שהעידו על ניקיונו מסמים. יחד עם זאת, לא מצאתי שבעניינו של הנאשם מתקיימים אותם שיקולי שיקום כבדי משקל שיהיה בהם כדי להצדיק סטייה לקולא ממתחם העונש ההולם אשר נקבע על ידי. שכן, על אף אותן בדיקות שתן שמסר, הנאשם שלל כל נזקקות טיפולית, בטענה כי נגמל משימוש בסמים בכוחות עצמו. בהתאם לכך, הנאשם לא שולב בהליך טיפולי כלשהו. בהיעדר סיוע מגורמים טיפוליים כלשהם, וכאשר במהלך הקשר שלו עם שירות המבחן (עד למסירת 4 הבדיקות האחרונות) הנאשם הרבה שלא להגיע לחלק מבדיקות השתן שאליהן זומן, נדמה כי גמילתו של הנאשם מסמים טרם הושלמה כאשר בנסיבות שכאלה מקנן החשש שמא הוא יחזור להשתמש בסמים, מה שבתורו עלול להוביל לביצוע עבירות נוספות.</w:t>
      </w:r>
    </w:p>
    <w:p w14:paraId="7313D667" w14:textId="77777777" w:rsidR="00065231" w:rsidRPr="009C351E" w:rsidRDefault="00065231" w:rsidP="00065231">
      <w:pPr>
        <w:pStyle w:val="ListParagraph"/>
        <w:ind w:left="-166" w:firstLine="0"/>
      </w:pPr>
      <w:r w:rsidRPr="009C351E">
        <w:rPr>
          <w:rFonts w:hint="cs"/>
          <w:rtl/>
        </w:rPr>
        <w:t xml:space="preserve">יתר על כן, אף אם הייתי קובעת שהנאשם השתקם בצורה מלאה או שקיים סיכוי ממשי לכך (ואינני קובעת זאת), עדיין אין זה אומר כי בית המשפט בהכרח יסטה לקולא ממתחמי הענישה, והרי לא בכדי נוקט </w:t>
      </w:r>
      <w:hyperlink r:id="rId54" w:history="1">
        <w:r w:rsidR="00870889" w:rsidRPr="00870889">
          <w:rPr>
            <w:rFonts w:hint="cs"/>
            <w:color w:val="0000FF"/>
            <w:u w:val="single"/>
            <w:rtl/>
          </w:rPr>
          <w:t>סעיף</w:t>
        </w:r>
        <w:r w:rsidR="00870889" w:rsidRPr="00870889">
          <w:rPr>
            <w:color w:val="0000FF"/>
            <w:u w:val="single"/>
            <w:rtl/>
          </w:rPr>
          <w:t xml:space="preserve"> 40</w:t>
        </w:r>
        <w:r w:rsidR="00870889" w:rsidRPr="00870889">
          <w:rPr>
            <w:rFonts w:hint="cs"/>
            <w:color w:val="0000FF"/>
            <w:u w:val="single"/>
            <w:rtl/>
          </w:rPr>
          <w:t>ד</w:t>
        </w:r>
        <w:r w:rsidR="00870889" w:rsidRPr="00870889">
          <w:rPr>
            <w:color w:val="0000FF"/>
            <w:u w:val="single"/>
            <w:rtl/>
          </w:rPr>
          <w:t>(</w:t>
        </w:r>
        <w:r w:rsidR="00870889" w:rsidRPr="00870889">
          <w:rPr>
            <w:rFonts w:hint="cs"/>
            <w:color w:val="0000FF"/>
            <w:u w:val="single"/>
            <w:rtl/>
          </w:rPr>
          <w:t>א</w:t>
        </w:r>
        <w:r w:rsidR="00870889" w:rsidRPr="00870889">
          <w:rPr>
            <w:color w:val="0000FF"/>
            <w:u w:val="single"/>
            <w:rtl/>
          </w:rPr>
          <w:t>)</w:t>
        </w:r>
      </w:hyperlink>
      <w:r w:rsidRPr="009C351E">
        <w:rPr>
          <w:rFonts w:hint="cs"/>
          <w:rtl/>
        </w:rPr>
        <w:t xml:space="preserve"> ל</w:t>
      </w:r>
      <w:hyperlink r:id="rId55" w:history="1">
        <w:r w:rsidR="0009367C" w:rsidRPr="0009367C">
          <w:rPr>
            <w:rStyle w:val="Hyperlink"/>
            <w:rFonts w:hint="cs"/>
            <w:rtl/>
          </w:rPr>
          <w:t>חוק</w:t>
        </w:r>
        <w:r w:rsidR="0009367C" w:rsidRPr="0009367C">
          <w:rPr>
            <w:rStyle w:val="Hyperlink"/>
            <w:rtl/>
          </w:rPr>
          <w:t xml:space="preserve"> </w:t>
        </w:r>
        <w:r w:rsidR="0009367C" w:rsidRPr="0009367C">
          <w:rPr>
            <w:rStyle w:val="Hyperlink"/>
            <w:rFonts w:hint="cs"/>
            <w:rtl/>
          </w:rPr>
          <w:t>העונשין</w:t>
        </w:r>
      </w:hyperlink>
      <w:r w:rsidRPr="009C351E">
        <w:rPr>
          <w:rFonts w:hint="cs"/>
          <w:rtl/>
        </w:rPr>
        <w:t xml:space="preserve"> – בהתייחסו לאפשרות שבית המשפט יורה על סטייה לקולא ממתחם הענישה משיקולי שיקום – בלשון "רשאי" ולא "חייב".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56"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1521/14</w:t>
        </w:r>
      </w:hyperlink>
      <w:r w:rsidRPr="009C351E">
        <w:rPr>
          <w:rFonts w:hint="cs"/>
          <w:rtl/>
        </w:rPr>
        <w:t xml:space="preserve"> </w:t>
      </w:r>
      <w:r w:rsidRPr="009C351E">
        <w:rPr>
          <w:rFonts w:hint="cs"/>
          <w:b/>
          <w:bCs/>
          <w:rtl/>
        </w:rPr>
        <w:t>יוסף אלפקיר נ' מדינת ישראל</w:t>
      </w:r>
      <w:r w:rsidRPr="009C351E">
        <w:rPr>
          <w:rFonts w:hint="cs"/>
          <w:rtl/>
        </w:rPr>
        <w:t xml:space="preserve">, (16.09.2015); </w:t>
      </w:r>
      <w:r w:rsidRPr="009C351E">
        <w:rPr>
          <w:rFonts w:hint="cs"/>
          <w:u w:val="single"/>
          <w:rtl/>
        </w:rPr>
        <w:t>ו</w:t>
      </w:r>
      <w:hyperlink r:id="rId57"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4097/16</w:t>
        </w:r>
      </w:hyperlink>
      <w:r w:rsidRPr="009C351E">
        <w:rPr>
          <w:rFonts w:hint="cs"/>
          <w:rtl/>
        </w:rPr>
        <w:t xml:space="preserve"> </w:t>
      </w:r>
      <w:r w:rsidRPr="009C351E">
        <w:rPr>
          <w:rFonts w:hint="cs"/>
          <w:b/>
          <w:bCs/>
          <w:rtl/>
        </w:rPr>
        <w:t>מוחמד מחמוד נ' מדינת ישראל</w:t>
      </w:r>
      <w:r w:rsidRPr="009C351E">
        <w:rPr>
          <w:rFonts w:hint="cs"/>
          <w:rtl/>
        </w:rPr>
        <w:t>, (24.05.2016)). במקרה הנדון, הדברים הללו אף מקבלים משנה תוקף, בשים לב לכך שהנאשם שלל כל נזקקות טיפולית (ומבלי שהתעלמתי מכך שמסר כמה בדיקות שתן שנמצאו נקיות משרידי סם).</w:t>
      </w:r>
    </w:p>
    <w:p w14:paraId="5B152A19" w14:textId="77777777" w:rsidR="00065231" w:rsidRPr="009C351E" w:rsidRDefault="00065231" w:rsidP="00065231">
      <w:pPr>
        <w:pStyle w:val="ListParagraph"/>
        <w:ind w:left="-166" w:firstLine="0"/>
        <w:rPr>
          <w:rtl/>
        </w:rPr>
      </w:pPr>
      <w:r w:rsidRPr="009C351E">
        <w:rPr>
          <w:rFonts w:hint="cs"/>
          <w:rtl/>
        </w:rPr>
        <w:t xml:space="preserve">ודוק, בעובדה שהנאשם נגמל בעת הזו משימוש בסמים יהיה גם יהיה כדי להביא להקלה בעונשו, אולם הדבר ייעשה במסגרת גדריו של מתחם העונש ההולם. לשון אחר, אלמלא ניקיונו של הנאשם מסמים, כי אז בית המשפט היה גוזר עליו עונש שלא מצוי בתחתית המתחם, כאשר משמעות הדברים היא שליחתו לריצוי מאסר מאחורי סורג ובריח. במקרה הנדון, העובדה שהוא נגמל מסמים תביא לגזירת עונשו בתחתית המתחם, קרי מאסר לריצוי בעבודות שירות, והרי שהמדובר בהקלה ממשית בעונש שיושת. כמו כן, ניקיונו של הנאשם מסמים, כפי שיפורט בהמשך, אף יישקל לקולא בכל הנוגע לשאלת פסילת רישיון הנהיגה שלו. </w:t>
      </w:r>
    </w:p>
    <w:p w14:paraId="55FCE483" w14:textId="77777777" w:rsidR="00065231" w:rsidRPr="009C351E" w:rsidRDefault="00065231" w:rsidP="00065231">
      <w:pPr>
        <w:pStyle w:val="ListParagraph"/>
        <w:numPr>
          <w:ilvl w:val="0"/>
          <w:numId w:val="2"/>
        </w:numPr>
        <w:ind w:left="-166"/>
        <w:rPr>
          <w:rtl/>
        </w:rPr>
      </w:pPr>
      <w:r w:rsidRPr="009C351E">
        <w:rPr>
          <w:rFonts w:hint="cs"/>
          <w:rtl/>
        </w:rPr>
        <w:t xml:space="preserve">גם כאן אציין, כי למסקנה האמורה הגעתי לאחר שנתתי דעתי להמלצתו של שירות המבחן, אלא שכאמור זה מכבר, המדובר בהמלצה בלבד שבית המשפט איננו מחויב לה, והדברים כבר פורטו קודם לכן. כמו כן, אף לא התעלמתי מהפסיקה שהוגשה לעיוני מטעם הצדדים, ובפרט לא מזו שהוגשה על ידי ההגנה, כאשר חלקה הניכר אף ניתן על ידי מותב זה. אולם, כפי שצוין גם באותם פסקי דין שאליהם הפנתה באת כוח הנאשם המלומדת, נהיר לבית המשפט כי קיימים מקרים שבהם הושתו עונשים החורגים לקולא מהמנעד שהוצג לעיל. הדבר אך טבעי הוא, שכן כידוע, הענישה היא אינדיווידואלית </w:t>
      </w:r>
      <w:r w:rsidRPr="009C351E">
        <w:rPr>
          <w:rFonts w:hint="cs"/>
          <w:b/>
          <w:bCs/>
          <w:rtl/>
        </w:rPr>
        <w:t>ו"אין עסקינן בשיטת ניקוד, או באריתמטיקה. ענישה היא מלאכת מחשבת – ולא מלאכת מחשב"</w:t>
      </w:r>
      <w:r w:rsidRPr="009C351E">
        <w:rPr>
          <w:rFonts w:hint="cs"/>
          <w:rtl/>
        </w:rPr>
        <w:t xml:space="preserve"> (</w:t>
      </w:r>
      <w:hyperlink r:id="rId58"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5768/10</w:t>
        </w:r>
      </w:hyperlink>
      <w:r w:rsidRPr="009C351E">
        <w:rPr>
          <w:rFonts w:hint="cs"/>
          <w:rtl/>
        </w:rPr>
        <w:t xml:space="preserve"> </w:t>
      </w:r>
      <w:r w:rsidRPr="009C351E">
        <w:rPr>
          <w:rFonts w:hint="cs"/>
          <w:b/>
          <w:bCs/>
          <w:rtl/>
        </w:rPr>
        <w:t>פלוני נ' מדינת ישראל</w:t>
      </w:r>
      <w:r w:rsidRPr="009C351E">
        <w:rPr>
          <w:rFonts w:hint="cs"/>
          <w:rtl/>
        </w:rPr>
        <w:t xml:space="preserve">, (08.06.2015)). לעולם אין לגזור עונשו של נאשם על סמך הכותרות של העבירות גרידא וכל מקרה צריך להיבחן לגופו ובנסיבותיו (ראו והשוו </w:t>
      </w:r>
      <w:hyperlink r:id="rId59" w:history="1">
        <w:r w:rsidR="0009367C" w:rsidRPr="0009367C">
          <w:rPr>
            <w:rStyle w:val="Hyperlink"/>
            <w:rFonts w:hint="cs"/>
            <w:rtl/>
          </w:rPr>
          <w:t>ע</w:t>
        </w:r>
        <w:r w:rsidR="0009367C" w:rsidRPr="0009367C">
          <w:rPr>
            <w:rStyle w:val="Hyperlink"/>
            <w:rtl/>
          </w:rPr>
          <w:t>"</w:t>
        </w:r>
        <w:r w:rsidR="0009367C" w:rsidRPr="0009367C">
          <w:rPr>
            <w:rStyle w:val="Hyperlink"/>
            <w:rFonts w:hint="cs"/>
            <w:rtl/>
          </w:rPr>
          <w:t>פ</w:t>
        </w:r>
        <w:r w:rsidR="0009367C" w:rsidRPr="0009367C">
          <w:rPr>
            <w:rStyle w:val="Hyperlink"/>
            <w:rtl/>
          </w:rPr>
          <w:t xml:space="preserve"> 433/89 </w:t>
        </w:r>
        <w:r w:rsidR="0009367C" w:rsidRPr="0009367C">
          <w:rPr>
            <w:rStyle w:val="Hyperlink"/>
            <w:rFonts w:hint="cs"/>
            <w:rtl/>
          </w:rPr>
          <w:t>ג</w:t>
        </w:r>
        <w:r w:rsidR="0009367C" w:rsidRPr="0009367C">
          <w:rPr>
            <w:rStyle w:val="Hyperlink"/>
            <w:rtl/>
          </w:rPr>
          <w:t>'</w:t>
        </w:r>
        <w:r w:rsidR="0009367C" w:rsidRPr="0009367C">
          <w:rPr>
            <w:rStyle w:val="Hyperlink"/>
            <w:rFonts w:hint="cs"/>
            <w:rtl/>
          </w:rPr>
          <w:t>ורג</w:t>
        </w:r>
        <w:r w:rsidR="0009367C" w:rsidRPr="0009367C">
          <w:rPr>
            <w:rStyle w:val="Hyperlink"/>
            <w:rtl/>
          </w:rPr>
          <w:t xml:space="preserve">' </w:t>
        </w:r>
        <w:r w:rsidR="0009367C" w:rsidRPr="0009367C">
          <w:rPr>
            <w:rStyle w:val="Hyperlink"/>
            <w:rFonts w:hint="cs"/>
            <w:rtl/>
          </w:rPr>
          <w:t>אטיאס</w:t>
        </w:r>
        <w:r w:rsidR="0009367C" w:rsidRPr="0009367C">
          <w:rPr>
            <w:rStyle w:val="Hyperlink"/>
            <w:rtl/>
          </w:rPr>
          <w:t xml:space="preserve"> </w:t>
        </w:r>
        <w:r w:rsidR="0009367C" w:rsidRPr="0009367C">
          <w:rPr>
            <w:rStyle w:val="Hyperlink"/>
            <w:rFonts w:hint="cs"/>
            <w:rtl/>
          </w:rPr>
          <w:t>נ</w:t>
        </w:r>
        <w:r w:rsidR="0009367C" w:rsidRPr="0009367C">
          <w:rPr>
            <w:rStyle w:val="Hyperlink"/>
            <w:rtl/>
          </w:rPr>
          <w:t xml:space="preserve">' </w:t>
        </w:r>
        <w:r w:rsidR="0009367C" w:rsidRPr="0009367C">
          <w:rPr>
            <w:rStyle w:val="Hyperlink"/>
            <w:rFonts w:hint="cs"/>
            <w:rtl/>
          </w:rPr>
          <w:t>מדינת</w:t>
        </w:r>
        <w:r w:rsidR="0009367C" w:rsidRPr="0009367C">
          <w:rPr>
            <w:rStyle w:val="Hyperlink"/>
            <w:rtl/>
          </w:rPr>
          <w:t xml:space="preserve"> </w:t>
        </w:r>
        <w:r w:rsidR="0009367C" w:rsidRPr="0009367C">
          <w:rPr>
            <w:rStyle w:val="Hyperlink"/>
            <w:rFonts w:hint="cs"/>
            <w:rtl/>
          </w:rPr>
          <w:t>ישראל</w:t>
        </w:r>
        <w:r w:rsidR="0009367C" w:rsidRPr="0009367C">
          <w:rPr>
            <w:rStyle w:val="Hyperlink"/>
            <w:rtl/>
          </w:rPr>
          <w:t xml:space="preserve">, </w:t>
        </w:r>
        <w:r w:rsidR="0009367C" w:rsidRPr="0009367C">
          <w:rPr>
            <w:rStyle w:val="Hyperlink"/>
            <w:rFonts w:hint="cs"/>
            <w:rtl/>
          </w:rPr>
          <w:t>פ</w:t>
        </w:r>
        <w:r w:rsidR="0009367C" w:rsidRPr="0009367C">
          <w:rPr>
            <w:rStyle w:val="Hyperlink"/>
            <w:rtl/>
          </w:rPr>
          <w:t>"</w:t>
        </w:r>
        <w:r w:rsidR="0009367C" w:rsidRPr="0009367C">
          <w:rPr>
            <w:rStyle w:val="Hyperlink"/>
            <w:rFonts w:hint="cs"/>
            <w:rtl/>
          </w:rPr>
          <w:t>ד</w:t>
        </w:r>
        <w:r w:rsidR="0009367C" w:rsidRPr="0009367C">
          <w:rPr>
            <w:rStyle w:val="Hyperlink"/>
            <w:rtl/>
          </w:rPr>
          <w:t xml:space="preserve"> </w:t>
        </w:r>
        <w:r w:rsidR="0009367C" w:rsidRPr="0009367C">
          <w:rPr>
            <w:rStyle w:val="Hyperlink"/>
            <w:rFonts w:hint="cs"/>
            <w:rtl/>
          </w:rPr>
          <w:t>מג</w:t>
        </w:r>
      </w:hyperlink>
      <w:r w:rsidRPr="009C351E">
        <w:rPr>
          <w:rFonts w:hint="cs"/>
          <w:rtl/>
        </w:rPr>
        <w:t xml:space="preserve">(4) 170, (1989); </w:t>
      </w:r>
      <w:r w:rsidRPr="009C351E">
        <w:rPr>
          <w:rFonts w:hint="cs"/>
          <w:u w:val="single"/>
          <w:rtl/>
        </w:rPr>
        <w:t>ו</w:t>
      </w:r>
      <w:hyperlink r:id="rId60" w:history="1">
        <w:r w:rsidR="0009367C" w:rsidRPr="0009367C">
          <w:rPr>
            <w:rStyle w:val="Hyperlink"/>
            <w:rFonts w:hint="cs"/>
            <w:rtl/>
          </w:rPr>
          <w:t>רע</w:t>
        </w:r>
        <w:r w:rsidR="0009367C" w:rsidRPr="0009367C">
          <w:rPr>
            <w:rStyle w:val="Hyperlink"/>
            <w:rtl/>
          </w:rPr>
          <w:t>"</w:t>
        </w:r>
        <w:r w:rsidR="0009367C" w:rsidRPr="0009367C">
          <w:rPr>
            <w:rStyle w:val="Hyperlink"/>
            <w:rFonts w:hint="cs"/>
            <w:rtl/>
          </w:rPr>
          <w:t>פ</w:t>
        </w:r>
        <w:r w:rsidR="0009367C" w:rsidRPr="0009367C">
          <w:rPr>
            <w:rStyle w:val="Hyperlink"/>
            <w:rtl/>
          </w:rPr>
          <w:t xml:space="preserve"> 3173/09</w:t>
        </w:r>
      </w:hyperlink>
      <w:r w:rsidRPr="009C351E">
        <w:rPr>
          <w:rFonts w:hint="cs"/>
          <w:rtl/>
        </w:rPr>
        <w:t xml:space="preserve"> </w:t>
      </w:r>
      <w:r w:rsidRPr="009C351E">
        <w:rPr>
          <w:rFonts w:hint="cs"/>
          <w:b/>
          <w:bCs/>
          <w:rtl/>
        </w:rPr>
        <w:t>פראגין נ' מדינת ישראל</w:t>
      </w:r>
      <w:r w:rsidRPr="009C351E">
        <w:rPr>
          <w:rFonts w:hint="cs"/>
          <w:rtl/>
        </w:rPr>
        <w:t>, (05.05.2009)).</w:t>
      </w:r>
    </w:p>
    <w:p w14:paraId="61D750DA" w14:textId="77777777" w:rsidR="00065231" w:rsidRPr="009C351E" w:rsidRDefault="00065231" w:rsidP="00065231">
      <w:pPr>
        <w:pStyle w:val="ListParagraph"/>
        <w:numPr>
          <w:ilvl w:val="0"/>
          <w:numId w:val="2"/>
        </w:numPr>
        <w:ind w:left="-166"/>
      </w:pPr>
      <w:r w:rsidRPr="009C351E">
        <w:rPr>
          <w:rFonts w:hint="cs"/>
          <w:rtl/>
        </w:rPr>
        <w:t>כללם של דברים, משנתתי דעתי למכלול הנסיבות שאינן קשורות לביצוע העבירות, ובכלל זה לעברו הפלילי הנקי של הנאשם, לעובדה כי הודה במיוחס לו, ולאור כך שמסר לאחרונה בדיקות שתן שנמצאו נקיות משרידי סם, מצאתי כי יש להשית עליו עונש המצוי ברף התחתון של המתחם אשר נקבע על ידי.</w:t>
      </w:r>
    </w:p>
    <w:p w14:paraId="1C459E2E" w14:textId="77777777" w:rsidR="00065231" w:rsidRPr="009C351E" w:rsidRDefault="00065231" w:rsidP="00065231">
      <w:pPr>
        <w:pStyle w:val="ListParagraph"/>
        <w:ind w:left="-166" w:firstLine="0"/>
      </w:pPr>
      <w:r w:rsidRPr="009C351E">
        <w:rPr>
          <w:rFonts w:hint="cs"/>
          <w:rtl/>
        </w:rPr>
        <w:t xml:space="preserve">בכל הנוגע לרכיב פסילת רישיון הנהיגה של הנאשם, בשים לב לעובדה שהמדובר בנאשם בעל עבר פלילי חף מהרשעות קודמות, ובייחוד בשים לב לכך שמסר בדיקות שתן שהעידו על ניקיונו מסמים,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העבירות, בקביעת גובהו יילקחו בחשבון גם מכלול מאפייניו החיוביים של הנאשם, כפי שפורט לעיל, ואף הפגיעה הכלכלית שצפויה להיגרם לו כתוצאה מעונש המאסר לריצוי בעבודות שירות אשר יושת עליו. </w:t>
      </w:r>
    </w:p>
    <w:p w14:paraId="35D1FC2A" w14:textId="77777777" w:rsidR="00065231" w:rsidRPr="009C351E" w:rsidRDefault="00065231" w:rsidP="00065231">
      <w:pPr>
        <w:pStyle w:val="ListParagraph"/>
        <w:numPr>
          <w:ilvl w:val="0"/>
          <w:numId w:val="2"/>
        </w:numPr>
        <w:ind w:left="-166"/>
        <w:rPr>
          <w:b/>
          <w:bCs/>
        </w:rPr>
      </w:pPr>
      <w:r w:rsidRPr="009C351E">
        <w:rPr>
          <w:rFonts w:hint="cs"/>
          <w:b/>
          <w:bCs/>
          <w:rtl/>
        </w:rPr>
        <w:t>מכל המקובץ לעיל, הריני גוזרת על הנאשם את העונשים הבאים:</w:t>
      </w:r>
    </w:p>
    <w:p w14:paraId="53C3AC9A" w14:textId="77777777" w:rsidR="00065231" w:rsidRPr="009C351E" w:rsidRDefault="00065231" w:rsidP="00065231">
      <w:pPr>
        <w:pStyle w:val="ListParagraph"/>
        <w:numPr>
          <w:ilvl w:val="0"/>
          <w:numId w:val="3"/>
        </w:numPr>
        <w:ind w:left="260"/>
        <w:rPr>
          <w:b/>
          <w:bCs/>
        </w:rPr>
      </w:pPr>
      <w:r w:rsidRPr="009C351E">
        <w:rPr>
          <w:rFonts w:hint="cs"/>
          <w:b/>
          <w:bCs/>
          <w:rtl/>
        </w:rPr>
        <w:t xml:space="preserve">6 חודשי מאסר בפועל, שירוצו בעבודות שירות, </w:t>
      </w:r>
      <w:r w:rsidRPr="009C351E">
        <w:rPr>
          <w:rFonts w:hint="cs"/>
          <w:b/>
          <w:bCs/>
          <w:u w:val="single"/>
          <w:rtl/>
        </w:rPr>
        <w:t>בניכוי ימי מעצרו</w:t>
      </w:r>
      <w:r w:rsidRPr="009C351E">
        <w:rPr>
          <w:rFonts w:hint="cs"/>
          <w:b/>
          <w:bCs/>
          <w:rtl/>
        </w:rPr>
        <w:t>.</w:t>
      </w:r>
    </w:p>
    <w:p w14:paraId="14C16584" w14:textId="77777777" w:rsidR="00065231" w:rsidRPr="009C351E" w:rsidRDefault="00065231" w:rsidP="00065231">
      <w:pPr>
        <w:pStyle w:val="ListParagraph"/>
        <w:ind w:left="260" w:firstLine="0"/>
      </w:pPr>
      <w:r w:rsidRPr="009C351E">
        <w:rPr>
          <w:rFonts w:hint="cs"/>
          <w:rtl/>
        </w:rPr>
        <w:t xml:space="preserve">בהתאם לאמור בחוות דעת הממונה על עבודות השירות מיום 01.10.2017 הנאשם יחל בריצוי המאסר ביום 15.11.2017, אלא אם הממונה יודיעו אחרת. העבודות תבוצענה בגן הלאומי באשקלון, רשות הטבע והגנים. </w:t>
      </w:r>
    </w:p>
    <w:p w14:paraId="5A603D10" w14:textId="77777777" w:rsidR="00065231" w:rsidRPr="009C351E" w:rsidRDefault="00065231" w:rsidP="00065231">
      <w:pPr>
        <w:pStyle w:val="ListParagraph"/>
        <w:ind w:left="260" w:firstLine="0"/>
        <w:rPr>
          <w:rtl/>
        </w:rPr>
      </w:pPr>
      <w:r w:rsidRPr="009C351E">
        <w:rPr>
          <w:rFonts w:hint="cs"/>
          <w:rtl/>
        </w:rPr>
        <w:t>על הנאשם להתייצב לריצוי המאסר במפקדת גוש דרום של שב"ס ביחידה לעבודות השירות במועד הנקוב בשעה 08:00 או בכל מועד אחר שייקבע הממונה על עבודות השירות.</w:t>
      </w:r>
    </w:p>
    <w:p w14:paraId="39136CEC" w14:textId="77777777" w:rsidR="00065231" w:rsidRPr="009C351E" w:rsidRDefault="00065231" w:rsidP="00065231">
      <w:pPr>
        <w:pStyle w:val="ListParagraph"/>
        <w:ind w:left="118" w:firstLine="142"/>
        <w:rPr>
          <w:rtl/>
        </w:rPr>
      </w:pPr>
      <w:r w:rsidRPr="009C351E">
        <w:rPr>
          <w:rFonts w:hint="cs"/>
          <w:rtl/>
        </w:rPr>
        <w:t xml:space="preserve">בהסכמת הנאשם, הממונה על עבודות השירות יוכל לבצע בדיקות שתן לנאשם, ככל שיידרש. </w:t>
      </w:r>
    </w:p>
    <w:p w14:paraId="394678F8" w14:textId="77777777" w:rsidR="00065231" w:rsidRPr="009C351E" w:rsidRDefault="00065231" w:rsidP="00065231">
      <w:pPr>
        <w:pStyle w:val="ListParagraph"/>
        <w:ind w:left="118" w:firstLine="142"/>
        <w:rPr>
          <w:b/>
          <w:bCs/>
          <w:rtl/>
        </w:rPr>
      </w:pPr>
      <w:r w:rsidRPr="009C351E">
        <w:rPr>
          <w:rFonts w:hint="cs"/>
          <w:rtl/>
        </w:rPr>
        <w:t>מוסבר לנאשם כי עליו לעמוד בתנאי העבודה, וכי כל הפרה של תנאי עבודות השירות עלולה להביא להפסקה מנהלית של העבודות ולריצוי יתרת התקופה במאסר ממש</w:t>
      </w:r>
      <w:r w:rsidRPr="009C351E">
        <w:rPr>
          <w:rFonts w:hint="cs"/>
          <w:b/>
          <w:bCs/>
          <w:rtl/>
        </w:rPr>
        <w:t>.</w:t>
      </w:r>
    </w:p>
    <w:p w14:paraId="5F9B96C3" w14:textId="77777777" w:rsidR="00065231" w:rsidRPr="009C351E" w:rsidRDefault="00065231" w:rsidP="00065231">
      <w:pPr>
        <w:pStyle w:val="ListParagraph"/>
        <w:ind w:left="260" w:firstLine="0"/>
        <w:rPr>
          <w:b/>
          <w:bCs/>
          <w:u w:val="single"/>
          <w:rtl/>
        </w:rPr>
      </w:pPr>
      <w:r w:rsidRPr="009C351E">
        <w:rPr>
          <w:rFonts w:hint="cs"/>
          <w:b/>
          <w:bCs/>
          <w:u w:val="single"/>
          <w:rtl/>
        </w:rPr>
        <w:t>העתק ההחלטה בדחיפות לממונה על עבודות השירות.</w:t>
      </w:r>
    </w:p>
    <w:p w14:paraId="6EF39A6B" w14:textId="77777777" w:rsidR="00065231" w:rsidRPr="009C351E" w:rsidRDefault="00065231" w:rsidP="00065231">
      <w:pPr>
        <w:pStyle w:val="ListParagraph"/>
        <w:numPr>
          <w:ilvl w:val="0"/>
          <w:numId w:val="3"/>
        </w:numPr>
        <w:ind w:left="260"/>
        <w:rPr>
          <w:b/>
          <w:bCs/>
        </w:rPr>
      </w:pPr>
      <w:r w:rsidRPr="009C351E">
        <w:rPr>
          <w:rFonts w:hint="cs"/>
          <w:b/>
          <w:bCs/>
          <w:rtl/>
        </w:rPr>
        <w:t>צו מבחן של שירות המבחן למשך שנה מהיום.</w:t>
      </w:r>
    </w:p>
    <w:p w14:paraId="1277E413" w14:textId="77777777" w:rsidR="00065231" w:rsidRPr="009C351E" w:rsidRDefault="00065231" w:rsidP="00065231">
      <w:pPr>
        <w:pStyle w:val="ListParagraph"/>
        <w:ind w:left="260" w:firstLine="0"/>
        <w:rPr>
          <w:rFonts w:eastAsia="Times New Roman"/>
        </w:rPr>
      </w:pPr>
      <w:r w:rsidRPr="009C351E">
        <w:rPr>
          <w:rFonts w:eastAsia="Times New Roman" w:hint="cs"/>
          <w:rtl/>
        </w:rPr>
        <w:t>הובהרה לנאשם חשיבות שיתוף הפעולה עם שירות המבחן, והמשמעויות של אי עמידה בתנאי צו המבחן.</w:t>
      </w:r>
    </w:p>
    <w:p w14:paraId="1C756148" w14:textId="77777777" w:rsidR="00065231" w:rsidRPr="009C351E" w:rsidRDefault="00065231" w:rsidP="00065231">
      <w:pPr>
        <w:pStyle w:val="ListParagraph"/>
        <w:ind w:left="260" w:firstLine="0"/>
        <w:rPr>
          <w:b/>
          <w:bCs/>
          <w:u w:val="single"/>
          <w:rtl/>
        </w:rPr>
      </w:pPr>
      <w:r w:rsidRPr="009C351E">
        <w:rPr>
          <w:rFonts w:eastAsia="Times New Roman" w:hint="cs"/>
          <w:b/>
          <w:bCs/>
          <w:u w:val="single"/>
          <w:rtl/>
        </w:rPr>
        <w:t>העתק ההחלטה לשירות המבחן</w:t>
      </w:r>
      <w:r w:rsidRPr="009C351E">
        <w:rPr>
          <w:rFonts w:hint="cs"/>
          <w:b/>
          <w:bCs/>
          <w:u w:val="single"/>
          <w:rtl/>
        </w:rPr>
        <w:t>.</w:t>
      </w:r>
    </w:p>
    <w:p w14:paraId="5E21B95B" w14:textId="77777777" w:rsidR="00065231" w:rsidRPr="009C351E" w:rsidRDefault="00065231" w:rsidP="00065231">
      <w:pPr>
        <w:pStyle w:val="ListParagraph"/>
        <w:numPr>
          <w:ilvl w:val="0"/>
          <w:numId w:val="3"/>
        </w:numPr>
        <w:ind w:left="260"/>
        <w:rPr>
          <w:b/>
          <w:bCs/>
        </w:rPr>
      </w:pPr>
      <w:r w:rsidRPr="009C351E">
        <w:rPr>
          <w:rFonts w:hint="cs"/>
          <w:b/>
          <w:bCs/>
          <w:rtl/>
        </w:rPr>
        <w:t>מאסר מותנה למשך 8 חודשים, אשר יופעל אם תוך תקופה של 3 שנים מהיום הנאשם יעבור עבירה לפי פקודת הסמים, מסוג פשע.</w:t>
      </w:r>
    </w:p>
    <w:p w14:paraId="4ED0CCB9" w14:textId="77777777" w:rsidR="00065231" w:rsidRPr="009C351E" w:rsidRDefault="00065231" w:rsidP="00065231">
      <w:pPr>
        <w:pStyle w:val="ListParagraph"/>
        <w:numPr>
          <w:ilvl w:val="0"/>
          <w:numId w:val="3"/>
        </w:numPr>
        <w:ind w:left="260"/>
        <w:rPr>
          <w:b/>
          <w:bCs/>
        </w:rPr>
      </w:pPr>
      <w:r w:rsidRPr="009C351E">
        <w:rPr>
          <w:rFonts w:hint="cs"/>
          <w:b/>
          <w:bCs/>
          <w:rtl/>
        </w:rPr>
        <w:t>מאסר מותנה למשך 4 חודשים, אשר יופעל אם תוך תקופה של 3 שנים מהיום הנאשם יעבור עבירה לפי פקודת הסמים, מסוג עוון.</w:t>
      </w:r>
    </w:p>
    <w:p w14:paraId="3B4AA7EE" w14:textId="77777777" w:rsidR="00065231" w:rsidRPr="009C351E" w:rsidRDefault="00065231" w:rsidP="00065231">
      <w:pPr>
        <w:pStyle w:val="ListParagraph"/>
        <w:numPr>
          <w:ilvl w:val="0"/>
          <w:numId w:val="3"/>
        </w:numPr>
        <w:ind w:left="260"/>
        <w:rPr>
          <w:b/>
          <w:bCs/>
        </w:rPr>
      </w:pPr>
      <w:r w:rsidRPr="009C351E">
        <w:rPr>
          <w:rFonts w:hint="cs"/>
          <w:b/>
          <w:bCs/>
          <w:rtl/>
        </w:rPr>
        <w:t>קנס בסך 2,500 ₪ או 25 ימי מאסר תמורתו.</w:t>
      </w:r>
    </w:p>
    <w:p w14:paraId="3A191D51" w14:textId="77777777" w:rsidR="00065231" w:rsidRPr="009C351E" w:rsidRDefault="00065231" w:rsidP="00065231">
      <w:pPr>
        <w:pStyle w:val="ListParagraph"/>
        <w:ind w:left="260" w:firstLine="0"/>
      </w:pPr>
      <w:r w:rsidRPr="009C351E">
        <w:rPr>
          <w:rFonts w:hint="cs"/>
          <w:rtl/>
        </w:rPr>
        <w:t>הקנס יקוזז מסכום ההפקדה הקיימת בתיק זה.</w:t>
      </w:r>
      <w:r>
        <w:rPr>
          <w:rFonts w:hint="cs"/>
          <w:rtl/>
        </w:rPr>
        <w:t xml:space="preserve"> היתרה תושב לאביו של הנאשם.</w:t>
      </w:r>
    </w:p>
    <w:p w14:paraId="70868DAE" w14:textId="77777777" w:rsidR="00065231" w:rsidRPr="009C351E" w:rsidRDefault="00065231" w:rsidP="00065231">
      <w:pPr>
        <w:pStyle w:val="ListParagraph"/>
        <w:ind w:left="260" w:firstLine="0"/>
      </w:pPr>
      <w:r w:rsidRPr="009C351E">
        <w:rPr>
          <w:rFonts w:hint="cs"/>
          <w:rtl/>
        </w:rPr>
        <w:t>ככל שיוברר כי לא קיימת הפקדה בתיק או שלא ניתן מסיבה חוקית כזו או אחרת לקזז מתוכה את הקנס שהושת או את חלקו, כי אז הקנס או יתרת הקנס ישולם ב</w:t>
      </w:r>
      <w:r>
        <w:rPr>
          <w:rFonts w:hint="cs"/>
          <w:rtl/>
        </w:rPr>
        <w:t>- 10</w:t>
      </w:r>
      <w:r w:rsidRPr="009C351E">
        <w:rPr>
          <w:rFonts w:hint="cs"/>
          <w:rtl/>
        </w:rPr>
        <w:t xml:space="preserve"> שיעורים שווים ו</w:t>
      </w:r>
      <w:r>
        <w:rPr>
          <w:rFonts w:hint="cs"/>
          <w:rtl/>
        </w:rPr>
        <w:t>רצופים, שהראשון שבהם ביום 16/4/18.</w:t>
      </w:r>
    </w:p>
    <w:p w14:paraId="74F64392" w14:textId="77777777" w:rsidR="00065231" w:rsidRPr="009C351E" w:rsidRDefault="00065231" w:rsidP="00065231">
      <w:pPr>
        <w:pStyle w:val="ListParagraph"/>
        <w:numPr>
          <w:ilvl w:val="0"/>
          <w:numId w:val="3"/>
        </w:numPr>
        <w:ind w:left="260"/>
        <w:rPr>
          <w:b/>
          <w:bCs/>
        </w:rPr>
      </w:pPr>
      <w:r w:rsidRPr="009C351E">
        <w:rPr>
          <w:rFonts w:eastAsia="Times New Roman" w:hint="cs"/>
          <w:b/>
          <w:bCs/>
          <w:rtl/>
        </w:rPr>
        <w:t xml:space="preserve">הנאשם יחתום על התחייבות כספית על סך 10,000 ₪ שלא לעבור כל עבירת בניגוד לפקודת הסמים, וזאת לתקופה של שלוש שנים מהיום. </w:t>
      </w:r>
    </w:p>
    <w:p w14:paraId="268B1F84" w14:textId="77777777" w:rsidR="00065231" w:rsidRPr="009C351E" w:rsidRDefault="00065231" w:rsidP="00065231">
      <w:pPr>
        <w:pStyle w:val="ListParagraph"/>
        <w:ind w:left="260" w:firstLine="0"/>
        <w:rPr>
          <w:rFonts w:eastAsia="Times New Roman"/>
        </w:rPr>
      </w:pPr>
      <w:r w:rsidRPr="009C351E">
        <w:rPr>
          <w:rFonts w:eastAsia="Times New Roman" w:hint="cs"/>
          <w:rtl/>
        </w:rPr>
        <w:t>ככל שלא תיחתם ההתחייבות תוך 7 ימים, ייאסר הנאשם למשך 10 ימים.</w:t>
      </w:r>
    </w:p>
    <w:p w14:paraId="4244DEF3" w14:textId="77777777" w:rsidR="00065231" w:rsidRPr="009C351E" w:rsidRDefault="00065231" w:rsidP="00065231">
      <w:pPr>
        <w:pStyle w:val="ListParagraph"/>
        <w:ind w:left="260" w:hanging="426"/>
        <w:rPr>
          <w:rFonts w:eastAsia="Times New Roman"/>
          <w:rtl/>
        </w:rPr>
      </w:pPr>
      <w:r w:rsidRPr="009C351E">
        <w:rPr>
          <w:rFonts w:eastAsia="Times New Roman" w:hint="cs"/>
          <w:rtl/>
        </w:rPr>
        <w:t xml:space="preserve">ז.     אני פוסלת את הנאשם מלקבל או מלהחזיק רישיון נהיגה למשך 4 חודשים, וזאת על תנאי שלא </w:t>
      </w:r>
    </w:p>
    <w:p w14:paraId="6729DB81" w14:textId="77777777" w:rsidR="00065231" w:rsidRPr="009C351E" w:rsidRDefault="00065231" w:rsidP="00065231">
      <w:pPr>
        <w:pStyle w:val="ListParagraph"/>
        <w:ind w:left="260" w:firstLine="0"/>
        <w:rPr>
          <w:rFonts w:eastAsia="Times New Roman"/>
          <w:rtl/>
        </w:rPr>
      </w:pPr>
      <w:r w:rsidRPr="009C351E">
        <w:rPr>
          <w:rFonts w:eastAsia="Times New Roman" w:hint="cs"/>
          <w:rtl/>
        </w:rPr>
        <w:t>יעבור כל עבירה בניגוד ל</w:t>
      </w:r>
      <w:hyperlink r:id="rId61" w:history="1">
        <w:r w:rsidR="0009367C" w:rsidRPr="0009367C">
          <w:rPr>
            <w:rStyle w:val="Hyperlink"/>
            <w:rFonts w:eastAsia="Times New Roman" w:hint="eastAsia"/>
            <w:rtl/>
          </w:rPr>
          <w:t>פקודת</w:t>
        </w:r>
        <w:r w:rsidR="0009367C" w:rsidRPr="0009367C">
          <w:rPr>
            <w:rStyle w:val="Hyperlink"/>
            <w:rFonts w:eastAsia="Times New Roman"/>
            <w:rtl/>
          </w:rPr>
          <w:t xml:space="preserve"> </w:t>
        </w:r>
        <w:r w:rsidR="0009367C" w:rsidRPr="0009367C">
          <w:rPr>
            <w:rStyle w:val="Hyperlink"/>
            <w:rFonts w:eastAsia="Times New Roman" w:hint="eastAsia"/>
            <w:rtl/>
          </w:rPr>
          <w:t>הסמים</w:t>
        </w:r>
        <w:r w:rsidR="0009367C" w:rsidRPr="0009367C">
          <w:rPr>
            <w:rStyle w:val="Hyperlink"/>
            <w:rFonts w:eastAsia="Times New Roman"/>
            <w:rtl/>
          </w:rPr>
          <w:t xml:space="preserve"> </w:t>
        </w:r>
        <w:r w:rsidR="0009367C" w:rsidRPr="0009367C">
          <w:rPr>
            <w:rStyle w:val="Hyperlink"/>
            <w:rFonts w:eastAsia="Times New Roman" w:hint="eastAsia"/>
            <w:rtl/>
          </w:rPr>
          <w:t>המסוכנים</w:t>
        </w:r>
      </w:hyperlink>
      <w:r w:rsidRPr="009C351E">
        <w:rPr>
          <w:rFonts w:eastAsia="Times New Roman" w:hint="cs"/>
          <w:rtl/>
        </w:rPr>
        <w:t xml:space="preserve"> במשך שנתיים מהיום.</w:t>
      </w:r>
    </w:p>
    <w:p w14:paraId="4BD6CBCA" w14:textId="77777777" w:rsidR="00065231" w:rsidRDefault="00065231" w:rsidP="00065231">
      <w:pPr>
        <w:rPr>
          <w:rFonts w:ascii="Calibri" w:hAnsi="Calibri"/>
          <w:rtl/>
        </w:rPr>
      </w:pPr>
    </w:p>
    <w:p w14:paraId="0A54DBC1" w14:textId="77777777" w:rsidR="00065231" w:rsidRPr="009C351E" w:rsidRDefault="00065231" w:rsidP="00065231">
      <w:pPr>
        <w:rPr>
          <w:rtl/>
        </w:rPr>
      </w:pPr>
      <w:r w:rsidRPr="001D4BE5">
        <w:rPr>
          <w:rFonts w:ascii="Calibri" w:hAnsi="Calibri" w:hint="cs"/>
          <w:rtl/>
        </w:rPr>
        <w:t xml:space="preserve">מורה על השמדת המוצגים – </w:t>
      </w:r>
      <w:r>
        <w:rPr>
          <w:rFonts w:ascii="Calibri" w:hAnsi="Calibri" w:hint="cs"/>
          <w:rtl/>
        </w:rPr>
        <w:t>סמים וכלים</w:t>
      </w:r>
      <w:r w:rsidRPr="001D4BE5">
        <w:rPr>
          <w:rFonts w:ascii="Calibri" w:hAnsi="Calibri" w:hint="cs"/>
          <w:rtl/>
        </w:rPr>
        <w:t xml:space="preserve">, בכפוף </w:t>
      </w:r>
      <w:r w:rsidRPr="009C351E">
        <w:rPr>
          <w:rFonts w:hint="cs"/>
          <w:rtl/>
        </w:rPr>
        <w:t>לחלוף תקופת הערעור.</w:t>
      </w:r>
    </w:p>
    <w:p w14:paraId="747F26A5" w14:textId="77777777" w:rsidR="00065231" w:rsidRDefault="00065231" w:rsidP="00065231">
      <w:pPr>
        <w:spacing w:line="360" w:lineRule="auto"/>
        <w:jc w:val="both"/>
        <w:rPr>
          <w:b/>
          <w:bCs/>
          <w:rtl/>
        </w:rPr>
      </w:pPr>
    </w:p>
    <w:p w14:paraId="4CFA763C" w14:textId="77777777" w:rsidR="00065231" w:rsidRPr="009C351E" w:rsidRDefault="0009367C" w:rsidP="00065231">
      <w:pPr>
        <w:spacing w:line="360" w:lineRule="auto"/>
        <w:jc w:val="both"/>
        <w:rPr>
          <w:b/>
          <w:bCs/>
        </w:rPr>
      </w:pPr>
      <w:r w:rsidRPr="0009367C">
        <w:rPr>
          <w:b/>
          <w:bCs/>
          <w:color w:val="FFFFFF"/>
          <w:sz w:val="2"/>
          <w:szCs w:val="2"/>
          <w:rtl/>
        </w:rPr>
        <w:t>5129371</w:t>
      </w:r>
      <w:r w:rsidR="00065231" w:rsidRPr="009C351E">
        <w:rPr>
          <w:rFonts w:hint="cs"/>
          <w:b/>
          <w:bCs/>
          <w:rtl/>
        </w:rPr>
        <w:t>זכות ערעור כחוק.</w:t>
      </w:r>
    </w:p>
    <w:p w14:paraId="3F96C406" w14:textId="77777777" w:rsidR="00065231" w:rsidRPr="009C351E" w:rsidRDefault="0009367C" w:rsidP="00065231">
      <w:pPr>
        <w:spacing w:line="360" w:lineRule="auto"/>
        <w:jc w:val="both"/>
        <w:rPr>
          <w:rFonts w:ascii="Arial" w:hAnsi="Arial"/>
          <w:noProof w:val="0"/>
          <w:rtl/>
        </w:rPr>
      </w:pPr>
      <w:r w:rsidRPr="0009367C">
        <w:rPr>
          <w:rFonts w:ascii="Arial" w:hAnsi="Arial"/>
          <w:b/>
          <w:bCs/>
          <w:noProof w:val="0"/>
          <w:color w:val="FFFFFF"/>
          <w:sz w:val="2"/>
          <w:szCs w:val="2"/>
          <w:rtl/>
        </w:rPr>
        <w:t>54678313</w:t>
      </w:r>
      <w:r>
        <w:rPr>
          <w:rFonts w:ascii="Arial" w:hAnsi="Arial"/>
          <w:b/>
          <w:bCs/>
          <w:noProof w:val="0"/>
          <w:rtl/>
        </w:rPr>
        <w:t xml:space="preserve">ניתן היום,  כ"ו תשרי תשע"ח, 16 אוקטובר 2017, במעמד הצדדים דלעיל.  </w:t>
      </w:r>
    </w:p>
    <w:p w14:paraId="15EAE70F" w14:textId="77777777" w:rsidR="00065231" w:rsidRPr="009C351E" w:rsidRDefault="00065231" w:rsidP="00065231">
      <w:pPr>
        <w:spacing w:line="360" w:lineRule="auto"/>
        <w:ind w:left="3492" w:firstLine="720"/>
        <w:jc w:val="both"/>
      </w:pPr>
      <w:r>
        <w:rPr>
          <w:rtl/>
        </w:rPr>
        <w:t xml:space="preserve">     </w:t>
      </w:r>
    </w:p>
    <w:p w14:paraId="6FAEEBDC" w14:textId="77777777" w:rsidR="00065231" w:rsidRPr="009C351E" w:rsidRDefault="00065231" w:rsidP="00065231">
      <w:pPr>
        <w:spacing w:line="360" w:lineRule="auto"/>
        <w:ind w:left="3492" w:firstLine="720"/>
        <w:jc w:val="both"/>
        <w:rPr>
          <w:rFonts w:ascii="Arial" w:hAnsi="Arial"/>
          <w:noProof w:val="0"/>
          <w:rtl/>
        </w:rPr>
      </w:pPr>
    </w:p>
    <w:p w14:paraId="249B46B8" w14:textId="77777777" w:rsidR="00065231" w:rsidRPr="009C351E" w:rsidRDefault="00065231" w:rsidP="00065231">
      <w:pPr>
        <w:spacing w:line="360" w:lineRule="auto"/>
        <w:jc w:val="both"/>
        <w:rPr>
          <w:rFonts w:ascii="Arial" w:hAnsi="Arial"/>
          <w:noProof w:val="0"/>
          <w:rtl/>
        </w:rPr>
      </w:pPr>
    </w:p>
    <w:p w14:paraId="73F4B49E" w14:textId="77777777" w:rsidR="00065231" w:rsidRPr="00870889" w:rsidRDefault="00870889" w:rsidP="00065231">
      <w:pPr>
        <w:spacing w:line="360" w:lineRule="auto"/>
        <w:jc w:val="both"/>
        <w:rPr>
          <w:rFonts w:ascii="Arial" w:hAnsi="Arial"/>
          <w:noProof w:val="0"/>
          <w:color w:val="FFFFFF"/>
          <w:sz w:val="2"/>
          <w:szCs w:val="2"/>
          <w:rtl/>
        </w:rPr>
      </w:pPr>
      <w:r w:rsidRPr="00870889">
        <w:rPr>
          <w:rFonts w:ascii="Arial" w:hAnsi="Arial"/>
          <w:noProof w:val="0"/>
          <w:color w:val="FFFFFF"/>
          <w:sz w:val="2"/>
          <w:szCs w:val="2"/>
          <w:rtl/>
        </w:rPr>
        <w:t>51293715129371</w:t>
      </w:r>
    </w:p>
    <w:p w14:paraId="0DC1FEF2" w14:textId="77777777" w:rsidR="0009367C" w:rsidRPr="00870889" w:rsidRDefault="00870889" w:rsidP="0009367C">
      <w:pPr>
        <w:keepNext/>
        <w:rPr>
          <w:rFonts w:ascii="David" w:hAnsi="David"/>
          <w:color w:val="FFFFFF"/>
          <w:sz w:val="2"/>
          <w:szCs w:val="2"/>
          <w:rtl/>
        </w:rPr>
      </w:pPr>
      <w:r w:rsidRPr="00870889">
        <w:rPr>
          <w:rFonts w:ascii="David" w:hAnsi="David"/>
          <w:color w:val="FFFFFF"/>
          <w:sz w:val="2"/>
          <w:szCs w:val="2"/>
          <w:rtl/>
        </w:rPr>
        <w:t>5467831354678313</w:t>
      </w:r>
    </w:p>
    <w:p w14:paraId="665E52F8" w14:textId="77777777" w:rsidR="0009367C" w:rsidRPr="0009367C" w:rsidRDefault="0009367C" w:rsidP="0009367C">
      <w:pPr>
        <w:keepNext/>
        <w:rPr>
          <w:rFonts w:ascii="David" w:hAnsi="David"/>
          <w:color w:val="000000"/>
          <w:sz w:val="22"/>
          <w:szCs w:val="22"/>
          <w:rtl/>
        </w:rPr>
      </w:pPr>
      <w:r w:rsidRPr="0009367C">
        <w:rPr>
          <w:rFonts w:ascii="David" w:hAnsi="David"/>
          <w:color w:val="000000"/>
          <w:sz w:val="22"/>
          <w:szCs w:val="22"/>
          <w:rtl/>
        </w:rPr>
        <w:t>ד''ר נגה שמואלי מאייר 54678313</w:t>
      </w:r>
    </w:p>
    <w:p w14:paraId="4BA1D1C1" w14:textId="77777777" w:rsidR="0009367C" w:rsidRDefault="0009367C" w:rsidP="0009367C">
      <w:pPr>
        <w:rPr>
          <w:color w:val="000000"/>
          <w:rtl/>
        </w:rPr>
      </w:pPr>
      <w:r w:rsidRPr="0009367C">
        <w:rPr>
          <w:color w:val="000000"/>
          <w:rtl/>
        </w:rPr>
        <w:t>נוסח מסמך זה כפוף לשינויי ניסוח ועריכה</w:t>
      </w:r>
    </w:p>
    <w:p w14:paraId="19F8B4E7" w14:textId="77777777" w:rsidR="0009367C" w:rsidRDefault="0009367C" w:rsidP="0009367C">
      <w:pPr>
        <w:rPr>
          <w:rtl/>
        </w:rPr>
      </w:pPr>
    </w:p>
    <w:p w14:paraId="7540C8F2" w14:textId="77777777" w:rsidR="0009367C" w:rsidRDefault="0009367C" w:rsidP="0009367C">
      <w:pPr>
        <w:jc w:val="center"/>
        <w:rPr>
          <w:color w:val="0000FF"/>
          <w:u w:val="single"/>
          <w:rtl/>
        </w:rPr>
      </w:pPr>
      <w:hyperlink r:id="rId62" w:history="1">
        <w:r>
          <w:rPr>
            <w:rStyle w:val="Hyperlink"/>
            <w:rtl/>
          </w:rPr>
          <w:t>בעניין עריכה ושינויים במסמכי פסיקה, חקיקה ועוד באתר נבו – הקש כאן</w:t>
        </w:r>
      </w:hyperlink>
    </w:p>
    <w:p w14:paraId="5169F39C" w14:textId="77777777" w:rsidR="00870889" w:rsidRPr="00870889" w:rsidRDefault="00870889" w:rsidP="00870889">
      <w:pPr>
        <w:keepNext/>
        <w:rPr>
          <w:rFonts w:ascii="David" w:hAnsi="David"/>
          <w:color w:val="000000"/>
          <w:sz w:val="22"/>
          <w:szCs w:val="22"/>
          <w:rtl/>
        </w:rPr>
      </w:pPr>
    </w:p>
    <w:p w14:paraId="68B37FB6" w14:textId="77777777" w:rsidR="002D7B2F" w:rsidRPr="0009367C" w:rsidRDefault="002D7B2F" w:rsidP="00870889">
      <w:pPr>
        <w:rPr>
          <w:color w:val="0000FF"/>
          <w:u w:val="single"/>
        </w:rPr>
      </w:pPr>
    </w:p>
    <w:sectPr w:rsidR="002D7B2F" w:rsidRPr="0009367C" w:rsidSect="00870889">
      <w:headerReference w:type="even" r:id="rId63"/>
      <w:headerReference w:type="default" r:id="rId64"/>
      <w:footerReference w:type="even" r:id="rId65"/>
      <w:footerReference w:type="default" r:id="rId66"/>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21A7B" w14:textId="77777777" w:rsidR="00FE536F" w:rsidRDefault="00FE536F">
      <w:r>
        <w:separator/>
      </w:r>
    </w:p>
  </w:endnote>
  <w:endnote w:type="continuationSeparator" w:id="0">
    <w:p w14:paraId="33980872" w14:textId="77777777" w:rsidR="00FE536F" w:rsidRDefault="00FE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CE9F1" w14:textId="77777777" w:rsidR="00A8085B" w:rsidRDefault="00A8085B" w:rsidP="0087088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8878BD5" w14:textId="77777777" w:rsidR="00A8085B" w:rsidRPr="00870889" w:rsidRDefault="00A8085B" w:rsidP="00870889">
    <w:pPr>
      <w:pStyle w:val="a5"/>
      <w:pBdr>
        <w:top w:val="single" w:sz="4" w:space="1" w:color="auto"/>
        <w:between w:val="single" w:sz="4" w:space="0" w:color="auto"/>
      </w:pBdr>
      <w:spacing w:after="60"/>
      <w:jc w:val="center"/>
      <w:rPr>
        <w:rFonts w:ascii="FrankRuehl" w:hAnsi="FrankRuehl" w:cs="FrankRuehl"/>
        <w:color w:val="000000"/>
      </w:rPr>
    </w:pPr>
    <w:r w:rsidRPr="008708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6C18E" w14:textId="77777777" w:rsidR="00A8085B" w:rsidRDefault="00A8085B" w:rsidP="00870889">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55A8F">
      <w:rPr>
        <w:rStyle w:val="a8"/>
        <w:rFonts w:ascii="FrankRuehl" w:hAnsi="FrankRuehl" w:cs="FrankRuehl"/>
        <w:rtl/>
      </w:rPr>
      <w:t>1</w:t>
    </w:r>
    <w:r>
      <w:rPr>
        <w:rStyle w:val="a8"/>
        <w:rFonts w:ascii="FrankRuehl" w:hAnsi="FrankRuehl" w:cs="FrankRuehl"/>
        <w:rtl/>
      </w:rPr>
      <w:fldChar w:fldCharType="end"/>
    </w:r>
  </w:p>
  <w:p w14:paraId="008C2CBF" w14:textId="77777777" w:rsidR="00A8085B" w:rsidRPr="00870889" w:rsidRDefault="00A8085B" w:rsidP="00870889">
    <w:pPr>
      <w:pStyle w:val="a5"/>
      <w:pBdr>
        <w:top w:val="single" w:sz="4" w:space="1" w:color="auto"/>
        <w:between w:val="single" w:sz="4" w:space="0" w:color="auto"/>
      </w:pBdr>
      <w:spacing w:after="60"/>
      <w:jc w:val="center"/>
      <w:rPr>
        <w:rStyle w:val="a8"/>
        <w:rFonts w:ascii="FrankRuehl" w:hAnsi="FrankRuehl" w:cs="FrankRuehl"/>
        <w:color w:val="000000"/>
      </w:rPr>
    </w:pPr>
    <w:r w:rsidRPr="00870889">
      <w:rPr>
        <w:rStyle w:val="a8"/>
        <w:rFonts w:ascii="FrankRuehl" w:hAnsi="FrankRuehl" w:cs="FrankRuehl"/>
        <w:color w:val="000000"/>
      </w:rPr>
      <w:pict w14:anchorId="6F2CB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6065A" w14:textId="77777777" w:rsidR="00FE536F" w:rsidRDefault="00FE536F">
      <w:r>
        <w:separator/>
      </w:r>
    </w:p>
  </w:footnote>
  <w:footnote w:type="continuationSeparator" w:id="0">
    <w:p w14:paraId="6EC88ECA" w14:textId="77777777" w:rsidR="00FE536F" w:rsidRDefault="00FE5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C1929" w14:textId="77777777" w:rsidR="00A8085B" w:rsidRPr="00870889" w:rsidRDefault="00A8085B" w:rsidP="008708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40484-05-16</w:t>
    </w:r>
    <w:r>
      <w:rPr>
        <w:rFonts w:ascii="David" w:hAnsi="David"/>
        <w:color w:val="000000"/>
        <w:sz w:val="22"/>
        <w:szCs w:val="22"/>
        <w:rtl/>
      </w:rPr>
      <w:tab/>
      <w:t xml:space="preserve"> מדינת ישראל נ' אדיר אשר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F308D" w14:textId="77777777" w:rsidR="00A8085B" w:rsidRPr="00870889" w:rsidRDefault="00A8085B" w:rsidP="008708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40484-05-16</w:t>
    </w:r>
    <w:r>
      <w:rPr>
        <w:rFonts w:ascii="David" w:hAnsi="David"/>
        <w:color w:val="000000"/>
        <w:sz w:val="22"/>
        <w:szCs w:val="22"/>
        <w:rtl/>
      </w:rPr>
      <w:tab/>
      <w:t xml:space="preserve"> מדינת ישראל נ' אדיר אשר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6522"/>
    <w:multiLevelType w:val="hybridMultilevel"/>
    <w:tmpl w:val="33FA8AA6"/>
    <w:lvl w:ilvl="0" w:tplc="83A84876">
      <w:start w:val="1"/>
      <w:numFmt w:val="decimal"/>
      <w:lvlText w:val="%1."/>
      <w:lvlJc w:val="left"/>
      <w:pPr>
        <w:ind w:left="720" w:hanging="360"/>
      </w:pPr>
      <w:rPr>
        <w:b w:val="0"/>
        <w:bCs w:val="0"/>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124E5A"/>
    <w:multiLevelType w:val="hybridMultilevel"/>
    <w:tmpl w:val="ABAC6172"/>
    <w:lvl w:ilvl="0" w:tplc="D70C737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3E1DE5"/>
    <w:multiLevelType w:val="hybridMultilevel"/>
    <w:tmpl w:val="8FF04BD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47013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6238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73491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5231"/>
    <w:rsid w:val="00065231"/>
    <w:rsid w:val="0009367C"/>
    <w:rsid w:val="002D7B2F"/>
    <w:rsid w:val="002F4A69"/>
    <w:rsid w:val="00460955"/>
    <w:rsid w:val="00545F4C"/>
    <w:rsid w:val="00555A8F"/>
    <w:rsid w:val="00870889"/>
    <w:rsid w:val="00A8085B"/>
    <w:rsid w:val="00AF2F8C"/>
    <w:rsid w:val="00BA16A0"/>
    <w:rsid w:val="00CD5D97"/>
    <w:rsid w:val="00D45DAC"/>
    <w:rsid w:val="00E5505A"/>
    <w:rsid w:val="00FE536F"/>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112C6D"/>
  <w15:chartTrackingRefBased/>
  <w15:docId w15:val="{34EEDF55-5E18-425C-8B44-8D41E418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5231"/>
    <w:pPr>
      <w:bidi/>
    </w:pPr>
    <w:rPr>
      <w:rFonts w:ascii="Times New Roman" w:eastAsia="Times New Roman" w:hAnsi="Times New Roman" w:cs="David"/>
      <w:noProof/>
      <w:sz w:val="24"/>
      <w:szCs w:val="24"/>
    </w:rPr>
  </w:style>
  <w:style w:type="paragraph" w:styleId="1">
    <w:name w:val="heading 1"/>
    <w:basedOn w:val="a"/>
    <w:next w:val="a"/>
    <w:link w:val="10"/>
    <w:qFormat/>
    <w:rsid w:val="00065231"/>
    <w:pPr>
      <w:keepNext/>
      <w:keepLines/>
      <w:spacing w:before="240"/>
      <w:outlineLvl w:val="0"/>
    </w:pPr>
    <w:rPr>
      <w:rFonts w:ascii="Cambria" w:hAnsi="Cambria" w:cs="Times New Roman"/>
      <w:color w:val="365F91"/>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065231"/>
    <w:rPr>
      <w:rFonts w:ascii="Cambria" w:eastAsia="Times New Roman" w:hAnsi="Cambria" w:cs="Times New Roman"/>
      <w:noProof/>
      <w:color w:val="365F91"/>
      <w:sz w:val="32"/>
      <w:szCs w:val="32"/>
    </w:rPr>
  </w:style>
  <w:style w:type="paragraph" w:styleId="a3">
    <w:name w:val="header"/>
    <w:basedOn w:val="a"/>
    <w:link w:val="a4"/>
    <w:rsid w:val="00065231"/>
    <w:pPr>
      <w:tabs>
        <w:tab w:val="center" w:pos="4153"/>
        <w:tab w:val="right" w:pos="8306"/>
      </w:tabs>
    </w:pPr>
  </w:style>
  <w:style w:type="character" w:customStyle="1" w:styleId="a4">
    <w:name w:val="כותרת עליונה תו"/>
    <w:link w:val="a3"/>
    <w:rsid w:val="00065231"/>
    <w:rPr>
      <w:rFonts w:ascii="Times New Roman" w:eastAsia="Times New Roman" w:hAnsi="Times New Roman" w:cs="David"/>
      <w:noProof/>
      <w:sz w:val="24"/>
      <w:szCs w:val="24"/>
    </w:rPr>
  </w:style>
  <w:style w:type="paragraph" w:styleId="a5">
    <w:name w:val="footer"/>
    <w:basedOn w:val="a"/>
    <w:link w:val="a6"/>
    <w:rsid w:val="00065231"/>
    <w:pPr>
      <w:tabs>
        <w:tab w:val="center" w:pos="4153"/>
        <w:tab w:val="right" w:pos="8306"/>
      </w:tabs>
    </w:pPr>
  </w:style>
  <w:style w:type="character" w:customStyle="1" w:styleId="a6">
    <w:name w:val="כותרת תחתונה תו"/>
    <w:link w:val="a5"/>
    <w:rsid w:val="00065231"/>
    <w:rPr>
      <w:rFonts w:ascii="Times New Roman" w:eastAsia="Times New Roman" w:hAnsi="Times New Roman" w:cs="David"/>
      <w:noProof/>
      <w:sz w:val="24"/>
      <w:szCs w:val="24"/>
    </w:rPr>
  </w:style>
  <w:style w:type="table" w:styleId="a7">
    <w:name w:val="Table Grid"/>
    <w:basedOn w:val="a1"/>
    <w:rsid w:val="0006523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5231"/>
  </w:style>
  <w:style w:type="paragraph" w:customStyle="1" w:styleId="ListParagraph">
    <w:name w:val="List Paragraph"/>
    <w:basedOn w:val="a"/>
    <w:rsid w:val="00065231"/>
    <w:pPr>
      <w:spacing w:after="160" w:line="360" w:lineRule="auto"/>
      <w:ind w:left="720" w:hanging="357"/>
      <w:contextualSpacing/>
      <w:jc w:val="both"/>
    </w:pPr>
    <w:rPr>
      <w:rFonts w:ascii="Calibri" w:eastAsia="Calibri" w:hAnsi="Calibri"/>
      <w:noProof w:val="0"/>
    </w:rPr>
  </w:style>
  <w:style w:type="character" w:styleId="Hyperlink">
    <w:name w:val="Hyperlink"/>
    <w:rsid w:val="0009367C"/>
    <w:rPr>
      <w:color w:val="0000FF"/>
      <w:u w:val="single"/>
    </w:rPr>
  </w:style>
  <w:style w:type="character" w:styleId="a9">
    <w:name w:val="Unresolved Mention"/>
    <w:uiPriority w:val="99"/>
    <w:semiHidden/>
    <w:unhideWhenUsed/>
    <w:rsid w:val="004609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15909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849797" TargetMode="External"/><Relationship Id="rId42" Type="http://schemas.openxmlformats.org/officeDocument/2006/relationships/hyperlink" Target="http://www.nevo.co.il/case/17939098" TargetMode="External"/><Relationship Id="rId47" Type="http://schemas.openxmlformats.org/officeDocument/2006/relationships/hyperlink" Target="http://www.nevo.co.il/case/20053795" TargetMode="External"/><Relationship Id="rId50" Type="http://schemas.openxmlformats.org/officeDocument/2006/relationships/hyperlink" Target="http://www.nevo.co.il/law/70301/40c.b"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6180864"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18107527" TargetMode="External"/><Relationship Id="rId32" Type="http://schemas.openxmlformats.org/officeDocument/2006/relationships/hyperlink" Target="http://www.nevo.co.il/case/5810781" TargetMode="External"/><Relationship Id="rId37" Type="http://schemas.openxmlformats.org/officeDocument/2006/relationships/hyperlink" Target="http://www.nevo.co.il/case/16900367" TargetMode="External"/><Relationship Id="rId40" Type="http://schemas.openxmlformats.org/officeDocument/2006/relationships/hyperlink" Target="http://www.nevo.co.il/case/20604405" TargetMode="External"/><Relationship Id="rId45" Type="http://schemas.openxmlformats.org/officeDocument/2006/relationships/hyperlink" Target="http://www.nevo.co.il/case/7807295"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6032057"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case/5573417" TargetMode="External"/><Relationship Id="rId14" Type="http://schemas.openxmlformats.org/officeDocument/2006/relationships/hyperlink" Target="http://www.nevo.co.il/law/70301/40ja.3" TargetMode="External"/><Relationship Id="rId22" Type="http://schemas.openxmlformats.org/officeDocument/2006/relationships/hyperlink" Target="http://www.nevo.co.il/case/18119161" TargetMode="External"/><Relationship Id="rId27" Type="http://schemas.openxmlformats.org/officeDocument/2006/relationships/hyperlink" Target="http://www.nevo.co.il/case/20707362" TargetMode="External"/><Relationship Id="rId30" Type="http://schemas.openxmlformats.org/officeDocument/2006/relationships/hyperlink" Target="http://www.nevo.co.il/case/17075628" TargetMode="External"/><Relationship Id="rId35" Type="http://schemas.openxmlformats.org/officeDocument/2006/relationships/hyperlink" Target="http://www.nevo.co.il/case/7688113" TargetMode="External"/><Relationship Id="rId43" Type="http://schemas.openxmlformats.org/officeDocument/2006/relationships/hyperlink" Target="http://www.nevo.co.il/case/20053795" TargetMode="External"/><Relationship Id="rId48" Type="http://schemas.openxmlformats.org/officeDocument/2006/relationships/hyperlink" Target="http://www.nevo.co.il/case/10442894" TargetMode="External"/><Relationship Id="rId56" Type="http://schemas.openxmlformats.org/officeDocument/2006/relationships/hyperlink" Target="http://www.nevo.co.il/case/13015510" TargetMode="External"/><Relationship Id="rId64"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1887974" TargetMode="External"/><Relationship Id="rId33" Type="http://schemas.openxmlformats.org/officeDocument/2006/relationships/hyperlink" Target="http://www.nevo.co.il/case/17916229" TargetMode="External"/><Relationship Id="rId38" Type="http://schemas.openxmlformats.org/officeDocument/2006/relationships/hyperlink" Target="http://www.nevo.co.il/case/22852989" TargetMode="External"/><Relationship Id="rId46" Type="http://schemas.openxmlformats.org/officeDocument/2006/relationships/hyperlink" Target="http://www.nevo.co.il/case/17939098" TargetMode="External"/><Relationship Id="rId59" Type="http://schemas.openxmlformats.org/officeDocument/2006/relationships/hyperlink" Target="http://www.nevo.co.il/case/17941073" TargetMode="External"/><Relationship Id="rId67" Type="http://schemas.openxmlformats.org/officeDocument/2006/relationships/fontTable" Target="fontTable.xml"/><Relationship Id="rId20" Type="http://schemas.openxmlformats.org/officeDocument/2006/relationships/hyperlink" Target="http://www.nevo.co.il/law/70301/40c.a" TargetMode="External"/><Relationship Id="rId41" Type="http://schemas.openxmlformats.org/officeDocument/2006/relationships/hyperlink" Target="http://www.nevo.co.il/case/20145219" TargetMode="External"/><Relationship Id="rId54" Type="http://schemas.openxmlformats.org/officeDocument/2006/relationships/hyperlink" Target="http://www.nevo.co.il/law/70301/40d.a"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2088108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1269559" TargetMode="External"/><Relationship Id="rId49" Type="http://schemas.openxmlformats.org/officeDocument/2006/relationships/hyperlink" Target="http://www.nevo.co.il/case/7807295" TargetMode="External"/><Relationship Id="rId57" Type="http://schemas.openxmlformats.org/officeDocument/2006/relationships/hyperlink" Target="http://www.nevo.co.il/case/2147448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18118854" TargetMode="External"/><Relationship Id="rId44" Type="http://schemas.openxmlformats.org/officeDocument/2006/relationships/hyperlink" Target="http://www.nevo.co.il/case/10442894" TargetMode="External"/><Relationship Id="rId52" Type="http://schemas.openxmlformats.org/officeDocument/2006/relationships/hyperlink" Target="http://www.nevo.co.il/law/70301/40ja.3" TargetMode="External"/><Relationship Id="rId60" Type="http://schemas.openxmlformats.org/officeDocument/2006/relationships/hyperlink" Target="http://www.nevo.co.il/case/5880417"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01141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3527</Words>
  <Characters>17635</Characters>
  <Application>Microsoft Office Word</Application>
  <DocSecurity>0</DocSecurity>
  <Lines>146</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21120</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8257637</vt:i4>
      </vt:variant>
      <vt:variant>
        <vt:i4>162</vt:i4>
      </vt:variant>
      <vt:variant>
        <vt:i4>0</vt:i4>
      </vt:variant>
      <vt:variant>
        <vt:i4>5</vt:i4>
      </vt:variant>
      <vt:variant>
        <vt:lpwstr>http://www.nevo.co.il/law/4216</vt:lpwstr>
      </vt:variant>
      <vt:variant>
        <vt:lpwstr/>
      </vt:variant>
      <vt:variant>
        <vt:i4>4063357</vt:i4>
      </vt:variant>
      <vt:variant>
        <vt:i4>159</vt:i4>
      </vt:variant>
      <vt:variant>
        <vt:i4>0</vt:i4>
      </vt:variant>
      <vt:variant>
        <vt:i4>5</vt:i4>
      </vt:variant>
      <vt:variant>
        <vt:lpwstr>http://www.nevo.co.il/case/5880417</vt:lpwstr>
      </vt:variant>
      <vt:variant>
        <vt:lpwstr/>
      </vt:variant>
      <vt:variant>
        <vt:i4>4063351</vt:i4>
      </vt:variant>
      <vt:variant>
        <vt:i4>156</vt:i4>
      </vt:variant>
      <vt:variant>
        <vt:i4>0</vt:i4>
      </vt:variant>
      <vt:variant>
        <vt:i4>5</vt:i4>
      </vt:variant>
      <vt:variant>
        <vt:lpwstr>http://www.nevo.co.il/case/17941073</vt:lpwstr>
      </vt:variant>
      <vt:variant>
        <vt:lpwstr/>
      </vt:variant>
      <vt:variant>
        <vt:i4>3276915</vt:i4>
      </vt:variant>
      <vt:variant>
        <vt:i4>153</vt:i4>
      </vt:variant>
      <vt:variant>
        <vt:i4>0</vt:i4>
      </vt:variant>
      <vt:variant>
        <vt:i4>5</vt:i4>
      </vt:variant>
      <vt:variant>
        <vt:lpwstr>http://www.nevo.co.il/case/6032057</vt:lpwstr>
      </vt:variant>
      <vt:variant>
        <vt:lpwstr/>
      </vt:variant>
      <vt:variant>
        <vt:i4>3801206</vt:i4>
      </vt:variant>
      <vt:variant>
        <vt:i4>150</vt:i4>
      </vt:variant>
      <vt:variant>
        <vt:i4>0</vt:i4>
      </vt:variant>
      <vt:variant>
        <vt:i4>5</vt:i4>
      </vt:variant>
      <vt:variant>
        <vt:lpwstr>http://www.nevo.co.il/case/21474481</vt:lpwstr>
      </vt:variant>
      <vt:variant>
        <vt:lpwstr/>
      </vt:variant>
      <vt:variant>
        <vt:i4>3473523</vt:i4>
      </vt:variant>
      <vt:variant>
        <vt:i4>147</vt:i4>
      </vt:variant>
      <vt:variant>
        <vt:i4>0</vt:i4>
      </vt:variant>
      <vt:variant>
        <vt:i4>5</vt:i4>
      </vt:variant>
      <vt:variant>
        <vt:lpwstr>http://www.nevo.co.il/case/13015510</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4915205</vt:i4>
      </vt:variant>
      <vt:variant>
        <vt:i4>141</vt:i4>
      </vt:variant>
      <vt:variant>
        <vt:i4>0</vt:i4>
      </vt:variant>
      <vt:variant>
        <vt:i4>5</vt:i4>
      </vt:variant>
      <vt:variant>
        <vt:lpwstr>http://www.nevo.co.il/law/70301/40d.a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3604517</vt:i4>
      </vt:variant>
      <vt:variant>
        <vt:i4>135</vt:i4>
      </vt:variant>
      <vt:variant>
        <vt:i4>0</vt:i4>
      </vt:variant>
      <vt:variant>
        <vt:i4>5</vt:i4>
      </vt:variant>
      <vt:variant>
        <vt:lpwstr>http://www.nevo.co.il/law/70301/40ja.3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4915202</vt:i4>
      </vt:variant>
      <vt:variant>
        <vt:i4>129</vt:i4>
      </vt:variant>
      <vt:variant>
        <vt:i4>0</vt:i4>
      </vt:variant>
      <vt:variant>
        <vt:i4>5</vt:i4>
      </vt:variant>
      <vt:variant>
        <vt:lpwstr>http://www.nevo.co.il/law/70301/40c.b</vt:lpwstr>
      </vt:variant>
      <vt:variant>
        <vt:lpwstr/>
      </vt:variant>
      <vt:variant>
        <vt:i4>3145842</vt:i4>
      </vt:variant>
      <vt:variant>
        <vt:i4>126</vt:i4>
      </vt:variant>
      <vt:variant>
        <vt:i4>0</vt:i4>
      </vt:variant>
      <vt:variant>
        <vt:i4>5</vt:i4>
      </vt:variant>
      <vt:variant>
        <vt:lpwstr>http://www.nevo.co.il/case/7807295</vt:lpwstr>
      </vt:variant>
      <vt:variant>
        <vt:lpwstr/>
      </vt:variant>
      <vt:variant>
        <vt:i4>4063352</vt:i4>
      </vt:variant>
      <vt:variant>
        <vt:i4>123</vt:i4>
      </vt:variant>
      <vt:variant>
        <vt:i4>0</vt:i4>
      </vt:variant>
      <vt:variant>
        <vt:i4>5</vt:i4>
      </vt:variant>
      <vt:variant>
        <vt:lpwstr>http://www.nevo.co.il/case/10442894</vt:lpwstr>
      </vt:variant>
      <vt:variant>
        <vt:lpwstr/>
      </vt:variant>
      <vt:variant>
        <vt:i4>3670134</vt:i4>
      </vt:variant>
      <vt:variant>
        <vt:i4>120</vt:i4>
      </vt:variant>
      <vt:variant>
        <vt:i4>0</vt:i4>
      </vt:variant>
      <vt:variant>
        <vt:i4>5</vt:i4>
      </vt:variant>
      <vt:variant>
        <vt:lpwstr>http://www.nevo.co.il/case/20053795</vt:lpwstr>
      </vt:variant>
      <vt:variant>
        <vt:lpwstr/>
      </vt:variant>
      <vt:variant>
        <vt:i4>3670128</vt:i4>
      </vt:variant>
      <vt:variant>
        <vt:i4>117</vt:i4>
      </vt:variant>
      <vt:variant>
        <vt:i4>0</vt:i4>
      </vt:variant>
      <vt:variant>
        <vt:i4>5</vt:i4>
      </vt:variant>
      <vt:variant>
        <vt:lpwstr>http://www.nevo.co.il/case/17939098</vt:lpwstr>
      </vt:variant>
      <vt:variant>
        <vt:lpwstr/>
      </vt:variant>
      <vt:variant>
        <vt:i4>3145842</vt:i4>
      </vt:variant>
      <vt:variant>
        <vt:i4>114</vt:i4>
      </vt:variant>
      <vt:variant>
        <vt:i4>0</vt:i4>
      </vt:variant>
      <vt:variant>
        <vt:i4>5</vt:i4>
      </vt:variant>
      <vt:variant>
        <vt:lpwstr>http://www.nevo.co.il/case/7807295</vt:lpwstr>
      </vt:variant>
      <vt:variant>
        <vt:lpwstr/>
      </vt:variant>
      <vt:variant>
        <vt:i4>4063352</vt:i4>
      </vt:variant>
      <vt:variant>
        <vt:i4>111</vt:i4>
      </vt:variant>
      <vt:variant>
        <vt:i4>0</vt:i4>
      </vt:variant>
      <vt:variant>
        <vt:i4>5</vt:i4>
      </vt:variant>
      <vt:variant>
        <vt:lpwstr>http://www.nevo.co.il/case/10442894</vt:lpwstr>
      </vt:variant>
      <vt:variant>
        <vt:lpwstr/>
      </vt:variant>
      <vt:variant>
        <vt:i4>3670134</vt:i4>
      </vt:variant>
      <vt:variant>
        <vt:i4>108</vt:i4>
      </vt:variant>
      <vt:variant>
        <vt:i4>0</vt:i4>
      </vt:variant>
      <vt:variant>
        <vt:i4>5</vt:i4>
      </vt:variant>
      <vt:variant>
        <vt:lpwstr>http://www.nevo.co.il/case/20053795</vt:lpwstr>
      </vt:variant>
      <vt:variant>
        <vt:lpwstr/>
      </vt:variant>
      <vt:variant>
        <vt:i4>3670128</vt:i4>
      </vt:variant>
      <vt:variant>
        <vt:i4>105</vt:i4>
      </vt:variant>
      <vt:variant>
        <vt:i4>0</vt:i4>
      </vt:variant>
      <vt:variant>
        <vt:i4>5</vt:i4>
      </vt:variant>
      <vt:variant>
        <vt:lpwstr>http://www.nevo.co.il/case/17939098</vt:lpwstr>
      </vt:variant>
      <vt:variant>
        <vt:lpwstr/>
      </vt:variant>
      <vt:variant>
        <vt:i4>3604594</vt:i4>
      </vt:variant>
      <vt:variant>
        <vt:i4>102</vt:i4>
      </vt:variant>
      <vt:variant>
        <vt:i4>0</vt:i4>
      </vt:variant>
      <vt:variant>
        <vt:i4>5</vt:i4>
      </vt:variant>
      <vt:variant>
        <vt:lpwstr>http://www.nevo.co.il/case/20145219</vt:lpwstr>
      </vt:variant>
      <vt:variant>
        <vt:lpwstr/>
      </vt:variant>
      <vt:variant>
        <vt:i4>3145840</vt:i4>
      </vt:variant>
      <vt:variant>
        <vt:i4>99</vt:i4>
      </vt:variant>
      <vt:variant>
        <vt:i4>0</vt:i4>
      </vt:variant>
      <vt:variant>
        <vt:i4>5</vt:i4>
      </vt:variant>
      <vt:variant>
        <vt:lpwstr>http://www.nevo.co.il/case/20604405</vt:lpwstr>
      </vt:variant>
      <vt:variant>
        <vt:lpwstr/>
      </vt:variant>
      <vt:variant>
        <vt:i4>3473524</vt:i4>
      </vt:variant>
      <vt:variant>
        <vt:i4>96</vt:i4>
      </vt:variant>
      <vt:variant>
        <vt:i4>0</vt:i4>
      </vt:variant>
      <vt:variant>
        <vt:i4>5</vt:i4>
      </vt:variant>
      <vt:variant>
        <vt:lpwstr>http://www.nevo.co.il/case/20114120</vt:lpwstr>
      </vt:variant>
      <vt:variant>
        <vt:lpwstr/>
      </vt:variant>
      <vt:variant>
        <vt:i4>3145850</vt:i4>
      </vt:variant>
      <vt:variant>
        <vt:i4>93</vt:i4>
      </vt:variant>
      <vt:variant>
        <vt:i4>0</vt:i4>
      </vt:variant>
      <vt:variant>
        <vt:i4>5</vt:i4>
      </vt:variant>
      <vt:variant>
        <vt:lpwstr>http://www.nevo.co.il/case/22852989</vt:lpwstr>
      </vt:variant>
      <vt:variant>
        <vt:lpwstr/>
      </vt:variant>
      <vt:variant>
        <vt:i4>4063345</vt:i4>
      </vt:variant>
      <vt:variant>
        <vt:i4>90</vt:i4>
      </vt:variant>
      <vt:variant>
        <vt:i4>0</vt:i4>
      </vt:variant>
      <vt:variant>
        <vt:i4>5</vt:i4>
      </vt:variant>
      <vt:variant>
        <vt:lpwstr>http://www.nevo.co.il/case/16900367</vt:lpwstr>
      </vt:variant>
      <vt:variant>
        <vt:lpwstr/>
      </vt:variant>
      <vt:variant>
        <vt:i4>4128886</vt:i4>
      </vt:variant>
      <vt:variant>
        <vt:i4>87</vt:i4>
      </vt:variant>
      <vt:variant>
        <vt:i4>0</vt:i4>
      </vt:variant>
      <vt:variant>
        <vt:i4>5</vt:i4>
      </vt:variant>
      <vt:variant>
        <vt:lpwstr>http://www.nevo.co.il/case/11269559</vt:lpwstr>
      </vt:variant>
      <vt:variant>
        <vt:lpwstr/>
      </vt:variant>
      <vt:variant>
        <vt:i4>3997819</vt:i4>
      </vt:variant>
      <vt:variant>
        <vt:i4>84</vt:i4>
      </vt:variant>
      <vt:variant>
        <vt:i4>0</vt:i4>
      </vt:variant>
      <vt:variant>
        <vt:i4>5</vt:i4>
      </vt:variant>
      <vt:variant>
        <vt:lpwstr>http://www.nevo.co.il/case/7688113</vt:lpwstr>
      </vt:variant>
      <vt:variant>
        <vt:lpwstr/>
      </vt:variant>
      <vt:variant>
        <vt:i4>3211388</vt:i4>
      </vt:variant>
      <vt:variant>
        <vt:i4>81</vt:i4>
      </vt:variant>
      <vt:variant>
        <vt:i4>0</vt:i4>
      </vt:variant>
      <vt:variant>
        <vt:i4>5</vt:i4>
      </vt:variant>
      <vt:variant>
        <vt:lpwstr>http://www.nevo.co.il/case/5849797</vt:lpwstr>
      </vt:variant>
      <vt:variant>
        <vt:lpwstr/>
      </vt:variant>
      <vt:variant>
        <vt:i4>3932272</vt:i4>
      </vt:variant>
      <vt:variant>
        <vt:i4>78</vt:i4>
      </vt:variant>
      <vt:variant>
        <vt:i4>0</vt:i4>
      </vt:variant>
      <vt:variant>
        <vt:i4>5</vt:i4>
      </vt:variant>
      <vt:variant>
        <vt:lpwstr>http://www.nevo.co.il/case/17916229</vt:lpwstr>
      </vt:variant>
      <vt:variant>
        <vt:lpwstr/>
      </vt:variant>
      <vt:variant>
        <vt:i4>3276916</vt:i4>
      </vt:variant>
      <vt:variant>
        <vt:i4>75</vt:i4>
      </vt:variant>
      <vt:variant>
        <vt:i4>0</vt:i4>
      </vt:variant>
      <vt:variant>
        <vt:i4>5</vt:i4>
      </vt:variant>
      <vt:variant>
        <vt:lpwstr>http://www.nevo.co.il/case/5810781</vt:lpwstr>
      </vt:variant>
      <vt:variant>
        <vt:lpwstr/>
      </vt:variant>
      <vt:variant>
        <vt:i4>3997813</vt:i4>
      </vt:variant>
      <vt:variant>
        <vt:i4>72</vt:i4>
      </vt:variant>
      <vt:variant>
        <vt:i4>0</vt:i4>
      </vt:variant>
      <vt:variant>
        <vt:i4>5</vt:i4>
      </vt:variant>
      <vt:variant>
        <vt:lpwstr>http://www.nevo.co.il/case/18118854</vt:lpwstr>
      </vt:variant>
      <vt:variant>
        <vt:lpwstr/>
      </vt:variant>
      <vt:variant>
        <vt:i4>3539058</vt:i4>
      </vt:variant>
      <vt:variant>
        <vt:i4>69</vt:i4>
      </vt:variant>
      <vt:variant>
        <vt:i4>0</vt:i4>
      </vt:variant>
      <vt:variant>
        <vt:i4>5</vt:i4>
      </vt:variant>
      <vt:variant>
        <vt:lpwstr>http://www.nevo.co.il/case/17075628</vt:lpwstr>
      </vt:variant>
      <vt:variant>
        <vt:lpwstr/>
      </vt:variant>
      <vt:variant>
        <vt:i4>3276915</vt:i4>
      </vt:variant>
      <vt:variant>
        <vt:i4>66</vt:i4>
      </vt:variant>
      <vt:variant>
        <vt:i4>0</vt:i4>
      </vt:variant>
      <vt:variant>
        <vt:i4>5</vt:i4>
      </vt:variant>
      <vt:variant>
        <vt:lpwstr>http://www.nevo.co.il/case/6180864</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3407991</vt:i4>
      </vt:variant>
      <vt:variant>
        <vt:i4>60</vt:i4>
      </vt:variant>
      <vt:variant>
        <vt:i4>0</vt:i4>
      </vt:variant>
      <vt:variant>
        <vt:i4>5</vt:i4>
      </vt:variant>
      <vt:variant>
        <vt:lpwstr>http://www.nevo.co.il/case/20707362</vt:lpwstr>
      </vt:variant>
      <vt:variant>
        <vt:lpwstr/>
      </vt:variant>
      <vt:variant>
        <vt:i4>3342449</vt:i4>
      </vt:variant>
      <vt:variant>
        <vt:i4>57</vt:i4>
      </vt:variant>
      <vt:variant>
        <vt:i4>0</vt:i4>
      </vt:variant>
      <vt:variant>
        <vt:i4>5</vt:i4>
      </vt:variant>
      <vt:variant>
        <vt:lpwstr>http://www.nevo.co.il/case/20159091</vt:lpwstr>
      </vt:variant>
      <vt:variant>
        <vt:lpwstr/>
      </vt:variant>
      <vt:variant>
        <vt:i4>3801204</vt:i4>
      </vt:variant>
      <vt:variant>
        <vt:i4>54</vt:i4>
      </vt:variant>
      <vt:variant>
        <vt:i4>0</vt:i4>
      </vt:variant>
      <vt:variant>
        <vt:i4>5</vt:i4>
      </vt:variant>
      <vt:variant>
        <vt:lpwstr>http://www.nevo.co.il/case/21887974</vt:lpwstr>
      </vt:variant>
      <vt:variant>
        <vt:lpwstr/>
      </vt:variant>
      <vt:variant>
        <vt:i4>3473529</vt:i4>
      </vt:variant>
      <vt:variant>
        <vt:i4>51</vt:i4>
      </vt:variant>
      <vt:variant>
        <vt:i4>0</vt:i4>
      </vt:variant>
      <vt:variant>
        <vt:i4>5</vt:i4>
      </vt:variant>
      <vt:variant>
        <vt:lpwstr>http://www.nevo.co.il/case/18107527</vt:lpwstr>
      </vt:variant>
      <vt:variant>
        <vt:lpwstr/>
      </vt:variant>
      <vt:variant>
        <vt:i4>3342460</vt:i4>
      </vt:variant>
      <vt:variant>
        <vt:i4>48</vt:i4>
      </vt:variant>
      <vt:variant>
        <vt:i4>0</vt:i4>
      </vt:variant>
      <vt:variant>
        <vt:i4>5</vt:i4>
      </vt:variant>
      <vt:variant>
        <vt:lpwstr>http://www.nevo.co.il/case/20881083</vt:lpwstr>
      </vt:variant>
      <vt:variant>
        <vt:lpwstr/>
      </vt:variant>
      <vt:variant>
        <vt:i4>4128892</vt:i4>
      </vt:variant>
      <vt:variant>
        <vt:i4>45</vt:i4>
      </vt:variant>
      <vt:variant>
        <vt:i4>0</vt:i4>
      </vt:variant>
      <vt:variant>
        <vt:i4>5</vt:i4>
      </vt:variant>
      <vt:variant>
        <vt:lpwstr>http://www.nevo.co.il/case/18119161</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3211379</vt:i4>
      </vt:variant>
      <vt:variant>
        <vt:i4>36</vt:i4>
      </vt:variant>
      <vt:variant>
        <vt:i4>0</vt:i4>
      </vt:variant>
      <vt:variant>
        <vt:i4>5</vt:i4>
      </vt:variant>
      <vt:variant>
        <vt:lpwstr>http://www.nevo.co.il/case/5573417</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3604517</vt:i4>
      </vt:variant>
      <vt:variant>
        <vt:i4>21</vt:i4>
      </vt:variant>
      <vt:variant>
        <vt:i4>0</vt:i4>
      </vt:variant>
      <vt:variant>
        <vt:i4>5</vt:i4>
      </vt:variant>
      <vt:variant>
        <vt:lpwstr>http://www.nevo.co.il/law/70301/40ja.3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40484</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אדיר אשר</vt:lpwstr>
  </property>
  <property fmtid="{D5CDD505-2E9C-101B-9397-08002B2CF9AE}" pid="10" name="LAWYER">
    <vt:lpwstr>לירן פרג';חן בן חיים</vt:lpwstr>
  </property>
  <property fmtid="{D5CDD505-2E9C-101B-9397-08002B2CF9AE}" pid="11" name="JUDGE">
    <vt:lpwstr>ד''ר נגה שמואלי מאייר</vt:lpwstr>
  </property>
  <property fmtid="{D5CDD505-2E9C-101B-9397-08002B2CF9AE}" pid="12" name="CITY">
    <vt:lpwstr>ק"ג</vt:lpwstr>
  </property>
  <property fmtid="{D5CDD505-2E9C-101B-9397-08002B2CF9AE}" pid="13" name="DATE">
    <vt:lpwstr>20171016</vt:lpwstr>
  </property>
  <property fmtid="{D5CDD505-2E9C-101B-9397-08002B2CF9AE}" pid="14" name="TYPE_N_DATE">
    <vt:lpwstr>38020171016</vt:lpwstr>
  </property>
  <property fmtid="{D5CDD505-2E9C-101B-9397-08002B2CF9AE}" pid="15" name="WORDNUMPAGES">
    <vt:lpwstr>8</vt:lpwstr>
  </property>
  <property fmtid="{D5CDD505-2E9C-101B-9397-08002B2CF9AE}" pid="16" name="TYPE_ABS_DATE">
    <vt:lpwstr>380020171016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5573417;18119161;20881083;18107527;21887974;20159091;20707362;6180864;17075628;18118854;5810781;17916229;5849797;7688113;11269559;16900367;22852989;20114120;20604405;20145219;17939098:2;20053795:2;10442894:2;7807295:2;13015510;21474481;6032057;17941073</vt:lpwstr>
  </property>
  <property fmtid="{D5CDD505-2E9C-101B-9397-08002B2CF9AE}" pid="36" name="CASESLISTTMP2">
    <vt:lpwstr>5880417</vt:lpwstr>
  </property>
  <property fmtid="{D5CDD505-2E9C-101B-9397-08002B2CF9AE}" pid="37" name="LAWLISTTMP1">
    <vt:lpwstr>4216/006;010</vt:lpwstr>
  </property>
  <property fmtid="{D5CDD505-2E9C-101B-9397-08002B2CF9AE}" pid="38" name="LAWLISTTMP2">
    <vt:lpwstr>70301/040c.a;040c.b;40ja.3;040d.a</vt:lpwstr>
  </property>
</Properties>
</file>