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054B8" w:rsidRPr="009D2405" w14:paraId="37435DD8" w14:textId="77777777" w:rsidTr="00757CF0">
        <w:trPr>
          <w:trHeight w:hRule="exact" w:val="418"/>
          <w:jc w:val="center"/>
        </w:trPr>
        <w:tc>
          <w:tcPr>
            <w:tcW w:w="8721" w:type="dxa"/>
            <w:gridSpan w:val="2"/>
          </w:tcPr>
          <w:p w14:paraId="461BE595" w14:textId="77777777" w:rsidR="001054B8" w:rsidRPr="009D2405" w:rsidRDefault="001054B8" w:rsidP="00E66CFD">
            <w:pPr>
              <w:pStyle w:val="a3"/>
              <w:jc w:val="center"/>
              <w:rPr>
                <w:rFonts w:ascii="Tahoma" w:hAnsi="Tahoma" w:cs="Tahoma"/>
                <w:color w:val="000080"/>
                <w:rtl/>
              </w:rPr>
            </w:pPr>
            <w:bookmarkStart w:id="0" w:name="LastJudge"/>
            <w:r w:rsidRPr="009D2405">
              <w:rPr>
                <w:rFonts w:ascii="Tahoma" w:hAnsi="Tahoma" w:cs="Tahoma"/>
                <w:b/>
                <w:bCs/>
                <w:color w:val="000080"/>
                <w:rtl/>
              </w:rPr>
              <w:t>בית משפט השלום בכפר סבא</w:t>
            </w:r>
          </w:p>
        </w:tc>
      </w:tr>
      <w:tr w:rsidR="001054B8" w:rsidRPr="009D2405" w14:paraId="111E00A3" w14:textId="77777777" w:rsidTr="00757CF0">
        <w:trPr>
          <w:trHeight w:val="337"/>
          <w:jc w:val="center"/>
        </w:trPr>
        <w:tc>
          <w:tcPr>
            <w:tcW w:w="5054" w:type="dxa"/>
          </w:tcPr>
          <w:p w14:paraId="2E7403B5" w14:textId="77777777" w:rsidR="001054B8" w:rsidRPr="009D2405" w:rsidRDefault="001054B8" w:rsidP="00E66CFD">
            <w:pPr>
              <w:rPr>
                <w:rFonts w:cs="FrankRuehl"/>
                <w:sz w:val="28"/>
                <w:szCs w:val="28"/>
                <w:rtl/>
              </w:rPr>
            </w:pPr>
            <w:r w:rsidRPr="009D2405">
              <w:rPr>
                <w:rFonts w:cs="FrankRuehl"/>
                <w:sz w:val="28"/>
                <w:szCs w:val="28"/>
                <w:rtl/>
              </w:rPr>
              <w:t>ת"פ</w:t>
            </w:r>
            <w:r w:rsidRPr="009D2405">
              <w:rPr>
                <w:rFonts w:cs="FrankRuehl" w:hint="cs"/>
                <w:sz w:val="28"/>
                <w:szCs w:val="28"/>
                <w:rtl/>
              </w:rPr>
              <w:t xml:space="preserve"> </w:t>
            </w:r>
            <w:r w:rsidRPr="009D2405">
              <w:rPr>
                <w:rFonts w:cs="FrankRuehl"/>
                <w:sz w:val="28"/>
                <w:szCs w:val="28"/>
                <w:rtl/>
              </w:rPr>
              <w:t>41269-05-16</w:t>
            </w:r>
            <w:r w:rsidRPr="009D2405">
              <w:rPr>
                <w:rFonts w:cs="FrankRuehl" w:hint="cs"/>
                <w:sz w:val="28"/>
                <w:szCs w:val="28"/>
                <w:rtl/>
              </w:rPr>
              <w:t xml:space="preserve"> </w:t>
            </w:r>
            <w:r w:rsidRPr="009D2405">
              <w:rPr>
                <w:rFonts w:cs="FrankRuehl"/>
                <w:sz w:val="28"/>
                <w:szCs w:val="28"/>
                <w:rtl/>
              </w:rPr>
              <w:t>מדינת ישראל נ' הוד כהן</w:t>
            </w:r>
          </w:p>
          <w:p w14:paraId="33BF013C" w14:textId="77777777" w:rsidR="001054B8" w:rsidRPr="009D2405" w:rsidRDefault="001054B8" w:rsidP="00E66CFD">
            <w:pPr>
              <w:pStyle w:val="a3"/>
              <w:rPr>
                <w:rFonts w:cs="FrankRuehl"/>
                <w:sz w:val="28"/>
                <w:szCs w:val="28"/>
                <w:rtl/>
              </w:rPr>
            </w:pPr>
          </w:p>
        </w:tc>
        <w:tc>
          <w:tcPr>
            <w:tcW w:w="3667" w:type="dxa"/>
          </w:tcPr>
          <w:p w14:paraId="419F2367" w14:textId="77777777" w:rsidR="001054B8" w:rsidRPr="009D2405" w:rsidRDefault="001054B8" w:rsidP="00E66CFD">
            <w:pPr>
              <w:pStyle w:val="a3"/>
              <w:jc w:val="right"/>
              <w:rPr>
                <w:rFonts w:cs="FrankRuehl"/>
                <w:sz w:val="28"/>
                <w:szCs w:val="28"/>
                <w:rtl/>
              </w:rPr>
            </w:pPr>
          </w:p>
        </w:tc>
      </w:tr>
    </w:tbl>
    <w:p w14:paraId="470B1500" w14:textId="77777777" w:rsidR="001054B8" w:rsidRPr="009D2405" w:rsidRDefault="001054B8" w:rsidP="001054B8">
      <w:pPr>
        <w:pStyle w:val="a3"/>
        <w:rPr>
          <w:rtl/>
        </w:rPr>
      </w:pPr>
      <w:r w:rsidRPr="009D2405">
        <w:rPr>
          <w:rFonts w:hint="cs"/>
          <w:rtl/>
        </w:rPr>
        <w:t xml:space="preserve"> </w:t>
      </w:r>
    </w:p>
    <w:p w14:paraId="0F318C27" w14:textId="77777777" w:rsidR="001054B8" w:rsidRPr="009D2405" w:rsidRDefault="001054B8" w:rsidP="001054B8">
      <w:pPr>
        <w:rPr>
          <w:rtl/>
        </w:rPr>
      </w:pPr>
    </w:p>
    <w:p w14:paraId="7ADA5DE6" w14:textId="77777777" w:rsidR="001054B8" w:rsidRPr="009D2405" w:rsidRDefault="001054B8" w:rsidP="001054B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1054B8" w:rsidRPr="009D2405" w14:paraId="10E31AED" w14:textId="77777777" w:rsidTr="001054B8">
        <w:trPr>
          <w:trHeight w:val="295"/>
          <w:jc w:val="center"/>
        </w:trPr>
        <w:tc>
          <w:tcPr>
            <w:tcW w:w="923" w:type="dxa"/>
            <w:tcBorders>
              <w:top w:val="nil"/>
              <w:left w:val="nil"/>
              <w:bottom w:val="nil"/>
              <w:right w:val="nil"/>
            </w:tcBorders>
            <w:shd w:val="clear" w:color="auto" w:fill="auto"/>
          </w:tcPr>
          <w:p w14:paraId="2651476D" w14:textId="77777777" w:rsidR="001054B8" w:rsidRPr="009D2405" w:rsidRDefault="001054B8" w:rsidP="001054B8">
            <w:pPr>
              <w:jc w:val="both"/>
              <w:rPr>
                <w:rFonts w:ascii="Arial" w:hAnsi="Arial" w:cs="FrankRuehl"/>
                <w:sz w:val="28"/>
                <w:szCs w:val="28"/>
              </w:rPr>
            </w:pPr>
            <w:r w:rsidRPr="009D2405">
              <w:rPr>
                <w:rFonts w:ascii="Arial" w:hAnsi="Arial" w:cs="FrankRuehl" w:hint="cs"/>
                <w:sz w:val="28"/>
                <w:szCs w:val="28"/>
                <w:rtl/>
              </w:rPr>
              <w:t>ב</w:t>
            </w:r>
            <w:r w:rsidRPr="009D240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172DF8A4" w14:textId="77777777" w:rsidR="001054B8" w:rsidRPr="009D2405" w:rsidRDefault="001054B8" w:rsidP="00E66CFD">
            <w:pPr>
              <w:rPr>
                <w:rFonts w:ascii="Arial" w:hAnsi="Arial"/>
                <w:b/>
                <w:bCs/>
                <w:rtl/>
              </w:rPr>
            </w:pPr>
            <w:r w:rsidRPr="009D2405">
              <w:rPr>
                <w:rFonts w:ascii="Arial" w:hAnsi="Arial" w:hint="cs"/>
                <w:b/>
                <w:bCs/>
                <w:rtl/>
              </w:rPr>
              <w:t>כבוד ה</w:t>
            </w:r>
            <w:r w:rsidRPr="009D2405">
              <w:rPr>
                <w:rFonts w:ascii="Arial" w:hAnsi="Arial"/>
                <w:b/>
                <w:bCs/>
                <w:rtl/>
              </w:rPr>
              <w:t>שופטת</w:t>
            </w:r>
            <w:r w:rsidRPr="009D2405">
              <w:rPr>
                <w:rFonts w:ascii="Arial" w:hAnsi="Arial" w:hint="cs"/>
                <w:b/>
                <w:bCs/>
                <w:rtl/>
              </w:rPr>
              <w:t xml:space="preserve">  </w:t>
            </w:r>
            <w:r w:rsidRPr="009D2405">
              <w:rPr>
                <w:rFonts w:ascii="Arial" w:hAnsi="Arial"/>
                <w:b/>
                <w:bCs/>
                <w:rtl/>
              </w:rPr>
              <w:t>מרב גרינברג</w:t>
            </w:r>
          </w:p>
          <w:p w14:paraId="59A86F76" w14:textId="77777777" w:rsidR="001054B8" w:rsidRPr="009D2405" w:rsidRDefault="001054B8" w:rsidP="00E66CFD">
            <w:pPr>
              <w:rPr>
                <w:rtl/>
              </w:rPr>
            </w:pPr>
          </w:p>
          <w:p w14:paraId="2DC8F170" w14:textId="77777777" w:rsidR="001054B8" w:rsidRPr="009D2405" w:rsidRDefault="001054B8" w:rsidP="001054B8">
            <w:pPr>
              <w:jc w:val="both"/>
              <w:rPr>
                <w:rFonts w:ascii="Arial" w:hAnsi="Arial" w:cs="FrankRuehl"/>
                <w:sz w:val="28"/>
                <w:szCs w:val="28"/>
              </w:rPr>
            </w:pPr>
          </w:p>
        </w:tc>
      </w:tr>
      <w:tr w:rsidR="001054B8" w:rsidRPr="009D2405" w14:paraId="0F8BD242" w14:textId="77777777" w:rsidTr="001054B8">
        <w:trPr>
          <w:trHeight w:val="355"/>
          <w:jc w:val="center"/>
        </w:trPr>
        <w:tc>
          <w:tcPr>
            <w:tcW w:w="923" w:type="dxa"/>
            <w:tcBorders>
              <w:top w:val="nil"/>
              <w:left w:val="nil"/>
              <w:bottom w:val="nil"/>
              <w:right w:val="nil"/>
            </w:tcBorders>
            <w:shd w:val="clear" w:color="auto" w:fill="auto"/>
          </w:tcPr>
          <w:p w14:paraId="738CA347" w14:textId="77777777" w:rsidR="001054B8" w:rsidRPr="009D2405" w:rsidRDefault="001054B8" w:rsidP="001054B8">
            <w:pPr>
              <w:jc w:val="both"/>
              <w:rPr>
                <w:rFonts w:ascii="Arial" w:hAnsi="Arial" w:cs="FrankRuehl"/>
                <w:sz w:val="28"/>
                <w:szCs w:val="28"/>
              </w:rPr>
            </w:pPr>
            <w:bookmarkStart w:id="1" w:name="FirstAppellant"/>
            <w:r w:rsidRPr="009D240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560C8EF" w14:textId="77777777" w:rsidR="001054B8" w:rsidRPr="009D2405" w:rsidRDefault="001054B8" w:rsidP="00E66CFD">
            <w:r w:rsidRPr="009D240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1D0979A1" w14:textId="77777777" w:rsidR="001054B8" w:rsidRPr="009D2405" w:rsidRDefault="001054B8" w:rsidP="001054B8">
            <w:pPr>
              <w:jc w:val="both"/>
              <w:rPr>
                <w:rFonts w:ascii="Arial" w:hAnsi="Arial" w:cs="FrankRuehl"/>
                <w:sz w:val="28"/>
                <w:szCs w:val="28"/>
              </w:rPr>
            </w:pPr>
          </w:p>
        </w:tc>
      </w:tr>
      <w:bookmarkEnd w:id="1"/>
      <w:tr w:rsidR="001054B8" w:rsidRPr="009D2405" w14:paraId="07972A30" w14:textId="77777777" w:rsidTr="001054B8">
        <w:trPr>
          <w:trHeight w:val="355"/>
          <w:jc w:val="center"/>
        </w:trPr>
        <w:tc>
          <w:tcPr>
            <w:tcW w:w="923" w:type="dxa"/>
            <w:tcBorders>
              <w:top w:val="nil"/>
              <w:left w:val="nil"/>
              <w:bottom w:val="nil"/>
              <w:right w:val="nil"/>
            </w:tcBorders>
            <w:shd w:val="clear" w:color="auto" w:fill="auto"/>
          </w:tcPr>
          <w:p w14:paraId="020DED5F" w14:textId="77777777" w:rsidR="001054B8" w:rsidRPr="009D2405" w:rsidRDefault="001054B8" w:rsidP="001054B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B57FC3F" w14:textId="77777777" w:rsidR="001054B8" w:rsidRPr="009D2405" w:rsidRDefault="001054B8" w:rsidP="001054B8">
            <w:pPr>
              <w:jc w:val="both"/>
              <w:rPr>
                <w:rtl/>
              </w:rPr>
            </w:pPr>
          </w:p>
        </w:tc>
        <w:tc>
          <w:tcPr>
            <w:tcW w:w="3771" w:type="dxa"/>
            <w:tcBorders>
              <w:top w:val="nil"/>
              <w:left w:val="nil"/>
              <w:bottom w:val="nil"/>
              <w:right w:val="nil"/>
            </w:tcBorders>
            <w:shd w:val="clear" w:color="auto" w:fill="auto"/>
          </w:tcPr>
          <w:p w14:paraId="2974F992" w14:textId="77777777" w:rsidR="001054B8" w:rsidRPr="009D2405" w:rsidRDefault="001054B8" w:rsidP="001054B8">
            <w:pPr>
              <w:jc w:val="right"/>
              <w:rPr>
                <w:rFonts w:ascii="Arial" w:hAnsi="Arial" w:cs="FrankRuehl"/>
                <w:sz w:val="28"/>
                <w:szCs w:val="28"/>
                <w:rtl/>
              </w:rPr>
            </w:pPr>
            <w:r w:rsidRPr="009D2405">
              <w:rPr>
                <w:rFonts w:ascii="Arial" w:hAnsi="Arial" w:cs="FrankRuehl" w:hint="cs"/>
                <w:sz w:val="28"/>
                <w:szCs w:val="28"/>
                <w:rtl/>
              </w:rPr>
              <w:t>ה</w:t>
            </w:r>
            <w:r w:rsidRPr="009D2405">
              <w:rPr>
                <w:rFonts w:ascii="Arial" w:hAnsi="Arial" w:cs="FrankRuehl"/>
                <w:sz w:val="28"/>
                <w:szCs w:val="28"/>
                <w:rtl/>
              </w:rPr>
              <w:t>מאשימה</w:t>
            </w:r>
          </w:p>
        </w:tc>
      </w:tr>
      <w:tr w:rsidR="001054B8" w:rsidRPr="009D2405" w14:paraId="190EA76B" w14:textId="77777777" w:rsidTr="001054B8">
        <w:trPr>
          <w:trHeight w:val="355"/>
          <w:jc w:val="center"/>
        </w:trPr>
        <w:tc>
          <w:tcPr>
            <w:tcW w:w="923" w:type="dxa"/>
            <w:tcBorders>
              <w:top w:val="nil"/>
              <w:left w:val="nil"/>
              <w:bottom w:val="nil"/>
              <w:right w:val="nil"/>
            </w:tcBorders>
            <w:shd w:val="clear" w:color="auto" w:fill="auto"/>
          </w:tcPr>
          <w:p w14:paraId="4D3A263D" w14:textId="77777777" w:rsidR="001054B8" w:rsidRPr="009D2405" w:rsidRDefault="001054B8" w:rsidP="001054B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AD9D1D8" w14:textId="77777777" w:rsidR="001054B8" w:rsidRPr="009D2405" w:rsidRDefault="001054B8" w:rsidP="001054B8">
            <w:pPr>
              <w:jc w:val="center"/>
              <w:rPr>
                <w:rFonts w:ascii="Arial" w:hAnsi="Arial" w:cs="FrankRuehl"/>
                <w:b/>
                <w:bCs/>
                <w:sz w:val="28"/>
                <w:szCs w:val="28"/>
                <w:rtl/>
              </w:rPr>
            </w:pPr>
          </w:p>
          <w:p w14:paraId="21542396" w14:textId="77777777" w:rsidR="001054B8" w:rsidRPr="009D2405" w:rsidRDefault="001054B8" w:rsidP="001054B8">
            <w:pPr>
              <w:jc w:val="center"/>
              <w:rPr>
                <w:rFonts w:ascii="Arial" w:hAnsi="Arial" w:cs="FrankRuehl"/>
                <w:b/>
                <w:bCs/>
                <w:sz w:val="28"/>
                <w:szCs w:val="28"/>
                <w:rtl/>
              </w:rPr>
            </w:pPr>
            <w:r w:rsidRPr="009D2405">
              <w:rPr>
                <w:rFonts w:ascii="Arial" w:hAnsi="Arial" w:cs="FrankRuehl"/>
                <w:b/>
                <w:bCs/>
                <w:sz w:val="28"/>
                <w:szCs w:val="28"/>
                <w:rtl/>
              </w:rPr>
              <w:t>נגד</w:t>
            </w:r>
          </w:p>
          <w:p w14:paraId="33E5FC59" w14:textId="77777777" w:rsidR="001054B8" w:rsidRPr="009D2405" w:rsidRDefault="001054B8" w:rsidP="001054B8">
            <w:pPr>
              <w:jc w:val="both"/>
              <w:rPr>
                <w:rFonts w:ascii="Arial" w:hAnsi="Arial" w:cs="FrankRuehl"/>
                <w:sz w:val="28"/>
                <w:szCs w:val="28"/>
              </w:rPr>
            </w:pPr>
          </w:p>
        </w:tc>
      </w:tr>
      <w:tr w:rsidR="001054B8" w:rsidRPr="009D2405" w14:paraId="12889969" w14:textId="77777777" w:rsidTr="001054B8">
        <w:trPr>
          <w:trHeight w:val="355"/>
          <w:jc w:val="center"/>
        </w:trPr>
        <w:tc>
          <w:tcPr>
            <w:tcW w:w="923" w:type="dxa"/>
            <w:tcBorders>
              <w:top w:val="nil"/>
              <w:left w:val="nil"/>
              <w:bottom w:val="nil"/>
              <w:right w:val="nil"/>
            </w:tcBorders>
            <w:shd w:val="clear" w:color="auto" w:fill="auto"/>
          </w:tcPr>
          <w:p w14:paraId="6239797A" w14:textId="77777777" w:rsidR="001054B8" w:rsidRPr="009D2405" w:rsidRDefault="001054B8" w:rsidP="00E66CFD">
            <w:pPr>
              <w:rPr>
                <w:rFonts w:ascii="Arial" w:hAnsi="Arial" w:cs="FrankRuehl"/>
                <w:sz w:val="28"/>
                <w:szCs w:val="28"/>
                <w:rtl/>
              </w:rPr>
            </w:pPr>
          </w:p>
        </w:tc>
        <w:tc>
          <w:tcPr>
            <w:tcW w:w="4126" w:type="dxa"/>
            <w:tcBorders>
              <w:top w:val="nil"/>
              <w:left w:val="nil"/>
              <w:bottom w:val="nil"/>
              <w:right w:val="nil"/>
            </w:tcBorders>
            <w:shd w:val="clear" w:color="auto" w:fill="auto"/>
          </w:tcPr>
          <w:p w14:paraId="51F633B5" w14:textId="77777777" w:rsidR="001054B8" w:rsidRPr="009D2405" w:rsidRDefault="001054B8" w:rsidP="00E66CFD">
            <w:pPr>
              <w:rPr>
                <w:rtl/>
              </w:rPr>
            </w:pPr>
            <w:r w:rsidRPr="009D2405">
              <w:rPr>
                <w:rFonts w:ascii="Arial" w:hAnsi="Arial" w:cs="FrankRuehl"/>
                <w:sz w:val="28"/>
                <w:szCs w:val="28"/>
                <w:rtl/>
              </w:rPr>
              <w:t>אושר רז הוד כהן</w:t>
            </w:r>
          </w:p>
        </w:tc>
        <w:tc>
          <w:tcPr>
            <w:tcW w:w="3771" w:type="dxa"/>
            <w:tcBorders>
              <w:top w:val="nil"/>
              <w:left w:val="nil"/>
              <w:bottom w:val="nil"/>
              <w:right w:val="nil"/>
            </w:tcBorders>
            <w:shd w:val="clear" w:color="auto" w:fill="auto"/>
          </w:tcPr>
          <w:p w14:paraId="6D2A804A" w14:textId="77777777" w:rsidR="001054B8" w:rsidRPr="009D2405" w:rsidRDefault="001054B8" w:rsidP="001054B8">
            <w:pPr>
              <w:jc w:val="right"/>
              <w:rPr>
                <w:rFonts w:ascii="Arial" w:hAnsi="Arial" w:cs="FrankRuehl"/>
                <w:sz w:val="28"/>
                <w:szCs w:val="28"/>
              </w:rPr>
            </w:pPr>
          </w:p>
        </w:tc>
      </w:tr>
      <w:tr w:rsidR="001054B8" w:rsidRPr="009D2405" w14:paraId="08743682" w14:textId="77777777" w:rsidTr="001054B8">
        <w:trPr>
          <w:trHeight w:val="355"/>
          <w:jc w:val="center"/>
        </w:trPr>
        <w:tc>
          <w:tcPr>
            <w:tcW w:w="923" w:type="dxa"/>
            <w:tcBorders>
              <w:top w:val="nil"/>
              <w:left w:val="nil"/>
              <w:bottom w:val="nil"/>
              <w:right w:val="nil"/>
            </w:tcBorders>
            <w:shd w:val="clear" w:color="auto" w:fill="auto"/>
          </w:tcPr>
          <w:p w14:paraId="1D7214CF" w14:textId="77777777" w:rsidR="001054B8" w:rsidRPr="009D2405" w:rsidRDefault="001054B8" w:rsidP="001054B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C94FD80" w14:textId="77777777" w:rsidR="001054B8" w:rsidRPr="009D2405" w:rsidRDefault="001054B8" w:rsidP="001054B8">
            <w:pPr>
              <w:jc w:val="both"/>
              <w:rPr>
                <w:rtl/>
              </w:rPr>
            </w:pPr>
          </w:p>
        </w:tc>
        <w:tc>
          <w:tcPr>
            <w:tcW w:w="3771" w:type="dxa"/>
            <w:tcBorders>
              <w:top w:val="nil"/>
              <w:left w:val="nil"/>
              <w:bottom w:val="nil"/>
              <w:right w:val="nil"/>
            </w:tcBorders>
            <w:shd w:val="clear" w:color="auto" w:fill="auto"/>
          </w:tcPr>
          <w:p w14:paraId="3ACDE919" w14:textId="77777777" w:rsidR="001054B8" w:rsidRPr="009D2405" w:rsidRDefault="001054B8" w:rsidP="001054B8">
            <w:pPr>
              <w:jc w:val="right"/>
              <w:rPr>
                <w:rFonts w:ascii="Arial" w:hAnsi="Arial" w:cs="FrankRuehl"/>
                <w:sz w:val="28"/>
                <w:szCs w:val="28"/>
              </w:rPr>
            </w:pPr>
            <w:r w:rsidRPr="009D2405">
              <w:rPr>
                <w:rFonts w:ascii="Arial" w:hAnsi="Arial" w:cs="FrankRuehl" w:hint="cs"/>
                <w:sz w:val="28"/>
                <w:szCs w:val="28"/>
                <w:rtl/>
              </w:rPr>
              <w:t>ה</w:t>
            </w:r>
            <w:r w:rsidRPr="009D2405">
              <w:rPr>
                <w:rFonts w:ascii="Arial" w:hAnsi="Arial" w:cs="FrankRuehl"/>
                <w:sz w:val="28"/>
                <w:szCs w:val="28"/>
                <w:rtl/>
              </w:rPr>
              <w:t>נאשמים</w:t>
            </w:r>
          </w:p>
        </w:tc>
      </w:tr>
    </w:tbl>
    <w:p w14:paraId="6D5BC535" w14:textId="77777777" w:rsidR="00757CF0" w:rsidRPr="00757CF0" w:rsidRDefault="00757CF0" w:rsidP="00757CF0">
      <w:pPr>
        <w:spacing w:after="120" w:line="240" w:lineRule="exact"/>
        <w:ind w:left="283" w:hanging="283"/>
        <w:jc w:val="both"/>
        <w:rPr>
          <w:rFonts w:ascii="FrankRuehl" w:hAnsi="FrankRuehl" w:cs="FrankRuehl"/>
          <w:rtl/>
        </w:rPr>
      </w:pPr>
      <w:bookmarkStart w:id="2" w:name="LawTable"/>
      <w:bookmarkEnd w:id="2"/>
    </w:p>
    <w:p w14:paraId="74A973FE" w14:textId="77777777" w:rsidR="00757CF0" w:rsidRPr="00757CF0" w:rsidRDefault="00757CF0" w:rsidP="00757CF0">
      <w:pPr>
        <w:spacing w:after="120" w:line="240" w:lineRule="exact"/>
        <w:ind w:left="283" w:hanging="283"/>
        <w:jc w:val="both"/>
        <w:rPr>
          <w:rFonts w:ascii="FrankRuehl" w:hAnsi="FrankRuehl" w:cs="FrankRuehl"/>
          <w:rtl/>
        </w:rPr>
      </w:pPr>
      <w:r w:rsidRPr="00757CF0">
        <w:rPr>
          <w:rFonts w:ascii="FrankRuehl" w:hAnsi="FrankRuehl" w:cs="FrankRuehl"/>
          <w:rtl/>
        </w:rPr>
        <w:t xml:space="preserve">חקיקה שאוזכרה: </w:t>
      </w:r>
    </w:p>
    <w:p w14:paraId="23D3CD4A" w14:textId="77777777" w:rsidR="00757CF0" w:rsidRPr="00757CF0" w:rsidRDefault="00757CF0" w:rsidP="00757CF0">
      <w:pPr>
        <w:spacing w:after="120" w:line="240" w:lineRule="exact"/>
        <w:ind w:left="283" w:hanging="283"/>
        <w:jc w:val="both"/>
        <w:rPr>
          <w:rFonts w:ascii="FrankRuehl" w:hAnsi="FrankRuehl" w:cs="FrankRuehl"/>
          <w:rtl/>
        </w:rPr>
      </w:pPr>
      <w:hyperlink r:id="rId7" w:history="1">
        <w:r w:rsidRPr="00757CF0">
          <w:rPr>
            <w:rFonts w:ascii="FrankRuehl" w:hAnsi="FrankRuehl" w:cs="FrankRuehl"/>
            <w:color w:val="0000FF"/>
            <w:u w:val="single"/>
            <w:rtl/>
          </w:rPr>
          <w:t>פקודת הסמים המסוכנים [נוסח חדש], תשל"ג-1973</w:t>
        </w:r>
      </w:hyperlink>
      <w:r w:rsidRPr="00757CF0">
        <w:rPr>
          <w:rFonts w:ascii="FrankRuehl" w:hAnsi="FrankRuehl" w:cs="FrankRuehl"/>
          <w:rtl/>
        </w:rPr>
        <w:t xml:space="preserve">: סע'  </w:t>
      </w:r>
      <w:hyperlink r:id="rId8" w:history="1">
        <w:r w:rsidRPr="00757CF0">
          <w:rPr>
            <w:rFonts w:ascii="FrankRuehl" w:hAnsi="FrankRuehl" w:cs="FrankRuehl"/>
            <w:color w:val="0000FF"/>
            <w:u w:val="single"/>
            <w:rtl/>
          </w:rPr>
          <w:t>6</w:t>
        </w:r>
      </w:hyperlink>
      <w:r w:rsidRPr="00757CF0">
        <w:rPr>
          <w:rFonts w:ascii="FrankRuehl" w:hAnsi="FrankRuehl" w:cs="FrankRuehl"/>
          <w:rtl/>
        </w:rPr>
        <w:t xml:space="preserve">, </w:t>
      </w:r>
      <w:hyperlink r:id="rId9" w:history="1">
        <w:r w:rsidRPr="00757CF0">
          <w:rPr>
            <w:rFonts w:ascii="FrankRuehl" w:hAnsi="FrankRuehl" w:cs="FrankRuehl"/>
            <w:color w:val="0000FF"/>
            <w:u w:val="single"/>
            <w:rtl/>
          </w:rPr>
          <w:t>10</w:t>
        </w:r>
      </w:hyperlink>
      <w:r w:rsidRPr="00757CF0">
        <w:rPr>
          <w:rFonts w:ascii="FrankRuehl" w:hAnsi="FrankRuehl" w:cs="FrankRuehl"/>
          <w:rtl/>
        </w:rPr>
        <w:t xml:space="preserve">, </w:t>
      </w:r>
      <w:hyperlink r:id="rId10" w:history="1">
        <w:r w:rsidRPr="00757CF0">
          <w:rPr>
            <w:rFonts w:ascii="FrankRuehl" w:hAnsi="FrankRuehl" w:cs="FrankRuehl"/>
            <w:color w:val="0000FF"/>
            <w:u w:val="single"/>
            <w:rtl/>
          </w:rPr>
          <w:t>13</w:t>
        </w:r>
      </w:hyperlink>
      <w:r w:rsidRPr="00757CF0">
        <w:rPr>
          <w:rFonts w:ascii="FrankRuehl" w:hAnsi="FrankRuehl" w:cs="FrankRuehl"/>
          <w:rtl/>
        </w:rPr>
        <w:t xml:space="preserve">, </w:t>
      </w:r>
      <w:hyperlink r:id="rId11" w:history="1">
        <w:r w:rsidRPr="00757CF0">
          <w:rPr>
            <w:rFonts w:ascii="FrankRuehl" w:hAnsi="FrankRuehl" w:cs="FrankRuehl"/>
            <w:color w:val="0000FF"/>
            <w:u w:val="single"/>
            <w:rtl/>
          </w:rPr>
          <w:t>19א'</w:t>
        </w:r>
      </w:hyperlink>
    </w:p>
    <w:p w14:paraId="0F7746A9" w14:textId="77777777" w:rsidR="00757CF0" w:rsidRPr="00757CF0" w:rsidRDefault="00757CF0" w:rsidP="00757CF0">
      <w:pPr>
        <w:spacing w:after="120" w:line="240" w:lineRule="exact"/>
        <w:ind w:left="283" w:hanging="283"/>
        <w:jc w:val="both"/>
        <w:rPr>
          <w:rFonts w:ascii="FrankRuehl" w:hAnsi="FrankRuehl" w:cs="FrankRuehl"/>
          <w:rtl/>
        </w:rPr>
      </w:pPr>
      <w:hyperlink r:id="rId12" w:history="1">
        <w:r w:rsidRPr="00757CF0">
          <w:rPr>
            <w:rFonts w:ascii="FrankRuehl" w:hAnsi="FrankRuehl" w:cs="FrankRuehl"/>
            <w:color w:val="0000FF"/>
            <w:u w:val="single"/>
            <w:rtl/>
          </w:rPr>
          <w:t>חוק העונשין, תשל"ז-1977</w:t>
        </w:r>
      </w:hyperlink>
      <w:r w:rsidRPr="00757CF0">
        <w:rPr>
          <w:rFonts w:ascii="FrankRuehl" w:hAnsi="FrankRuehl" w:cs="FrankRuehl"/>
          <w:rtl/>
        </w:rPr>
        <w:t xml:space="preserve">: סע'  </w:t>
      </w:r>
      <w:hyperlink r:id="rId13" w:history="1">
        <w:r w:rsidRPr="00757CF0">
          <w:rPr>
            <w:rFonts w:ascii="FrankRuehl" w:hAnsi="FrankRuehl" w:cs="FrankRuehl"/>
            <w:color w:val="0000FF"/>
            <w:u w:val="single"/>
            <w:rtl/>
          </w:rPr>
          <w:t>29(א)</w:t>
        </w:r>
      </w:hyperlink>
      <w:r w:rsidRPr="00757CF0">
        <w:rPr>
          <w:rFonts w:ascii="FrankRuehl" w:hAnsi="FrankRuehl" w:cs="FrankRuehl"/>
          <w:rtl/>
        </w:rPr>
        <w:t xml:space="preserve">, </w:t>
      </w:r>
      <w:hyperlink r:id="rId14" w:history="1">
        <w:r w:rsidRPr="00757CF0">
          <w:rPr>
            <w:rFonts w:ascii="FrankRuehl" w:hAnsi="FrankRuehl" w:cs="FrankRuehl"/>
            <w:color w:val="0000FF"/>
            <w:u w:val="single"/>
            <w:rtl/>
          </w:rPr>
          <w:t>40ד'</w:t>
        </w:r>
      </w:hyperlink>
      <w:r w:rsidRPr="00757CF0">
        <w:rPr>
          <w:rFonts w:ascii="FrankRuehl" w:hAnsi="FrankRuehl" w:cs="FrankRuehl"/>
          <w:rtl/>
        </w:rPr>
        <w:t xml:space="preserve">, </w:t>
      </w:r>
      <w:hyperlink r:id="rId15" w:history="1">
        <w:r w:rsidRPr="00757CF0">
          <w:rPr>
            <w:rFonts w:ascii="FrankRuehl" w:hAnsi="FrankRuehl" w:cs="FrankRuehl"/>
            <w:color w:val="0000FF"/>
            <w:u w:val="single"/>
            <w:rtl/>
          </w:rPr>
          <w:t>40ד'(א)</w:t>
        </w:r>
      </w:hyperlink>
      <w:r w:rsidRPr="00757CF0">
        <w:rPr>
          <w:rFonts w:ascii="FrankRuehl" w:hAnsi="FrankRuehl" w:cs="FrankRuehl"/>
          <w:rtl/>
        </w:rPr>
        <w:t xml:space="preserve">, </w:t>
      </w:r>
      <w:hyperlink r:id="rId16" w:history="1">
        <w:r w:rsidRPr="00757CF0">
          <w:rPr>
            <w:rFonts w:ascii="FrankRuehl" w:hAnsi="FrankRuehl" w:cs="FrankRuehl"/>
            <w:color w:val="0000FF"/>
            <w:u w:val="single"/>
            <w:rtl/>
          </w:rPr>
          <w:t>40יג</w:t>
        </w:r>
      </w:hyperlink>
    </w:p>
    <w:p w14:paraId="6DDE6C67" w14:textId="77777777" w:rsidR="00757CF0" w:rsidRPr="00757CF0" w:rsidRDefault="00757CF0" w:rsidP="00757CF0">
      <w:pPr>
        <w:spacing w:after="120" w:line="240" w:lineRule="exact"/>
        <w:ind w:left="283" w:hanging="283"/>
        <w:jc w:val="both"/>
        <w:rPr>
          <w:rFonts w:ascii="FrankRuehl" w:hAnsi="FrankRuehl" w:cs="FrankRuehl"/>
          <w:rtl/>
        </w:rPr>
      </w:pPr>
      <w:hyperlink r:id="rId17" w:history="1">
        <w:r w:rsidRPr="00757CF0">
          <w:rPr>
            <w:rFonts w:ascii="FrankRuehl" w:hAnsi="FrankRuehl" w:cs="FrankRuehl"/>
            <w:color w:val="0000FF"/>
            <w:u w:val="single"/>
            <w:rtl/>
          </w:rPr>
          <w:t>פקודת המבחן [נוסח חדש], תשכ"ט-1969</w:t>
        </w:r>
      </w:hyperlink>
    </w:p>
    <w:p w14:paraId="08F18F4D" w14:textId="77777777" w:rsidR="00757CF0" w:rsidRPr="00757CF0" w:rsidRDefault="00757CF0" w:rsidP="00757CF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054B8" w14:paraId="489ECAF3" w14:textId="77777777" w:rsidTr="001054B8">
        <w:trPr>
          <w:trHeight w:val="355"/>
          <w:jc w:val="center"/>
        </w:trPr>
        <w:tc>
          <w:tcPr>
            <w:tcW w:w="8820" w:type="dxa"/>
            <w:tcBorders>
              <w:top w:val="nil"/>
              <w:left w:val="nil"/>
              <w:bottom w:val="nil"/>
              <w:right w:val="nil"/>
            </w:tcBorders>
            <w:shd w:val="clear" w:color="auto" w:fill="auto"/>
          </w:tcPr>
          <w:p w14:paraId="36133565" w14:textId="77777777" w:rsidR="009D2405" w:rsidRPr="009D2405" w:rsidRDefault="009D2405" w:rsidP="009D2405">
            <w:pPr>
              <w:jc w:val="center"/>
              <w:rPr>
                <w:rFonts w:ascii="Arial" w:hAnsi="Arial" w:cs="FrankRuehl"/>
                <w:b/>
                <w:bCs/>
                <w:sz w:val="32"/>
                <w:szCs w:val="32"/>
                <w:u w:val="single"/>
                <w:rtl/>
              </w:rPr>
            </w:pPr>
            <w:bookmarkStart w:id="3" w:name="LawTable_End"/>
            <w:bookmarkStart w:id="4" w:name="PsakDin" w:colFirst="0" w:colLast="0"/>
            <w:bookmarkEnd w:id="0"/>
            <w:bookmarkEnd w:id="3"/>
            <w:r w:rsidRPr="009D2405">
              <w:rPr>
                <w:rFonts w:ascii="Arial" w:hAnsi="Arial" w:cs="FrankRuehl"/>
                <w:b/>
                <w:bCs/>
                <w:sz w:val="32"/>
                <w:szCs w:val="32"/>
                <w:u w:val="single"/>
                <w:rtl/>
              </w:rPr>
              <w:t>גזר דין</w:t>
            </w:r>
          </w:p>
          <w:p w14:paraId="19F434EB" w14:textId="77777777" w:rsidR="001054B8" w:rsidRPr="009D2405" w:rsidRDefault="001054B8" w:rsidP="009D2405">
            <w:pPr>
              <w:jc w:val="center"/>
              <w:rPr>
                <w:rFonts w:ascii="Arial" w:hAnsi="Arial" w:cs="FrankRuehl"/>
                <w:bCs/>
                <w:sz w:val="32"/>
                <w:szCs w:val="32"/>
                <w:u w:val="single"/>
                <w:rtl/>
              </w:rPr>
            </w:pPr>
          </w:p>
        </w:tc>
      </w:tr>
      <w:bookmarkEnd w:id="4"/>
    </w:tbl>
    <w:p w14:paraId="0EDCB33B" w14:textId="77777777" w:rsidR="001054B8" w:rsidRPr="00B05847" w:rsidRDefault="001054B8" w:rsidP="001054B8">
      <w:pPr>
        <w:rPr>
          <w:rFonts w:ascii="Arial" w:hAnsi="Arial"/>
          <w:rtl/>
        </w:rPr>
      </w:pPr>
    </w:p>
    <w:p w14:paraId="43D4A7F0" w14:textId="77777777" w:rsidR="001054B8" w:rsidRPr="005B7C2C" w:rsidRDefault="001054B8" w:rsidP="001054B8">
      <w:pPr>
        <w:rPr>
          <w:rFonts w:ascii="Arial" w:hAnsi="Arial"/>
          <w:b/>
          <w:bCs/>
          <w:u w:val="single"/>
          <w:rtl/>
        </w:rPr>
      </w:pPr>
      <w:r w:rsidRPr="005B7C2C">
        <w:rPr>
          <w:rFonts w:ascii="Arial" w:hAnsi="Arial" w:hint="cs"/>
          <w:b/>
          <w:bCs/>
          <w:u w:val="single"/>
          <w:rtl/>
        </w:rPr>
        <w:t>נוכחים:</w:t>
      </w:r>
    </w:p>
    <w:p w14:paraId="503B834B" w14:textId="77777777" w:rsidR="001054B8" w:rsidRDefault="001054B8" w:rsidP="001054B8">
      <w:pPr>
        <w:rPr>
          <w:rFonts w:ascii="Arial" w:hAnsi="Arial"/>
          <w:rtl/>
        </w:rPr>
      </w:pPr>
      <w:r>
        <w:rPr>
          <w:rFonts w:ascii="Arial" w:hAnsi="Arial" w:hint="cs"/>
          <w:rtl/>
        </w:rPr>
        <w:t>ב"כ המאשימה עו"ד רוית שפיר</w:t>
      </w:r>
    </w:p>
    <w:p w14:paraId="1628BDAC" w14:textId="77777777" w:rsidR="001054B8" w:rsidRDefault="001054B8" w:rsidP="001054B8">
      <w:pPr>
        <w:rPr>
          <w:rFonts w:ascii="Arial" w:hAnsi="Arial"/>
          <w:rtl/>
        </w:rPr>
      </w:pPr>
      <w:r>
        <w:rPr>
          <w:rFonts w:ascii="Arial" w:hAnsi="Arial" w:hint="cs"/>
          <w:rtl/>
        </w:rPr>
        <w:t>ב"כ הנאשם עו"ד מוטי אדטו</w:t>
      </w:r>
    </w:p>
    <w:p w14:paraId="340138C4" w14:textId="77777777" w:rsidR="001054B8" w:rsidRPr="00B05847" w:rsidRDefault="001054B8" w:rsidP="001054B8">
      <w:pPr>
        <w:rPr>
          <w:rFonts w:ascii="Arial" w:hAnsi="Arial"/>
          <w:rtl/>
        </w:rPr>
      </w:pPr>
      <w:r>
        <w:rPr>
          <w:rFonts w:ascii="Arial" w:hAnsi="Arial" w:hint="cs"/>
          <w:rtl/>
        </w:rPr>
        <w:t>הנאשם בעצמו</w:t>
      </w:r>
    </w:p>
    <w:p w14:paraId="2DEB8368" w14:textId="77777777" w:rsidR="001054B8" w:rsidRPr="00B05847" w:rsidRDefault="001054B8" w:rsidP="001054B8">
      <w:pPr>
        <w:rPr>
          <w:rtl/>
        </w:rPr>
      </w:pPr>
    </w:p>
    <w:p w14:paraId="3F1CFC35" w14:textId="77777777" w:rsidR="001054B8" w:rsidRDefault="001054B8" w:rsidP="001054B8">
      <w:pPr>
        <w:spacing w:line="360" w:lineRule="auto"/>
        <w:rPr>
          <w:rFonts w:ascii="Arial" w:hAnsi="Arial"/>
          <w:b/>
          <w:bCs/>
          <w:u w:val="single"/>
        </w:rPr>
      </w:pPr>
      <w:r>
        <w:rPr>
          <w:rFonts w:ascii="Arial" w:hAnsi="Arial" w:hint="cs"/>
          <w:b/>
          <w:bCs/>
          <w:u w:val="single"/>
          <w:rtl/>
        </w:rPr>
        <w:t>רקע כללי</w:t>
      </w:r>
    </w:p>
    <w:p w14:paraId="56044569" w14:textId="77777777" w:rsidR="001054B8" w:rsidRDefault="001054B8" w:rsidP="001054B8">
      <w:pPr>
        <w:spacing w:line="360" w:lineRule="auto"/>
        <w:rPr>
          <w:rFonts w:ascii="Arial" w:hAnsi="Arial"/>
          <w:b/>
          <w:bCs/>
          <w:u w:val="single"/>
        </w:rPr>
      </w:pPr>
    </w:p>
    <w:p w14:paraId="7CE7A3E8" w14:textId="77777777" w:rsidR="001054B8" w:rsidRDefault="001054B8" w:rsidP="001054B8">
      <w:pPr>
        <w:numPr>
          <w:ilvl w:val="0"/>
          <w:numId w:val="1"/>
        </w:numPr>
        <w:spacing w:line="360" w:lineRule="auto"/>
        <w:jc w:val="both"/>
        <w:rPr>
          <w:rFonts w:ascii="Arial" w:eastAsia="Calibri" w:hAnsi="Arial"/>
        </w:rPr>
      </w:pPr>
      <w:bookmarkStart w:id="5" w:name="ABSTRACT_START"/>
      <w:bookmarkEnd w:id="5"/>
      <w:r>
        <w:rPr>
          <w:rFonts w:ascii="Arial" w:hAnsi="Arial" w:hint="cs"/>
          <w:rtl/>
        </w:rPr>
        <w:t xml:space="preserve">הנאשם הורשע על יסוד הודאתו, במסגרת הסדר טיעון פרי הליך גישור ממושך,  בעובדות כתב אישום מתוקן בעבירות של  </w:t>
      </w:r>
      <w:r>
        <w:rPr>
          <w:rFonts w:ascii="Arial" w:hAnsi="Arial" w:hint="cs"/>
          <w:b/>
          <w:bCs/>
          <w:rtl/>
        </w:rPr>
        <w:t xml:space="preserve">סחר בסם מסוכן (ריבוי עבירות) </w:t>
      </w:r>
      <w:r>
        <w:rPr>
          <w:rFonts w:ascii="Arial" w:hAnsi="Arial" w:hint="cs"/>
          <w:rtl/>
        </w:rPr>
        <w:t xml:space="preserve">- עבירה לפי </w:t>
      </w:r>
      <w:hyperlink r:id="rId18" w:history="1">
        <w:r w:rsidR="00757CF0" w:rsidRPr="00757CF0">
          <w:rPr>
            <w:color w:val="0000FF"/>
            <w:u w:val="single"/>
            <w:rtl/>
          </w:rPr>
          <w:t>סעיף 13</w:t>
        </w:r>
      </w:hyperlink>
      <w:r>
        <w:rPr>
          <w:rFonts w:hint="cs"/>
          <w:rtl/>
        </w:rPr>
        <w:t xml:space="preserve"> + </w:t>
      </w:r>
      <w:hyperlink r:id="rId19" w:history="1">
        <w:r w:rsidR="00757CF0" w:rsidRPr="00757CF0">
          <w:rPr>
            <w:color w:val="0000FF"/>
            <w:u w:val="single"/>
            <w:rtl/>
          </w:rPr>
          <w:t>19א'</w:t>
        </w:r>
      </w:hyperlink>
      <w:r>
        <w:rPr>
          <w:rFonts w:hint="cs"/>
          <w:rtl/>
        </w:rPr>
        <w:t xml:space="preserve"> ל</w:t>
      </w:r>
      <w:hyperlink r:id="rId20" w:history="1">
        <w:r w:rsidR="009D2405" w:rsidRPr="009D2405">
          <w:rPr>
            <w:color w:val="0000FF"/>
            <w:u w:val="single"/>
            <w:rtl/>
          </w:rPr>
          <w:t>פקודת הסמים המסוכנים</w:t>
        </w:r>
      </w:hyperlink>
      <w:r>
        <w:rPr>
          <w:rFonts w:hint="cs"/>
          <w:rtl/>
        </w:rPr>
        <w:t xml:space="preserve"> [נוסח חדש], תשל"ג-1973</w:t>
      </w:r>
      <w:r>
        <w:rPr>
          <w:rFonts w:ascii="Arial" w:hAnsi="Arial" w:hint="cs"/>
          <w:rtl/>
        </w:rPr>
        <w:t xml:space="preserve">; </w:t>
      </w:r>
      <w:r>
        <w:rPr>
          <w:rFonts w:ascii="Arial" w:hAnsi="Arial" w:hint="cs"/>
          <w:b/>
          <w:bCs/>
          <w:rtl/>
        </w:rPr>
        <w:t>גידול סם בצוותא</w:t>
      </w:r>
      <w:r>
        <w:rPr>
          <w:rFonts w:ascii="Arial" w:hAnsi="Arial" w:hint="cs"/>
          <w:rtl/>
        </w:rPr>
        <w:t xml:space="preserve">- עבירה לפי </w:t>
      </w:r>
      <w:hyperlink r:id="rId21" w:history="1">
        <w:r w:rsidR="00757CF0" w:rsidRPr="00757CF0">
          <w:rPr>
            <w:color w:val="0000FF"/>
            <w:u w:val="single"/>
            <w:rtl/>
          </w:rPr>
          <w:t>סעיף 6</w:t>
        </w:r>
      </w:hyperlink>
      <w:r>
        <w:rPr>
          <w:rFonts w:hint="cs"/>
          <w:rtl/>
        </w:rPr>
        <w:t xml:space="preserve"> לפקודת הסמים המסוכנים [נוסח חדש], תשל"ג-1973</w:t>
      </w:r>
      <w:r>
        <w:rPr>
          <w:rFonts w:ascii="Arial" w:hAnsi="Arial" w:hint="cs"/>
          <w:rtl/>
        </w:rPr>
        <w:t xml:space="preserve"> </w:t>
      </w:r>
      <w:hyperlink r:id="rId22" w:history="1">
        <w:r w:rsidR="00757CF0" w:rsidRPr="00757CF0">
          <w:rPr>
            <w:rFonts w:ascii="Arial" w:hAnsi="Arial"/>
            <w:color w:val="0000FF"/>
            <w:u w:val="single"/>
            <w:rtl/>
          </w:rPr>
          <w:t>וסעיף 29(א)</w:t>
        </w:r>
      </w:hyperlink>
      <w:r>
        <w:rPr>
          <w:rFonts w:ascii="Arial" w:hAnsi="Arial" w:hint="cs"/>
          <w:rtl/>
        </w:rPr>
        <w:t xml:space="preserve"> ל</w:t>
      </w:r>
      <w:hyperlink r:id="rId23" w:history="1">
        <w:r w:rsidR="009D2405" w:rsidRPr="009D2405">
          <w:rPr>
            <w:rFonts w:ascii="Arial" w:hAnsi="Arial"/>
            <w:color w:val="0000FF"/>
            <w:u w:val="single"/>
            <w:rtl/>
          </w:rPr>
          <w:t>חוק העונשין</w:t>
        </w:r>
      </w:hyperlink>
      <w:r>
        <w:rPr>
          <w:rFonts w:ascii="Arial" w:hAnsi="Arial" w:hint="cs"/>
          <w:rtl/>
        </w:rPr>
        <w:t xml:space="preserve"> ו-</w:t>
      </w:r>
      <w:r>
        <w:rPr>
          <w:rFonts w:ascii="Arial" w:hAnsi="Arial" w:hint="cs"/>
          <w:b/>
          <w:bCs/>
          <w:rtl/>
        </w:rPr>
        <w:t xml:space="preserve">החזקת כלים להכנת סם </w:t>
      </w:r>
      <w:r>
        <w:rPr>
          <w:rFonts w:ascii="Arial" w:hAnsi="Arial" w:hint="cs"/>
          <w:rtl/>
        </w:rPr>
        <w:t xml:space="preserve">לא לצריכה עצמית- עבירה לפי </w:t>
      </w:r>
      <w:hyperlink r:id="rId24" w:history="1">
        <w:r w:rsidR="00757CF0" w:rsidRPr="00757CF0">
          <w:rPr>
            <w:color w:val="0000FF"/>
            <w:u w:val="single"/>
            <w:rtl/>
          </w:rPr>
          <w:t>סעיף 10</w:t>
        </w:r>
      </w:hyperlink>
      <w:r>
        <w:rPr>
          <w:rFonts w:hint="cs"/>
          <w:rtl/>
        </w:rPr>
        <w:t xml:space="preserve"> רישא לפקודת הסמים המסוכנים [נוסח חדש], תשל"ג-1973</w:t>
      </w:r>
      <w:r>
        <w:rPr>
          <w:rFonts w:ascii="Arial" w:hAnsi="Arial" w:hint="cs"/>
          <w:rtl/>
        </w:rPr>
        <w:t xml:space="preserve">. </w:t>
      </w:r>
    </w:p>
    <w:p w14:paraId="5D880885" w14:textId="77777777" w:rsidR="001054B8" w:rsidRDefault="001054B8" w:rsidP="001054B8">
      <w:pPr>
        <w:spacing w:line="360" w:lineRule="auto"/>
        <w:ind w:left="502"/>
        <w:jc w:val="both"/>
        <w:rPr>
          <w:rFonts w:ascii="Arial" w:eastAsia="Calibri" w:hAnsi="Arial"/>
        </w:rPr>
      </w:pPr>
      <w:bookmarkStart w:id="6" w:name="ABSTRACT_END"/>
      <w:bookmarkEnd w:id="6"/>
    </w:p>
    <w:p w14:paraId="46BBBF4A" w14:textId="77777777" w:rsidR="001054B8" w:rsidRDefault="001054B8" w:rsidP="001054B8">
      <w:pPr>
        <w:numPr>
          <w:ilvl w:val="0"/>
          <w:numId w:val="1"/>
        </w:numPr>
        <w:spacing w:line="360" w:lineRule="auto"/>
        <w:jc w:val="both"/>
        <w:rPr>
          <w:rFonts w:ascii="Arial" w:hAnsi="Arial"/>
          <w:rtl/>
        </w:rPr>
      </w:pPr>
      <w:r>
        <w:rPr>
          <w:rFonts w:ascii="Arial" w:hAnsi="Arial" w:hint="cs"/>
          <w:rtl/>
        </w:rPr>
        <w:lastRenderedPageBreak/>
        <w:t xml:space="preserve">כמפורט בכתב האישום בתיק דנא, בחודש ינואר 2016, עבר הנאשם להתגורר בדירה בהוד השרון ביחד עם שניים נוספים. ביום 1.5.16 גידל הנאשם ביחד עם אחרים סם במעבדה לגידול סם במשקל של כ-9 ק"ג וכן החזיק בצוותא כלים לגידול הסם. במהלך התקופה שבין דצמבר 2015 ועד לחודש מאי 2016 , ב-4 הזדמנויות ומועדים שונים סיפק למכרו איתן, על רקע ההיכרות ביניהם, סם מסוג קאנביס עבור תמורה. האישומים הנוספים (אישום 10 ו-11 בכתב האישום המקורי) מייחסים לנאשם סחר, במועדים דומים, במספר הזדמנויות של סם מסוג קאנביס במשקלים קטנים בעבוד תמורה לאחרים, על רקע קשרים אישיים ביניהם. </w:t>
      </w:r>
    </w:p>
    <w:p w14:paraId="2BA66615" w14:textId="77777777" w:rsidR="001054B8" w:rsidRDefault="001054B8" w:rsidP="001054B8">
      <w:pPr>
        <w:spacing w:line="360" w:lineRule="auto"/>
        <w:ind w:left="502"/>
        <w:jc w:val="both"/>
        <w:rPr>
          <w:rFonts w:ascii="Arial" w:hAnsi="Arial"/>
        </w:rPr>
      </w:pPr>
    </w:p>
    <w:p w14:paraId="29A6F232" w14:textId="77777777" w:rsidR="001054B8" w:rsidRDefault="001054B8" w:rsidP="001054B8">
      <w:pPr>
        <w:numPr>
          <w:ilvl w:val="0"/>
          <w:numId w:val="1"/>
        </w:numPr>
        <w:spacing w:line="360" w:lineRule="auto"/>
        <w:jc w:val="both"/>
        <w:rPr>
          <w:rFonts w:ascii="Arial" w:hAnsi="Arial"/>
        </w:rPr>
      </w:pPr>
      <w:r>
        <w:rPr>
          <w:rFonts w:ascii="Arial" w:hAnsi="Arial" w:hint="cs"/>
          <w:rtl/>
        </w:rPr>
        <w:t xml:space="preserve">ביום 9.4.18 הגיעו הצדדים להסדר טיעון, לפיו תוקן כתב האישום משמעותית לקולא והנאשם הופנה לשירות המבחן. ההסכמות בין הצדדים היו כאמור תוצר של הליכים מקדמיים והליך גישור ממושכים. בין היתר, ולאחר פניות של ב"כ הנאשם, התחדשה החקירה כנגד שותפיו של הנאשם, כשבסופה אף הוגש כתב אישום כנגד אחד מהם. במהלך כל תקופה זו של השלמות חקירה, שארכה למעלה משנה, לא ניתן היה לקדם ההליכים בתיק. </w:t>
      </w:r>
    </w:p>
    <w:p w14:paraId="04A63558" w14:textId="77777777" w:rsidR="001054B8" w:rsidRDefault="001054B8" w:rsidP="001054B8">
      <w:pPr>
        <w:spacing w:line="360" w:lineRule="auto"/>
        <w:jc w:val="both"/>
        <w:rPr>
          <w:rFonts w:ascii="Arial" w:eastAsia="Calibri" w:hAnsi="Arial"/>
          <w:b/>
          <w:bCs/>
          <w:u w:val="single"/>
        </w:rPr>
      </w:pPr>
    </w:p>
    <w:p w14:paraId="775927E3" w14:textId="77777777" w:rsidR="001054B8" w:rsidRDefault="001054B8" w:rsidP="001054B8">
      <w:pPr>
        <w:spacing w:line="360" w:lineRule="auto"/>
        <w:rPr>
          <w:rFonts w:ascii="Arial" w:hAnsi="Arial"/>
          <w:rtl/>
        </w:rPr>
      </w:pPr>
      <w:r>
        <w:rPr>
          <w:rFonts w:ascii="Arial" w:hAnsi="Arial" w:hint="cs"/>
          <w:b/>
          <w:bCs/>
          <w:u w:val="single"/>
          <w:rtl/>
        </w:rPr>
        <w:t>תסקיר שירות המבחן</w:t>
      </w:r>
    </w:p>
    <w:p w14:paraId="325C3523" w14:textId="77777777" w:rsidR="001054B8" w:rsidRDefault="001054B8" w:rsidP="001054B8">
      <w:pPr>
        <w:numPr>
          <w:ilvl w:val="0"/>
          <w:numId w:val="1"/>
        </w:numPr>
        <w:spacing w:line="360" w:lineRule="auto"/>
        <w:jc w:val="both"/>
        <w:rPr>
          <w:rFonts w:ascii="Arial" w:hAnsi="Arial"/>
          <w:rtl/>
        </w:rPr>
      </w:pPr>
      <w:r>
        <w:rPr>
          <w:rFonts w:ascii="Arial" w:hAnsi="Arial" w:hint="cs"/>
          <w:rtl/>
        </w:rPr>
        <w:t>בעניינו של הנאשם התקבלו מספר תסקירים הסוקרים את נסיבות חייו המורכבות. הנאשם, בן 34, רווק, מתגורר עם בן זוגו. הנאשם בן למשפחה דתית, כשבגיל 16 על רקע תחושת חריגות ונטייתו המינית, סולק מביתו. הנאשם חווה התעללות פיזית ונפשית מצד משפחתו וחבריו ולאחר מכן נותק הקשר עם משפחתו. באותה תקופה החל להשתמש בסמים קלים ועבד בזנות. הנאשם שוחרר מהצבא על רקע אי התאמה, צרך סמים שונים באופן אינטנסיבי והתקשה לייצב את חייו. הנאשם נעדר עבר פלילי, מהיכרותם במסגרת המעצר התרשם שירות המבחן מנאשם שחווה דחייה ונטישה מצד משפחתו וניהל אורח חיים שולי. במסגרת פיקוח המעצר, גילה לראשונה מודעות לבעיותיו והשתלב ביחידה להתמכרויות בעירו. עקב מעצרו, חודש הקשר עם משפחתו וזו אף שימשה עבורו חלופת מעצר. הנאשם טופל ביחידה לטיפול בהתמכרויות במשך שנתיים, שיתף פעולה באופן מלא ולהתרשמותם עבר שינוי משמעותי בדרכי חשיבתו ובאורח חייו והחל להשקיע משאבים בהתנהלות נורמטיבית, הכוללת פנייה ללימודים ותעסוקה. לאחר סיום הטיפול , בין היתר עקב התמסרות הנאשם לטיפול באמו החולה שאף נפטרה כעבור זמן, הביע הנאשם רצון לחזור לטיפול פרטני. בדיקות שתן שמסר לאורך התקופה מלמדות על ניקיונו מסם.</w:t>
      </w:r>
    </w:p>
    <w:p w14:paraId="166F5B5B" w14:textId="77777777" w:rsidR="001054B8" w:rsidRDefault="001054B8" w:rsidP="001054B8">
      <w:pPr>
        <w:spacing w:line="360" w:lineRule="auto"/>
        <w:ind w:left="502"/>
        <w:jc w:val="both"/>
        <w:rPr>
          <w:rFonts w:ascii="Arial" w:hAnsi="Arial"/>
        </w:rPr>
      </w:pPr>
    </w:p>
    <w:p w14:paraId="49106B27" w14:textId="77777777" w:rsidR="001054B8" w:rsidRDefault="001054B8" w:rsidP="001054B8">
      <w:pPr>
        <w:numPr>
          <w:ilvl w:val="0"/>
          <w:numId w:val="1"/>
        </w:numPr>
        <w:spacing w:line="360" w:lineRule="auto"/>
        <w:jc w:val="both"/>
        <w:rPr>
          <w:rFonts w:ascii="Arial" w:hAnsi="Arial"/>
        </w:rPr>
      </w:pPr>
      <w:r>
        <w:rPr>
          <w:rFonts w:ascii="Arial" w:hAnsi="Arial" w:hint="cs"/>
          <w:rtl/>
        </w:rPr>
        <w:t xml:space="preserve">באשר לעבירות בהן הורשע נוטל הנאשם אחריות ומביע חרטה. הנאשם הסביר כי היה נתון בקשיים כלכליים והתגורר בדירה תמורת סיוע בתחזוקת מעבדת הסם. עבירות הסחר בוצעו לטענתו על רקע יחסים אישיים כשאז לא ייחס כל חומרה להשלכותיהן.  שירות המבחן התרשם מנאשם צעיר המפגין כוחות ומוטיבציה לערוך שינוי ממשי בכל היבטי חייו, בעל </w:t>
      </w:r>
      <w:r>
        <w:rPr>
          <w:rFonts w:ascii="Arial" w:hAnsi="Arial" w:hint="cs"/>
          <w:rtl/>
        </w:rPr>
        <w:lastRenderedPageBreak/>
        <w:t xml:space="preserve">גורמי תמיכה ונקי מסם. על כן הציעו להמשיך לשלבו בהליך טיפולי. בתסקירים המשלימים שהתקבלו (מיום 3.1.19 ו-27.3.19) עלה כי לאחר פטירת אמו ועל רקע הטלטלה הרגשית שחווה, ביקש לשוב לטיפול אך נעדר פניות רגשית. הנאשם פנה גם לטיפול פסיכולוגי. מאז עבר להתגורר באילת עם בן זוגו, מצוי בטיפול רגשי התורם לחוסנו הנפשי והחל ללמוד צילום. לסיכום, התרשם שירות המבחן שהנאשם עבר הליך טיפולי משמעותי וממושך, משקיע מאמצים לתפקוד תקין בכל מישורי חייו ונקי מסם. עוד מנו מספר גורמי שיקום , לרבות העדר מעורבות בפלילים. על כן באו בהמלצה שיקומית בדמות צו של"צ ופיקוח. באשר להרשעתו, הנאשם הציג מסמכים המלמדים על פטנט הרשום על ידו והביע חשש כי הרשעתו תחבל בסיכוייו לקבל מימון מטעם המדינה וכן בשאיפתו להיות הורה בעתיד, על כן באו בהמלצה לביטול הרשעתו. </w:t>
      </w:r>
    </w:p>
    <w:p w14:paraId="15EBA0BF" w14:textId="77777777" w:rsidR="001054B8" w:rsidRDefault="001054B8" w:rsidP="001054B8">
      <w:pPr>
        <w:pStyle w:val="a9"/>
        <w:spacing w:line="360" w:lineRule="auto"/>
        <w:ind w:left="502"/>
        <w:jc w:val="both"/>
        <w:rPr>
          <w:rFonts w:ascii="Arial" w:hAnsi="Arial"/>
        </w:rPr>
      </w:pPr>
    </w:p>
    <w:p w14:paraId="0B82703E" w14:textId="77777777" w:rsidR="001054B8" w:rsidRDefault="001054B8" w:rsidP="001054B8">
      <w:pPr>
        <w:spacing w:line="360" w:lineRule="auto"/>
        <w:rPr>
          <w:rFonts w:ascii="Arial" w:hAnsi="Arial"/>
          <w:b/>
          <w:bCs/>
          <w:u w:val="single"/>
        </w:rPr>
      </w:pPr>
      <w:r>
        <w:rPr>
          <w:rFonts w:ascii="Arial" w:hAnsi="Arial" w:hint="cs"/>
          <w:b/>
          <w:bCs/>
          <w:u w:val="single"/>
          <w:rtl/>
        </w:rPr>
        <w:t>תמצית טיעוני הצדדים</w:t>
      </w:r>
    </w:p>
    <w:p w14:paraId="2618BE7C" w14:textId="77777777" w:rsidR="001054B8" w:rsidRDefault="001054B8" w:rsidP="001054B8">
      <w:pPr>
        <w:numPr>
          <w:ilvl w:val="0"/>
          <w:numId w:val="1"/>
        </w:numPr>
        <w:spacing w:line="360" w:lineRule="auto"/>
        <w:jc w:val="both"/>
        <w:rPr>
          <w:rFonts w:ascii="Calibri" w:hAnsi="Calibri"/>
          <w:rtl/>
        </w:rPr>
      </w:pPr>
      <w:r>
        <w:rPr>
          <w:rFonts w:ascii="Arial" w:hAnsi="Arial" w:hint="cs"/>
          <w:rtl/>
        </w:rPr>
        <w:t>המאשימה, באמצעות ב"כ עו"ד צבע-רוזנצוויג עמדה</w:t>
      </w:r>
      <w:r>
        <w:rPr>
          <w:rFonts w:hint="cs"/>
          <w:rtl/>
        </w:rPr>
        <w:t xml:space="preserve"> בטיעוניה על חומרת מעשי הנאשם שסחר בסם במשך מספר רב של הזדמנויות ומימון מחייתו באמצעות תפעול מעבדת סם. המאשימה אף סבורה כי הנאשם לא עבר הליך טיפולי משמעותי ובחר להפסיק הטיפול על דעת עצמו. המאשימה מתנגדת להמלצת שירות המבחן וסבורה כי שאיפתו לקידום הפטנט שהגה והקמת משפחה מעורפלים ואינם קונקרטיים. על כן עתרה למתחם ענישה כולל הנע בין 12-24 חודשי מאסר וביקשה למקם עונשו ברף התחתון. </w:t>
      </w:r>
    </w:p>
    <w:p w14:paraId="1E506B39" w14:textId="77777777" w:rsidR="001054B8" w:rsidRDefault="001054B8" w:rsidP="001054B8">
      <w:pPr>
        <w:spacing w:line="360" w:lineRule="auto"/>
        <w:ind w:left="502"/>
        <w:jc w:val="both"/>
        <w:rPr>
          <w:rFonts w:ascii="Calibri" w:hAnsi="Calibri"/>
        </w:rPr>
      </w:pPr>
    </w:p>
    <w:p w14:paraId="0E2E2AD3" w14:textId="77777777" w:rsidR="001054B8" w:rsidRDefault="001054B8" w:rsidP="001054B8">
      <w:pPr>
        <w:numPr>
          <w:ilvl w:val="0"/>
          <w:numId w:val="1"/>
        </w:numPr>
        <w:spacing w:line="360" w:lineRule="auto"/>
        <w:jc w:val="both"/>
        <w:rPr>
          <w:rFonts w:ascii="Calibri" w:hAnsi="Calibri"/>
        </w:rPr>
      </w:pPr>
      <w:r>
        <w:rPr>
          <w:rFonts w:hint="cs"/>
          <w:rtl/>
        </w:rPr>
        <w:t xml:space="preserve">ב"כ הנאשם, עו"ד אדטו, שהתרשמתי שהנאשם קרוב ללבו, עשה ככל שיכול היה ומעבר לכך למען מרשו. ב"כ הנאשם ביקש לאמץ המלצת שירות המבחן במלואה, סקר את נסיבות חייו הקשות, חידוש הקשר עם משפחתו, מותה הטראגי של אמו ממחלה קשה והתמסרות הנאשם לטיפול בה. עוד עמד על התנהלותם הפסולה לטענתו של חוקרי המשטרה וההשפעה הקשה של התנהלותם על הנאשם, מחדל אי חקירת שותפיו של הנאשם וחידוש החקירה עקב דרישתו. באשר למעשים עצמם, ביקש להדגיש כי מדובר במכירה בנסיבות חברתיות וכי באותה תקופה הנאשם היה מצוי במצב כלכלי ונפשי קשה. כיום הנאשם מקדיש זמנו לקידום הפטנט שהמציא ולשיקום חייו ועל כן עותר לענישה שיקומית שלא תקטע את דרכו. </w:t>
      </w:r>
    </w:p>
    <w:p w14:paraId="1C2D8E36" w14:textId="77777777" w:rsidR="001054B8" w:rsidRDefault="001054B8" w:rsidP="001054B8">
      <w:pPr>
        <w:spacing w:line="360" w:lineRule="auto"/>
        <w:ind w:left="502"/>
        <w:jc w:val="both"/>
        <w:rPr>
          <w:rFonts w:ascii="Calibri" w:hAnsi="Calibri"/>
        </w:rPr>
      </w:pPr>
    </w:p>
    <w:p w14:paraId="1AB571E1" w14:textId="77777777" w:rsidR="001054B8" w:rsidRDefault="001054B8" w:rsidP="001054B8">
      <w:pPr>
        <w:numPr>
          <w:ilvl w:val="0"/>
          <w:numId w:val="1"/>
        </w:numPr>
        <w:spacing w:line="360" w:lineRule="auto"/>
        <w:jc w:val="both"/>
        <w:rPr>
          <w:rFonts w:ascii="Calibri" w:hAnsi="Calibri"/>
        </w:rPr>
      </w:pPr>
      <w:r>
        <w:rPr>
          <w:rFonts w:hint="cs"/>
          <w:rtl/>
        </w:rPr>
        <w:t xml:space="preserve">עוד שמעתי את אחות הנאשם שסיפרה מנקודת מבטה על היחס הקשה והאלים לו זכה במעגל המשפחתי. בהמשך, לאחר שאף היא חזרה בשאלה, סייעה לחידוש הקשר עם ההורים והמשפחה זכתה לתקופה מדהימה עד מות האם. כן העיד בן זוגו של הנאשם, נתיב, שסיפר כי הם מתגוררים בעיר אילת והדגיש כי כיום אושר מנהל אורח חיים נורמטיבי ובריא וכי התחילו בהליך הורות. </w:t>
      </w:r>
    </w:p>
    <w:p w14:paraId="3DDE8A6C" w14:textId="77777777" w:rsidR="001054B8" w:rsidRDefault="001054B8" w:rsidP="001054B8">
      <w:pPr>
        <w:spacing w:line="360" w:lineRule="auto"/>
        <w:ind w:left="502"/>
        <w:jc w:val="both"/>
        <w:rPr>
          <w:rFonts w:ascii="Calibri" w:hAnsi="Calibri"/>
        </w:rPr>
      </w:pPr>
    </w:p>
    <w:p w14:paraId="1D71283B" w14:textId="77777777" w:rsidR="001054B8" w:rsidRDefault="001054B8" w:rsidP="001054B8">
      <w:pPr>
        <w:numPr>
          <w:ilvl w:val="0"/>
          <w:numId w:val="1"/>
        </w:numPr>
        <w:spacing w:line="360" w:lineRule="auto"/>
        <w:jc w:val="both"/>
        <w:rPr>
          <w:rFonts w:ascii="Calibri" w:hAnsi="Calibri"/>
        </w:rPr>
      </w:pPr>
      <w:r>
        <w:rPr>
          <w:rFonts w:hint="cs"/>
          <w:rtl/>
        </w:rPr>
        <w:t xml:space="preserve">הנאשם בדברו האחרון פנה לבית המשפט בדברים כנים ומרגשים. הנאשם סיפר על דרכו הקשה, מעצרו בתיק זה והמאמצים שהשקיע לשינוי חייו. הנאשם ביקש לבטל הרשעתו כדי לא לפגוע בקידום הפטנט שהמציא, נטל אחריות על מעשיו והוסיף לספר בדמעות על טיפולו באמו החולה, פטירתה ולאחריה, מות סבתו והקשר הזוגי היציב עם בן זוגו. </w:t>
      </w:r>
    </w:p>
    <w:p w14:paraId="19210E7E" w14:textId="77777777" w:rsidR="001054B8" w:rsidRDefault="001054B8" w:rsidP="001054B8">
      <w:pPr>
        <w:pStyle w:val="a9"/>
        <w:spacing w:line="360" w:lineRule="auto"/>
        <w:ind w:left="502"/>
        <w:jc w:val="both"/>
        <w:rPr>
          <w:rFonts w:ascii="Arial" w:eastAsia="Calibri" w:hAnsi="Arial"/>
          <w:rtl/>
        </w:rPr>
      </w:pPr>
    </w:p>
    <w:p w14:paraId="2435ADF3" w14:textId="77777777" w:rsidR="001054B8" w:rsidRDefault="001054B8" w:rsidP="001054B8">
      <w:pPr>
        <w:pStyle w:val="a9"/>
        <w:spacing w:line="360" w:lineRule="auto"/>
        <w:ind w:left="502"/>
        <w:jc w:val="both"/>
        <w:rPr>
          <w:rFonts w:ascii="Arial" w:eastAsia="Calibri" w:hAnsi="Arial"/>
        </w:rPr>
      </w:pPr>
    </w:p>
    <w:p w14:paraId="3A5F0344" w14:textId="77777777" w:rsidR="001054B8" w:rsidRDefault="001054B8" w:rsidP="001054B8">
      <w:pPr>
        <w:spacing w:line="360" w:lineRule="auto"/>
        <w:rPr>
          <w:rFonts w:ascii="Arial" w:hAnsi="Arial"/>
          <w:rtl/>
        </w:rPr>
      </w:pPr>
      <w:r>
        <w:rPr>
          <w:rFonts w:hint="cs"/>
          <w:b/>
          <w:bCs/>
          <w:u w:val="single"/>
          <w:rtl/>
        </w:rPr>
        <w:t>דיון והכרעה</w:t>
      </w:r>
    </w:p>
    <w:p w14:paraId="6A0D262F" w14:textId="77777777" w:rsidR="001054B8" w:rsidRDefault="001054B8" w:rsidP="001054B8">
      <w:pPr>
        <w:pStyle w:val="ListParagraph1"/>
        <w:numPr>
          <w:ilvl w:val="0"/>
          <w:numId w:val="1"/>
        </w:numPr>
        <w:spacing w:line="360" w:lineRule="auto"/>
        <w:jc w:val="both"/>
        <w:rPr>
          <w:rFonts w:cs="David"/>
          <w:sz w:val="24"/>
          <w:szCs w:val="24"/>
          <w:rtl/>
        </w:rPr>
      </w:pPr>
      <w:r>
        <w:rPr>
          <w:rFonts w:cs="David" w:hint="cs"/>
          <w:sz w:val="24"/>
          <w:szCs w:val="24"/>
          <w:rtl/>
        </w:rPr>
        <w:t xml:space="preserve">הנאשם, על רקע מצוקה כלכלית ונגישות לעולם הסמים, חטא במכירת סמים לאחרים ובגידול בצוותא של סם במעבדת סם בדירה בה התגורר. הנאשם, שהיה אז נטוע עמוק בעולם הסמים, התפרנס ממכירת הסם ומגידולו. אמנם מדובר במכירות סם למכריו ובכמויות שאינן גדולות אלא ששיטתיות המעשים מלמדת על חומרתם ופגיעתם המוחשית בערכים חברתיים וביניהם, הגנה על שלום הציבור והגנה על בריאותם של הצורכים את הסמים, לרבות הנאשם עצמו. הנאשם פעל, כעולה מכתב האישום, במועדים סמוכים בחודשים דצמבר 2015-מאי 2016, כשהתנהלותו מלמדת על תכנון, נגישות לסמים מסוגים שונים וביצוע המעשים גם לשם רווח כלכלי. </w:t>
      </w:r>
    </w:p>
    <w:p w14:paraId="157EDB27" w14:textId="77777777" w:rsidR="001054B8" w:rsidRDefault="001054B8" w:rsidP="001054B8">
      <w:pPr>
        <w:pStyle w:val="ListParagraph1"/>
        <w:spacing w:line="360" w:lineRule="auto"/>
        <w:ind w:left="502"/>
        <w:jc w:val="both"/>
        <w:rPr>
          <w:rFonts w:cs="David"/>
          <w:sz w:val="24"/>
          <w:szCs w:val="24"/>
        </w:rPr>
      </w:pPr>
    </w:p>
    <w:p w14:paraId="3EAA273B" w14:textId="77777777" w:rsidR="001054B8" w:rsidRDefault="001054B8" w:rsidP="001054B8">
      <w:pPr>
        <w:pStyle w:val="ListParagraph1"/>
        <w:numPr>
          <w:ilvl w:val="0"/>
          <w:numId w:val="1"/>
        </w:numPr>
        <w:spacing w:line="360" w:lineRule="auto"/>
        <w:jc w:val="both"/>
        <w:rPr>
          <w:rFonts w:ascii="Times New Roman" w:hAnsi="Times New Roman" w:cs="David"/>
          <w:sz w:val="24"/>
          <w:szCs w:val="24"/>
        </w:rPr>
      </w:pPr>
      <w:r>
        <w:rPr>
          <w:rFonts w:cs="David" w:hint="cs"/>
          <w:sz w:val="24"/>
          <w:szCs w:val="24"/>
          <w:rtl/>
        </w:rPr>
        <w:t xml:space="preserve">אכן גידול הסם בוצע ביחד עם אחרים ואקבל טענת ב"כ הנאשם, כי נאשם זה לא היה היוזם והעומד מאחורי הקמת המעבדה אלא בעיקר אחראי על תפעולה ותִחזוקה. </w:t>
      </w:r>
    </w:p>
    <w:p w14:paraId="20AFE7E4" w14:textId="77777777" w:rsidR="001054B8" w:rsidRDefault="001054B8" w:rsidP="001054B8">
      <w:pPr>
        <w:pStyle w:val="ListParagraph1"/>
        <w:spacing w:line="360" w:lineRule="auto"/>
        <w:ind w:left="502"/>
        <w:jc w:val="both"/>
        <w:rPr>
          <w:rFonts w:ascii="Times New Roman" w:hAnsi="Times New Roman" w:cs="David"/>
          <w:sz w:val="24"/>
          <w:szCs w:val="24"/>
        </w:rPr>
      </w:pPr>
    </w:p>
    <w:p w14:paraId="175FC70F" w14:textId="77777777" w:rsidR="001054B8" w:rsidRDefault="001054B8" w:rsidP="001054B8">
      <w:pPr>
        <w:pStyle w:val="ListParagraph1"/>
        <w:numPr>
          <w:ilvl w:val="0"/>
          <w:numId w:val="1"/>
        </w:numPr>
        <w:spacing w:line="360" w:lineRule="auto"/>
        <w:jc w:val="both"/>
        <w:rPr>
          <w:rFonts w:ascii="Times New Roman" w:hAnsi="Times New Roman" w:cs="David"/>
          <w:sz w:val="24"/>
          <w:szCs w:val="24"/>
        </w:rPr>
      </w:pPr>
      <w:r>
        <w:rPr>
          <w:rFonts w:cs="David" w:hint="cs"/>
          <w:sz w:val="24"/>
          <w:szCs w:val="24"/>
          <w:rtl/>
        </w:rPr>
        <w:t>מדיניות הענישה בעבירות של סחר בסם מצווה להחמיר עם סוחרי הסם. בשורה ארוכה של פסקי דין עמד בית המשפט העליון על הסיכון הנשקף מעבירות אלו, שהפכו רעה חולה שיש למגרה ועל ההכרח לעצור את התפשטות נגע הסמים בחברה, בין היתר על-ידי השתת ענישה מרתיעה על הנוטלים חלק ממערך הפצת הסמים. (</w:t>
      </w:r>
      <w:r>
        <w:rPr>
          <w:rFonts w:ascii="Times New Roman" w:hAnsi="Times New Roman" w:cs="David" w:hint="cs"/>
          <w:sz w:val="24"/>
          <w:szCs w:val="24"/>
          <w:rtl/>
        </w:rPr>
        <w:t xml:space="preserve">ראו </w:t>
      </w:r>
      <w:hyperlink r:id="rId25" w:history="1">
        <w:r w:rsidR="009D2405" w:rsidRPr="009D2405">
          <w:rPr>
            <w:rFonts w:ascii="Times New Roman" w:hAnsi="Times New Roman" w:cs="David"/>
            <w:color w:val="0000FF"/>
            <w:sz w:val="24"/>
            <w:szCs w:val="24"/>
            <w:u w:val="single"/>
            <w:rtl/>
          </w:rPr>
          <w:t>ע"פ 966/94</w:t>
        </w:r>
      </w:hyperlink>
      <w:r>
        <w:rPr>
          <w:rFonts w:ascii="Times New Roman" w:hAnsi="Times New Roman" w:cs="David" w:hint="cs"/>
          <w:sz w:val="24"/>
          <w:szCs w:val="24"/>
          <w:rtl/>
        </w:rPr>
        <w:t xml:space="preserve"> </w:t>
      </w:r>
      <w:r>
        <w:rPr>
          <w:rFonts w:ascii="Times New Roman" w:hAnsi="Times New Roman" w:cs="David" w:hint="cs"/>
          <w:b/>
          <w:bCs/>
          <w:sz w:val="24"/>
          <w:szCs w:val="24"/>
          <w:rtl/>
        </w:rPr>
        <w:t>אלי אמזלג נ'  מדינת ישראל</w:t>
      </w:r>
      <w:r>
        <w:rPr>
          <w:rFonts w:ascii="Times New Roman" w:hAnsi="Times New Roman" w:cs="David" w:hint="cs"/>
          <w:sz w:val="24"/>
          <w:szCs w:val="24"/>
          <w:rtl/>
        </w:rPr>
        <w:t xml:space="preserve"> (10.12.1995).</w:t>
      </w:r>
    </w:p>
    <w:p w14:paraId="50644AE3" w14:textId="77777777" w:rsidR="001054B8" w:rsidRDefault="001054B8" w:rsidP="001054B8">
      <w:pPr>
        <w:pStyle w:val="ListParagraph1"/>
        <w:spacing w:line="360" w:lineRule="auto"/>
        <w:jc w:val="both"/>
        <w:rPr>
          <w:rFonts w:ascii="Times New Roman" w:hAnsi="Times New Roman" w:cs="David"/>
          <w:sz w:val="24"/>
          <w:szCs w:val="24"/>
          <w:rtl/>
        </w:rPr>
      </w:pPr>
    </w:p>
    <w:p w14:paraId="3299C866" w14:textId="77777777" w:rsidR="001054B8" w:rsidRDefault="001054B8" w:rsidP="001054B8">
      <w:pPr>
        <w:pStyle w:val="ListParagraph1"/>
        <w:numPr>
          <w:ilvl w:val="0"/>
          <w:numId w:val="1"/>
        </w:numPr>
        <w:spacing w:line="360" w:lineRule="auto"/>
        <w:jc w:val="both"/>
        <w:rPr>
          <w:rFonts w:cs="David"/>
          <w:sz w:val="24"/>
          <w:szCs w:val="24"/>
          <w:rtl/>
        </w:rPr>
      </w:pPr>
      <w:r>
        <w:rPr>
          <w:rFonts w:cs="David" w:hint="cs"/>
          <w:sz w:val="24"/>
          <w:szCs w:val="24"/>
          <w:rtl/>
        </w:rPr>
        <w:t xml:space="preserve">משאין מחלוקת בין הצדדים שהמעשים נשוא כתב האישום המתוקן מהווים אירוע עונשי אחד (לפי </w:t>
      </w:r>
      <w:hyperlink r:id="rId26" w:history="1">
        <w:r w:rsidR="00757CF0" w:rsidRPr="00757CF0">
          <w:rPr>
            <w:rFonts w:cs="David" w:hint="eastAsia"/>
            <w:color w:val="0000FF"/>
            <w:sz w:val="24"/>
            <w:szCs w:val="24"/>
            <w:u w:val="single"/>
            <w:rtl/>
          </w:rPr>
          <w:t>סעיף</w:t>
        </w:r>
        <w:r w:rsidR="00757CF0" w:rsidRPr="00757CF0">
          <w:rPr>
            <w:rFonts w:cs="David"/>
            <w:color w:val="0000FF"/>
            <w:sz w:val="24"/>
            <w:szCs w:val="24"/>
            <w:u w:val="single"/>
            <w:rtl/>
          </w:rPr>
          <w:t xml:space="preserve"> 40</w:t>
        </w:r>
        <w:r w:rsidR="00757CF0" w:rsidRPr="00757CF0">
          <w:rPr>
            <w:rFonts w:cs="David" w:hint="eastAsia"/>
            <w:color w:val="0000FF"/>
            <w:sz w:val="24"/>
            <w:szCs w:val="24"/>
            <w:u w:val="single"/>
            <w:rtl/>
          </w:rPr>
          <w:t>יג</w:t>
        </w:r>
      </w:hyperlink>
      <w:r>
        <w:rPr>
          <w:rFonts w:cs="David" w:hint="cs"/>
          <w:sz w:val="24"/>
          <w:szCs w:val="24"/>
          <w:rtl/>
        </w:rPr>
        <w:t xml:space="preserve"> לחוק) יש לקבוע  מתחם ענישה כולל לכלל המעשים בהם הורשע הנאשם.</w:t>
      </w:r>
    </w:p>
    <w:p w14:paraId="50A9B40A" w14:textId="77777777" w:rsidR="001054B8" w:rsidRDefault="001054B8" w:rsidP="001054B8">
      <w:pPr>
        <w:pStyle w:val="ListParagraph1"/>
        <w:spacing w:line="360" w:lineRule="auto"/>
        <w:ind w:left="502"/>
        <w:jc w:val="both"/>
        <w:rPr>
          <w:rFonts w:cs="David"/>
          <w:sz w:val="24"/>
          <w:szCs w:val="24"/>
        </w:rPr>
      </w:pPr>
    </w:p>
    <w:p w14:paraId="196CCC4F" w14:textId="77777777" w:rsidR="001054B8" w:rsidRDefault="001054B8" w:rsidP="001054B8">
      <w:pPr>
        <w:pStyle w:val="ListParagraph1"/>
        <w:numPr>
          <w:ilvl w:val="0"/>
          <w:numId w:val="1"/>
        </w:numPr>
        <w:spacing w:line="360" w:lineRule="auto"/>
        <w:jc w:val="both"/>
        <w:rPr>
          <w:rFonts w:cs="David"/>
          <w:sz w:val="24"/>
          <w:szCs w:val="24"/>
        </w:rPr>
      </w:pPr>
      <w:r>
        <w:rPr>
          <w:rFonts w:cs="David" w:hint="cs"/>
          <w:sz w:val="24"/>
          <w:szCs w:val="24"/>
          <w:rtl/>
        </w:rPr>
        <w:t xml:space="preserve">בחינת מדיניות הענישה המקובלת בעבירות סחר בסם, מעלה כי מתחם הענישה מגוון ורחב וכולל, על דרך הכלל, מאסרים ממושכים. (ראו לדוגמא: </w:t>
      </w:r>
      <w:hyperlink r:id="rId27" w:history="1">
        <w:r w:rsidR="009D2405" w:rsidRPr="009D2405">
          <w:rPr>
            <w:rFonts w:cs="David" w:hint="eastAsia"/>
            <w:color w:val="0000FF"/>
            <w:sz w:val="24"/>
            <w:szCs w:val="24"/>
            <w:u w:val="single"/>
            <w:rtl/>
          </w:rPr>
          <w:t>רע</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 xml:space="preserve"> 2139/16</w:t>
        </w:r>
      </w:hyperlink>
      <w:r>
        <w:rPr>
          <w:rFonts w:cs="David" w:hint="cs"/>
          <w:sz w:val="24"/>
          <w:szCs w:val="24"/>
          <w:u w:val="single"/>
          <w:rtl/>
        </w:rPr>
        <w:t xml:space="preserve"> </w:t>
      </w:r>
      <w:r>
        <w:rPr>
          <w:rFonts w:cs="David" w:hint="cs"/>
          <w:b/>
          <w:bCs/>
          <w:sz w:val="24"/>
          <w:szCs w:val="24"/>
          <w:rtl/>
        </w:rPr>
        <w:t>שלומי אברמס נ' מדינת ישראל</w:t>
      </w:r>
      <w:r>
        <w:rPr>
          <w:rFonts w:cs="David" w:hint="cs"/>
          <w:sz w:val="24"/>
          <w:szCs w:val="24"/>
          <w:rtl/>
        </w:rPr>
        <w:t xml:space="preserve"> (18.05.2016); </w:t>
      </w:r>
      <w:hyperlink r:id="rId28" w:history="1">
        <w:r w:rsidR="009D2405" w:rsidRPr="009D2405">
          <w:rPr>
            <w:rFonts w:cs="David" w:hint="eastAsia"/>
            <w:color w:val="0000FF"/>
            <w:sz w:val="24"/>
            <w:szCs w:val="24"/>
            <w:u w:val="single"/>
            <w:rtl/>
          </w:rPr>
          <w:t>רע</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 xml:space="preserve"> 189/15</w:t>
        </w:r>
      </w:hyperlink>
      <w:r>
        <w:rPr>
          <w:rFonts w:cs="David" w:hint="cs"/>
          <w:sz w:val="24"/>
          <w:szCs w:val="24"/>
          <w:rtl/>
        </w:rPr>
        <w:t xml:space="preserve"> </w:t>
      </w:r>
      <w:r>
        <w:rPr>
          <w:rFonts w:cs="David" w:hint="cs"/>
          <w:b/>
          <w:bCs/>
          <w:sz w:val="24"/>
          <w:szCs w:val="24"/>
          <w:rtl/>
        </w:rPr>
        <w:t>עומרי כהן נ' מדינת ישראל</w:t>
      </w:r>
      <w:r>
        <w:rPr>
          <w:rFonts w:cs="David" w:hint="cs"/>
          <w:sz w:val="24"/>
          <w:szCs w:val="24"/>
          <w:rtl/>
        </w:rPr>
        <w:t xml:space="preserve"> (21.01.15;</w:t>
      </w:r>
      <w:hyperlink r:id="rId29" w:history="1">
        <w:r w:rsidR="009D2405" w:rsidRPr="009D2405">
          <w:rPr>
            <w:rFonts w:cs="David" w:hint="eastAsia"/>
            <w:color w:val="0000FF"/>
            <w:sz w:val="24"/>
            <w:szCs w:val="24"/>
            <w:u w:val="single"/>
            <w:rtl/>
          </w:rPr>
          <w:t>רע</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 xml:space="preserve"> 126/15</w:t>
        </w:r>
      </w:hyperlink>
      <w:r>
        <w:rPr>
          <w:rFonts w:cs="David" w:hint="cs"/>
          <w:sz w:val="24"/>
          <w:szCs w:val="24"/>
          <w:rtl/>
        </w:rPr>
        <w:t xml:space="preserve"> </w:t>
      </w:r>
      <w:r>
        <w:rPr>
          <w:rFonts w:cs="David" w:hint="cs"/>
          <w:b/>
          <w:bCs/>
          <w:sz w:val="24"/>
          <w:szCs w:val="24"/>
          <w:rtl/>
        </w:rPr>
        <w:t>טל חביף נ' מדינת ישראל;</w:t>
      </w:r>
      <w:r>
        <w:rPr>
          <w:rFonts w:cs="David" w:hint="cs"/>
          <w:sz w:val="24"/>
          <w:szCs w:val="24"/>
          <w:u w:val="single"/>
          <w:rtl/>
        </w:rPr>
        <w:t xml:space="preserve"> </w:t>
      </w:r>
      <w:hyperlink r:id="rId30" w:history="1">
        <w:r w:rsidR="009D2405" w:rsidRPr="009D2405">
          <w:rPr>
            <w:rFonts w:cs="David" w:hint="eastAsia"/>
            <w:color w:val="0000FF"/>
            <w:sz w:val="24"/>
            <w:szCs w:val="24"/>
            <w:u w:val="single"/>
            <w:rtl/>
          </w:rPr>
          <w:t>רע</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 xml:space="preserve"> 1720/11</w:t>
        </w:r>
      </w:hyperlink>
      <w:r>
        <w:rPr>
          <w:rFonts w:cs="David" w:hint="cs"/>
          <w:sz w:val="24"/>
          <w:szCs w:val="24"/>
          <w:rtl/>
        </w:rPr>
        <w:t xml:space="preserve"> </w:t>
      </w:r>
      <w:r>
        <w:rPr>
          <w:rFonts w:cs="David" w:hint="cs"/>
          <w:b/>
          <w:bCs/>
          <w:sz w:val="24"/>
          <w:szCs w:val="24"/>
          <w:rtl/>
        </w:rPr>
        <w:t>גליק נ' מדינת ישראל</w:t>
      </w:r>
      <w:r>
        <w:rPr>
          <w:rFonts w:cs="David" w:hint="cs"/>
          <w:sz w:val="24"/>
          <w:szCs w:val="24"/>
          <w:rtl/>
        </w:rPr>
        <w:t>;</w:t>
      </w:r>
      <w:r>
        <w:rPr>
          <w:rFonts w:cs="David" w:hint="cs"/>
          <w:sz w:val="24"/>
          <w:szCs w:val="24"/>
          <w:u w:val="single"/>
          <w:rtl/>
        </w:rPr>
        <w:t xml:space="preserve"> </w:t>
      </w:r>
      <w:hyperlink r:id="rId31" w:history="1">
        <w:r w:rsidR="009D2405" w:rsidRPr="009D2405">
          <w:rPr>
            <w:rFonts w:cs="David" w:hint="eastAsia"/>
            <w:color w:val="0000FF"/>
            <w:sz w:val="24"/>
            <w:szCs w:val="24"/>
            <w:u w:val="single"/>
            <w:rtl/>
          </w:rPr>
          <w:t>רע</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 xml:space="preserve"> 7996/12</w:t>
        </w:r>
      </w:hyperlink>
      <w:r>
        <w:rPr>
          <w:rFonts w:cs="David" w:hint="cs"/>
          <w:sz w:val="24"/>
          <w:szCs w:val="24"/>
          <w:u w:val="single"/>
          <w:rtl/>
        </w:rPr>
        <w:t xml:space="preserve"> </w:t>
      </w:r>
      <w:r>
        <w:rPr>
          <w:rFonts w:cs="David" w:hint="cs"/>
          <w:b/>
          <w:bCs/>
          <w:sz w:val="24"/>
          <w:szCs w:val="24"/>
          <w:rtl/>
        </w:rPr>
        <w:t>יוסף נ' מדינת ישראל</w:t>
      </w:r>
      <w:r>
        <w:rPr>
          <w:rFonts w:cs="David" w:hint="cs"/>
          <w:sz w:val="24"/>
          <w:szCs w:val="24"/>
          <w:rtl/>
        </w:rPr>
        <w:t>). בעבירות של גידול סם, במסגרת מעבדה ובמשקל כ-8 ק"ג, הפסיקה הנוהגת מלמדת אף היא על הטלת עונשי מאסר ממש. כך ב</w:t>
      </w:r>
      <w:hyperlink r:id="rId32" w:history="1">
        <w:r w:rsidR="009D2405" w:rsidRPr="009D2405">
          <w:rPr>
            <w:rFonts w:cs="David" w:hint="eastAsia"/>
            <w:color w:val="0000FF"/>
            <w:sz w:val="24"/>
            <w:szCs w:val="24"/>
            <w:u w:val="single"/>
            <w:rtl/>
          </w:rPr>
          <w:t>רע</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 xml:space="preserve"> 7819/15</w:t>
        </w:r>
      </w:hyperlink>
      <w:r>
        <w:rPr>
          <w:rFonts w:cs="David" w:hint="cs"/>
          <w:sz w:val="24"/>
          <w:szCs w:val="24"/>
          <w:rtl/>
        </w:rPr>
        <w:t xml:space="preserve"> </w:t>
      </w:r>
      <w:r>
        <w:rPr>
          <w:rFonts w:cs="David" w:hint="cs"/>
          <w:b/>
          <w:bCs/>
          <w:sz w:val="24"/>
          <w:szCs w:val="24"/>
          <w:rtl/>
        </w:rPr>
        <w:t>עופר סלור נ' מדינת ישראל</w:t>
      </w:r>
      <w:r>
        <w:rPr>
          <w:rFonts w:cs="David" w:hint="cs"/>
          <w:sz w:val="24"/>
          <w:szCs w:val="24"/>
          <w:rtl/>
        </w:rPr>
        <w:t xml:space="preserve"> (22.5.16) נקבע בעניינו של נאשם בגידול סם במשקל של כ-7 ק"ג מתחם ענישה שנע בין 7-18 חודשי מאסר ונגזר עליו עונש של 9 חודשי מאסר. ב</w:t>
      </w:r>
      <w:hyperlink r:id="rId33" w:history="1">
        <w:r w:rsidR="009D2405" w:rsidRPr="009D2405">
          <w:rPr>
            <w:rFonts w:cs="David" w:hint="eastAsia"/>
            <w:color w:val="0000FF"/>
            <w:sz w:val="24"/>
            <w:szCs w:val="24"/>
            <w:u w:val="single"/>
            <w:rtl/>
          </w:rPr>
          <w:t>רע</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 xml:space="preserve"> 6987/13</w:t>
        </w:r>
      </w:hyperlink>
      <w:r>
        <w:rPr>
          <w:rFonts w:cs="David" w:hint="cs"/>
          <w:sz w:val="24"/>
          <w:szCs w:val="24"/>
          <w:rtl/>
        </w:rPr>
        <w:t xml:space="preserve"> </w:t>
      </w:r>
      <w:r>
        <w:rPr>
          <w:rFonts w:cs="David" w:hint="cs"/>
          <w:b/>
          <w:bCs/>
          <w:sz w:val="24"/>
          <w:szCs w:val="24"/>
          <w:rtl/>
        </w:rPr>
        <w:t>אברמוב נ' מדינת ישראל</w:t>
      </w:r>
      <w:r>
        <w:rPr>
          <w:rFonts w:cs="David" w:hint="cs"/>
          <w:sz w:val="24"/>
          <w:szCs w:val="24"/>
          <w:rtl/>
        </w:rPr>
        <w:t xml:space="preserve"> (21.10.13) נדון נאשם שהורשע בגידול סם במשקל של כ-10 ק"ג למתחם שנע בין 6 חודשי עבודות שירות ל-24 חודשי מאסר ובהתחשב בעברו הנקי , הועמד עונשו על שנת מאסר. עוד אפנה ל</w:t>
      </w:r>
      <w:hyperlink r:id="rId34" w:history="1">
        <w:r w:rsidR="009D2405" w:rsidRPr="009D2405">
          <w:rPr>
            <w:rFonts w:cs="David" w:hint="eastAsia"/>
            <w:color w:val="0000FF"/>
            <w:sz w:val="24"/>
            <w:szCs w:val="24"/>
            <w:u w:val="single"/>
            <w:rtl/>
          </w:rPr>
          <w:t>עפ</w:t>
        </w:r>
        <w:r w:rsidR="009D2405" w:rsidRPr="009D2405">
          <w:rPr>
            <w:rFonts w:cs="David"/>
            <w:color w:val="0000FF"/>
            <w:sz w:val="24"/>
            <w:szCs w:val="24"/>
            <w:u w:val="single"/>
            <w:rtl/>
          </w:rPr>
          <w:t>"</w:t>
        </w:r>
        <w:r w:rsidR="009D2405" w:rsidRPr="009D2405">
          <w:rPr>
            <w:rFonts w:cs="David" w:hint="eastAsia"/>
            <w:color w:val="0000FF"/>
            <w:sz w:val="24"/>
            <w:szCs w:val="24"/>
            <w:u w:val="single"/>
            <w:rtl/>
          </w:rPr>
          <w:t>ג</w:t>
        </w:r>
        <w:r w:rsidR="009D2405" w:rsidRPr="009D2405">
          <w:rPr>
            <w:rFonts w:cs="David"/>
            <w:color w:val="0000FF"/>
            <w:sz w:val="24"/>
            <w:szCs w:val="24"/>
            <w:u w:val="single"/>
            <w:rtl/>
          </w:rPr>
          <w:t xml:space="preserve"> 23788-02-17</w:t>
        </w:r>
      </w:hyperlink>
      <w:r>
        <w:rPr>
          <w:rFonts w:cs="David" w:hint="cs"/>
          <w:sz w:val="24"/>
          <w:szCs w:val="24"/>
          <w:rtl/>
        </w:rPr>
        <w:t xml:space="preserve"> (מח-מרכז) </w:t>
      </w:r>
      <w:r>
        <w:rPr>
          <w:rFonts w:cs="David" w:hint="cs"/>
          <w:b/>
          <w:bCs/>
          <w:sz w:val="24"/>
          <w:szCs w:val="24"/>
          <w:rtl/>
        </w:rPr>
        <w:t>הלמר נ' מדינת ישראל</w:t>
      </w:r>
      <w:r>
        <w:rPr>
          <w:rFonts w:cs="David" w:hint="cs"/>
          <w:sz w:val="24"/>
          <w:szCs w:val="24"/>
          <w:rtl/>
        </w:rPr>
        <w:t xml:space="preserve">, שם הורשע נאשם הסובל מבעיות בריאות, בגידול שתי מעבדות שונות, ללא הליך שיקומי , ל-8 חודשי מאסר. בית המשפט המחוזי קיבל ערעורו והסתפק בשישה חודשי עבודות שירות. </w:t>
      </w:r>
    </w:p>
    <w:p w14:paraId="7DE6C305" w14:textId="77777777" w:rsidR="001054B8" w:rsidRDefault="001054B8" w:rsidP="001054B8">
      <w:pPr>
        <w:pStyle w:val="ListParagraph1"/>
        <w:spacing w:line="360" w:lineRule="auto"/>
        <w:ind w:left="502"/>
        <w:jc w:val="both"/>
        <w:rPr>
          <w:rFonts w:cs="David"/>
          <w:sz w:val="24"/>
          <w:szCs w:val="24"/>
        </w:rPr>
      </w:pPr>
    </w:p>
    <w:p w14:paraId="18D48C3B" w14:textId="77777777" w:rsidR="001054B8" w:rsidRDefault="001054B8" w:rsidP="001054B8">
      <w:pPr>
        <w:pStyle w:val="ListParagraph1"/>
        <w:numPr>
          <w:ilvl w:val="0"/>
          <w:numId w:val="1"/>
        </w:numPr>
        <w:spacing w:line="360" w:lineRule="auto"/>
        <w:jc w:val="both"/>
        <w:rPr>
          <w:rFonts w:cs="David"/>
          <w:sz w:val="24"/>
          <w:szCs w:val="24"/>
        </w:rPr>
      </w:pPr>
      <w:r>
        <w:rPr>
          <w:rFonts w:cs="David" w:hint="cs"/>
          <w:b/>
          <w:bCs/>
          <w:sz w:val="24"/>
          <w:szCs w:val="24"/>
          <w:rtl/>
        </w:rPr>
        <w:t>לפיכך, כמצוות תיקון 113 ובהתאם לנסיבות מעשי הנאשם, הנני קובעת כי מתחם הענישה ההולם למעשים שביצע הנאשם נע בין 10-24 חודשי מאסר.</w:t>
      </w:r>
    </w:p>
    <w:p w14:paraId="2D147F30" w14:textId="77777777" w:rsidR="001054B8" w:rsidRDefault="001054B8" w:rsidP="001054B8">
      <w:pPr>
        <w:pStyle w:val="a9"/>
        <w:spacing w:line="360" w:lineRule="auto"/>
        <w:ind w:left="502"/>
        <w:jc w:val="both"/>
      </w:pPr>
      <w:r>
        <w:rPr>
          <w:rFonts w:hint="cs"/>
          <w:b/>
          <w:bCs/>
          <w:u w:val="single"/>
          <w:rtl/>
        </w:rPr>
        <w:t>עתירת ההגנה לסטייה ממתחם הענישה לצרכי שיקום</w:t>
      </w:r>
    </w:p>
    <w:p w14:paraId="0660206B" w14:textId="77777777" w:rsidR="001054B8" w:rsidRDefault="001054B8" w:rsidP="001054B8">
      <w:pPr>
        <w:pStyle w:val="ListParagraph1"/>
        <w:numPr>
          <w:ilvl w:val="0"/>
          <w:numId w:val="1"/>
        </w:numPr>
        <w:spacing w:line="360" w:lineRule="auto"/>
        <w:jc w:val="both"/>
        <w:rPr>
          <w:rFonts w:cs="David"/>
          <w:sz w:val="24"/>
          <w:szCs w:val="24"/>
        </w:rPr>
      </w:pPr>
      <w:r>
        <w:rPr>
          <w:rFonts w:cs="David" w:hint="cs"/>
          <w:sz w:val="24"/>
          <w:szCs w:val="24"/>
          <w:rtl/>
        </w:rPr>
        <w:t xml:space="preserve">עתה, משנקבע מתחם הענישה, יש להמשיך ולבחון עתירת ההגנה לחרוג ממנו מטעמי שיקום ובהתאם להוראת </w:t>
      </w:r>
      <w:hyperlink r:id="rId35" w:history="1">
        <w:r w:rsidR="00757CF0" w:rsidRPr="00757CF0">
          <w:rPr>
            <w:rFonts w:cs="David" w:hint="eastAsia"/>
            <w:color w:val="0000FF"/>
            <w:sz w:val="24"/>
            <w:szCs w:val="24"/>
            <w:u w:val="single"/>
            <w:rtl/>
          </w:rPr>
          <w:t>סעיף</w:t>
        </w:r>
        <w:r w:rsidR="00757CF0" w:rsidRPr="00757CF0">
          <w:rPr>
            <w:rFonts w:cs="David"/>
            <w:color w:val="0000FF"/>
            <w:sz w:val="24"/>
            <w:szCs w:val="24"/>
            <w:u w:val="single"/>
            <w:rtl/>
          </w:rPr>
          <w:t xml:space="preserve"> 40</w:t>
        </w:r>
        <w:r w:rsidR="00757CF0" w:rsidRPr="00757CF0">
          <w:rPr>
            <w:rFonts w:cs="David" w:hint="eastAsia"/>
            <w:color w:val="0000FF"/>
            <w:sz w:val="24"/>
            <w:szCs w:val="24"/>
            <w:u w:val="single"/>
            <w:rtl/>
          </w:rPr>
          <w:t>ד</w:t>
        </w:r>
        <w:r w:rsidR="00757CF0" w:rsidRPr="00757CF0">
          <w:rPr>
            <w:rFonts w:cs="David"/>
            <w:color w:val="0000FF"/>
            <w:sz w:val="24"/>
            <w:szCs w:val="24"/>
            <w:u w:val="single"/>
            <w:rtl/>
          </w:rPr>
          <w:t>'(</w:t>
        </w:r>
        <w:r w:rsidR="00757CF0" w:rsidRPr="00757CF0">
          <w:rPr>
            <w:rFonts w:cs="David" w:hint="eastAsia"/>
            <w:color w:val="0000FF"/>
            <w:sz w:val="24"/>
            <w:szCs w:val="24"/>
            <w:u w:val="single"/>
            <w:rtl/>
          </w:rPr>
          <w:t>א</w:t>
        </w:r>
        <w:r w:rsidR="00757CF0" w:rsidRPr="00757CF0">
          <w:rPr>
            <w:rFonts w:cs="David"/>
            <w:color w:val="0000FF"/>
            <w:sz w:val="24"/>
            <w:szCs w:val="24"/>
            <w:u w:val="single"/>
            <w:rtl/>
          </w:rPr>
          <w:t>)</w:t>
        </w:r>
      </w:hyperlink>
      <w:r>
        <w:rPr>
          <w:rFonts w:cs="David" w:hint="cs"/>
          <w:sz w:val="24"/>
          <w:szCs w:val="24"/>
          <w:rtl/>
        </w:rPr>
        <w:t xml:space="preserve"> ל</w:t>
      </w:r>
      <w:hyperlink r:id="rId36" w:history="1">
        <w:r w:rsidR="009D2405" w:rsidRPr="009D2405">
          <w:rPr>
            <w:rFonts w:cs="David" w:hint="eastAsia"/>
            <w:color w:val="0000FF"/>
            <w:sz w:val="24"/>
            <w:szCs w:val="24"/>
            <w:u w:val="single"/>
            <w:rtl/>
          </w:rPr>
          <w:t>חוק</w:t>
        </w:r>
        <w:r w:rsidR="009D2405" w:rsidRPr="009D2405">
          <w:rPr>
            <w:rFonts w:cs="David"/>
            <w:color w:val="0000FF"/>
            <w:sz w:val="24"/>
            <w:szCs w:val="24"/>
            <w:u w:val="single"/>
            <w:rtl/>
          </w:rPr>
          <w:t xml:space="preserve"> </w:t>
        </w:r>
        <w:r w:rsidR="009D2405" w:rsidRPr="009D2405">
          <w:rPr>
            <w:rFonts w:cs="David" w:hint="eastAsia"/>
            <w:color w:val="0000FF"/>
            <w:sz w:val="24"/>
            <w:szCs w:val="24"/>
            <w:u w:val="single"/>
            <w:rtl/>
          </w:rPr>
          <w:t>העונשין</w:t>
        </w:r>
      </w:hyperlink>
      <w:r>
        <w:rPr>
          <w:rFonts w:cs="David" w:hint="cs"/>
          <w:sz w:val="24"/>
          <w:szCs w:val="24"/>
          <w:rtl/>
        </w:rPr>
        <w:t xml:space="preserve">.  </w:t>
      </w:r>
      <w:hyperlink r:id="rId37" w:history="1">
        <w:r w:rsidR="00757CF0" w:rsidRPr="00757CF0">
          <w:rPr>
            <w:rFonts w:cs="David" w:hint="eastAsia"/>
            <w:color w:val="0000FF"/>
            <w:sz w:val="24"/>
            <w:szCs w:val="24"/>
            <w:u w:val="single"/>
            <w:rtl/>
          </w:rPr>
          <w:t>סעיף</w:t>
        </w:r>
        <w:r w:rsidR="00757CF0" w:rsidRPr="00757CF0">
          <w:rPr>
            <w:rFonts w:cs="David"/>
            <w:color w:val="0000FF"/>
            <w:sz w:val="24"/>
            <w:szCs w:val="24"/>
            <w:u w:val="single"/>
            <w:rtl/>
          </w:rPr>
          <w:t xml:space="preserve"> 40</w:t>
        </w:r>
        <w:r w:rsidR="00757CF0" w:rsidRPr="00757CF0">
          <w:rPr>
            <w:rFonts w:cs="David" w:hint="eastAsia"/>
            <w:color w:val="0000FF"/>
            <w:sz w:val="24"/>
            <w:szCs w:val="24"/>
            <w:u w:val="single"/>
            <w:rtl/>
          </w:rPr>
          <w:t>ד</w:t>
        </w:r>
        <w:r w:rsidR="00757CF0" w:rsidRPr="00757CF0">
          <w:rPr>
            <w:rFonts w:cs="David"/>
            <w:color w:val="0000FF"/>
            <w:sz w:val="24"/>
            <w:szCs w:val="24"/>
            <w:u w:val="single"/>
            <w:rtl/>
          </w:rPr>
          <w:t>'(</w:t>
        </w:r>
        <w:r w:rsidR="00757CF0" w:rsidRPr="00757CF0">
          <w:rPr>
            <w:rFonts w:cs="David" w:hint="eastAsia"/>
            <w:color w:val="0000FF"/>
            <w:sz w:val="24"/>
            <w:szCs w:val="24"/>
            <w:u w:val="single"/>
            <w:rtl/>
          </w:rPr>
          <w:t>א</w:t>
        </w:r>
        <w:r w:rsidR="00757CF0" w:rsidRPr="00757CF0">
          <w:rPr>
            <w:rFonts w:cs="David"/>
            <w:color w:val="0000FF"/>
            <w:sz w:val="24"/>
            <w:szCs w:val="24"/>
            <w:u w:val="single"/>
            <w:rtl/>
          </w:rPr>
          <w:t>)</w:t>
        </w:r>
      </w:hyperlink>
      <w:r>
        <w:rPr>
          <w:rFonts w:cs="David" w:hint="cs"/>
          <w:sz w:val="24"/>
          <w:szCs w:val="24"/>
          <w:rtl/>
        </w:rPr>
        <w:t xml:space="preserve"> ל</w:t>
      </w:r>
      <w:hyperlink r:id="rId38" w:history="1">
        <w:r w:rsidR="009D2405" w:rsidRPr="009D2405">
          <w:rPr>
            <w:rFonts w:cs="David" w:hint="eastAsia"/>
            <w:color w:val="0000FF"/>
            <w:sz w:val="24"/>
            <w:szCs w:val="24"/>
            <w:u w:val="single"/>
            <w:rtl/>
          </w:rPr>
          <w:t>חוק</w:t>
        </w:r>
        <w:r w:rsidR="009D2405" w:rsidRPr="009D2405">
          <w:rPr>
            <w:rFonts w:cs="David"/>
            <w:color w:val="0000FF"/>
            <w:sz w:val="24"/>
            <w:szCs w:val="24"/>
            <w:u w:val="single"/>
            <w:rtl/>
          </w:rPr>
          <w:t xml:space="preserve"> </w:t>
        </w:r>
        <w:r w:rsidR="009D2405" w:rsidRPr="009D2405">
          <w:rPr>
            <w:rFonts w:cs="David" w:hint="eastAsia"/>
            <w:color w:val="0000FF"/>
            <w:sz w:val="24"/>
            <w:szCs w:val="24"/>
            <w:u w:val="single"/>
            <w:rtl/>
          </w:rPr>
          <w:t>העונשין</w:t>
        </w:r>
      </w:hyperlink>
      <w:r>
        <w:rPr>
          <w:rFonts w:cs="David" w:hint="cs"/>
          <w:sz w:val="24"/>
          <w:szCs w:val="24"/>
          <w:rtl/>
        </w:rPr>
        <w:t xml:space="preserve">  מורה כך: "</w:t>
      </w:r>
      <w:r>
        <w:rPr>
          <w:rFonts w:cs="David" w:hint="cs"/>
          <w:b/>
          <w:bCs/>
          <w:sz w:val="24"/>
          <w:szCs w:val="24"/>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39" w:history="1">
        <w:r w:rsidR="009D2405" w:rsidRPr="009D2405">
          <w:rPr>
            <w:rFonts w:cs="David" w:hint="eastAsia"/>
            <w:b/>
            <w:bCs/>
            <w:color w:val="0000FF"/>
            <w:sz w:val="24"/>
            <w:szCs w:val="24"/>
            <w:u w:val="single"/>
            <w:rtl/>
          </w:rPr>
          <w:t>פקודת</w:t>
        </w:r>
        <w:r w:rsidR="009D2405" w:rsidRPr="009D2405">
          <w:rPr>
            <w:rFonts w:cs="David"/>
            <w:b/>
            <w:bCs/>
            <w:color w:val="0000FF"/>
            <w:sz w:val="24"/>
            <w:szCs w:val="24"/>
            <w:u w:val="single"/>
            <w:rtl/>
          </w:rPr>
          <w:t xml:space="preserve"> </w:t>
        </w:r>
        <w:r w:rsidR="009D2405" w:rsidRPr="009D2405">
          <w:rPr>
            <w:rFonts w:cs="David" w:hint="eastAsia"/>
            <w:b/>
            <w:bCs/>
            <w:color w:val="0000FF"/>
            <w:sz w:val="24"/>
            <w:szCs w:val="24"/>
            <w:u w:val="single"/>
            <w:rtl/>
          </w:rPr>
          <w:t>המבחן</w:t>
        </w:r>
      </w:hyperlink>
      <w:r>
        <w:rPr>
          <w:rFonts w:cs="David" w:hint="cs"/>
          <w:b/>
          <w:bCs/>
          <w:sz w:val="24"/>
          <w:szCs w:val="24"/>
          <w:rtl/>
        </w:rPr>
        <w:t xml:space="preserve"> [נוסח חדש], התשכ"ט-1969</w:t>
      </w:r>
      <w:r>
        <w:rPr>
          <w:rFonts w:cs="David" w:hint="cs"/>
          <w:sz w:val="24"/>
          <w:szCs w:val="24"/>
          <w:rtl/>
        </w:rPr>
        <w:t>."</w:t>
      </w:r>
    </w:p>
    <w:p w14:paraId="30C86364" w14:textId="77777777" w:rsidR="001054B8" w:rsidRDefault="001054B8" w:rsidP="001054B8">
      <w:pPr>
        <w:pStyle w:val="a9"/>
        <w:numPr>
          <w:ilvl w:val="0"/>
          <w:numId w:val="1"/>
        </w:numPr>
        <w:spacing w:after="160" w:line="360" w:lineRule="auto"/>
        <w:contextualSpacing/>
        <w:jc w:val="both"/>
      </w:pPr>
      <w:r>
        <w:rPr>
          <w:rFonts w:hint="cs"/>
          <w:rtl/>
        </w:rPr>
        <w:t xml:space="preserve">התשובה לשאלה אילו מן המקרים ייחשבו  מקרי שיקום כמשמעותו </w:t>
      </w:r>
      <w:hyperlink r:id="rId40" w:history="1">
        <w:r w:rsidR="00757CF0" w:rsidRPr="00757CF0">
          <w:rPr>
            <w:color w:val="0000FF"/>
            <w:u w:val="single"/>
            <w:rtl/>
          </w:rPr>
          <w:t>בסעיף 40ד'</w:t>
        </w:r>
      </w:hyperlink>
      <w:r>
        <w:rPr>
          <w:rFonts w:hint="cs"/>
          <w:rtl/>
        </w:rPr>
        <w:t xml:space="preserve"> לחוק ואילו לאו מורכבת ותלויה במספר פרמטרים, בין היתר חומרת העבירה, נסיבות הנאשם, טיבו של הליך השיקום והסיכון להישנות עבירות. לשון </w:t>
      </w:r>
      <w:hyperlink r:id="rId41" w:history="1">
        <w:r w:rsidR="00757CF0" w:rsidRPr="00757CF0">
          <w:rPr>
            <w:color w:val="0000FF"/>
            <w:u w:val="single"/>
            <w:rtl/>
          </w:rPr>
          <w:t>סעיף 40ד'</w:t>
        </w:r>
      </w:hyperlink>
      <w:r>
        <w:rPr>
          <w:rFonts w:hint="cs"/>
          <w:rtl/>
        </w:rPr>
        <w:t xml:space="preserve"> לחוק מלמדת, כי לעיתים כאשר "</w:t>
      </w:r>
      <w:r>
        <w:rPr>
          <w:rFonts w:hint="cs"/>
          <w:b/>
          <w:bCs/>
          <w:rtl/>
        </w:rPr>
        <w:t>נאשם השתקם</w:t>
      </w:r>
      <w:r>
        <w:rPr>
          <w:rFonts w:hint="cs"/>
          <w:rtl/>
        </w:rPr>
        <w:t>" או כי "</w:t>
      </w:r>
      <w:r>
        <w:rPr>
          <w:rFonts w:hint="cs"/>
          <w:b/>
          <w:bCs/>
          <w:rtl/>
        </w:rPr>
        <w:t>יש סיכוי של ממש שישתקם</w:t>
      </w:r>
      <w:r>
        <w:rPr>
          <w:rFonts w:hint="cs"/>
          <w:rtl/>
        </w:rPr>
        <w:t xml:space="preserve">", עשויים שיקולי השיקום לגבור על שיקולי ההרתעה והגמול (ראו </w:t>
      </w:r>
      <w:hyperlink r:id="rId42" w:history="1">
        <w:r w:rsidR="009D2405" w:rsidRPr="009D2405">
          <w:rPr>
            <w:color w:val="0000FF"/>
            <w:u w:val="single"/>
            <w:rtl/>
          </w:rPr>
          <w:t>רע"פ 7572/12</w:t>
        </w:r>
      </w:hyperlink>
      <w:r>
        <w:rPr>
          <w:rFonts w:hint="cs"/>
          <w:rtl/>
        </w:rPr>
        <w:t xml:space="preserve"> </w:t>
      </w:r>
      <w:r>
        <w:rPr>
          <w:rFonts w:hint="cs"/>
          <w:b/>
          <w:bCs/>
          <w:rtl/>
        </w:rPr>
        <w:t>הזייל נ' מדינת ישראל</w:t>
      </w:r>
      <w:r>
        <w:rPr>
          <w:rFonts w:hint="cs"/>
          <w:rtl/>
        </w:rPr>
        <w:t xml:space="preserve"> (23.10.12)) ואולם, אין די בנאשם המראה נכונות כנה להשתלב בהליך שיקום אלא יש להציג הליך משמעותי המגלה פוטנציאל שיקומי ממשי, תוך קביעה כי הסיכוי לביצוע עבירות נוספות בעתיד הוא נמוך ביותר (ראו </w:t>
      </w:r>
      <w:hyperlink r:id="rId43" w:history="1">
        <w:r w:rsidR="009D2405" w:rsidRPr="009D2405">
          <w:rPr>
            <w:color w:val="0000FF"/>
            <w:u w:val="single"/>
            <w:rtl/>
          </w:rPr>
          <w:t>ע"פ 1903/13</w:t>
        </w:r>
      </w:hyperlink>
      <w:r>
        <w:rPr>
          <w:rFonts w:hint="cs"/>
          <w:rtl/>
        </w:rPr>
        <w:t xml:space="preserve"> </w:t>
      </w:r>
      <w:r>
        <w:rPr>
          <w:rFonts w:hint="cs"/>
          <w:b/>
          <w:bCs/>
          <w:rtl/>
        </w:rPr>
        <w:t>עיאשה נ' מדינת ישראל</w:t>
      </w:r>
      <w:r>
        <w:rPr>
          <w:rFonts w:hint="cs"/>
          <w:rtl/>
        </w:rPr>
        <w:t xml:space="preserve"> (14.07.13)). לתסקיר שירות המבחן בהקשר זה מעמד משמעותי ביותר, אם כי כמובן שאינו מחייב את בית המשפט.  </w:t>
      </w:r>
    </w:p>
    <w:p w14:paraId="1299C7DA" w14:textId="77777777" w:rsidR="001054B8" w:rsidRDefault="001054B8" w:rsidP="001054B8">
      <w:pPr>
        <w:pStyle w:val="ListParagraph1"/>
        <w:numPr>
          <w:ilvl w:val="0"/>
          <w:numId w:val="1"/>
        </w:numPr>
        <w:spacing w:line="360" w:lineRule="auto"/>
        <w:jc w:val="both"/>
        <w:rPr>
          <w:rFonts w:cs="David"/>
          <w:sz w:val="24"/>
          <w:szCs w:val="24"/>
        </w:rPr>
      </w:pPr>
      <w:r>
        <w:rPr>
          <w:rFonts w:cs="David" w:hint="cs"/>
          <w:sz w:val="24"/>
          <w:szCs w:val="24"/>
          <w:rtl/>
        </w:rPr>
        <w:t xml:space="preserve">בענייננו, המדובר בנאשם צעיר, נטול עבר פלילי, שניהל לפני מעצרו בתיק זה אורח חיים התמכרותי ובלתי יציב. נסיבות חייו הקשות הותירוהו ללא בית וללא משפחה והנאשם ניסה למצוא את דרכו אך כשל ומעד, הסתבך בעולם הסמים וסבל ממצוקה נפשית וכלכלית. הרקע לביצוע העבירות הוא אמנם כלכלי בחלקו אך אינו נובע מרצון למקסם רווח כלכלי ומתאוות בצע אלא מניסיון לקיים את עצמו באמצעות ביצוע עבירות סם שונות. </w:t>
      </w:r>
    </w:p>
    <w:p w14:paraId="3094A57A" w14:textId="77777777" w:rsidR="001054B8" w:rsidRDefault="001054B8" w:rsidP="001054B8">
      <w:pPr>
        <w:pStyle w:val="ListParagraph1"/>
        <w:spacing w:line="360" w:lineRule="auto"/>
        <w:ind w:left="502"/>
        <w:jc w:val="both"/>
        <w:rPr>
          <w:rFonts w:cs="David"/>
          <w:sz w:val="24"/>
          <w:szCs w:val="24"/>
        </w:rPr>
      </w:pPr>
    </w:p>
    <w:p w14:paraId="519D0466" w14:textId="77777777" w:rsidR="001054B8" w:rsidRDefault="001054B8" w:rsidP="001054B8">
      <w:pPr>
        <w:pStyle w:val="ListParagraph1"/>
        <w:numPr>
          <w:ilvl w:val="0"/>
          <w:numId w:val="1"/>
        </w:numPr>
        <w:spacing w:line="360" w:lineRule="auto"/>
        <w:jc w:val="both"/>
        <w:rPr>
          <w:rFonts w:cs="David"/>
          <w:sz w:val="24"/>
          <w:szCs w:val="24"/>
        </w:rPr>
      </w:pPr>
      <w:r>
        <w:rPr>
          <w:rFonts w:cs="David" w:hint="cs"/>
          <w:sz w:val="24"/>
          <w:szCs w:val="24"/>
          <w:rtl/>
        </w:rPr>
        <w:t xml:space="preserve">המאשימה הביעה ספק ביחס לטיב השינוי שחל בנאשם ואופי ההליך הטיפולי שעבר. אינני סבורה שהיה מקום לספק זה. הנאשם שעומד לפנינו היום, מוקף בני משפחה, מקיים קשר זוגיות, נקי מסם ומלא במוטיבציה ושאיפות לקדם את חייו, שונה ללא היכר מאותו אדם שנעצר בדירת המעבדה ביום 1.5.16. השינוי ניכר בכל מישורי חייו: הנאשם היה נתון כשנתיים בטיפול היחידה לטיפול בהתמכרויות והפגין נכונות טיפולית ושיתוף פעולה מלא. אכן, לאחר תקופה ממושכת, הופסק הטיפול, בעיקר על רקע מחלתה הקשה של אמו, אך לאחר מכן שב הנאשם לטפל בעצמו טיפול רגשי משלים ונחוץ; הנאשם הוכיח עצמו כמי שהתנקה מסם, במשך כשלוש שנים מוסר בדיקות שתן נקיות ומנהל אורח חיים תקין ובריא; הנאשם שב לחיק משפחתו וזכה לשנתיים של חסד לצד אמו עד מותה. התרשמתי מדברי אחותו, כי כיום הקשרים בתוך המשפחה חמים ואמיצים; הנאשם מנהל חיי זוגיות, עוסק בקידום פטנט שהמציא, לומד צילום ושואף להקים משפחה.  מכל אלו ניתן ללמוד שהנאשם השקיע מאמץ ראוי לציון לחזרה למוטב ושיקום דרכיו. </w:t>
      </w:r>
    </w:p>
    <w:p w14:paraId="0FBE970C" w14:textId="77777777" w:rsidR="001054B8" w:rsidRDefault="001054B8" w:rsidP="001054B8">
      <w:pPr>
        <w:pStyle w:val="ListParagraph1"/>
        <w:spacing w:line="360" w:lineRule="auto"/>
        <w:ind w:left="502"/>
        <w:jc w:val="both"/>
        <w:rPr>
          <w:rFonts w:cs="David"/>
          <w:sz w:val="24"/>
          <w:szCs w:val="24"/>
        </w:rPr>
      </w:pPr>
    </w:p>
    <w:p w14:paraId="1DB5609B" w14:textId="77777777" w:rsidR="001054B8" w:rsidRDefault="001054B8" w:rsidP="001054B8">
      <w:pPr>
        <w:pStyle w:val="ListParagraph1"/>
        <w:numPr>
          <w:ilvl w:val="0"/>
          <w:numId w:val="1"/>
        </w:numPr>
        <w:spacing w:line="360" w:lineRule="auto"/>
        <w:jc w:val="both"/>
        <w:rPr>
          <w:rFonts w:cs="David"/>
          <w:sz w:val="24"/>
          <w:szCs w:val="24"/>
        </w:rPr>
      </w:pPr>
      <w:r>
        <w:rPr>
          <w:rFonts w:cs="David" w:hint="cs"/>
          <w:sz w:val="24"/>
          <w:szCs w:val="24"/>
          <w:rtl/>
        </w:rPr>
        <w:t>הנאשם גילה תובנה לחומרת מעשיו וחל אצלו שינוי תפישתי בכל הקשור להבנה של השלכות מעשיו. השינוי המשמעותי בחייו אף מלמד כי פחת עד מאד הסיכון לביצוע עבירות נוספות וגם אם תחול נסיגה בתפקודו, כעת יש מסביבו מעגל תמיכה איתן שיוכל לסייע לו</w:t>
      </w:r>
      <w:r>
        <w:rPr>
          <w:rFonts w:cs="David" w:hint="cs"/>
          <w:b/>
          <w:bCs/>
          <w:sz w:val="24"/>
          <w:szCs w:val="24"/>
          <w:rtl/>
        </w:rPr>
        <w:t xml:space="preserve">.  כלל הנתונים מעידים על פוטנציאל שיקומי גבוה המאפשר חריגה מהמתחם בהתאם להוראות </w:t>
      </w:r>
      <w:hyperlink r:id="rId44" w:history="1">
        <w:r w:rsidR="00757CF0" w:rsidRPr="00757CF0">
          <w:rPr>
            <w:rFonts w:cs="David" w:hint="eastAsia"/>
            <w:b/>
            <w:bCs/>
            <w:color w:val="0000FF"/>
            <w:sz w:val="24"/>
            <w:szCs w:val="24"/>
            <w:u w:val="single"/>
            <w:rtl/>
          </w:rPr>
          <w:t>סעיף</w:t>
        </w:r>
        <w:r w:rsidR="00757CF0" w:rsidRPr="00757CF0">
          <w:rPr>
            <w:rFonts w:cs="David"/>
            <w:b/>
            <w:bCs/>
            <w:color w:val="0000FF"/>
            <w:sz w:val="24"/>
            <w:szCs w:val="24"/>
            <w:u w:val="single"/>
            <w:rtl/>
          </w:rPr>
          <w:t xml:space="preserve"> 40</w:t>
        </w:r>
        <w:r w:rsidR="00757CF0" w:rsidRPr="00757CF0">
          <w:rPr>
            <w:rFonts w:cs="David" w:hint="eastAsia"/>
            <w:b/>
            <w:bCs/>
            <w:color w:val="0000FF"/>
            <w:sz w:val="24"/>
            <w:szCs w:val="24"/>
            <w:u w:val="single"/>
            <w:rtl/>
          </w:rPr>
          <w:t>ד</w:t>
        </w:r>
        <w:r w:rsidR="00757CF0" w:rsidRPr="00757CF0">
          <w:rPr>
            <w:rFonts w:cs="David"/>
            <w:b/>
            <w:bCs/>
            <w:color w:val="0000FF"/>
            <w:sz w:val="24"/>
            <w:szCs w:val="24"/>
            <w:u w:val="single"/>
            <w:rtl/>
          </w:rPr>
          <w:t>(</w:t>
        </w:r>
        <w:r w:rsidR="00757CF0" w:rsidRPr="00757CF0">
          <w:rPr>
            <w:rFonts w:cs="David" w:hint="eastAsia"/>
            <w:b/>
            <w:bCs/>
            <w:color w:val="0000FF"/>
            <w:sz w:val="24"/>
            <w:szCs w:val="24"/>
            <w:u w:val="single"/>
            <w:rtl/>
          </w:rPr>
          <w:t>א</w:t>
        </w:r>
        <w:r w:rsidR="00757CF0" w:rsidRPr="00757CF0">
          <w:rPr>
            <w:rFonts w:cs="David"/>
            <w:b/>
            <w:bCs/>
            <w:color w:val="0000FF"/>
            <w:sz w:val="24"/>
            <w:szCs w:val="24"/>
            <w:u w:val="single"/>
            <w:rtl/>
          </w:rPr>
          <w:t>)</w:t>
        </w:r>
      </w:hyperlink>
      <w:r>
        <w:rPr>
          <w:rFonts w:cs="David" w:hint="cs"/>
          <w:b/>
          <w:bCs/>
          <w:sz w:val="24"/>
          <w:szCs w:val="24"/>
          <w:rtl/>
        </w:rPr>
        <w:t xml:space="preserve"> לחוק.</w:t>
      </w:r>
    </w:p>
    <w:p w14:paraId="5247EB75" w14:textId="77777777" w:rsidR="001054B8" w:rsidRDefault="001054B8" w:rsidP="001054B8">
      <w:pPr>
        <w:pStyle w:val="ListParagraph1"/>
        <w:spacing w:line="360" w:lineRule="auto"/>
        <w:ind w:left="502"/>
        <w:jc w:val="both"/>
        <w:rPr>
          <w:rFonts w:cs="David"/>
          <w:sz w:val="24"/>
          <w:szCs w:val="24"/>
        </w:rPr>
      </w:pPr>
    </w:p>
    <w:p w14:paraId="2C20B67B" w14:textId="77777777" w:rsidR="001054B8" w:rsidRDefault="001054B8" w:rsidP="001054B8">
      <w:pPr>
        <w:pStyle w:val="ListParagraph1"/>
        <w:numPr>
          <w:ilvl w:val="0"/>
          <w:numId w:val="1"/>
        </w:numPr>
        <w:spacing w:line="360" w:lineRule="auto"/>
        <w:jc w:val="both"/>
        <w:rPr>
          <w:rFonts w:cs="David"/>
          <w:sz w:val="24"/>
          <w:szCs w:val="24"/>
        </w:rPr>
      </w:pPr>
      <w:r>
        <w:rPr>
          <w:rFonts w:cs="David" w:hint="cs"/>
          <w:sz w:val="24"/>
          <w:szCs w:val="24"/>
          <w:rtl/>
        </w:rPr>
        <w:t xml:space="preserve">גישה לפיה גיל צעיר, עבר נקי, ניקיון מסם והפחתת סיכון הנובעת מהליך טיפולי אפקטיבי מהווים בסיס ראוי להגדרת עניינו של נאשם בעבירות סם כמקרה שיקום, ניתן למצוא בפסיקת בית המשפט העליון ובכלל, ברובה חרג בית המשפט ממתחם העונש והעמידו על תקופת מאסר קצרה יותר שניתנת לריצוי בדרך של עבודות שירות. כך </w:t>
      </w:r>
      <w:r>
        <w:rPr>
          <w:rFonts w:cs="David" w:hint="cs"/>
          <w:sz w:val="24"/>
          <w:szCs w:val="24"/>
          <w:u w:val="single"/>
          <w:rtl/>
        </w:rPr>
        <w:t>ב</w:t>
      </w:r>
      <w:hyperlink r:id="rId45" w:history="1">
        <w:r w:rsidR="009D2405" w:rsidRPr="009D2405">
          <w:rPr>
            <w:rFonts w:cs="David" w:hint="eastAsia"/>
            <w:color w:val="0000FF"/>
            <w:sz w:val="24"/>
            <w:szCs w:val="24"/>
            <w:u w:val="single"/>
            <w:rtl/>
          </w:rPr>
          <w:t>ע</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 xml:space="preserve"> 6161/16</w:t>
        </w:r>
      </w:hyperlink>
      <w:r>
        <w:rPr>
          <w:rFonts w:cs="David" w:hint="cs"/>
          <w:sz w:val="24"/>
          <w:szCs w:val="24"/>
          <w:rtl/>
        </w:rPr>
        <w:t xml:space="preserve"> </w:t>
      </w:r>
      <w:r>
        <w:rPr>
          <w:rFonts w:cs="David" w:hint="cs"/>
          <w:b/>
          <w:bCs/>
          <w:sz w:val="24"/>
          <w:szCs w:val="24"/>
          <w:rtl/>
        </w:rPr>
        <w:t>יזרעאלוב נ' מדינת ישראל</w:t>
      </w:r>
      <w:r>
        <w:rPr>
          <w:rFonts w:cs="David" w:hint="cs"/>
          <w:sz w:val="24"/>
          <w:szCs w:val="24"/>
          <w:rtl/>
        </w:rPr>
        <w:t xml:space="preserve"> (מיום 20.2.17) הדן בעניינו של מערער שהורשע במספר עבירות סחר ועבירות נוספות ונדון ע"י בית המשפט המחוזי ל-8 חודשי מאסר. בית המשפט העליון (כב' השופט מלצר) מצא נוכח נסיבות הנאשם והליך השיקום בו החל, להעדיף אינטרס השיקום וליתן להמלצת שירות המבחן משקל משמעותי יותר ועל כן הפחית עונשו של המערער והעמידו על 6 חודשי מאסר שירוצו בדרך של עבודות שירות. (ראה גם </w:t>
      </w:r>
      <w:hyperlink r:id="rId46" w:history="1">
        <w:r w:rsidR="009D2405" w:rsidRPr="009D2405">
          <w:rPr>
            <w:rFonts w:cs="David" w:hint="eastAsia"/>
            <w:color w:val="0000FF"/>
            <w:sz w:val="24"/>
            <w:szCs w:val="24"/>
            <w:u w:val="single"/>
            <w:rtl/>
          </w:rPr>
          <w:t>ע</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 xml:space="preserve"> 8092/04</w:t>
        </w:r>
      </w:hyperlink>
      <w:r>
        <w:rPr>
          <w:rFonts w:cs="David" w:hint="cs"/>
          <w:sz w:val="24"/>
          <w:szCs w:val="24"/>
          <w:u w:val="single"/>
          <w:rtl/>
        </w:rPr>
        <w:t xml:space="preserve"> </w:t>
      </w:r>
      <w:r>
        <w:rPr>
          <w:rFonts w:cs="David" w:hint="cs"/>
          <w:b/>
          <w:bCs/>
          <w:sz w:val="24"/>
          <w:szCs w:val="24"/>
          <w:rtl/>
        </w:rPr>
        <w:t>חביב נ' מדינת ישראל</w:t>
      </w:r>
      <w:r>
        <w:rPr>
          <w:rFonts w:cs="David" w:hint="cs"/>
          <w:sz w:val="24"/>
          <w:szCs w:val="24"/>
          <w:rtl/>
        </w:rPr>
        <w:t xml:space="preserve">, מיום 10.09.06, הדן בנאשם בעבירות סחר בעל עבר פלילי שעבר הליך שיקום ונידון לעונש שיקומי בדמות צו של"צ בהיקף נרחב). </w:t>
      </w:r>
    </w:p>
    <w:p w14:paraId="7E055164" w14:textId="77777777" w:rsidR="001054B8" w:rsidRDefault="001054B8" w:rsidP="001054B8">
      <w:pPr>
        <w:pStyle w:val="ListParagraph1"/>
        <w:spacing w:line="360" w:lineRule="auto"/>
        <w:ind w:left="502"/>
        <w:jc w:val="both"/>
        <w:rPr>
          <w:rFonts w:cs="David"/>
          <w:sz w:val="24"/>
          <w:szCs w:val="24"/>
        </w:rPr>
      </w:pPr>
    </w:p>
    <w:p w14:paraId="2D1058D3" w14:textId="77777777" w:rsidR="001054B8" w:rsidRDefault="001054B8" w:rsidP="001054B8">
      <w:pPr>
        <w:pStyle w:val="ListParagraph1"/>
        <w:spacing w:line="360" w:lineRule="auto"/>
        <w:ind w:left="502"/>
        <w:jc w:val="both"/>
        <w:rPr>
          <w:rFonts w:cs="David"/>
          <w:sz w:val="24"/>
          <w:szCs w:val="24"/>
          <w:rtl/>
        </w:rPr>
      </w:pPr>
      <w:r>
        <w:rPr>
          <w:rFonts w:cs="David" w:hint="cs"/>
          <w:sz w:val="24"/>
          <w:szCs w:val="24"/>
          <w:rtl/>
        </w:rPr>
        <w:t xml:space="preserve">עוד ראו: </w:t>
      </w:r>
      <w:hyperlink r:id="rId47" w:history="1">
        <w:r w:rsidR="009D2405" w:rsidRPr="009D2405">
          <w:rPr>
            <w:rFonts w:cs="David" w:hint="eastAsia"/>
            <w:color w:val="0000FF"/>
            <w:sz w:val="24"/>
            <w:szCs w:val="24"/>
            <w:u w:val="single"/>
            <w:rtl/>
          </w:rPr>
          <w:t>עפ</w:t>
        </w:r>
        <w:r w:rsidR="009D2405" w:rsidRPr="009D2405">
          <w:rPr>
            <w:rFonts w:cs="David"/>
            <w:color w:val="0000FF"/>
            <w:sz w:val="24"/>
            <w:szCs w:val="24"/>
            <w:u w:val="single"/>
            <w:rtl/>
          </w:rPr>
          <w:t>"</w:t>
        </w:r>
        <w:r w:rsidR="009D2405" w:rsidRPr="009D2405">
          <w:rPr>
            <w:rFonts w:cs="David" w:hint="eastAsia"/>
            <w:color w:val="0000FF"/>
            <w:sz w:val="24"/>
            <w:szCs w:val="24"/>
            <w:u w:val="single"/>
            <w:rtl/>
          </w:rPr>
          <w:t>ג</w:t>
        </w:r>
        <w:r w:rsidR="009D2405" w:rsidRPr="009D2405">
          <w:rPr>
            <w:rFonts w:cs="David"/>
            <w:color w:val="0000FF"/>
            <w:sz w:val="24"/>
            <w:szCs w:val="24"/>
            <w:u w:val="single"/>
            <w:rtl/>
          </w:rPr>
          <w:t xml:space="preserve"> (</w:t>
        </w:r>
        <w:r w:rsidR="009D2405" w:rsidRPr="009D2405">
          <w:rPr>
            <w:rFonts w:cs="David" w:hint="eastAsia"/>
            <w:color w:val="0000FF"/>
            <w:sz w:val="24"/>
            <w:szCs w:val="24"/>
            <w:u w:val="single"/>
            <w:rtl/>
          </w:rPr>
          <w:t>מח</w:t>
        </w:r>
        <w:r w:rsidR="009D2405" w:rsidRPr="009D2405">
          <w:rPr>
            <w:rFonts w:cs="David"/>
            <w:color w:val="0000FF"/>
            <w:sz w:val="24"/>
            <w:szCs w:val="24"/>
            <w:u w:val="single"/>
            <w:rtl/>
          </w:rPr>
          <w:t>-</w:t>
        </w:r>
        <w:r w:rsidR="009D2405" w:rsidRPr="009D2405">
          <w:rPr>
            <w:rFonts w:cs="David" w:hint="eastAsia"/>
            <w:color w:val="0000FF"/>
            <w:sz w:val="24"/>
            <w:szCs w:val="24"/>
            <w:u w:val="single"/>
            <w:rtl/>
          </w:rPr>
          <w:t>חי</w:t>
        </w:r>
        <w:r w:rsidR="009D2405" w:rsidRPr="009D2405">
          <w:rPr>
            <w:rFonts w:cs="David"/>
            <w:color w:val="0000FF"/>
            <w:sz w:val="24"/>
            <w:szCs w:val="24"/>
            <w:u w:val="single"/>
            <w:rtl/>
          </w:rPr>
          <w:t>') 53142-12-16</w:t>
        </w:r>
      </w:hyperlink>
      <w:r>
        <w:rPr>
          <w:rFonts w:cs="David" w:hint="cs"/>
          <w:sz w:val="24"/>
          <w:szCs w:val="24"/>
          <w:rtl/>
        </w:rPr>
        <w:t xml:space="preserve"> </w:t>
      </w:r>
      <w:r>
        <w:rPr>
          <w:rFonts w:cs="David" w:hint="cs"/>
          <w:b/>
          <w:bCs/>
          <w:sz w:val="24"/>
          <w:szCs w:val="24"/>
          <w:rtl/>
        </w:rPr>
        <w:t>רחמימוב נ' מדינת ישראל</w:t>
      </w:r>
      <w:r>
        <w:rPr>
          <w:rFonts w:cs="David" w:hint="cs"/>
          <w:sz w:val="24"/>
          <w:szCs w:val="24"/>
          <w:rtl/>
        </w:rPr>
        <w:t>- נאשם שהורשע במספר רב של עבירות סחר בסם ועבירות נלוות ונדון ל-16 חודשי מאסר. בית המשפט המחוזי מצא להעדיף האינטרס השיקומי ולהימנע מהטלת מאסר בפועל והפחית עונשו ל-6 חודשי מאסר בדרך של עבודות שירות. בדרך דומה הילך בית המשפט ב</w:t>
      </w:r>
      <w:hyperlink r:id="rId48" w:history="1">
        <w:r w:rsidR="009D2405" w:rsidRPr="009D2405">
          <w:rPr>
            <w:rFonts w:cs="David" w:hint="eastAsia"/>
            <w:color w:val="0000FF"/>
            <w:sz w:val="24"/>
            <w:szCs w:val="24"/>
            <w:u w:val="single"/>
            <w:rtl/>
          </w:rPr>
          <w:t>ת</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 xml:space="preserve"> 8843-02-15</w:t>
        </w:r>
      </w:hyperlink>
      <w:r>
        <w:rPr>
          <w:rFonts w:cs="David" w:hint="cs"/>
          <w:sz w:val="24"/>
          <w:szCs w:val="24"/>
          <w:rtl/>
        </w:rPr>
        <w:t xml:space="preserve"> (מח-מרכז) </w:t>
      </w:r>
      <w:r>
        <w:rPr>
          <w:rFonts w:cs="David" w:hint="cs"/>
          <w:b/>
          <w:bCs/>
          <w:sz w:val="24"/>
          <w:szCs w:val="24"/>
          <w:rtl/>
        </w:rPr>
        <w:t>מדינת ישראל נ' בוז'רנו</w:t>
      </w:r>
      <w:r>
        <w:rPr>
          <w:rFonts w:cs="David" w:hint="cs"/>
          <w:sz w:val="24"/>
          <w:szCs w:val="24"/>
          <w:rtl/>
        </w:rPr>
        <w:t xml:space="preserve"> (גידול סם במשקל 92 ק"ג) (מפי כב' הש' מרשק-מרום); </w:t>
      </w:r>
      <w:hyperlink r:id="rId49" w:history="1">
        <w:r w:rsidR="009D2405" w:rsidRPr="009D2405">
          <w:rPr>
            <w:rFonts w:cs="David" w:hint="eastAsia"/>
            <w:color w:val="0000FF"/>
            <w:sz w:val="24"/>
            <w:szCs w:val="24"/>
            <w:u w:val="single"/>
            <w:rtl/>
          </w:rPr>
          <w:t>ת</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w:t>
        </w:r>
        <w:r w:rsidR="009D2405" w:rsidRPr="009D2405">
          <w:rPr>
            <w:rFonts w:cs="David" w:hint="eastAsia"/>
            <w:color w:val="0000FF"/>
            <w:sz w:val="24"/>
            <w:szCs w:val="24"/>
            <w:u w:val="single"/>
            <w:rtl/>
          </w:rPr>
          <w:t>שלום</w:t>
        </w:r>
        <w:r w:rsidR="009D2405" w:rsidRPr="009D2405">
          <w:rPr>
            <w:rFonts w:cs="David"/>
            <w:color w:val="0000FF"/>
            <w:sz w:val="24"/>
            <w:szCs w:val="24"/>
            <w:u w:val="single"/>
            <w:rtl/>
          </w:rPr>
          <w:t xml:space="preserve">- </w:t>
        </w:r>
        <w:r w:rsidR="009D2405" w:rsidRPr="009D2405">
          <w:rPr>
            <w:rFonts w:cs="David" w:hint="eastAsia"/>
            <w:color w:val="0000FF"/>
            <w:sz w:val="24"/>
            <w:szCs w:val="24"/>
            <w:u w:val="single"/>
            <w:rtl/>
          </w:rPr>
          <w:t>רמ</w:t>
        </w:r>
        <w:r w:rsidR="009D2405" w:rsidRPr="009D2405">
          <w:rPr>
            <w:rFonts w:cs="David"/>
            <w:color w:val="0000FF"/>
            <w:sz w:val="24"/>
            <w:szCs w:val="24"/>
            <w:u w:val="single"/>
            <w:rtl/>
          </w:rPr>
          <w:t>') 49401-08-15</w:t>
        </w:r>
      </w:hyperlink>
      <w:r>
        <w:rPr>
          <w:rFonts w:cs="David" w:hint="cs"/>
          <w:sz w:val="24"/>
          <w:szCs w:val="24"/>
          <w:rtl/>
        </w:rPr>
        <w:t xml:space="preserve">  </w:t>
      </w:r>
      <w:r>
        <w:rPr>
          <w:rFonts w:cs="David" w:hint="cs"/>
          <w:b/>
          <w:bCs/>
          <w:sz w:val="24"/>
          <w:szCs w:val="24"/>
          <w:rtl/>
        </w:rPr>
        <w:t>מדינת ישראל נ' יהל</w:t>
      </w:r>
      <w:r>
        <w:rPr>
          <w:rFonts w:cs="David" w:hint="cs"/>
          <w:sz w:val="24"/>
          <w:szCs w:val="24"/>
          <w:rtl/>
        </w:rPr>
        <w:t xml:space="preserve"> (מפי כב' השופט קובו); </w:t>
      </w:r>
      <w:hyperlink r:id="rId50" w:history="1">
        <w:r w:rsidR="009D2405" w:rsidRPr="009D2405">
          <w:rPr>
            <w:rFonts w:cs="David" w:hint="eastAsia"/>
            <w:color w:val="0000FF"/>
            <w:sz w:val="24"/>
            <w:szCs w:val="24"/>
            <w:u w:val="single"/>
            <w:rtl/>
          </w:rPr>
          <w:t>ת</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 xml:space="preserve"> (</w:t>
        </w:r>
        <w:r w:rsidR="009D2405" w:rsidRPr="009D2405">
          <w:rPr>
            <w:rFonts w:cs="David" w:hint="eastAsia"/>
            <w:color w:val="0000FF"/>
            <w:sz w:val="24"/>
            <w:szCs w:val="24"/>
            <w:u w:val="single"/>
            <w:rtl/>
          </w:rPr>
          <w:t>שלום</w:t>
        </w:r>
        <w:r w:rsidR="009D2405" w:rsidRPr="009D2405">
          <w:rPr>
            <w:rFonts w:cs="David"/>
            <w:color w:val="0000FF"/>
            <w:sz w:val="24"/>
            <w:szCs w:val="24"/>
            <w:u w:val="single"/>
            <w:rtl/>
          </w:rPr>
          <w:t>-</w:t>
        </w:r>
        <w:r w:rsidR="009D2405" w:rsidRPr="009D2405">
          <w:rPr>
            <w:rFonts w:cs="David" w:hint="eastAsia"/>
            <w:color w:val="0000FF"/>
            <w:sz w:val="24"/>
            <w:szCs w:val="24"/>
            <w:u w:val="single"/>
            <w:rtl/>
          </w:rPr>
          <w:t>נת</w:t>
        </w:r>
        <w:r w:rsidR="009D2405" w:rsidRPr="009D2405">
          <w:rPr>
            <w:rFonts w:cs="David"/>
            <w:color w:val="0000FF"/>
            <w:sz w:val="24"/>
            <w:szCs w:val="24"/>
            <w:u w:val="single"/>
            <w:rtl/>
          </w:rPr>
          <w:t>')  6553-05-14</w:t>
        </w:r>
      </w:hyperlink>
      <w:r>
        <w:rPr>
          <w:rFonts w:cs="David" w:hint="cs"/>
          <w:sz w:val="24"/>
          <w:szCs w:val="24"/>
          <w:rtl/>
        </w:rPr>
        <w:t xml:space="preserve"> </w:t>
      </w:r>
      <w:r>
        <w:rPr>
          <w:rFonts w:cs="David" w:hint="cs"/>
          <w:b/>
          <w:bCs/>
          <w:sz w:val="24"/>
          <w:szCs w:val="24"/>
          <w:rtl/>
        </w:rPr>
        <w:t>מדינת ישראל נ' זרחאי</w:t>
      </w:r>
      <w:r>
        <w:rPr>
          <w:rFonts w:cs="David" w:hint="cs"/>
          <w:sz w:val="24"/>
          <w:szCs w:val="24"/>
          <w:rtl/>
        </w:rPr>
        <w:t xml:space="preserve"> (מפי סג"נ הש' טרסי);</w:t>
      </w:r>
      <w:hyperlink r:id="rId51" w:history="1">
        <w:r w:rsidR="009D2405" w:rsidRPr="009D2405">
          <w:rPr>
            <w:rFonts w:cs="David" w:hint="eastAsia"/>
            <w:color w:val="0000FF"/>
            <w:sz w:val="24"/>
            <w:szCs w:val="24"/>
            <w:u w:val="single"/>
            <w:rtl/>
          </w:rPr>
          <w:t>ת</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w:t>
        </w:r>
        <w:r w:rsidR="009D2405" w:rsidRPr="009D2405">
          <w:rPr>
            <w:rFonts w:cs="David" w:hint="eastAsia"/>
            <w:color w:val="0000FF"/>
            <w:sz w:val="24"/>
            <w:szCs w:val="24"/>
            <w:u w:val="single"/>
            <w:rtl/>
          </w:rPr>
          <w:t>שלום</w:t>
        </w:r>
        <w:r w:rsidR="009D2405" w:rsidRPr="009D2405">
          <w:rPr>
            <w:rFonts w:cs="David"/>
            <w:color w:val="0000FF"/>
            <w:sz w:val="24"/>
            <w:szCs w:val="24"/>
            <w:u w:val="single"/>
            <w:rtl/>
          </w:rPr>
          <w:t>-</w:t>
        </w:r>
        <w:r w:rsidR="009D2405" w:rsidRPr="009D2405">
          <w:rPr>
            <w:rFonts w:cs="David" w:hint="eastAsia"/>
            <w:color w:val="0000FF"/>
            <w:sz w:val="24"/>
            <w:szCs w:val="24"/>
            <w:u w:val="single"/>
            <w:rtl/>
          </w:rPr>
          <w:t>י</w:t>
        </w:r>
        <w:r w:rsidR="009D2405" w:rsidRPr="009D2405">
          <w:rPr>
            <w:rFonts w:cs="David"/>
            <w:color w:val="0000FF"/>
            <w:sz w:val="24"/>
            <w:szCs w:val="24"/>
            <w:u w:val="single"/>
            <w:rtl/>
          </w:rPr>
          <w:t>"</w:t>
        </w:r>
        <w:r w:rsidR="009D2405" w:rsidRPr="009D2405">
          <w:rPr>
            <w:rFonts w:cs="David" w:hint="eastAsia"/>
            <w:color w:val="0000FF"/>
            <w:sz w:val="24"/>
            <w:szCs w:val="24"/>
            <w:u w:val="single"/>
            <w:rtl/>
          </w:rPr>
          <w:t>ם</w:t>
        </w:r>
        <w:r w:rsidR="009D2405" w:rsidRPr="009D2405">
          <w:rPr>
            <w:rFonts w:cs="David"/>
            <w:color w:val="0000FF"/>
            <w:sz w:val="24"/>
            <w:szCs w:val="24"/>
            <w:u w:val="single"/>
            <w:rtl/>
          </w:rPr>
          <w:t>)  54205-05-15</w:t>
        </w:r>
      </w:hyperlink>
      <w:r>
        <w:rPr>
          <w:rFonts w:cs="David" w:hint="cs"/>
          <w:sz w:val="24"/>
          <w:szCs w:val="24"/>
          <w:rtl/>
        </w:rPr>
        <w:t xml:space="preserve"> </w:t>
      </w:r>
      <w:r>
        <w:rPr>
          <w:rFonts w:cs="David" w:hint="cs"/>
          <w:b/>
          <w:bCs/>
          <w:sz w:val="24"/>
          <w:szCs w:val="24"/>
          <w:rtl/>
        </w:rPr>
        <w:t>מדינת ישראל נ' משלי</w:t>
      </w:r>
      <w:r>
        <w:rPr>
          <w:rFonts w:cs="David" w:hint="cs"/>
          <w:sz w:val="24"/>
          <w:szCs w:val="24"/>
          <w:rtl/>
        </w:rPr>
        <w:t xml:space="preserve"> (מפי הש' כדורי); </w:t>
      </w:r>
      <w:hyperlink r:id="rId52" w:history="1">
        <w:r w:rsidR="009D2405" w:rsidRPr="009D2405">
          <w:rPr>
            <w:rFonts w:cs="David" w:hint="eastAsia"/>
            <w:color w:val="0000FF"/>
            <w:sz w:val="24"/>
            <w:szCs w:val="24"/>
            <w:u w:val="single"/>
            <w:rtl/>
          </w:rPr>
          <w:t>ת</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 xml:space="preserve"> (</w:t>
        </w:r>
        <w:r w:rsidR="009D2405" w:rsidRPr="009D2405">
          <w:rPr>
            <w:rFonts w:cs="David" w:hint="eastAsia"/>
            <w:color w:val="0000FF"/>
            <w:sz w:val="24"/>
            <w:szCs w:val="24"/>
            <w:u w:val="single"/>
            <w:rtl/>
          </w:rPr>
          <w:t>שלום</w:t>
        </w:r>
        <w:r w:rsidR="009D2405" w:rsidRPr="009D2405">
          <w:rPr>
            <w:rFonts w:cs="David"/>
            <w:color w:val="0000FF"/>
            <w:sz w:val="24"/>
            <w:szCs w:val="24"/>
            <w:u w:val="single"/>
            <w:rtl/>
          </w:rPr>
          <w:t>-</w:t>
        </w:r>
        <w:r w:rsidR="009D2405" w:rsidRPr="009D2405">
          <w:rPr>
            <w:rFonts w:cs="David" w:hint="eastAsia"/>
            <w:color w:val="0000FF"/>
            <w:sz w:val="24"/>
            <w:szCs w:val="24"/>
            <w:u w:val="single"/>
            <w:rtl/>
          </w:rPr>
          <w:t>ראשל</w:t>
        </w:r>
        <w:r w:rsidR="009D2405" w:rsidRPr="009D2405">
          <w:rPr>
            <w:rFonts w:cs="David"/>
            <w:color w:val="0000FF"/>
            <w:sz w:val="24"/>
            <w:szCs w:val="24"/>
            <w:u w:val="single"/>
            <w:rtl/>
          </w:rPr>
          <w:t>"</w:t>
        </w:r>
        <w:r w:rsidR="009D2405" w:rsidRPr="009D2405">
          <w:rPr>
            <w:rFonts w:cs="David" w:hint="eastAsia"/>
            <w:color w:val="0000FF"/>
            <w:sz w:val="24"/>
            <w:szCs w:val="24"/>
            <w:u w:val="single"/>
            <w:rtl/>
          </w:rPr>
          <w:t>צ</w:t>
        </w:r>
        <w:r w:rsidR="009D2405" w:rsidRPr="009D2405">
          <w:rPr>
            <w:rFonts w:cs="David"/>
            <w:color w:val="0000FF"/>
            <w:sz w:val="24"/>
            <w:szCs w:val="24"/>
            <w:u w:val="single"/>
            <w:rtl/>
          </w:rPr>
          <w:t>) 3720-03-15</w:t>
        </w:r>
      </w:hyperlink>
      <w:r>
        <w:rPr>
          <w:rFonts w:cs="David" w:hint="cs"/>
          <w:sz w:val="24"/>
          <w:szCs w:val="24"/>
          <w:rtl/>
        </w:rPr>
        <w:t xml:space="preserve"> </w:t>
      </w:r>
      <w:r>
        <w:rPr>
          <w:rFonts w:cs="David" w:hint="cs"/>
          <w:b/>
          <w:bCs/>
          <w:sz w:val="24"/>
          <w:szCs w:val="24"/>
          <w:rtl/>
        </w:rPr>
        <w:t>מדינת</w:t>
      </w:r>
      <w:r>
        <w:rPr>
          <w:rFonts w:cs="David" w:hint="cs"/>
          <w:sz w:val="24"/>
          <w:szCs w:val="24"/>
          <w:rtl/>
        </w:rPr>
        <w:t xml:space="preserve"> </w:t>
      </w:r>
      <w:r>
        <w:rPr>
          <w:rFonts w:cs="David" w:hint="cs"/>
          <w:b/>
          <w:bCs/>
          <w:sz w:val="24"/>
          <w:szCs w:val="24"/>
          <w:rtl/>
        </w:rPr>
        <w:t>ישראל נ' דוידוב</w:t>
      </w:r>
      <w:r>
        <w:rPr>
          <w:rFonts w:cs="David" w:hint="cs"/>
          <w:sz w:val="24"/>
          <w:szCs w:val="24"/>
          <w:rtl/>
        </w:rPr>
        <w:t xml:space="preserve"> (מפי הש' דקל-נוה); </w:t>
      </w:r>
      <w:hyperlink r:id="rId53" w:history="1">
        <w:r w:rsidR="009D2405" w:rsidRPr="009D2405">
          <w:rPr>
            <w:rFonts w:cs="David" w:hint="eastAsia"/>
            <w:color w:val="0000FF"/>
            <w:sz w:val="24"/>
            <w:szCs w:val="24"/>
            <w:u w:val="single"/>
            <w:rtl/>
          </w:rPr>
          <w:t>ת</w:t>
        </w:r>
        <w:r w:rsidR="009D2405" w:rsidRPr="009D2405">
          <w:rPr>
            <w:rFonts w:cs="David"/>
            <w:color w:val="0000FF"/>
            <w:sz w:val="24"/>
            <w:szCs w:val="24"/>
            <w:u w:val="single"/>
            <w:rtl/>
          </w:rPr>
          <w:t>"</w:t>
        </w:r>
        <w:r w:rsidR="009D2405" w:rsidRPr="009D2405">
          <w:rPr>
            <w:rFonts w:cs="David" w:hint="eastAsia"/>
            <w:color w:val="0000FF"/>
            <w:sz w:val="24"/>
            <w:szCs w:val="24"/>
            <w:u w:val="single"/>
            <w:rtl/>
          </w:rPr>
          <w:t>פ</w:t>
        </w:r>
        <w:r w:rsidR="009D2405" w:rsidRPr="009D2405">
          <w:rPr>
            <w:rFonts w:cs="David"/>
            <w:color w:val="0000FF"/>
            <w:sz w:val="24"/>
            <w:szCs w:val="24"/>
            <w:u w:val="single"/>
            <w:rtl/>
          </w:rPr>
          <w:t xml:space="preserve"> (</w:t>
        </w:r>
        <w:r w:rsidR="009D2405" w:rsidRPr="009D2405">
          <w:rPr>
            <w:rFonts w:cs="David" w:hint="eastAsia"/>
            <w:color w:val="0000FF"/>
            <w:sz w:val="24"/>
            <w:szCs w:val="24"/>
            <w:u w:val="single"/>
            <w:rtl/>
          </w:rPr>
          <w:t>שלום</w:t>
        </w:r>
        <w:r w:rsidR="009D2405" w:rsidRPr="009D2405">
          <w:rPr>
            <w:rFonts w:cs="David"/>
            <w:color w:val="0000FF"/>
            <w:sz w:val="24"/>
            <w:szCs w:val="24"/>
            <w:u w:val="single"/>
            <w:rtl/>
          </w:rPr>
          <w:t xml:space="preserve">- </w:t>
        </w:r>
        <w:r w:rsidR="009D2405" w:rsidRPr="009D2405">
          <w:rPr>
            <w:rFonts w:cs="David" w:hint="eastAsia"/>
            <w:color w:val="0000FF"/>
            <w:sz w:val="24"/>
            <w:szCs w:val="24"/>
            <w:u w:val="single"/>
            <w:rtl/>
          </w:rPr>
          <w:t>פ</w:t>
        </w:r>
        <w:r w:rsidR="009D2405" w:rsidRPr="009D2405">
          <w:rPr>
            <w:rFonts w:cs="David"/>
            <w:color w:val="0000FF"/>
            <w:sz w:val="24"/>
            <w:szCs w:val="24"/>
            <w:u w:val="single"/>
            <w:rtl/>
          </w:rPr>
          <w:t>"</w:t>
        </w:r>
        <w:r w:rsidR="009D2405" w:rsidRPr="009D2405">
          <w:rPr>
            <w:rFonts w:cs="David" w:hint="eastAsia"/>
            <w:color w:val="0000FF"/>
            <w:sz w:val="24"/>
            <w:szCs w:val="24"/>
            <w:u w:val="single"/>
            <w:rtl/>
          </w:rPr>
          <w:t>ת</w:t>
        </w:r>
        <w:r w:rsidR="009D2405" w:rsidRPr="009D2405">
          <w:rPr>
            <w:rFonts w:cs="David"/>
            <w:color w:val="0000FF"/>
            <w:sz w:val="24"/>
            <w:szCs w:val="24"/>
            <w:u w:val="single"/>
            <w:rtl/>
          </w:rPr>
          <w:t>) 30476-09-15</w:t>
        </w:r>
      </w:hyperlink>
      <w:r>
        <w:rPr>
          <w:rFonts w:cs="David" w:hint="cs"/>
          <w:sz w:val="24"/>
          <w:szCs w:val="24"/>
          <w:rtl/>
        </w:rPr>
        <w:t xml:space="preserve"> </w:t>
      </w:r>
      <w:r>
        <w:rPr>
          <w:rFonts w:cs="David" w:hint="cs"/>
          <w:b/>
          <w:bCs/>
          <w:sz w:val="24"/>
          <w:szCs w:val="24"/>
          <w:rtl/>
        </w:rPr>
        <w:t>מדינת ישראל נ'</w:t>
      </w:r>
      <w:r>
        <w:rPr>
          <w:rFonts w:cs="David" w:hint="cs"/>
          <w:sz w:val="24"/>
          <w:szCs w:val="24"/>
          <w:rtl/>
        </w:rPr>
        <w:t xml:space="preserve"> </w:t>
      </w:r>
      <w:r>
        <w:rPr>
          <w:rFonts w:cs="David" w:hint="cs"/>
          <w:b/>
          <w:bCs/>
          <w:sz w:val="24"/>
          <w:szCs w:val="24"/>
          <w:rtl/>
        </w:rPr>
        <w:t xml:space="preserve">שושתרי </w:t>
      </w:r>
      <w:r>
        <w:rPr>
          <w:rFonts w:cs="David" w:hint="cs"/>
          <w:sz w:val="24"/>
          <w:szCs w:val="24"/>
          <w:rtl/>
        </w:rPr>
        <w:t xml:space="preserve">(מפי סג"נ הש' טרסי). </w:t>
      </w:r>
    </w:p>
    <w:p w14:paraId="672C54EA" w14:textId="77777777" w:rsidR="001054B8" w:rsidRDefault="001054B8" w:rsidP="001054B8">
      <w:pPr>
        <w:pStyle w:val="ListParagraph1"/>
        <w:spacing w:line="360" w:lineRule="auto"/>
        <w:jc w:val="both"/>
        <w:rPr>
          <w:rFonts w:cs="David"/>
          <w:sz w:val="24"/>
          <w:szCs w:val="24"/>
          <w:rtl/>
        </w:rPr>
      </w:pPr>
    </w:p>
    <w:p w14:paraId="2AC2930A" w14:textId="77777777" w:rsidR="001054B8" w:rsidRDefault="001054B8" w:rsidP="001054B8">
      <w:pPr>
        <w:pStyle w:val="ListParagraph1"/>
        <w:numPr>
          <w:ilvl w:val="0"/>
          <w:numId w:val="1"/>
        </w:numPr>
        <w:spacing w:line="360" w:lineRule="auto"/>
        <w:jc w:val="both"/>
        <w:rPr>
          <w:rFonts w:cs="David"/>
          <w:sz w:val="24"/>
          <w:szCs w:val="24"/>
        </w:rPr>
      </w:pPr>
      <w:r>
        <w:rPr>
          <w:rFonts w:cs="David" w:hint="cs"/>
          <w:sz w:val="24"/>
          <w:szCs w:val="24"/>
          <w:rtl/>
        </w:rPr>
        <w:t xml:space="preserve">לצד כל אלו, יש ליתן משקל למחדלי החקירה שהתגלעו בתיק זה והשפעתם הרעה על הנאשם וזכויותיו. אין חולק שעבירת גידול הסם בוצעה בצוותא ע"י הנאשם ושניים מחבריו. מסיבות שאינן ברורות, לא נחקרו שותפיו (גם אם נכון לציין כי אחד מהם נמלט מהארץ ערב המעצר) ולולא דרישתו העיקשת של ב"כ הנאשם, ככל הנראה לא הייתה נפתחת חקירה כנגדם. באיחור רב, יותר משנתיים לאחר שהוגש כתב האישום כנגד הנאשם, הוגש כתב אישום גם כנגד אחד משותפיו. במשך תקופה ארוכה ( ראו פרו' החל מיום 7.12.16 ועד סיום החקירה בחודש פברואר 2018) לא ניתן היה לקדם הליך זה, בשל קיומה של חקירה מקבילה ואיסוף חומרי חקירה נוספים. בכל תקופה זו עוכב למעשה הטיפול בעניינו של הנאשם ואך טוב עשה הנאשם כשניצל את הזמן הרב שחלף לקידום ההליך הטיפולי. התנהלות זו של המאשימה, שתחילתה באכיפה בררנית של ממש, המשכה בחידוש חקירה כנגד המעורבים האחרים עקב דרישת ההגנה וניהול החקירה בעצלתיים תוך גרימת עינוי דין לנאשם, אף היא צריכה לקבל  ביטוי בענישה ותשמש טעם נוסף להקל עם הנאשם. </w:t>
      </w:r>
    </w:p>
    <w:p w14:paraId="058FAE0B" w14:textId="77777777" w:rsidR="001054B8" w:rsidRDefault="001054B8" w:rsidP="001054B8">
      <w:pPr>
        <w:pStyle w:val="ListParagraph1"/>
        <w:spacing w:line="360" w:lineRule="auto"/>
        <w:ind w:left="502"/>
        <w:jc w:val="both"/>
        <w:rPr>
          <w:rFonts w:cs="David"/>
          <w:sz w:val="24"/>
          <w:szCs w:val="24"/>
        </w:rPr>
      </w:pPr>
    </w:p>
    <w:p w14:paraId="74149371" w14:textId="77777777" w:rsidR="001054B8" w:rsidRDefault="001054B8" w:rsidP="001054B8">
      <w:pPr>
        <w:pStyle w:val="ListParagraph1"/>
        <w:spacing w:line="360" w:lineRule="auto"/>
        <w:ind w:left="502"/>
        <w:jc w:val="both"/>
        <w:rPr>
          <w:rFonts w:cs="David"/>
          <w:b/>
          <w:bCs/>
          <w:sz w:val="24"/>
          <w:szCs w:val="24"/>
          <w:u w:val="single"/>
        </w:rPr>
      </w:pPr>
      <w:r>
        <w:rPr>
          <w:rFonts w:cs="David" w:hint="cs"/>
          <w:b/>
          <w:bCs/>
          <w:sz w:val="24"/>
          <w:szCs w:val="24"/>
          <w:u w:val="single"/>
          <w:rtl/>
        </w:rPr>
        <w:t>עתירת ההגנה לביטול הרשעת הנאשם</w:t>
      </w:r>
    </w:p>
    <w:p w14:paraId="54693FC6" w14:textId="77777777" w:rsidR="001054B8" w:rsidRDefault="001054B8" w:rsidP="001054B8">
      <w:pPr>
        <w:pStyle w:val="ListParagraph1"/>
        <w:numPr>
          <w:ilvl w:val="0"/>
          <w:numId w:val="1"/>
        </w:numPr>
        <w:spacing w:line="360" w:lineRule="auto"/>
        <w:jc w:val="both"/>
        <w:rPr>
          <w:rFonts w:cs="David"/>
          <w:sz w:val="24"/>
          <w:szCs w:val="24"/>
        </w:rPr>
      </w:pPr>
      <w:r>
        <w:rPr>
          <w:rFonts w:cs="David" w:hint="cs"/>
          <w:sz w:val="24"/>
          <w:szCs w:val="24"/>
          <w:rtl/>
        </w:rPr>
        <w:t>עתירת ההגנה איננה רק לחריגה לקולא מענישת מאסר אלא לביטול הרשעת הנאשם, זו גם המלצת שירות המבחן. עתירה זו מבוססת על חששם, כי הרשעתו בדין תפגע בסיכוייו לקדם פטנט שהמציא וקבלת מימון מהמדינה ורצונו בעתיד להרחיב המשפחה בדרך של אימוץ או פונדקאות. אין בידי לקבל עתירה זו.</w:t>
      </w:r>
    </w:p>
    <w:p w14:paraId="64C07428" w14:textId="77777777" w:rsidR="001054B8" w:rsidRDefault="001054B8" w:rsidP="001054B8">
      <w:pPr>
        <w:pStyle w:val="ListParagraph1"/>
        <w:spacing w:line="360" w:lineRule="auto"/>
        <w:ind w:left="502"/>
        <w:jc w:val="both"/>
        <w:rPr>
          <w:rFonts w:cs="David"/>
          <w:sz w:val="24"/>
          <w:szCs w:val="24"/>
        </w:rPr>
      </w:pPr>
    </w:p>
    <w:p w14:paraId="46350B95" w14:textId="77777777" w:rsidR="001054B8" w:rsidRPr="001054B8" w:rsidRDefault="001054B8" w:rsidP="001054B8">
      <w:pPr>
        <w:pStyle w:val="a9"/>
        <w:numPr>
          <w:ilvl w:val="0"/>
          <w:numId w:val="1"/>
        </w:numPr>
        <w:spacing w:line="360" w:lineRule="auto"/>
        <w:contextualSpacing/>
        <w:jc w:val="both"/>
        <w:rPr>
          <w:rFonts w:ascii="Calibri" w:eastAsia="Calibri" w:hAnsi="Calibri"/>
          <w:sz w:val="22"/>
          <w:szCs w:val="22"/>
        </w:rPr>
      </w:pPr>
      <w:r>
        <w:rPr>
          <w:rFonts w:hint="cs"/>
          <w:rtl/>
          <w:lang w:eastAsia="he-IL"/>
        </w:rPr>
        <w:t>שורת הדין מחייבת כי מי שהובא לדין ונמצא אשם יורשע בעבירות שיוחסו</w:t>
      </w:r>
      <w:r>
        <w:rPr>
          <w:rFonts w:hint="cs"/>
          <w:b/>
          <w:bCs/>
          <w:rtl/>
          <w:lang w:eastAsia="he-IL"/>
        </w:rPr>
        <w:t xml:space="preserve"> </w:t>
      </w:r>
      <w:r>
        <w:rPr>
          <w:rFonts w:hint="cs"/>
          <w:rtl/>
          <w:lang w:eastAsia="he-IL"/>
        </w:rPr>
        <w:t>לו,</w:t>
      </w:r>
      <w:r>
        <w:rPr>
          <w:rFonts w:hint="cs"/>
          <w:b/>
          <w:bCs/>
          <w:rtl/>
          <w:lang w:eastAsia="he-IL"/>
        </w:rPr>
        <w:t xml:space="preserve"> </w:t>
      </w:r>
      <w:r w:rsidRPr="001054B8">
        <w:rPr>
          <w:rFonts w:ascii="Arial" w:hAnsi="Arial" w:hint="cs"/>
          <w:rtl/>
        </w:rPr>
        <w:t>ורק במקרים חריגים שבהם אין יחס סביר בין חומרת העבירה ונסיבותיה לבין הנזק הצפוי מן ההרשעה, יורה בית המשפט על ביטולה. בפסיקה, ובראשה הלכת כתב (</w:t>
      </w:r>
      <w:hyperlink r:id="rId54" w:history="1">
        <w:r w:rsidR="009D2405" w:rsidRPr="009D2405">
          <w:rPr>
            <w:rFonts w:ascii="Calibri" w:eastAsia="Calibri" w:hAnsi="Calibri" w:hint="cs"/>
            <w:color w:val="0000FF"/>
            <w:u w:val="single"/>
            <w:rtl/>
          </w:rPr>
          <w:t>ע</w:t>
        </w:r>
        <w:r w:rsidR="009D2405" w:rsidRPr="009D2405">
          <w:rPr>
            <w:rFonts w:ascii="Calibri" w:eastAsia="Calibri" w:hAnsi="Calibri"/>
            <w:color w:val="0000FF"/>
            <w:u w:val="single"/>
            <w:rtl/>
          </w:rPr>
          <w:t>"</w:t>
        </w:r>
        <w:r w:rsidR="009D2405" w:rsidRPr="009D2405">
          <w:rPr>
            <w:rFonts w:ascii="Calibri" w:eastAsia="Calibri" w:hAnsi="Calibri" w:hint="cs"/>
            <w:color w:val="0000FF"/>
            <w:u w:val="single"/>
            <w:rtl/>
          </w:rPr>
          <w:t>פ</w:t>
        </w:r>
        <w:r w:rsidR="009D2405" w:rsidRPr="009D2405">
          <w:rPr>
            <w:rFonts w:ascii="Calibri" w:eastAsia="Calibri" w:hAnsi="Calibri"/>
            <w:color w:val="0000FF"/>
            <w:u w:val="single"/>
            <w:rtl/>
          </w:rPr>
          <w:t xml:space="preserve"> 2083/96</w:t>
        </w:r>
      </w:hyperlink>
      <w:r>
        <w:rPr>
          <w:rFonts w:ascii="Calibri" w:eastAsia="Calibri" w:hAnsi="Calibri" w:hint="cs"/>
          <w:b/>
          <w:bCs/>
          <w:u w:val="single"/>
          <w:rtl/>
        </w:rPr>
        <w:t xml:space="preserve"> </w:t>
      </w:r>
      <w:r>
        <w:rPr>
          <w:rFonts w:ascii="Calibri" w:eastAsia="Calibri" w:hAnsi="Calibri" w:hint="cs"/>
          <w:b/>
          <w:bCs/>
          <w:rtl/>
        </w:rPr>
        <w:t xml:space="preserve">תמר כתב נ' מדינת ישראל) </w:t>
      </w:r>
      <w:r>
        <w:rPr>
          <w:rFonts w:ascii="Calibri" w:eastAsia="Calibri" w:hAnsi="Calibri" w:hint="cs"/>
          <w:rtl/>
        </w:rPr>
        <w:t xml:space="preserve">נקבע, כי הימנעות מהרשעה אפשרית בהצטבר שני תנאים, </w:t>
      </w:r>
      <w:r>
        <w:rPr>
          <w:rFonts w:ascii="Calibri" w:eastAsia="Calibri" w:hAnsi="Calibri" w:hint="cs"/>
          <w:b/>
          <w:bCs/>
          <w:rtl/>
        </w:rPr>
        <w:t>האחד -</w:t>
      </w:r>
      <w:r>
        <w:rPr>
          <w:rFonts w:ascii="Calibri" w:eastAsia="Calibri" w:hAnsi="Calibri" w:hint="cs"/>
          <w:rtl/>
        </w:rPr>
        <w:t xml:space="preserve"> סוג העבירה מאפשר לוותר בנסיבות המקרה המסוים על ההרשעה, בלי לפגוע באופן מהותי בשיקולי הענישה האחרים. </w:t>
      </w:r>
      <w:r>
        <w:rPr>
          <w:rFonts w:ascii="Calibri" w:eastAsia="Calibri" w:hAnsi="Calibri" w:hint="cs"/>
          <w:b/>
          <w:bCs/>
          <w:rtl/>
        </w:rPr>
        <w:t>השני –</w:t>
      </w:r>
      <w:r>
        <w:rPr>
          <w:rFonts w:ascii="Calibri" w:eastAsia="Calibri" w:hAnsi="Calibri" w:hint="cs"/>
          <w:rtl/>
        </w:rPr>
        <w:t xml:space="preserve"> על ההרשעה להוות פגיעה חמורה בשיקום הנאשם. בפסיקה מאוחרת יותר הדגיש בית המשפט העליון כי מדובר בחריג מצומצם שייעשה בו שימוש "</w:t>
      </w:r>
      <w:r>
        <w:rPr>
          <w:rFonts w:ascii="Calibri" w:eastAsia="Calibri" w:hAnsi="Calibri" w:hint="cs"/>
          <w:b/>
          <w:bCs/>
          <w:rtl/>
        </w:rPr>
        <w:t>רק במקרים</w:t>
      </w:r>
      <w:r>
        <w:rPr>
          <w:rFonts w:ascii="Calibri" w:eastAsia="Calibri" w:hAnsi="Calibri" w:hint="cs"/>
          <w:rtl/>
        </w:rPr>
        <w:t xml:space="preserve"> </w:t>
      </w:r>
      <w:r>
        <w:rPr>
          <w:rFonts w:ascii="Calibri" w:eastAsia="Calibri" w:hAnsi="Calibri" w:hint="cs"/>
          <w:b/>
          <w:bCs/>
          <w:rtl/>
        </w:rPr>
        <w:t>חריגים ויוצאי דופן שבהם אין יחס סביר בין הנזק הצפוי לנאשם מן ההרשעה לבין חומרת העבירה"</w:t>
      </w:r>
      <w:r>
        <w:rPr>
          <w:rFonts w:ascii="Calibri" w:eastAsia="Calibri" w:hAnsi="Calibri" w:hint="cs"/>
          <w:rtl/>
        </w:rPr>
        <w:t xml:space="preserve"> (ראו </w:t>
      </w:r>
      <w:hyperlink r:id="rId55" w:history="1">
        <w:r w:rsidR="009D2405" w:rsidRPr="009D2405">
          <w:rPr>
            <w:rFonts w:ascii="Calibri" w:eastAsia="Calibri" w:hAnsi="Calibri" w:hint="cs"/>
            <w:color w:val="0000FF"/>
            <w:u w:val="single"/>
            <w:rtl/>
          </w:rPr>
          <w:t>רע</w:t>
        </w:r>
        <w:r w:rsidR="009D2405" w:rsidRPr="009D2405">
          <w:rPr>
            <w:rFonts w:ascii="Calibri" w:eastAsia="Calibri" w:hAnsi="Calibri"/>
            <w:color w:val="0000FF"/>
            <w:u w:val="single"/>
            <w:rtl/>
          </w:rPr>
          <w:t>"</w:t>
        </w:r>
        <w:r w:rsidR="009D2405" w:rsidRPr="009D2405">
          <w:rPr>
            <w:rFonts w:ascii="Calibri" w:eastAsia="Calibri" w:hAnsi="Calibri" w:hint="cs"/>
            <w:color w:val="0000FF"/>
            <w:u w:val="single"/>
            <w:rtl/>
          </w:rPr>
          <w:t>פ</w:t>
        </w:r>
        <w:r w:rsidR="009D2405" w:rsidRPr="009D2405">
          <w:rPr>
            <w:rFonts w:ascii="Calibri" w:eastAsia="Calibri" w:hAnsi="Calibri"/>
            <w:color w:val="0000FF"/>
            <w:u w:val="single"/>
            <w:rtl/>
          </w:rPr>
          <w:t xml:space="preserve"> 3589/14</w:t>
        </w:r>
      </w:hyperlink>
      <w:r>
        <w:rPr>
          <w:rFonts w:ascii="Calibri" w:eastAsia="Calibri" w:hAnsi="Calibri" w:hint="cs"/>
          <w:rtl/>
        </w:rPr>
        <w:t xml:space="preserve"> </w:t>
      </w:r>
      <w:r>
        <w:rPr>
          <w:rFonts w:ascii="Calibri" w:eastAsia="Calibri" w:hAnsi="Calibri" w:hint="cs"/>
          <w:b/>
          <w:bCs/>
          <w:rtl/>
        </w:rPr>
        <w:t>לוזון נ' מדינת ישראל</w:t>
      </w:r>
      <w:r>
        <w:rPr>
          <w:rFonts w:ascii="Calibri" w:eastAsia="Calibri" w:hAnsi="Calibri" w:hint="cs"/>
          <w:rtl/>
        </w:rPr>
        <w:t xml:space="preserve">, מיום 10.6.14) וכי על הנאשם להציג מסד ראייתי מבוסס ומוחשי המלמד על פגיעה קונקרטית בעתידו. </w:t>
      </w:r>
    </w:p>
    <w:p w14:paraId="7C0A1FED" w14:textId="77777777" w:rsidR="001054B8" w:rsidRPr="001054B8" w:rsidRDefault="001054B8" w:rsidP="001054B8">
      <w:pPr>
        <w:spacing w:after="160" w:line="360" w:lineRule="auto"/>
        <w:ind w:left="720"/>
        <w:contextualSpacing/>
        <w:jc w:val="both"/>
        <w:rPr>
          <w:rFonts w:ascii="Calibri" w:eastAsia="Calibri" w:hAnsi="Calibri"/>
          <w:sz w:val="22"/>
          <w:szCs w:val="22"/>
        </w:rPr>
      </w:pPr>
    </w:p>
    <w:p w14:paraId="2B77CE45" w14:textId="77777777" w:rsidR="001054B8" w:rsidRDefault="001054B8" w:rsidP="001054B8">
      <w:pPr>
        <w:pStyle w:val="a9"/>
        <w:numPr>
          <w:ilvl w:val="0"/>
          <w:numId w:val="1"/>
        </w:numPr>
        <w:spacing w:after="200" w:line="360" w:lineRule="auto"/>
        <w:ind w:left="720"/>
        <w:contextualSpacing/>
        <w:jc w:val="both"/>
        <w:rPr>
          <w:lang w:eastAsia="he-IL"/>
        </w:rPr>
      </w:pPr>
      <w:r>
        <w:rPr>
          <w:rFonts w:hint="cs"/>
          <w:rtl/>
        </w:rPr>
        <w:t xml:space="preserve">עוד נקבע בפסיקה כי קיימת מעין מקבילית כוחות בין המבחנים השונים, </w:t>
      </w:r>
      <w:r>
        <w:rPr>
          <w:rFonts w:hint="cs"/>
          <w:rtl/>
          <w:lang w:eastAsia="he-IL"/>
        </w:rPr>
        <w:t>"</w:t>
      </w:r>
      <w:r>
        <w:rPr>
          <w:rFonts w:hint="cs"/>
          <w:b/>
          <w:bCs/>
          <w:rtl/>
          <w:lang w:eastAsia="he-IL"/>
        </w:rPr>
        <w:t>ככל שמעשי העבירה חמורים יותר, כך אין להסתפק בפגיעה כללית עתידית, אלא נדרשת פגיעה קונקרטית, ברורה ומוחשית יותר. ולהיפך- ככל שמעשי העבירה קלים יותר, כך ניתן להסתפק בפגיעה כללית יותר, לרבות תוך התחשבות בעובדה שמדובר בצעירים בראשית דרכם</w:t>
      </w:r>
      <w:r>
        <w:rPr>
          <w:rFonts w:hint="cs"/>
          <w:rtl/>
          <w:lang w:eastAsia="he-IL"/>
        </w:rPr>
        <w:t xml:space="preserve"> </w:t>
      </w:r>
      <w:r>
        <w:rPr>
          <w:rFonts w:hint="cs"/>
          <w:b/>
          <w:bCs/>
          <w:rtl/>
          <w:lang w:eastAsia="he-IL"/>
        </w:rPr>
        <w:t>ושעתידם עוד לפניהם"</w:t>
      </w:r>
      <w:r>
        <w:rPr>
          <w:rFonts w:hint="cs"/>
          <w:rtl/>
          <w:lang w:eastAsia="he-IL"/>
        </w:rPr>
        <w:t xml:space="preserve"> ( ע"פ מח-מרכז 24457-03-15 </w:t>
      </w:r>
      <w:r>
        <w:rPr>
          <w:rFonts w:hint="cs"/>
          <w:b/>
          <w:bCs/>
          <w:rtl/>
          <w:lang w:eastAsia="he-IL"/>
        </w:rPr>
        <w:t>גוטרמן נ' מדינת ישראל</w:t>
      </w:r>
      <w:r>
        <w:rPr>
          <w:rFonts w:hint="cs"/>
          <w:rtl/>
          <w:lang w:eastAsia="he-IL"/>
        </w:rPr>
        <w:t xml:space="preserve">). </w:t>
      </w:r>
    </w:p>
    <w:p w14:paraId="2E30FA9E" w14:textId="77777777" w:rsidR="001054B8" w:rsidRDefault="001054B8" w:rsidP="001054B8">
      <w:pPr>
        <w:pStyle w:val="a9"/>
        <w:spacing w:after="200" w:line="360" w:lineRule="auto"/>
        <w:contextualSpacing/>
        <w:jc w:val="both"/>
        <w:rPr>
          <w:lang w:eastAsia="he-IL"/>
        </w:rPr>
      </w:pPr>
    </w:p>
    <w:p w14:paraId="280B592A" w14:textId="77777777" w:rsidR="001054B8" w:rsidRDefault="001054B8" w:rsidP="001054B8">
      <w:pPr>
        <w:pStyle w:val="a9"/>
        <w:numPr>
          <w:ilvl w:val="0"/>
          <w:numId w:val="1"/>
        </w:numPr>
        <w:spacing w:after="200" w:line="360" w:lineRule="auto"/>
        <w:contextualSpacing/>
        <w:jc w:val="both"/>
        <w:rPr>
          <w:lang w:eastAsia="he-IL"/>
        </w:rPr>
      </w:pPr>
      <w:r>
        <w:rPr>
          <w:rFonts w:hint="cs"/>
          <w:rtl/>
        </w:rPr>
        <w:t xml:space="preserve">מעשי הנאשם חמורים וטיבם אינו מאפשר ביטול הרשעתו ללא פגיעה חמורה ובלתי מידתית באינטרסים ציבוריים ראשונים במעלה. </w:t>
      </w:r>
      <w:r>
        <w:rPr>
          <w:rFonts w:ascii="Arial" w:hAnsi="Arial" w:hint="cs"/>
          <w:rtl/>
        </w:rPr>
        <w:t>"</w:t>
      </w:r>
      <w:r>
        <w:rPr>
          <w:rFonts w:ascii="Arial" w:hAnsi="Arial" w:hint="cs"/>
          <w:b/>
          <w:bCs/>
          <w:rtl/>
        </w:rPr>
        <w:t>אכן, בית המשפט רשאי להעניק בכורה לשיקולי שיקום בבואו לקבוע את העונש המתאים, ואכן ניכר כי המבקש צועד בדרך הנכונה לשיקומו. אך לצד זאת, עומדת הפגיעה הקשה בערכים המוגנים של הגנה על שלום הציבור, והצורך במיגור תופעת הסחר בסמים"</w:t>
      </w:r>
      <w:r>
        <w:rPr>
          <w:rFonts w:hint="cs"/>
          <w:rtl/>
        </w:rPr>
        <w:t xml:space="preserve"> </w:t>
      </w:r>
      <w:hyperlink r:id="rId56" w:history="1">
        <w:r w:rsidR="009D2405" w:rsidRPr="009D2405">
          <w:rPr>
            <w:color w:val="0000FF"/>
            <w:u w:val="single"/>
            <w:rtl/>
          </w:rPr>
          <w:t>רע"פ 4687/15</w:t>
        </w:r>
      </w:hyperlink>
      <w:r>
        <w:rPr>
          <w:rFonts w:hint="cs"/>
          <w:u w:val="single"/>
          <w:rtl/>
        </w:rPr>
        <w:t xml:space="preserve"> </w:t>
      </w:r>
      <w:r>
        <w:rPr>
          <w:rFonts w:hint="cs"/>
          <w:b/>
          <w:bCs/>
          <w:rtl/>
        </w:rPr>
        <w:t>פלג נ' מדינת</w:t>
      </w:r>
      <w:r>
        <w:rPr>
          <w:rFonts w:hint="cs"/>
          <w:rtl/>
        </w:rPr>
        <w:t xml:space="preserve"> </w:t>
      </w:r>
      <w:r>
        <w:rPr>
          <w:rFonts w:hint="cs"/>
          <w:b/>
          <w:bCs/>
          <w:rtl/>
        </w:rPr>
        <w:t>ישראל</w:t>
      </w:r>
      <w:r>
        <w:rPr>
          <w:rFonts w:hint="cs"/>
          <w:rtl/>
        </w:rPr>
        <w:t xml:space="preserve"> (13.8.15).  הטלת ענישה מקלה, שאינה כוללת רכיב של מאסר ולו לריצוי בדרך של עבודות שירות, תעביר מסר שגוי לכלל הציבור ותפגע קשות בשיקולי הרתעת הציבור. </w:t>
      </w:r>
    </w:p>
    <w:p w14:paraId="56686AF6" w14:textId="77777777" w:rsidR="001054B8" w:rsidRDefault="001054B8" w:rsidP="001054B8">
      <w:pPr>
        <w:pStyle w:val="a9"/>
        <w:spacing w:after="200" w:line="360" w:lineRule="auto"/>
        <w:ind w:left="502"/>
        <w:contextualSpacing/>
        <w:jc w:val="both"/>
        <w:rPr>
          <w:lang w:eastAsia="he-IL"/>
        </w:rPr>
      </w:pPr>
    </w:p>
    <w:p w14:paraId="7EDC3CE0" w14:textId="77777777" w:rsidR="001054B8" w:rsidRDefault="001054B8" w:rsidP="001054B8">
      <w:pPr>
        <w:pStyle w:val="a9"/>
        <w:numPr>
          <w:ilvl w:val="0"/>
          <w:numId w:val="1"/>
        </w:numPr>
        <w:spacing w:after="200" w:line="360" w:lineRule="auto"/>
        <w:contextualSpacing/>
        <w:jc w:val="both"/>
        <w:rPr>
          <w:lang w:eastAsia="he-IL"/>
        </w:rPr>
      </w:pPr>
      <w:r>
        <w:rPr>
          <w:rFonts w:hint="cs"/>
          <w:rtl/>
          <w:lang w:eastAsia="he-IL"/>
        </w:rPr>
        <w:t xml:space="preserve">באשר לתנאי השני, גם אם אלך כברת דרך לקראת הנאשם ואתן משקל לחששו כי ההרשעה תפגע פגיעה מסוימת בשאיפותיו, אין מדובר בנזק שהוכח ויש לקוות שלא יהיה בה כדי לשבש את מסלול חייו. </w:t>
      </w:r>
    </w:p>
    <w:p w14:paraId="62185196" w14:textId="77777777" w:rsidR="001054B8" w:rsidRDefault="001054B8" w:rsidP="001054B8">
      <w:pPr>
        <w:spacing w:after="200" w:line="360" w:lineRule="auto"/>
        <w:ind w:left="142"/>
        <w:contextualSpacing/>
        <w:jc w:val="both"/>
        <w:rPr>
          <w:b/>
          <w:bCs/>
          <w:u w:val="single"/>
          <w:lang w:eastAsia="he-IL"/>
        </w:rPr>
      </w:pPr>
      <w:r>
        <w:rPr>
          <w:rFonts w:hint="cs"/>
          <w:b/>
          <w:bCs/>
          <w:u w:val="single"/>
          <w:rtl/>
          <w:lang w:eastAsia="he-IL"/>
        </w:rPr>
        <w:t>סוף דבר</w:t>
      </w:r>
    </w:p>
    <w:p w14:paraId="59FEDD34" w14:textId="77777777" w:rsidR="001054B8" w:rsidRDefault="001054B8" w:rsidP="001054B8">
      <w:pPr>
        <w:pStyle w:val="ListParagraph1"/>
        <w:numPr>
          <w:ilvl w:val="0"/>
          <w:numId w:val="1"/>
        </w:numPr>
        <w:spacing w:line="360" w:lineRule="auto"/>
        <w:jc w:val="both"/>
        <w:rPr>
          <w:rFonts w:cs="David"/>
          <w:sz w:val="24"/>
          <w:szCs w:val="24"/>
        </w:rPr>
      </w:pPr>
      <w:r>
        <w:rPr>
          <w:rFonts w:cs="David" w:hint="cs"/>
          <w:sz w:val="24"/>
          <w:szCs w:val="24"/>
          <w:rtl/>
        </w:rPr>
        <w:t>הנאשם הוכיח תקופה ארוכה, במעשיו ומאמציו, שהוא ראוי לאמון בית המשפט ולהזדמנות להשלים הליך השיקום בו נתון. לאחר ששקלתי את כלל השיקולים,  מצאתי לחרוג חריגה ממשית ממתחם הענישה ולגזור על הנאשם מאסר קצר בדרך של עבודות שירות לצד ענישה נלווית הכוללת צו מבחן, כדלקמן:</w:t>
      </w:r>
    </w:p>
    <w:p w14:paraId="2178FB72" w14:textId="77777777" w:rsidR="001054B8" w:rsidRPr="005B7C2C" w:rsidRDefault="001054B8" w:rsidP="001054B8">
      <w:pPr>
        <w:pStyle w:val="ListParagraph1"/>
        <w:spacing w:line="360" w:lineRule="auto"/>
        <w:ind w:left="502"/>
        <w:jc w:val="both"/>
        <w:rPr>
          <w:rFonts w:cs="David"/>
          <w:sz w:val="24"/>
          <w:szCs w:val="24"/>
        </w:rPr>
      </w:pPr>
    </w:p>
    <w:p w14:paraId="3952F8F1" w14:textId="77777777" w:rsidR="001054B8" w:rsidRDefault="001054B8" w:rsidP="001054B8">
      <w:pPr>
        <w:pStyle w:val="ListParagraph1"/>
        <w:numPr>
          <w:ilvl w:val="0"/>
          <w:numId w:val="2"/>
        </w:numPr>
        <w:spacing w:line="480" w:lineRule="auto"/>
        <w:rPr>
          <w:rFonts w:cs="David"/>
          <w:sz w:val="24"/>
          <w:szCs w:val="24"/>
        </w:rPr>
      </w:pPr>
      <w:r>
        <w:rPr>
          <w:rFonts w:cs="David" w:hint="cs"/>
          <w:sz w:val="24"/>
          <w:szCs w:val="24"/>
          <w:rtl/>
        </w:rPr>
        <w:t xml:space="preserve">מאסר בן 3 חודשים שירוצה בעבודות שירות. הנאשם יבצע עבודות השירות בעמותת 'לתת' באילת, 5 ימים בשבוע, בהתאם למכסת השעות שתקבע, החל מיום 23.9.19. </w:t>
      </w:r>
    </w:p>
    <w:p w14:paraId="3F24F5B1" w14:textId="77777777" w:rsidR="001054B8" w:rsidRDefault="001054B8" w:rsidP="001054B8">
      <w:pPr>
        <w:pStyle w:val="ListParagraph1"/>
        <w:spacing w:line="480" w:lineRule="auto"/>
        <w:rPr>
          <w:rFonts w:cs="David"/>
          <w:sz w:val="24"/>
          <w:szCs w:val="24"/>
        </w:rPr>
      </w:pPr>
      <w:r>
        <w:rPr>
          <w:rFonts w:cs="David" w:hint="cs"/>
          <w:sz w:val="24"/>
          <w:szCs w:val="24"/>
          <w:rtl/>
        </w:rPr>
        <w:t>הנאשם יתייצב במועד זה עד השעה 08:00 במשרדי הממונה במחוז דרום בב"ש. מאשרת ליטול מהנאשם בדיקות שתן. הנאשם מוזהר כי אם לא ישתף פעולה כנדרש ניתן יהיה להמיר העבודות, במאסר ממש.</w:t>
      </w:r>
    </w:p>
    <w:p w14:paraId="07F24D5D" w14:textId="77777777" w:rsidR="001054B8" w:rsidRDefault="001054B8" w:rsidP="001054B8">
      <w:pPr>
        <w:pStyle w:val="ListParagraph1"/>
        <w:numPr>
          <w:ilvl w:val="0"/>
          <w:numId w:val="2"/>
        </w:numPr>
        <w:spacing w:line="480" w:lineRule="auto"/>
        <w:rPr>
          <w:rFonts w:cs="David"/>
          <w:sz w:val="24"/>
          <w:szCs w:val="24"/>
          <w:rtl/>
        </w:rPr>
      </w:pPr>
      <w:r>
        <w:rPr>
          <w:rFonts w:cs="David" w:hint="cs"/>
          <w:sz w:val="24"/>
          <w:szCs w:val="24"/>
          <w:rtl/>
        </w:rPr>
        <w:t xml:space="preserve">מאסר על תנאי בן 6 חודשים לבל יבצע הנאשם עבירת סם מסוג פשע , תוך שנתיים מהיום. </w:t>
      </w:r>
    </w:p>
    <w:p w14:paraId="758E95E4" w14:textId="77777777" w:rsidR="001054B8" w:rsidRDefault="001054B8" w:rsidP="001054B8">
      <w:pPr>
        <w:pStyle w:val="ListParagraph1"/>
        <w:numPr>
          <w:ilvl w:val="0"/>
          <w:numId w:val="2"/>
        </w:numPr>
        <w:spacing w:line="480" w:lineRule="auto"/>
        <w:rPr>
          <w:rFonts w:cs="David"/>
          <w:sz w:val="24"/>
          <w:szCs w:val="24"/>
          <w:rtl/>
        </w:rPr>
      </w:pPr>
      <w:r>
        <w:rPr>
          <w:rFonts w:cs="David" w:hint="cs"/>
          <w:sz w:val="24"/>
          <w:szCs w:val="24"/>
          <w:rtl/>
        </w:rPr>
        <w:t xml:space="preserve">מאסר על תנאי בן 3 חודשים לבל יבצע הנאשם עבירת סם מסוג עוון תוך שנתיים מהיום. </w:t>
      </w:r>
    </w:p>
    <w:p w14:paraId="7A193300" w14:textId="77777777" w:rsidR="001054B8" w:rsidRDefault="001054B8" w:rsidP="001054B8">
      <w:pPr>
        <w:pStyle w:val="ListParagraph1"/>
        <w:numPr>
          <w:ilvl w:val="0"/>
          <w:numId w:val="2"/>
        </w:numPr>
        <w:spacing w:line="480" w:lineRule="auto"/>
        <w:rPr>
          <w:rFonts w:ascii="Arial" w:hAnsi="Arial" w:cs="David"/>
          <w:sz w:val="24"/>
          <w:szCs w:val="24"/>
          <w:rtl/>
        </w:rPr>
      </w:pPr>
      <w:r>
        <w:rPr>
          <w:rFonts w:cs="David" w:hint="cs"/>
          <w:sz w:val="24"/>
          <w:szCs w:val="24"/>
          <w:rtl/>
        </w:rPr>
        <w:t xml:space="preserve">קנס בסך 2000 ₪  או 10 ימי מאסר תמורתו. הקנס ישולם בארבעה תשלומים שווים ורצופים החל מיום 1.8.19. </w:t>
      </w:r>
    </w:p>
    <w:p w14:paraId="33C68BD9" w14:textId="77777777" w:rsidR="001054B8" w:rsidRDefault="001054B8" w:rsidP="001054B8">
      <w:pPr>
        <w:pStyle w:val="ListParagraph1"/>
        <w:numPr>
          <w:ilvl w:val="0"/>
          <w:numId w:val="2"/>
        </w:numPr>
        <w:spacing w:line="480" w:lineRule="auto"/>
        <w:rPr>
          <w:rFonts w:ascii="Arial" w:hAnsi="Arial" w:cs="David"/>
          <w:sz w:val="24"/>
          <w:szCs w:val="24"/>
        </w:rPr>
      </w:pPr>
      <w:r>
        <w:rPr>
          <w:rFonts w:ascii="Arial" w:hAnsi="Arial" w:cs="David" w:hint="cs"/>
          <w:sz w:val="24"/>
          <w:szCs w:val="24"/>
          <w:rtl/>
        </w:rPr>
        <w:t xml:space="preserve">פסילת מלנהוג למשך 3 חודשים למשך שנתיים בתנאי שהנאשם לא יבצע עבירת סם. </w:t>
      </w:r>
    </w:p>
    <w:p w14:paraId="62EFDF9E" w14:textId="77777777" w:rsidR="001054B8" w:rsidRDefault="001054B8" w:rsidP="001054B8">
      <w:pPr>
        <w:pStyle w:val="ListParagraph1"/>
        <w:numPr>
          <w:ilvl w:val="0"/>
          <w:numId w:val="2"/>
        </w:numPr>
        <w:spacing w:line="480" w:lineRule="auto"/>
        <w:rPr>
          <w:rFonts w:ascii="Arial" w:hAnsi="Arial" w:cs="David"/>
          <w:sz w:val="24"/>
          <w:szCs w:val="24"/>
        </w:rPr>
      </w:pPr>
      <w:r>
        <w:rPr>
          <w:rFonts w:ascii="Arial" w:hAnsi="Arial" w:cs="David" w:hint="cs"/>
          <w:sz w:val="24"/>
          <w:szCs w:val="24"/>
          <w:rtl/>
        </w:rPr>
        <w:t xml:space="preserve">מעמידה הנאשם בצו פיקוח למשך שנה מהיום. הנאשם הוזהר בחובתו לשיתוף פעולה והשלכות הפקעת הצו. </w:t>
      </w:r>
    </w:p>
    <w:p w14:paraId="27629DCC" w14:textId="77777777" w:rsidR="001054B8" w:rsidRDefault="001054B8" w:rsidP="001054B8">
      <w:pPr>
        <w:pStyle w:val="ListParagraph1"/>
        <w:spacing w:line="360" w:lineRule="auto"/>
        <w:rPr>
          <w:rFonts w:ascii="Arial" w:hAnsi="Arial" w:cs="David"/>
          <w:sz w:val="24"/>
          <w:szCs w:val="24"/>
        </w:rPr>
      </w:pPr>
    </w:p>
    <w:p w14:paraId="0D4C5615" w14:textId="77777777" w:rsidR="001054B8" w:rsidRDefault="001054B8" w:rsidP="001054B8">
      <w:pPr>
        <w:pStyle w:val="ListParagraph1"/>
        <w:spacing w:line="360" w:lineRule="auto"/>
        <w:rPr>
          <w:rFonts w:ascii="Arial" w:hAnsi="Arial" w:cs="David"/>
          <w:sz w:val="24"/>
          <w:szCs w:val="24"/>
          <w:rtl/>
        </w:rPr>
      </w:pPr>
      <w:r>
        <w:rPr>
          <w:rFonts w:ascii="Arial" w:hAnsi="Arial" w:cs="David" w:hint="cs"/>
          <w:sz w:val="24"/>
          <w:szCs w:val="24"/>
          <w:rtl/>
        </w:rPr>
        <w:t xml:space="preserve">הסמים וכלים-יושמדו. </w:t>
      </w:r>
    </w:p>
    <w:p w14:paraId="448F153B" w14:textId="77777777" w:rsidR="001054B8" w:rsidRDefault="001054B8" w:rsidP="001054B8">
      <w:pPr>
        <w:pStyle w:val="ListParagraph1"/>
        <w:spacing w:line="360" w:lineRule="auto"/>
        <w:rPr>
          <w:rFonts w:ascii="Arial" w:hAnsi="Arial" w:cs="David"/>
          <w:sz w:val="24"/>
          <w:szCs w:val="24"/>
          <w:rtl/>
        </w:rPr>
      </w:pPr>
      <w:r>
        <w:rPr>
          <w:rFonts w:ascii="Arial" w:hAnsi="Arial" w:cs="David" w:hint="cs"/>
          <w:sz w:val="24"/>
          <w:szCs w:val="24"/>
          <w:rtl/>
        </w:rPr>
        <w:t xml:space="preserve">עותק מהחלטתי יישלח לשירות המבחן ולממונה על עבודות השירות. </w:t>
      </w:r>
    </w:p>
    <w:p w14:paraId="402E5BB7" w14:textId="77777777" w:rsidR="001054B8" w:rsidRDefault="001054B8" w:rsidP="001054B8">
      <w:pPr>
        <w:pStyle w:val="ListParagraph1"/>
        <w:spacing w:line="360" w:lineRule="auto"/>
        <w:rPr>
          <w:rFonts w:ascii="Arial" w:hAnsi="Arial" w:cs="David"/>
          <w:sz w:val="24"/>
          <w:szCs w:val="24"/>
          <w:rtl/>
        </w:rPr>
      </w:pPr>
    </w:p>
    <w:p w14:paraId="4D8148CE" w14:textId="77777777" w:rsidR="001054B8" w:rsidRPr="001054B8" w:rsidRDefault="001054B8" w:rsidP="001054B8">
      <w:pPr>
        <w:pStyle w:val="ListParagraph1"/>
        <w:spacing w:line="360" w:lineRule="auto"/>
        <w:rPr>
          <w:rFonts w:cs="Miriam Fixed"/>
          <w:sz w:val="24"/>
          <w:szCs w:val="24"/>
          <w:rtl/>
        </w:rPr>
      </w:pPr>
      <w:r w:rsidRPr="001054B8">
        <w:rPr>
          <w:rFonts w:cs="Miriam Fixed" w:hint="cs"/>
          <w:sz w:val="24"/>
          <w:szCs w:val="24"/>
          <w:rtl/>
        </w:rPr>
        <w:t>אני מאחלת הצלחה רבה לנאשם בהמשך דרכו</w:t>
      </w:r>
    </w:p>
    <w:p w14:paraId="73D2F20E" w14:textId="77777777" w:rsidR="001054B8" w:rsidRDefault="001054B8" w:rsidP="001054B8">
      <w:pPr>
        <w:spacing w:line="360" w:lineRule="auto"/>
        <w:rPr>
          <w:rFonts w:ascii="Arial" w:hAnsi="Arial"/>
          <w:rtl/>
        </w:rPr>
      </w:pPr>
    </w:p>
    <w:p w14:paraId="7E9D0083" w14:textId="77777777" w:rsidR="001054B8" w:rsidRDefault="001054B8" w:rsidP="001054B8">
      <w:pPr>
        <w:spacing w:line="360" w:lineRule="auto"/>
        <w:rPr>
          <w:rFonts w:ascii="Arial" w:hAnsi="Arial"/>
          <w:b/>
          <w:bCs/>
          <w:rtl/>
        </w:rPr>
      </w:pPr>
      <w:r>
        <w:rPr>
          <w:rFonts w:ascii="Arial" w:hAnsi="Arial" w:hint="cs"/>
          <w:b/>
          <w:bCs/>
          <w:color w:val="FFFFFF"/>
          <w:sz w:val="2"/>
          <w:szCs w:val="2"/>
          <w:rtl/>
        </w:rPr>
        <w:t>5129371</w:t>
      </w:r>
      <w:r>
        <w:rPr>
          <w:rFonts w:ascii="Arial" w:hAnsi="Arial" w:hint="cs"/>
          <w:b/>
          <w:bCs/>
          <w:rtl/>
        </w:rPr>
        <w:t>זכות ערעור למחוזי כדין תוך 45 יום.</w:t>
      </w:r>
    </w:p>
    <w:p w14:paraId="6829A47D" w14:textId="77777777" w:rsidR="001054B8" w:rsidRDefault="001054B8" w:rsidP="001054B8">
      <w:pPr>
        <w:spacing w:line="360" w:lineRule="auto"/>
        <w:rPr>
          <w:rFonts w:ascii="Arial" w:hAnsi="Arial"/>
          <w:color w:val="FFFFFF"/>
          <w:sz w:val="2"/>
          <w:szCs w:val="2"/>
          <w:rtl/>
        </w:rPr>
      </w:pPr>
      <w:r>
        <w:rPr>
          <w:rFonts w:ascii="Arial" w:hAnsi="Arial" w:hint="cs"/>
          <w:color w:val="FFFFFF"/>
          <w:sz w:val="2"/>
          <w:szCs w:val="2"/>
          <w:rtl/>
        </w:rPr>
        <w:t>54678313</w:t>
      </w:r>
    </w:p>
    <w:p w14:paraId="209835D7" w14:textId="77777777" w:rsidR="001054B8" w:rsidRDefault="001054B8" w:rsidP="001054B8">
      <w:pPr>
        <w:rPr>
          <w:rtl/>
        </w:rPr>
      </w:pPr>
    </w:p>
    <w:p w14:paraId="0A563833" w14:textId="77777777" w:rsidR="001054B8" w:rsidRPr="009D2405" w:rsidRDefault="009D2405" w:rsidP="001054B8">
      <w:pPr>
        <w:rPr>
          <w:color w:val="FFFFFF"/>
          <w:sz w:val="2"/>
          <w:szCs w:val="2"/>
          <w:rtl/>
        </w:rPr>
      </w:pPr>
      <w:r w:rsidRPr="009D2405">
        <w:rPr>
          <w:color w:val="FFFFFF"/>
          <w:sz w:val="2"/>
          <w:szCs w:val="2"/>
          <w:rtl/>
        </w:rPr>
        <w:t>5129371</w:t>
      </w:r>
    </w:p>
    <w:p w14:paraId="28B6ADC2" w14:textId="77777777" w:rsidR="001054B8" w:rsidRDefault="009D2405" w:rsidP="001054B8">
      <w:pPr>
        <w:rPr>
          <w:rFonts w:cs="FrankRuehl"/>
          <w:sz w:val="28"/>
          <w:szCs w:val="28"/>
          <w:rtl/>
        </w:rPr>
      </w:pPr>
      <w:bookmarkStart w:id="7" w:name="Nitan"/>
      <w:r w:rsidRPr="009D2405">
        <w:rPr>
          <w:rFonts w:ascii="Arial" w:hAnsi="Arial"/>
          <w:color w:val="FFFFFF"/>
          <w:sz w:val="2"/>
          <w:szCs w:val="2"/>
          <w:rtl/>
        </w:rPr>
        <w:t>54678313</w:t>
      </w:r>
      <w:r>
        <w:rPr>
          <w:rFonts w:ascii="Arial" w:hAnsi="Arial"/>
          <w:rtl/>
        </w:rPr>
        <w:t xml:space="preserve">ניתן היום,  י"ב תמוז תשע"ט, 15 יולי 2019, במעמד הנוכחים </w:t>
      </w:r>
      <w:bookmarkEnd w:id="7"/>
    </w:p>
    <w:p w14:paraId="0334ABEB" w14:textId="77777777" w:rsidR="001054B8" w:rsidRDefault="001054B8" w:rsidP="009D2405">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6B411F1" w14:textId="77777777" w:rsidR="001054B8" w:rsidRDefault="001054B8" w:rsidP="001054B8">
      <w:pPr>
        <w:jc w:val="center"/>
        <w:rPr>
          <w:rFonts w:ascii="Arial" w:hAnsi="Arial" w:cs="FrankRuehl"/>
          <w:sz w:val="28"/>
          <w:szCs w:val="28"/>
          <w:rtl/>
        </w:rPr>
      </w:pPr>
    </w:p>
    <w:p w14:paraId="15210D8B" w14:textId="77777777" w:rsidR="009D2405" w:rsidRDefault="009D2405" w:rsidP="009D2405">
      <w:pPr>
        <w:rPr>
          <w:rtl/>
        </w:rPr>
      </w:pPr>
    </w:p>
    <w:p w14:paraId="30114073" w14:textId="77777777" w:rsidR="009D2405" w:rsidRDefault="009D2405" w:rsidP="009D2405">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20E24309" w14:textId="77777777" w:rsidR="00757CF0" w:rsidRPr="00757CF0" w:rsidRDefault="00757CF0" w:rsidP="00757CF0">
      <w:pPr>
        <w:keepNext/>
        <w:rPr>
          <w:rFonts w:ascii="David" w:hAnsi="David"/>
          <w:color w:val="000000"/>
          <w:sz w:val="22"/>
          <w:szCs w:val="22"/>
          <w:rtl/>
        </w:rPr>
      </w:pPr>
    </w:p>
    <w:p w14:paraId="23328025" w14:textId="77777777" w:rsidR="00757CF0" w:rsidRPr="00757CF0" w:rsidRDefault="00757CF0" w:rsidP="00757CF0">
      <w:pPr>
        <w:keepNext/>
        <w:rPr>
          <w:rFonts w:ascii="David" w:hAnsi="David"/>
          <w:color w:val="000000"/>
          <w:sz w:val="22"/>
          <w:szCs w:val="22"/>
          <w:rtl/>
        </w:rPr>
      </w:pPr>
      <w:r w:rsidRPr="00757CF0">
        <w:rPr>
          <w:rFonts w:ascii="David" w:hAnsi="David"/>
          <w:color w:val="000000"/>
          <w:sz w:val="22"/>
          <w:szCs w:val="22"/>
          <w:rtl/>
        </w:rPr>
        <w:t>מרב גרינברג 54678313-/</w:t>
      </w:r>
    </w:p>
    <w:p w14:paraId="636AD70B" w14:textId="77777777" w:rsidR="009D2405" w:rsidRPr="009D2405" w:rsidRDefault="00757CF0" w:rsidP="00757CF0">
      <w:pPr>
        <w:rPr>
          <w:color w:val="0000FF"/>
          <w:u w:val="single"/>
        </w:rPr>
      </w:pPr>
      <w:r w:rsidRPr="00757CF0">
        <w:rPr>
          <w:color w:val="000000"/>
          <w:u w:val="single"/>
          <w:rtl/>
        </w:rPr>
        <w:t>נוסח מסמך זה כפוף לשינויי ניסוח ועריכה</w:t>
      </w:r>
    </w:p>
    <w:sectPr w:rsidR="009D2405" w:rsidRPr="009D2405" w:rsidSect="00757CF0">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C22DD" w14:textId="77777777" w:rsidR="00501595" w:rsidRDefault="00501595" w:rsidP="0069361C">
      <w:r>
        <w:separator/>
      </w:r>
    </w:p>
  </w:endnote>
  <w:endnote w:type="continuationSeparator" w:id="0">
    <w:p w14:paraId="689DABA3" w14:textId="77777777" w:rsidR="00501595" w:rsidRDefault="00501595" w:rsidP="00693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Fixed">
    <w:panose1 w:val="020B0509050101010101"/>
    <w:charset w:val="00"/>
    <w:family w:val="modern"/>
    <w:pitch w:val="fixed"/>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A3D8B" w14:textId="77777777" w:rsidR="00757CF0" w:rsidRDefault="00757CF0" w:rsidP="00757C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077ED84" w14:textId="77777777" w:rsidR="00E66CFD" w:rsidRPr="00757CF0" w:rsidRDefault="00757CF0" w:rsidP="00757CF0">
    <w:pPr>
      <w:pStyle w:val="a5"/>
      <w:pBdr>
        <w:top w:val="single" w:sz="4" w:space="1" w:color="auto"/>
        <w:between w:val="single" w:sz="4" w:space="0" w:color="auto"/>
      </w:pBdr>
      <w:spacing w:after="60"/>
      <w:jc w:val="center"/>
      <w:rPr>
        <w:rFonts w:ascii="FrankRuehl" w:hAnsi="FrankRuehl" w:cs="FrankRuehl"/>
        <w:color w:val="000000"/>
      </w:rPr>
    </w:pPr>
    <w:r w:rsidRPr="00757CF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B8D09" w14:textId="77777777" w:rsidR="00757CF0" w:rsidRDefault="00757CF0" w:rsidP="00757CF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D0415">
      <w:rPr>
        <w:rFonts w:ascii="FrankRuehl" w:hAnsi="FrankRuehl" w:cs="FrankRuehl"/>
        <w:noProof/>
        <w:rtl/>
      </w:rPr>
      <w:t>1</w:t>
    </w:r>
    <w:r>
      <w:rPr>
        <w:rFonts w:ascii="FrankRuehl" w:hAnsi="FrankRuehl" w:cs="FrankRuehl"/>
        <w:rtl/>
      </w:rPr>
      <w:fldChar w:fldCharType="end"/>
    </w:r>
  </w:p>
  <w:p w14:paraId="3CDE5C4D" w14:textId="77777777" w:rsidR="00E66CFD" w:rsidRPr="00757CF0" w:rsidRDefault="00757CF0" w:rsidP="00757CF0">
    <w:pPr>
      <w:pStyle w:val="a5"/>
      <w:pBdr>
        <w:top w:val="single" w:sz="4" w:space="1" w:color="auto"/>
        <w:between w:val="single" w:sz="4" w:space="0" w:color="auto"/>
      </w:pBdr>
      <w:spacing w:after="60"/>
      <w:jc w:val="center"/>
      <w:rPr>
        <w:rFonts w:ascii="FrankRuehl" w:hAnsi="FrankRuehl" w:cs="FrankRuehl"/>
        <w:color w:val="000000"/>
      </w:rPr>
    </w:pPr>
    <w:r w:rsidRPr="00757CF0">
      <w:rPr>
        <w:rFonts w:ascii="FrankRuehl" w:hAnsi="FrankRuehl" w:cs="FrankRuehl"/>
        <w:color w:val="000000"/>
      </w:rPr>
      <w:pict w14:anchorId="7E291D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7E232D" w14:textId="77777777" w:rsidR="00501595" w:rsidRDefault="00501595" w:rsidP="0069361C">
      <w:r>
        <w:separator/>
      </w:r>
    </w:p>
  </w:footnote>
  <w:footnote w:type="continuationSeparator" w:id="0">
    <w:p w14:paraId="6E799E84" w14:textId="77777777" w:rsidR="00501595" w:rsidRDefault="00501595" w:rsidP="00693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0AD1F" w14:textId="77777777" w:rsidR="009D2405" w:rsidRPr="00757CF0" w:rsidRDefault="00757CF0" w:rsidP="00757C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41269-05-16</w:t>
    </w:r>
    <w:r>
      <w:rPr>
        <w:rFonts w:ascii="David" w:hAnsi="David"/>
        <w:color w:val="000000"/>
        <w:sz w:val="22"/>
        <w:szCs w:val="22"/>
        <w:rtl/>
      </w:rPr>
      <w:tab/>
      <w:t xml:space="preserve"> מדינת ישראל נ' אושר רז הוד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4E5C20" w14:textId="77777777" w:rsidR="009D2405" w:rsidRPr="00757CF0" w:rsidRDefault="00757CF0" w:rsidP="00757CF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41269-05-16</w:t>
    </w:r>
    <w:r>
      <w:rPr>
        <w:rFonts w:ascii="David" w:hAnsi="David"/>
        <w:color w:val="000000"/>
        <w:sz w:val="22"/>
        <w:szCs w:val="22"/>
        <w:rtl/>
      </w:rPr>
      <w:tab/>
      <w:t xml:space="preserve"> מדינת ישראל נ' אושר רז הוד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0A56A2"/>
    <w:multiLevelType w:val="hybridMultilevel"/>
    <w:tmpl w:val="DC288DE2"/>
    <w:lvl w:ilvl="0" w:tplc="1A3CCFEE">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E248D8"/>
    <w:multiLevelType w:val="hybridMultilevel"/>
    <w:tmpl w:val="7EB8C7A6"/>
    <w:lvl w:ilvl="0" w:tplc="85162A84">
      <w:start w:val="1"/>
      <w:numFmt w:val="decimal"/>
      <w:lvlText w:val="%1."/>
      <w:lvlJc w:val="left"/>
      <w:pPr>
        <w:ind w:left="502" w:hanging="360"/>
      </w:pPr>
      <w:rPr>
        <w:rFonts w:cs="David"/>
        <w:b w:val="0"/>
        <w:bCs w:val="0"/>
        <w:lang w:bidi="he-IL"/>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6442426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98144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054B8"/>
    <w:rsid w:val="001054B8"/>
    <w:rsid w:val="00381020"/>
    <w:rsid w:val="003D0415"/>
    <w:rsid w:val="00501595"/>
    <w:rsid w:val="0069361C"/>
    <w:rsid w:val="00757CF0"/>
    <w:rsid w:val="009D2405"/>
    <w:rsid w:val="00DD4686"/>
    <w:rsid w:val="00E66CFD"/>
    <w:rsid w:val="00E86352"/>
    <w:rsid w:val="00F568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6975AA"/>
  <w15:chartTrackingRefBased/>
  <w15:docId w15:val="{005F07AC-A5BE-4F44-A3A0-9F8E52F4E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54B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054B8"/>
    <w:pPr>
      <w:tabs>
        <w:tab w:val="center" w:pos="4153"/>
        <w:tab w:val="right" w:pos="8306"/>
      </w:tabs>
    </w:pPr>
  </w:style>
  <w:style w:type="character" w:customStyle="1" w:styleId="a4">
    <w:name w:val="כותרת עליונה תו"/>
    <w:link w:val="a3"/>
    <w:rsid w:val="001054B8"/>
    <w:rPr>
      <w:rFonts w:ascii="Times New Roman" w:eastAsia="Times New Roman" w:hAnsi="Times New Roman" w:cs="David"/>
      <w:sz w:val="24"/>
      <w:szCs w:val="24"/>
    </w:rPr>
  </w:style>
  <w:style w:type="paragraph" w:styleId="a5">
    <w:name w:val="footer"/>
    <w:basedOn w:val="a"/>
    <w:link w:val="a6"/>
    <w:rsid w:val="001054B8"/>
    <w:pPr>
      <w:tabs>
        <w:tab w:val="center" w:pos="4153"/>
        <w:tab w:val="right" w:pos="8306"/>
      </w:tabs>
    </w:pPr>
  </w:style>
  <w:style w:type="character" w:customStyle="1" w:styleId="a6">
    <w:name w:val="כותרת תחתונה תו"/>
    <w:link w:val="a5"/>
    <w:rsid w:val="001054B8"/>
    <w:rPr>
      <w:rFonts w:ascii="Times New Roman" w:eastAsia="Times New Roman" w:hAnsi="Times New Roman" w:cs="David"/>
      <w:sz w:val="24"/>
      <w:szCs w:val="24"/>
    </w:rPr>
  </w:style>
  <w:style w:type="table" w:styleId="a7">
    <w:name w:val="Table Grid"/>
    <w:basedOn w:val="a1"/>
    <w:rsid w:val="001054B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054B8"/>
  </w:style>
  <w:style w:type="paragraph" w:styleId="a9">
    <w:name w:val="List Paragraph"/>
    <w:basedOn w:val="a"/>
    <w:qFormat/>
    <w:rsid w:val="001054B8"/>
    <w:pPr>
      <w:ind w:left="720"/>
    </w:pPr>
  </w:style>
  <w:style w:type="paragraph" w:customStyle="1" w:styleId="ListParagraph1">
    <w:name w:val="List Paragraph1"/>
    <w:basedOn w:val="a"/>
    <w:rsid w:val="001054B8"/>
    <w:pPr>
      <w:spacing w:after="200" w:line="276" w:lineRule="auto"/>
      <w:ind w:left="720"/>
      <w:contextualSpacing/>
    </w:pPr>
    <w:rPr>
      <w:rFonts w:ascii="Calibri" w:hAnsi="Calibri" w:cs="Arial"/>
      <w:sz w:val="22"/>
      <w:szCs w:val="22"/>
    </w:rPr>
  </w:style>
  <w:style w:type="character" w:styleId="Hyperlink">
    <w:name w:val="Hyperlink"/>
    <w:rsid w:val="001054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a"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70301/40jc" TargetMode="External"/><Relationship Id="rId39" Type="http://schemas.openxmlformats.org/officeDocument/2006/relationships/hyperlink" Target="http://www.nevo.co.il/law/71553" TargetMode="External"/><Relationship Id="rId21" Type="http://schemas.openxmlformats.org/officeDocument/2006/relationships/hyperlink" Target="http://www.nevo.co.il/law/4216/6" TargetMode="External"/><Relationship Id="rId34" Type="http://schemas.openxmlformats.org/officeDocument/2006/relationships/hyperlink" Target="http://www.nevo.co.il/case/22238304" TargetMode="External"/><Relationship Id="rId42" Type="http://schemas.openxmlformats.org/officeDocument/2006/relationships/hyperlink" Target="http://www.nevo.co.il/case/5601732" TargetMode="External"/><Relationship Id="rId47" Type="http://schemas.openxmlformats.org/officeDocument/2006/relationships/hyperlink" Target="http://www.nevo.co.il/case/21827077" TargetMode="External"/><Relationship Id="rId50" Type="http://schemas.openxmlformats.org/officeDocument/2006/relationships/hyperlink" Target="http://www.nevo.co.il/case/16908139" TargetMode="External"/><Relationship Id="rId55" Type="http://schemas.openxmlformats.org/officeDocument/2006/relationships/hyperlink" Target="http://www.nevo.co.il/case/16941543" TargetMode="External"/><Relationship Id="rId63"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18793360" TargetMode="External"/><Relationship Id="rId11" Type="http://schemas.openxmlformats.org/officeDocument/2006/relationships/hyperlink" Target="http://www.nevo.co.il/law/4216/19a" TargetMode="External"/><Relationship Id="rId24" Type="http://schemas.openxmlformats.org/officeDocument/2006/relationships/hyperlink" Target="http://www.nevo.co.il/law/4216/10" TargetMode="External"/><Relationship Id="rId32" Type="http://schemas.openxmlformats.org/officeDocument/2006/relationships/hyperlink" Target="http://www.nevo.co.il/case/20685141" TargetMode="External"/><Relationship Id="rId37" Type="http://schemas.openxmlformats.org/officeDocument/2006/relationships/hyperlink" Target="http://www.nevo.co.il/law/70301/40d.a" TargetMode="External"/><Relationship Id="rId40" Type="http://schemas.openxmlformats.org/officeDocument/2006/relationships/hyperlink" Target="http://www.nevo.co.il/law/70301/40d" TargetMode="External"/><Relationship Id="rId45" Type="http://schemas.openxmlformats.org/officeDocument/2006/relationships/hyperlink" Target="http://www.nevo.co.il/case/21477656" TargetMode="External"/><Relationship Id="rId53" Type="http://schemas.openxmlformats.org/officeDocument/2006/relationships/hyperlink" Target="http://www.nevo.co.il/case/20578267"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4216/19a" TargetMode="External"/><Relationship Id="rId14" Type="http://schemas.openxmlformats.org/officeDocument/2006/relationships/hyperlink" Target="http://www.nevo.co.il/law/70301/40d" TargetMode="External"/><Relationship Id="rId22" Type="http://schemas.openxmlformats.org/officeDocument/2006/relationships/hyperlink" Target="http://www.nevo.co.il/law/70301/29.a" TargetMode="External"/><Relationship Id="rId27" Type="http://schemas.openxmlformats.org/officeDocument/2006/relationships/hyperlink" Target="http://www.nevo.co.il/case/21035570" TargetMode="External"/><Relationship Id="rId30" Type="http://schemas.openxmlformats.org/officeDocument/2006/relationships/hyperlink" Target="http://www.nevo.co.il/case/5787128" TargetMode="External"/><Relationship Id="rId35" Type="http://schemas.openxmlformats.org/officeDocument/2006/relationships/hyperlink" Target="http://www.nevo.co.il/law/70301/40d.a" TargetMode="External"/><Relationship Id="rId43" Type="http://schemas.openxmlformats.org/officeDocument/2006/relationships/hyperlink" Target="http://www.nevo.co.il/case/6824952" TargetMode="External"/><Relationship Id="rId48" Type="http://schemas.openxmlformats.org/officeDocument/2006/relationships/hyperlink" Target="http://www.nevo.co.il/case/20008867" TargetMode="External"/><Relationship Id="rId56" Type="http://schemas.openxmlformats.org/officeDocument/2006/relationships/hyperlink" Target="http://www.nevo.co.il/case/20420496" TargetMode="External"/><Relationship Id="rId8" Type="http://schemas.openxmlformats.org/officeDocument/2006/relationships/hyperlink" Target="http://www.nevo.co.il/law/4216/6" TargetMode="External"/><Relationship Id="rId51" Type="http://schemas.openxmlformats.org/officeDocument/2006/relationships/hyperlink" Target="http://www.nevo.co.il/case/20321774"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1553" TargetMode="External"/><Relationship Id="rId25" Type="http://schemas.openxmlformats.org/officeDocument/2006/relationships/hyperlink" Target="http://www.nevo.co.il/case/17932979" TargetMode="External"/><Relationship Id="rId33" Type="http://schemas.openxmlformats.org/officeDocument/2006/relationships/hyperlink" Target="http://www.nevo.co.il/case/829166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6120591" TargetMode="External"/><Relationship Id="rId59" Type="http://schemas.openxmlformats.org/officeDocument/2006/relationships/header" Target="header2.xml"/><Relationship Id="rId20" Type="http://schemas.openxmlformats.org/officeDocument/2006/relationships/hyperlink" Target="http://www.nevo.co.il/law/4216" TargetMode="External"/><Relationship Id="rId41" Type="http://schemas.openxmlformats.org/officeDocument/2006/relationships/hyperlink" Target="http://www.nevo.co.il/law/70301/40d" TargetMode="External"/><Relationship Id="rId54" Type="http://schemas.openxmlformats.org/officeDocument/2006/relationships/hyperlink" Target="http://www.nevo.co.il/case/581078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d.a"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9994719"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0535175"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13" TargetMode="External"/><Relationship Id="rId31" Type="http://schemas.openxmlformats.org/officeDocument/2006/relationships/hyperlink" Target="http://www.nevo.co.il/case/5605484" TargetMode="External"/><Relationship Id="rId44" Type="http://schemas.openxmlformats.org/officeDocument/2006/relationships/hyperlink" Target="http://www.nevo.co.il/law/70301/40d.a" TargetMode="External"/><Relationship Id="rId52" Type="http://schemas.openxmlformats.org/officeDocument/2006/relationships/hyperlink" Target="http://www.nevo.co.il/case/20081335"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3207</Words>
  <Characters>16038</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19207</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4128882</vt:i4>
      </vt:variant>
      <vt:variant>
        <vt:i4>147</vt:i4>
      </vt:variant>
      <vt:variant>
        <vt:i4>0</vt:i4>
      </vt:variant>
      <vt:variant>
        <vt:i4>5</vt:i4>
      </vt:variant>
      <vt:variant>
        <vt:lpwstr>http://www.nevo.co.il/case/20420496</vt:lpwstr>
      </vt:variant>
      <vt:variant>
        <vt:lpwstr/>
      </vt:variant>
      <vt:variant>
        <vt:i4>3997811</vt:i4>
      </vt:variant>
      <vt:variant>
        <vt:i4>144</vt:i4>
      </vt:variant>
      <vt:variant>
        <vt:i4>0</vt:i4>
      </vt:variant>
      <vt:variant>
        <vt:i4>5</vt:i4>
      </vt:variant>
      <vt:variant>
        <vt:lpwstr>http://www.nevo.co.il/case/16941543</vt:lpwstr>
      </vt:variant>
      <vt:variant>
        <vt:lpwstr/>
      </vt:variant>
      <vt:variant>
        <vt:i4>3276916</vt:i4>
      </vt:variant>
      <vt:variant>
        <vt:i4>141</vt:i4>
      </vt:variant>
      <vt:variant>
        <vt:i4>0</vt:i4>
      </vt:variant>
      <vt:variant>
        <vt:i4>5</vt:i4>
      </vt:variant>
      <vt:variant>
        <vt:lpwstr>http://www.nevo.co.il/case/5810781</vt:lpwstr>
      </vt:variant>
      <vt:variant>
        <vt:lpwstr/>
      </vt:variant>
      <vt:variant>
        <vt:i4>3735665</vt:i4>
      </vt:variant>
      <vt:variant>
        <vt:i4>138</vt:i4>
      </vt:variant>
      <vt:variant>
        <vt:i4>0</vt:i4>
      </vt:variant>
      <vt:variant>
        <vt:i4>5</vt:i4>
      </vt:variant>
      <vt:variant>
        <vt:lpwstr>http://www.nevo.co.il/case/20578267</vt:lpwstr>
      </vt:variant>
      <vt:variant>
        <vt:lpwstr/>
      </vt:variant>
      <vt:variant>
        <vt:i4>3145855</vt:i4>
      </vt:variant>
      <vt:variant>
        <vt:i4>135</vt:i4>
      </vt:variant>
      <vt:variant>
        <vt:i4>0</vt:i4>
      </vt:variant>
      <vt:variant>
        <vt:i4>5</vt:i4>
      </vt:variant>
      <vt:variant>
        <vt:lpwstr>http://www.nevo.co.il/case/20081335</vt:lpwstr>
      </vt:variant>
      <vt:variant>
        <vt:lpwstr/>
      </vt:variant>
      <vt:variant>
        <vt:i4>3604593</vt:i4>
      </vt:variant>
      <vt:variant>
        <vt:i4>132</vt:i4>
      </vt:variant>
      <vt:variant>
        <vt:i4>0</vt:i4>
      </vt:variant>
      <vt:variant>
        <vt:i4>5</vt:i4>
      </vt:variant>
      <vt:variant>
        <vt:lpwstr>http://www.nevo.co.il/case/20321774</vt:lpwstr>
      </vt:variant>
      <vt:variant>
        <vt:lpwstr/>
      </vt:variant>
      <vt:variant>
        <vt:i4>3342451</vt:i4>
      </vt:variant>
      <vt:variant>
        <vt:i4>129</vt:i4>
      </vt:variant>
      <vt:variant>
        <vt:i4>0</vt:i4>
      </vt:variant>
      <vt:variant>
        <vt:i4>5</vt:i4>
      </vt:variant>
      <vt:variant>
        <vt:lpwstr>http://www.nevo.co.il/case/16908139</vt:lpwstr>
      </vt:variant>
      <vt:variant>
        <vt:lpwstr/>
      </vt:variant>
      <vt:variant>
        <vt:i4>3473526</vt:i4>
      </vt:variant>
      <vt:variant>
        <vt:i4>126</vt:i4>
      </vt:variant>
      <vt:variant>
        <vt:i4>0</vt:i4>
      </vt:variant>
      <vt:variant>
        <vt:i4>5</vt:i4>
      </vt:variant>
      <vt:variant>
        <vt:lpwstr>http://www.nevo.co.il/case/20535175</vt:lpwstr>
      </vt:variant>
      <vt:variant>
        <vt:lpwstr/>
      </vt:variant>
      <vt:variant>
        <vt:i4>3932284</vt:i4>
      </vt:variant>
      <vt:variant>
        <vt:i4>123</vt:i4>
      </vt:variant>
      <vt:variant>
        <vt:i4>0</vt:i4>
      </vt:variant>
      <vt:variant>
        <vt:i4>5</vt:i4>
      </vt:variant>
      <vt:variant>
        <vt:lpwstr>http://www.nevo.co.il/case/20008867</vt:lpwstr>
      </vt:variant>
      <vt:variant>
        <vt:lpwstr/>
      </vt:variant>
      <vt:variant>
        <vt:i4>3801207</vt:i4>
      </vt:variant>
      <vt:variant>
        <vt:i4>120</vt:i4>
      </vt:variant>
      <vt:variant>
        <vt:i4>0</vt:i4>
      </vt:variant>
      <vt:variant>
        <vt:i4>5</vt:i4>
      </vt:variant>
      <vt:variant>
        <vt:lpwstr>http://www.nevo.co.il/case/21827077</vt:lpwstr>
      </vt:variant>
      <vt:variant>
        <vt:lpwstr/>
      </vt:variant>
      <vt:variant>
        <vt:i4>3145852</vt:i4>
      </vt:variant>
      <vt:variant>
        <vt:i4>117</vt:i4>
      </vt:variant>
      <vt:variant>
        <vt:i4>0</vt:i4>
      </vt:variant>
      <vt:variant>
        <vt:i4>5</vt:i4>
      </vt:variant>
      <vt:variant>
        <vt:lpwstr>http://www.nevo.co.il/case/6120591</vt:lpwstr>
      </vt:variant>
      <vt:variant>
        <vt:lpwstr/>
      </vt:variant>
      <vt:variant>
        <vt:i4>3407988</vt:i4>
      </vt:variant>
      <vt:variant>
        <vt:i4>114</vt:i4>
      </vt:variant>
      <vt:variant>
        <vt:i4>0</vt:i4>
      </vt:variant>
      <vt:variant>
        <vt:i4>5</vt:i4>
      </vt:variant>
      <vt:variant>
        <vt:lpwstr>http://www.nevo.co.il/case/21477656</vt:lpwstr>
      </vt:variant>
      <vt:variant>
        <vt:lpwstr/>
      </vt:variant>
      <vt:variant>
        <vt:i4>4915205</vt:i4>
      </vt:variant>
      <vt:variant>
        <vt:i4>111</vt:i4>
      </vt:variant>
      <vt:variant>
        <vt:i4>0</vt:i4>
      </vt:variant>
      <vt:variant>
        <vt:i4>5</vt:i4>
      </vt:variant>
      <vt:variant>
        <vt:lpwstr>http://www.nevo.co.il/law/70301/40d.a</vt:lpwstr>
      </vt:variant>
      <vt:variant>
        <vt:lpwstr/>
      </vt:variant>
      <vt:variant>
        <vt:i4>4128893</vt:i4>
      </vt:variant>
      <vt:variant>
        <vt:i4>108</vt:i4>
      </vt:variant>
      <vt:variant>
        <vt:i4>0</vt:i4>
      </vt:variant>
      <vt:variant>
        <vt:i4>5</vt:i4>
      </vt:variant>
      <vt:variant>
        <vt:lpwstr>http://www.nevo.co.il/case/6824952</vt:lpwstr>
      </vt:variant>
      <vt:variant>
        <vt:lpwstr/>
      </vt:variant>
      <vt:variant>
        <vt:i4>3145840</vt:i4>
      </vt:variant>
      <vt:variant>
        <vt:i4>105</vt:i4>
      </vt:variant>
      <vt:variant>
        <vt:i4>0</vt:i4>
      </vt:variant>
      <vt:variant>
        <vt:i4>5</vt:i4>
      </vt:variant>
      <vt:variant>
        <vt:lpwstr>http://www.nevo.co.il/case/5601732</vt:lpwstr>
      </vt:variant>
      <vt:variant>
        <vt:lpwstr/>
      </vt:variant>
      <vt:variant>
        <vt:i4>6619233</vt:i4>
      </vt:variant>
      <vt:variant>
        <vt:i4>102</vt:i4>
      </vt:variant>
      <vt:variant>
        <vt:i4>0</vt:i4>
      </vt:variant>
      <vt:variant>
        <vt:i4>5</vt:i4>
      </vt:variant>
      <vt:variant>
        <vt:lpwstr>http://www.nevo.co.il/law/70301/40d</vt:lpwstr>
      </vt:variant>
      <vt:variant>
        <vt:lpwstr/>
      </vt:variant>
      <vt:variant>
        <vt:i4>6619233</vt:i4>
      </vt:variant>
      <vt:variant>
        <vt:i4>99</vt:i4>
      </vt:variant>
      <vt:variant>
        <vt:i4>0</vt:i4>
      </vt:variant>
      <vt:variant>
        <vt:i4>5</vt:i4>
      </vt:variant>
      <vt:variant>
        <vt:lpwstr>http://www.nevo.co.il/law/70301/40d</vt:lpwstr>
      </vt:variant>
      <vt:variant>
        <vt:lpwstr/>
      </vt:variant>
      <vt:variant>
        <vt:i4>8257634</vt:i4>
      </vt:variant>
      <vt:variant>
        <vt:i4>96</vt:i4>
      </vt:variant>
      <vt:variant>
        <vt:i4>0</vt:i4>
      </vt:variant>
      <vt:variant>
        <vt:i4>5</vt:i4>
      </vt:variant>
      <vt:variant>
        <vt:lpwstr>http://www.nevo.co.il/law/71553</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4915205</vt:i4>
      </vt:variant>
      <vt:variant>
        <vt:i4>90</vt:i4>
      </vt:variant>
      <vt:variant>
        <vt:i4>0</vt:i4>
      </vt:variant>
      <vt:variant>
        <vt:i4>5</vt:i4>
      </vt:variant>
      <vt:variant>
        <vt:lpwstr>http://www.nevo.co.il/law/70301/40d.a</vt:lpwstr>
      </vt:variant>
      <vt:variant>
        <vt:lpwstr/>
      </vt:variant>
      <vt:variant>
        <vt:i4>7995492</vt:i4>
      </vt:variant>
      <vt:variant>
        <vt:i4>87</vt:i4>
      </vt:variant>
      <vt:variant>
        <vt:i4>0</vt:i4>
      </vt:variant>
      <vt:variant>
        <vt:i4>5</vt:i4>
      </vt:variant>
      <vt:variant>
        <vt:lpwstr>http://www.nevo.co.il/law/70301</vt:lpwstr>
      </vt:variant>
      <vt:variant>
        <vt:lpwstr/>
      </vt:variant>
      <vt:variant>
        <vt:i4>4915205</vt:i4>
      </vt:variant>
      <vt:variant>
        <vt:i4>84</vt:i4>
      </vt:variant>
      <vt:variant>
        <vt:i4>0</vt:i4>
      </vt:variant>
      <vt:variant>
        <vt:i4>5</vt:i4>
      </vt:variant>
      <vt:variant>
        <vt:lpwstr>http://www.nevo.co.il/law/70301/40d.a</vt:lpwstr>
      </vt:variant>
      <vt:variant>
        <vt:lpwstr/>
      </vt:variant>
      <vt:variant>
        <vt:i4>3670134</vt:i4>
      </vt:variant>
      <vt:variant>
        <vt:i4>81</vt:i4>
      </vt:variant>
      <vt:variant>
        <vt:i4>0</vt:i4>
      </vt:variant>
      <vt:variant>
        <vt:i4>5</vt:i4>
      </vt:variant>
      <vt:variant>
        <vt:lpwstr>http://www.nevo.co.il/case/22238304</vt:lpwstr>
      </vt:variant>
      <vt:variant>
        <vt:lpwstr/>
      </vt:variant>
      <vt:variant>
        <vt:i4>3539057</vt:i4>
      </vt:variant>
      <vt:variant>
        <vt:i4>78</vt:i4>
      </vt:variant>
      <vt:variant>
        <vt:i4>0</vt:i4>
      </vt:variant>
      <vt:variant>
        <vt:i4>5</vt:i4>
      </vt:variant>
      <vt:variant>
        <vt:lpwstr>http://www.nevo.co.il/case/8291661</vt:lpwstr>
      </vt:variant>
      <vt:variant>
        <vt:lpwstr/>
      </vt:variant>
      <vt:variant>
        <vt:i4>3473533</vt:i4>
      </vt:variant>
      <vt:variant>
        <vt:i4>75</vt:i4>
      </vt:variant>
      <vt:variant>
        <vt:i4>0</vt:i4>
      </vt:variant>
      <vt:variant>
        <vt:i4>5</vt:i4>
      </vt:variant>
      <vt:variant>
        <vt:lpwstr>http://www.nevo.co.il/case/20685141</vt:lpwstr>
      </vt:variant>
      <vt:variant>
        <vt:lpwstr/>
      </vt:variant>
      <vt:variant>
        <vt:i4>3473535</vt:i4>
      </vt:variant>
      <vt:variant>
        <vt:i4>72</vt:i4>
      </vt:variant>
      <vt:variant>
        <vt:i4>0</vt:i4>
      </vt:variant>
      <vt:variant>
        <vt:i4>5</vt:i4>
      </vt:variant>
      <vt:variant>
        <vt:lpwstr>http://www.nevo.co.il/case/5605484</vt:lpwstr>
      </vt:variant>
      <vt:variant>
        <vt:lpwstr/>
      </vt:variant>
      <vt:variant>
        <vt:i4>3407990</vt:i4>
      </vt:variant>
      <vt:variant>
        <vt:i4>69</vt:i4>
      </vt:variant>
      <vt:variant>
        <vt:i4>0</vt:i4>
      </vt:variant>
      <vt:variant>
        <vt:i4>5</vt:i4>
      </vt:variant>
      <vt:variant>
        <vt:lpwstr>http://www.nevo.co.il/case/5787128</vt:lpwstr>
      </vt:variant>
      <vt:variant>
        <vt:lpwstr/>
      </vt:variant>
      <vt:variant>
        <vt:i4>3342454</vt:i4>
      </vt:variant>
      <vt:variant>
        <vt:i4>66</vt:i4>
      </vt:variant>
      <vt:variant>
        <vt:i4>0</vt:i4>
      </vt:variant>
      <vt:variant>
        <vt:i4>5</vt:i4>
      </vt:variant>
      <vt:variant>
        <vt:lpwstr>http://www.nevo.co.il/case/18793360</vt:lpwstr>
      </vt:variant>
      <vt:variant>
        <vt:lpwstr/>
      </vt:variant>
      <vt:variant>
        <vt:i4>3997811</vt:i4>
      </vt:variant>
      <vt:variant>
        <vt:i4>63</vt:i4>
      </vt:variant>
      <vt:variant>
        <vt:i4>0</vt:i4>
      </vt:variant>
      <vt:variant>
        <vt:i4>5</vt:i4>
      </vt:variant>
      <vt:variant>
        <vt:lpwstr>http://www.nevo.co.il/case/19994719</vt:lpwstr>
      </vt:variant>
      <vt:variant>
        <vt:lpwstr/>
      </vt:variant>
      <vt:variant>
        <vt:i4>3145843</vt:i4>
      </vt:variant>
      <vt:variant>
        <vt:i4>60</vt:i4>
      </vt:variant>
      <vt:variant>
        <vt:i4>0</vt:i4>
      </vt:variant>
      <vt:variant>
        <vt:i4>5</vt:i4>
      </vt:variant>
      <vt:variant>
        <vt:lpwstr>http://www.nevo.co.il/case/21035570</vt:lpwstr>
      </vt:variant>
      <vt:variant>
        <vt:lpwstr/>
      </vt:variant>
      <vt:variant>
        <vt:i4>393227</vt:i4>
      </vt:variant>
      <vt:variant>
        <vt:i4>57</vt:i4>
      </vt:variant>
      <vt:variant>
        <vt:i4>0</vt:i4>
      </vt:variant>
      <vt:variant>
        <vt:i4>5</vt:i4>
      </vt:variant>
      <vt:variant>
        <vt:lpwstr>http://www.nevo.co.il/law/70301/40jc</vt:lpwstr>
      </vt:variant>
      <vt:variant>
        <vt:lpwstr/>
      </vt:variant>
      <vt:variant>
        <vt:i4>3997817</vt:i4>
      </vt:variant>
      <vt:variant>
        <vt:i4>54</vt:i4>
      </vt:variant>
      <vt:variant>
        <vt:i4>0</vt:i4>
      </vt:variant>
      <vt:variant>
        <vt:i4>5</vt:i4>
      </vt:variant>
      <vt:variant>
        <vt:lpwstr>http://www.nevo.co.il/case/17932979</vt:lpwstr>
      </vt:variant>
      <vt:variant>
        <vt:lpwstr/>
      </vt:variant>
      <vt:variant>
        <vt:i4>5177418</vt:i4>
      </vt:variant>
      <vt:variant>
        <vt:i4>51</vt:i4>
      </vt:variant>
      <vt:variant>
        <vt:i4>0</vt:i4>
      </vt:variant>
      <vt:variant>
        <vt:i4>5</vt:i4>
      </vt:variant>
      <vt:variant>
        <vt:lpwstr>http://www.nevo.co.il/law/4216/10</vt:lpwstr>
      </vt:variant>
      <vt:variant>
        <vt:lpwstr/>
      </vt:variant>
      <vt:variant>
        <vt:i4>7995492</vt:i4>
      </vt:variant>
      <vt:variant>
        <vt:i4>48</vt:i4>
      </vt:variant>
      <vt:variant>
        <vt:i4>0</vt:i4>
      </vt:variant>
      <vt:variant>
        <vt:i4>5</vt:i4>
      </vt:variant>
      <vt:variant>
        <vt:lpwstr>http://www.nevo.co.il/law/70301</vt:lpwstr>
      </vt:variant>
      <vt:variant>
        <vt:lpwstr/>
      </vt:variant>
      <vt:variant>
        <vt:i4>852041</vt:i4>
      </vt:variant>
      <vt:variant>
        <vt:i4>45</vt:i4>
      </vt:variant>
      <vt:variant>
        <vt:i4>0</vt:i4>
      </vt:variant>
      <vt:variant>
        <vt:i4>5</vt:i4>
      </vt:variant>
      <vt:variant>
        <vt:lpwstr>http://www.nevo.co.il/law/70301/29.a</vt:lpwstr>
      </vt:variant>
      <vt:variant>
        <vt:lpwstr/>
      </vt:variant>
      <vt:variant>
        <vt:i4>4718666</vt:i4>
      </vt:variant>
      <vt:variant>
        <vt:i4>42</vt:i4>
      </vt:variant>
      <vt:variant>
        <vt:i4>0</vt:i4>
      </vt:variant>
      <vt:variant>
        <vt:i4>5</vt:i4>
      </vt:variant>
      <vt:variant>
        <vt:lpwstr>http://www.nevo.co.il/law/4216/6</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8257634</vt:i4>
      </vt:variant>
      <vt:variant>
        <vt:i4>30</vt:i4>
      </vt:variant>
      <vt:variant>
        <vt:i4>0</vt:i4>
      </vt:variant>
      <vt:variant>
        <vt:i4>5</vt:i4>
      </vt:variant>
      <vt:variant>
        <vt:lpwstr>http://www.nevo.co.il/law/71553</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4915205</vt:i4>
      </vt:variant>
      <vt:variant>
        <vt:i4>24</vt:i4>
      </vt:variant>
      <vt:variant>
        <vt:i4>0</vt:i4>
      </vt:variant>
      <vt:variant>
        <vt:i4>5</vt:i4>
      </vt:variant>
      <vt:variant>
        <vt:lpwstr>http://www.nevo.co.il/law/70301/40d.a</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852041</vt:i4>
      </vt:variant>
      <vt:variant>
        <vt:i4>18</vt:i4>
      </vt:variant>
      <vt:variant>
        <vt:i4>0</vt:i4>
      </vt:variant>
      <vt:variant>
        <vt:i4>5</vt:i4>
      </vt:variant>
      <vt:variant>
        <vt:lpwstr>http://www.nevo.co.il/law/70301/29.a</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2025-04-22T23:04:00Z</dcterms:created>
  <dcterms:modified xsi:type="dcterms:W3CDTF">2025-04-22T23:04:00Z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41269</vt:lpwstr>
  </property>
  <property fmtid="{D5CDD505-2E9C-101B-9397-08002B2CF9AE}" pid="6" name="NEWPARTB">
    <vt:lpwstr>05</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אושר רז הוד כהן</vt:lpwstr>
  </property>
  <property fmtid="{D5CDD505-2E9C-101B-9397-08002B2CF9AE}" pid="10" name="JUDGE">
    <vt:lpwstr>מרב גרינברג</vt:lpwstr>
  </property>
  <property fmtid="{D5CDD505-2E9C-101B-9397-08002B2CF9AE}" pid="11" name="CITY">
    <vt:lpwstr>כ"ס</vt:lpwstr>
  </property>
  <property fmtid="{D5CDD505-2E9C-101B-9397-08002B2CF9AE}" pid="12" name="DATE">
    <vt:lpwstr>20190715</vt:lpwstr>
  </property>
  <property fmtid="{D5CDD505-2E9C-101B-9397-08002B2CF9AE}" pid="13" name="TYPE_N_DATE">
    <vt:lpwstr>38020190715</vt:lpwstr>
  </property>
  <property fmtid="{D5CDD505-2E9C-101B-9397-08002B2CF9AE}" pid="14" name="CASESLISTTMP1">
    <vt:lpwstr>17932979;21035570;19994719;18793360;5787128;5605484;20685141;8291661;22238304;5601732;6824952;21477656;6120591;21827077;20008867;20535175;16908139;20321774;20081335;20578267;5810781;16941543;20420496</vt:lpwstr>
  </property>
  <property fmtid="{D5CDD505-2E9C-101B-9397-08002B2CF9AE}" pid="15" name="CASENOTES1">
    <vt:lpwstr>ProcID=271&amp;PartA=24457&amp;PartB=03&amp;PartC=15</vt:lpwstr>
  </property>
  <property fmtid="{D5CDD505-2E9C-101B-9397-08002B2CF9AE}" pid="16" name="WORDNUMPAGES">
    <vt:lpwstr>9</vt:lpwstr>
  </property>
  <property fmtid="{D5CDD505-2E9C-101B-9397-08002B2CF9AE}" pid="17" name="TYPE_ABS_DATE">
    <vt:lpwstr>380020190715</vt:lpwstr>
  </property>
  <property fmtid="{D5CDD505-2E9C-101B-9397-08002B2CF9AE}" pid="18" name="ISABSTRACT">
    <vt:lpwstr>Y</vt:lpwstr>
  </property>
  <property fmtid="{D5CDD505-2E9C-101B-9397-08002B2CF9AE}" pid="19" name="LAWYER">
    <vt:lpwstr>רוית שפיר;מוטי אדטו</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4216/013;019a;006;010</vt:lpwstr>
  </property>
  <property fmtid="{D5CDD505-2E9C-101B-9397-08002B2CF9AE}" pid="38" name="LAWLISTTMP2">
    <vt:lpwstr>70301/029.a;40jc;040d.a:3;040d:2</vt:lpwstr>
  </property>
  <property fmtid="{D5CDD505-2E9C-101B-9397-08002B2CF9AE}" pid="39" name="LAWLISTTMP3">
    <vt:lpwstr>71553</vt:lpwstr>
  </property>
</Properties>
</file>