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229F8" w:rsidRPr="00ED41FC" w14:paraId="3C6BBC95" w14:textId="77777777" w:rsidTr="005A5587">
        <w:trPr>
          <w:trHeight w:hRule="exact" w:val="418"/>
          <w:jc w:val="center"/>
        </w:trPr>
        <w:tc>
          <w:tcPr>
            <w:tcW w:w="8721" w:type="dxa"/>
            <w:gridSpan w:val="2"/>
          </w:tcPr>
          <w:p w14:paraId="262033B0" w14:textId="77777777" w:rsidR="00A229F8" w:rsidRPr="00ED41FC" w:rsidRDefault="00A229F8" w:rsidP="00ED41FC">
            <w:pPr>
              <w:pStyle w:val="a3"/>
              <w:jc w:val="center"/>
              <w:rPr>
                <w:rFonts w:ascii="Tahoma" w:hAnsi="Tahoma"/>
                <w:color w:val="000080"/>
                <w:sz w:val="32"/>
                <w:szCs w:val="32"/>
                <w:rtl/>
              </w:rPr>
            </w:pPr>
            <w:bookmarkStart w:id="0" w:name="LastJudge"/>
            <w:r w:rsidRPr="00ED41FC">
              <w:rPr>
                <w:rFonts w:ascii="Tahoma" w:hAnsi="Tahoma"/>
                <w:b/>
                <w:bCs/>
                <w:color w:val="000080"/>
                <w:sz w:val="32"/>
                <w:szCs w:val="32"/>
                <w:rtl/>
              </w:rPr>
              <w:t>בית משפט השלום בתל אביב - יפו</w:t>
            </w:r>
          </w:p>
        </w:tc>
      </w:tr>
      <w:tr w:rsidR="00A229F8" w:rsidRPr="00ED41FC" w14:paraId="000DA581" w14:textId="77777777" w:rsidTr="005A5587">
        <w:trPr>
          <w:trHeight w:val="337"/>
          <w:jc w:val="center"/>
        </w:trPr>
        <w:tc>
          <w:tcPr>
            <w:tcW w:w="5057" w:type="dxa"/>
          </w:tcPr>
          <w:p w14:paraId="0C2E6B36" w14:textId="77777777" w:rsidR="00A229F8" w:rsidRPr="00ED41FC" w:rsidRDefault="00A229F8" w:rsidP="00ED41FC">
            <w:pPr>
              <w:rPr>
                <w:sz w:val="26"/>
                <w:szCs w:val="26"/>
                <w:rtl/>
              </w:rPr>
            </w:pPr>
            <w:r w:rsidRPr="00ED41FC">
              <w:rPr>
                <w:sz w:val="26"/>
                <w:szCs w:val="26"/>
                <w:rtl/>
              </w:rPr>
              <w:t>ת"פ</w:t>
            </w:r>
            <w:r w:rsidRPr="00ED41FC">
              <w:rPr>
                <w:rFonts w:hint="cs"/>
                <w:sz w:val="26"/>
                <w:szCs w:val="26"/>
                <w:rtl/>
              </w:rPr>
              <w:t xml:space="preserve"> </w:t>
            </w:r>
            <w:r w:rsidRPr="00ED41FC">
              <w:rPr>
                <w:sz w:val="26"/>
                <w:szCs w:val="26"/>
                <w:rtl/>
              </w:rPr>
              <w:t>16603-06-16</w:t>
            </w:r>
            <w:r w:rsidRPr="00ED41FC">
              <w:rPr>
                <w:rFonts w:hint="cs"/>
                <w:sz w:val="26"/>
                <w:szCs w:val="26"/>
                <w:rtl/>
              </w:rPr>
              <w:t xml:space="preserve"> </w:t>
            </w:r>
            <w:r w:rsidRPr="00ED41FC">
              <w:rPr>
                <w:sz w:val="26"/>
                <w:szCs w:val="26"/>
                <w:rtl/>
              </w:rPr>
              <w:t>פרקליטות מחוז תל אביב  פלילי נ' קנוש(עציר)</w:t>
            </w:r>
          </w:p>
          <w:p w14:paraId="6BD3AA3E" w14:textId="77777777" w:rsidR="00A229F8" w:rsidRPr="00ED41FC" w:rsidRDefault="00A229F8" w:rsidP="00ED41FC">
            <w:pPr>
              <w:pStyle w:val="a3"/>
              <w:rPr>
                <w:rFonts w:cs="FrankRuehl"/>
                <w:sz w:val="28"/>
                <w:szCs w:val="28"/>
                <w:rtl/>
              </w:rPr>
            </w:pPr>
          </w:p>
        </w:tc>
        <w:tc>
          <w:tcPr>
            <w:tcW w:w="3664" w:type="dxa"/>
          </w:tcPr>
          <w:p w14:paraId="3236EC22" w14:textId="77777777" w:rsidR="00A229F8" w:rsidRPr="00ED41FC" w:rsidRDefault="00A229F8" w:rsidP="00ED41FC">
            <w:pPr>
              <w:pStyle w:val="a3"/>
              <w:jc w:val="right"/>
              <w:rPr>
                <w:rFonts w:cs="FrankRuehl"/>
                <w:sz w:val="28"/>
                <w:szCs w:val="28"/>
                <w:rtl/>
              </w:rPr>
            </w:pPr>
          </w:p>
        </w:tc>
      </w:tr>
    </w:tbl>
    <w:p w14:paraId="2692EE7A" w14:textId="77777777" w:rsidR="00A229F8" w:rsidRPr="00ED41FC" w:rsidRDefault="00A229F8" w:rsidP="00A229F8">
      <w:pPr>
        <w:pStyle w:val="a3"/>
        <w:rPr>
          <w:rtl/>
        </w:rPr>
      </w:pPr>
      <w:r w:rsidRPr="00ED41FC">
        <w:rPr>
          <w:rFonts w:hint="cs"/>
          <w:rtl/>
        </w:rPr>
        <w:t xml:space="preserve"> </w:t>
      </w:r>
    </w:p>
    <w:p w14:paraId="6DD38307" w14:textId="77777777" w:rsidR="00A229F8" w:rsidRPr="00ED41FC" w:rsidRDefault="00A229F8" w:rsidP="00A229F8">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52"/>
        <w:gridCol w:w="3337"/>
      </w:tblGrid>
      <w:tr w:rsidR="00A229F8" w:rsidRPr="00ED41FC" w14:paraId="3F27F8E9" w14:textId="77777777" w:rsidTr="00A229F8">
        <w:trPr>
          <w:trHeight w:val="295"/>
          <w:jc w:val="center"/>
        </w:trPr>
        <w:tc>
          <w:tcPr>
            <w:tcW w:w="1231" w:type="dxa"/>
            <w:tcBorders>
              <w:top w:val="nil"/>
              <w:left w:val="nil"/>
              <w:bottom w:val="nil"/>
              <w:right w:val="nil"/>
            </w:tcBorders>
            <w:shd w:val="clear" w:color="auto" w:fill="auto"/>
          </w:tcPr>
          <w:p w14:paraId="6656A0AC" w14:textId="77777777" w:rsidR="00A229F8" w:rsidRPr="00ED41FC" w:rsidRDefault="00A229F8" w:rsidP="00A229F8">
            <w:pPr>
              <w:jc w:val="both"/>
              <w:rPr>
                <w:rFonts w:ascii="Arial" w:hAnsi="Arial"/>
                <w:b/>
                <w:bCs/>
                <w:sz w:val="26"/>
                <w:szCs w:val="26"/>
              </w:rPr>
            </w:pPr>
            <w:r w:rsidRPr="00ED41FC">
              <w:rPr>
                <w:rFonts w:ascii="Arial" w:hAnsi="Arial" w:hint="cs"/>
                <w:b/>
                <w:bCs/>
                <w:sz w:val="26"/>
                <w:szCs w:val="26"/>
                <w:rtl/>
              </w:rPr>
              <w:t>ל</w:t>
            </w:r>
            <w:r w:rsidRPr="00ED41FC">
              <w:rPr>
                <w:rFonts w:ascii="Arial" w:hAnsi="Arial"/>
                <w:b/>
                <w:bCs/>
                <w:sz w:val="26"/>
                <w:szCs w:val="26"/>
                <w:rtl/>
              </w:rPr>
              <w:t xml:space="preserve">פני </w:t>
            </w:r>
          </w:p>
        </w:tc>
        <w:tc>
          <w:tcPr>
            <w:tcW w:w="7589" w:type="dxa"/>
            <w:gridSpan w:val="2"/>
            <w:tcBorders>
              <w:top w:val="nil"/>
              <w:left w:val="nil"/>
              <w:bottom w:val="nil"/>
              <w:right w:val="nil"/>
            </w:tcBorders>
            <w:shd w:val="clear" w:color="auto" w:fill="auto"/>
          </w:tcPr>
          <w:p w14:paraId="245ECD83" w14:textId="77777777" w:rsidR="00A229F8" w:rsidRPr="00ED41FC" w:rsidRDefault="00A229F8" w:rsidP="00ED41FC">
            <w:pPr>
              <w:rPr>
                <w:rFonts w:ascii="Arial" w:hAnsi="Arial"/>
                <w:b/>
                <w:bCs/>
                <w:sz w:val="26"/>
                <w:szCs w:val="26"/>
                <w:rtl/>
              </w:rPr>
            </w:pPr>
            <w:r w:rsidRPr="00ED41FC">
              <w:rPr>
                <w:rFonts w:ascii="Arial" w:hAnsi="Arial" w:hint="cs"/>
                <w:b/>
                <w:bCs/>
                <w:sz w:val="26"/>
                <w:szCs w:val="26"/>
                <w:rtl/>
              </w:rPr>
              <w:t>כבוד ה</w:t>
            </w:r>
            <w:r w:rsidRPr="00ED41FC">
              <w:rPr>
                <w:rFonts w:ascii="Arial" w:hAnsi="Arial"/>
                <w:b/>
                <w:bCs/>
                <w:sz w:val="26"/>
                <w:szCs w:val="26"/>
                <w:rtl/>
              </w:rPr>
              <w:t>שופט</w:t>
            </w:r>
            <w:r w:rsidRPr="00ED41FC">
              <w:rPr>
                <w:rFonts w:ascii="Arial" w:hAnsi="Arial" w:hint="cs"/>
                <w:b/>
                <w:bCs/>
                <w:sz w:val="26"/>
                <w:szCs w:val="26"/>
                <w:rtl/>
              </w:rPr>
              <w:t xml:space="preserve">  </w:t>
            </w:r>
            <w:r w:rsidRPr="00ED41FC">
              <w:rPr>
                <w:rFonts w:ascii="Arial" w:hAnsi="Arial"/>
                <w:b/>
                <w:bCs/>
                <w:sz w:val="26"/>
                <w:szCs w:val="26"/>
                <w:rtl/>
              </w:rPr>
              <w:t>עידו דרויאן-גמליאל</w:t>
            </w:r>
          </w:p>
          <w:p w14:paraId="63FEEB10" w14:textId="77777777" w:rsidR="00A229F8" w:rsidRPr="00ED41FC" w:rsidRDefault="00A229F8" w:rsidP="00ED41FC">
            <w:pPr>
              <w:rPr>
                <w:sz w:val="26"/>
                <w:szCs w:val="26"/>
                <w:rtl/>
              </w:rPr>
            </w:pPr>
          </w:p>
          <w:p w14:paraId="458CA1CC" w14:textId="77777777" w:rsidR="00A229F8" w:rsidRPr="00ED41FC" w:rsidRDefault="00A229F8" w:rsidP="00A229F8">
            <w:pPr>
              <w:jc w:val="both"/>
              <w:rPr>
                <w:rFonts w:ascii="Arial" w:hAnsi="Arial"/>
                <w:sz w:val="26"/>
                <w:szCs w:val="26"/>
              </w:rPr>
            </w:pPr>
          </w:p>
        </w:tc>
      </w:tr>
      <w:tr w:rsidR="00A229F8" w:rsidRPr="00ED41FC" w14:paraId="462D90D3" w14:textId="77777777" w:rsidTr="00A229F8">
        <w:trPr>
          <w:trHeight w:val="355"/>
          <w:jc w:val="center"/>
        </w:trPr>
        <w:tc>
          <w:tcPr>
            <w:tcW w:w="1231" w:type="dxa"/>
            <w:tcBorders>
              <w:top w:val="nil"/>
              <w:left w:val="nil"/>
              <w:bottom w:val="nil"/>
              <w:right w:val="nil"/>
            </w:tcBorders>
            <w:shd w:val="clear" w:color="auto" w:fill="auto"/>
          </w:tcPr>
          <w:p w14:paraId="7B84C866" w14:textId="77777777" w:rsidR="00A229F8" w:rsidRPr="00ED41FC" w:rsidRDefault="00A229F8" w:rsidP="00A229F8">
            <w:pPr>
              <w:jc w:val="both"/>
              <w:rPr>
                <w:rFonts w:ascii="Arial" w:hAnsi="Arial"/>
                <w:b/>
                <w:bCs/>
                <w:sz w:val="26"/>
                <w:szCs w:val="26"/>
              </w:rPr>
            </w:pPr>
            <w:bookmarkStart w:id="1" w:name="FirstAppellant"/>
            <w:bookmarkStart w:id="2" w:name="FirstLawyer"/>
            <w:r w:rsidRPr="00ED41FC">
              <w:rPr>
                <w:rFonts w:ascii="Arial" w:hAnsi="Arial" w:hint="cs"/>
                <w:b/>
                <w:bCs/>
                <w:sz w:val="26"/>
                <w:szCs w:val="26"/>
                <w:rtl/>
              </w:rPr>
              <w:t>ה</w:t>
            </w:r>
            <w:r w:rsidRPr="00ED41FC">
              <w:rPr>
                <w:rFonts w:ascii="Arial" w:hAnsi="Arial"/>
                <w:b/>
                <w:bCs/>
                <w:sz w:val="26"/>
                <w:szCs w:val="26"/>
                <w:rtl/>
              </w:rPr>
              <w:t>מאשימה</w:t>
            </w:r>
          </w:p>
        </w:tc>
        <w:tc>
          <w:tcPr>
            <w:tcW w:w="4252" w:type="dxa"/>
            <w:tcBorders>
              <w:top w:val="nil"/>
              <w:left w:val="nil"/>
              <w:bottom w:val="nil"/>
              <w:right w:val="nil"/>
            </w:tcBorders>
            <w:shd w:val="clear" w:color="auto" w:fill="auto"/>
          </w:tcPr>
          <w:p w14:paraId="3008F561" w14:textId="77777777" w:rsidR="00A229F8" w:rsidRPr="00ED41FC" w:rsidRDefault="00A229F8" w:rsidP="00ED41FC">
            <w:pPr>
              <w:rPr>
                <w:b/>
                <w:bCs/>
                <w:sz w:val="26"/>
                <w:szCs w:val="26"/>
                <w:rtl/>
              </w:rPr>
            </w:pPr>
            <w:r w:rsidRPr="00ED41FC">
              <w:rPr>
                <w:rFonts w:ascii="Arial" w:hAnsi="Arial"/>
                <w:b/>
                <w:bCs/>
                <w:sz w:val="26"/>
                <w:szCs w:val="26"/>
                <w:rtl/>
              </w:rPr>
              <w:t>פרקליטות מחוז תל אביב  פלילי</w:t>
            </w:r>
          </w:p>
          <w:p w14:paraId="62BA5BAF" w14:textId="77777777" w:rsidR="00A229F8" w:rsidRPr="00ED41FC" w:rsidRDefault="00A229F8" w:rsidP="00ED41FC">
            <w:pPr>
              <w:rPr>
                <w:sz w:val="26"/>
                <w:szCs w:val="26"/>
              </w:rPr>
            </w:pPr>
            <w:r w:rsidRPr="00ED41FC">
              <w:rPr>
                <w:rFonts w:hint="cs"/>
                <w:sz w:val="26"/>
                <w:szCs w:val="26"/>
                <w:rtl/>
              </w:rPr>
              <w:t>ע"י ב"כ עו"ד ניר ביטון</w:t>
            </w:r>
          </w:p>
        </w:tc>
        <w:tc>
          <w:tcPr>
            <w:tcW w:w="3337" w:type="dxa"/>
            <w:tcBorders>
              <w:top w:val="nil"/>
              <w:left w:val="nil"/>
              <w:bottom w:val="nil"/>
              <w:right w:val="nil"/>
            </w:tcBorders>
            <w:shd w:val="clear" w:color="auto" w:fill="auto"/>
          </w:tcPr>
          <w:p w14:paraId="225C336D" w14:textId="77777777" w:rsidR="00A229F8" w:rsidRPr="00ED41FC" w:rsidRDefault="00A229F8" w:rsidP="00A229F8">
            <w:pPr>
              <w:jc w:val="both"/>
              <w:rPr>
                <w:rFonts w:ascii="Arial" w:hAnsi="Arial"/>
                <w:sz w:val="26"/>
                <w:szCs w:val="26"/>
              </w:rPr>
            </w:pPr>
          </w:p>
        </w:tc>
      </w:tr>
      <w:bookmarkEnd w:id="1"/>
      <w:bookmarkEnd w:id="2"/>
      <w:tr w:rsidR="00A229F8" w:rsidRPr="00ED41FC" w14:paraId="56A6FCE6" w14:textId="77777777" w:rsidTr="00A229F8">
        <w:trPr>
          <w:trHeight w:val="355"/>
          <w:jc w:val="center"/>
        </w:trPr>
        <w:tc>
          <w:tcPr>
            <w:tcW w:w="1231" w:type="dxa"/>
            <w:tcBorders>
              <w:top w:val="nil"/>
              <w:left w:val="nil"/>
              <w:bottom w:val="nil"/>
              <w:right w:val="nil"/>
            </w:tcBorders>
            <w:shd w:val="clear" w:color="auto" w:fill="auto"/>
          </w:tcPr>
          <w:p w14:paraId="5D19B948" w14:textId="77777777" w:rsidR="00A229F8" w:rsidRPr="00ED41FC" w:rsidRDefault="00A229F8" w:rsidP="00A229F8">
            <w:pPr>
              <w:jc w:val="both"/>
              <w:rPr>
                <w:rFonts w:ascii="Arial" w:hAnsi="Arial"/>
                <w:sz w:val="26"/>
                <w:szCs w:val="26"/>
                <w:rtl/>
              </w:rPr>
            </w:pPr>
          </w:p>
        </w:tc>
        <w:tc>
          <w:tcPr>
            <w:tcW w:w="4252" w:type="dxa"/>
            <w:tcBorders>
              <w:top w:val="nil"/>
              <w:left w:val="nil"/>
              <w:bottom w:val="nil"/>
              <w:right w:val="nil"/>
            </w:tcBorders>
            <w:shd w:val="clear" w:color="auto" w:fill="auto"/>
          </w:tcPr>
          <w:p w14:paraId="3EE5D5B3" w14:textId="77777777" w:rsidR="00A229F8" w:rsidRPr="00ED41FC" w:rsidRDefault="00A229F8" w:rsidP="00ED41FC">
            <w:pPr>
              <w:rPr>
                <w:rFonts w:ascii="Arial" w:hAnsi="Arial"/>
                <w:sz w:val="26"/>
                <w:szCs w:val="26"/>
                <w:rtl/>
              </w:rPr>
            </w:pPr>
          </w:p>
        </w:tc>
        <w:tc>
          <w:tcPr>
            <w:tcW w:w="3337" w:type="dxa"/>
            <w:tcBorders>
              <w:top w:val="nil"/>
              <w:left w:val="nil"/>
              <w:bottom w:val="nil"/>
              <w:right w:val="nil"/>
            </w:tcBorders>
            <w:shd w:val="clear" w:color="auto" w:fill="auto"/>
          </w:tcPr>
          <w:p w14:paraId="12440601" w14:textId="77777777" w:rsidR="00A229F8" w:rsidRPr="00ED41FC" w:rsidRDefault="00A229F8" w:rsidP="00A229F8">
            <w:pPr>
              <w:jc w:val="right"/>
              <w:rPr>
                <w:rFonts w:ascii="Arial" w:hAnsi="Arial"/>
                <w:sz w:val="26"/>
                <w:szCs w:val="26"/>
                <w:rtl/>
              </w:rPr>
            </w:pPr>
          </w:p>
        </w:tc>
      </w:tr>
      <w:tr w:rsidR="00A229F8" w:rsidRPr="00ED41FC" w14:paraId="608FF2B5" w14:textId="77777777" w:rsidTr="00A229F8">
        <w:trPr>
          <w:trHeight w:val="355"/>
          <w:jc w:val="center"/>
        </w:trPr>
        <w:tc>
          <w:tcPr>
            <w:tcW w:w="1231" w:type="dxa"/>
            <w:tcBorders>
              <w:top w:val="nil"/>
              <w:left w:val="nil"/>
              <w:bottom w:val="nil"/>
              <w:right w:val="nil"/>
            </w:tcBorders>
            <w:shd w:val="clear" w:color="auto" w:fill="auto"/>
          </w:tcPr>
          <w:p w14:paraId="5F40E7A8" w14:textId="77777777" w:rsidR="00A229F8" w:rsidRPr="00ED41FC" w:rsidRDefault="00A229F8" w:rsidP="00A229F8">
            <w:pPr>
              <w:jc w:val="both"/>
              <w:rPr>
                <w:rFonts w:ascii="Arial" w:hAnsi="Arial"/>
                <w:sz w:val="26"/>
                <w:szCs w:val="26"/>
                <w:rtl/>
              </w:rPr>
            </w:pPr>
          </w:p>
        </w:tc>
        <w:tc>
          <w:tcPr>
            <w:tcW w:w="7589" w:type="dxa"/>
            <w:gridSpan w:val="2"/>
            <w:tcBorders>
              <w:top w:val="nil"/>
              <w:left w:val="nil"/>
              <w:bottom w:val="nil"/>
              <w:right w:val="nil"/>
            </w:tcBorders>
            <w:shd w:val="clear" w:color="auto" w:fill="auto"/>
          </w:tcPr>
          <w:p w14:paraId="58040BA5" w14:textId="77777777" w:rsidR="00A229F8" w:rsidRPr="00ED41FC" w:rsidRDefault="00A229F8" w:rsidP="00A229F8">
            <w:pPr>
              <w:jc w:val="center"/>
              <w:rPr>
                <w:rFonts w:ascii="Arial" w:hAnsi="Arial"/>
                <w:b/>
                <w:bCs/>
                <w:sz w:val="26"/>
                <w:szCs w:val="26"/>
                <w:rtl/>
              </w:rPr>
            </w:pPr>
          </w:p>
          <w:p w14:paraId="2E3F9D32" w14:textId="77777777" w:rsidR="00A229F8" w:rsidRPr="00ED41FC" w:rsidRDefault="00A229F8" w:rsidP="00A229F8">
            <w:pPr>
              <w:jc w:val="center"/>
              <w:rPr>
                <w:rFonts w:ascii="Arial" w:hAnsi="Arial"/>
                <w:b/>
                <w:bCs/>
                <w:sz w:val="26"/>
                <w:szCs w:val="26"/>
                <w:rtl/>
              </w:rPr>
            </w:pPr>
            <w:r w:rsidRPr="00ED41FC">
              <w:rPr>
                <w:rFonts w:ascii="Arial" w:hAnsi="Arial"/>
                <w:b/>
                <w:bCs/>
                <w:sz w:val="26"/>
                <w:szCs w:val="26"/>
                <w:rtl/>
              </w:rPr>
              <w:t>נגד</w:t>
            </w:r>
          </w:p>
          <w:p w14:paraId="597E625A" w14:textId="77777777" w:rsidR="00A229F8" w:rsidRPr="00ED41FC" w:rsidRDefault="00A229F8" w:rsidP="00A229F8">
            <w:pPr>
              <w:jc w:val="both"/>
              <w:rPr>
                <w:rFonts w:ascii="Arial" w:hAnsi="Arial"/>
                <w:sz w:val="26"/>
                <w:szCs w:val="26"/>
              </w:rPr>
            </w:pPr>
          </w:p>
        </w:tc>
      </w:tr>
      <w:tr w:rsidR="00A229F8" w:rsidRPr="00ED41FC" w14:paraId="70F5D41F" w14:textId="77777777" w:rsidTr="00A229F8">
        <w:trPr>
          <w:trHeight w:val="355"/>
          <w:jc w:val="center"/>
        </w:trPr>
        <w:tc>
          <w:tcPr>
            <w:tcW w:w="1231" w:type="dxa"/>
            <w:tcBorders>
              <w:top w:val="nil"/>
              <w:left w:val="nil"/>
              <w:bottom w:val="nil"/>
              <w:right w:val="nil"/>
            </w:tcBorders>
            <w:shd w:val="clear" w:color="auto" w:fill="auto"/>
          </w:tcPr>
          <w:p w14:paraId="0D5EE5B2" w14:textId="77777777" w:rsidR="00A229F8" w:rsidRPr="00ED41FC" w:rsidRDefault="00A229F8" w:rsidP="00ED41FC">
            <w:pPr>
              <w:rPr>
                <w:rFonts w:ascii="Arial" w:hAnsi="Arial"/>
                <w:b/>
                <w:bCs/>
                <w:sz w:val="26"/>
                <w:szCs w:val="26"/>
                <w:rtl/>
              </w:rPr>
            </w:pPr>
            <w:r w:rsidRPr="00ED41FC">
              <w:rPr>
                <w:rFonts w:ascii="Arial" w:hAnsi="Arial" w:hint="cs"/>
                <w:b/>
                <w:bCs/>
                <w:sz w:val="26"/>
                <w:szCs w:val="26"/>
                <w:rtl/>
              </w:rPr>
              <w:t>ה</w:t>
            </w:r>
            <w:r w:rsidRPr="00ED41FC">
              <w:rPr>
                <w:rFonts w:ascii="Arial" w:hAnsi="Arial"/>
                <w:b/>
                <w:bCs/>
                <w:sz w:val="26"/>
                <w:szCs w:val="26"/>
                <w:rtl/>
              </w:rPr>
              <w:t>נאשם</w:t>
            </w:r>
          </w:p>
        </w:tc>
        <w:tc>
          <w:tcPr>
            <w:tcW w:w="4252" w:type="dxa"/>
            <w:tcBorders>
              <w:top w:val="nil"/>
              <w:left w:val="nil"/>
              <w:bottom w:val="nil"/>
              <w:right w:val="nil"/>
            </w:tcBorders>
            <w:shd w:val="clear" w:color="auto" w:fill="auto"/>
          </w:tcPr>
          <w:p w14:paraId="0C9E8C46" w14:textId="77777777" w:rsidR="00A229F8" w:rsidRPr="00ED41FC" w:rsidRDefault="00A229F8" w:rsidP="00ED41FC">
            <w:pPr>
              <w:rPr>
                <w:b/>
                <w:bCs/>
                <w:sz w:val="26"/>
                <w:szCs w:val="26"/>
                <w:rtl/>
              </w:rPr>
            </w:pPr>
            <w:r w:rsidRPr="00ED41FC">
              <w:rPr>
                <w:rFonts w:ascii="Arial" w:hAnsi="Arial"/>
                <w:b/>
                <w:bCs/>
                <w:sz w:val="26"/>
                <w:szCs w:val="26"/>
                <w:rtl/>
              </w:rPr>
              <w:t>שבתאי-שבי קנוש (עציר)</w:t>
            </w:r>
          </w:p>
          <w:p w14:paraId="39780C28" w14:textId="77777777" w:rsidR="00A229F8" w:rsidRPr="00ED41FC" w:rsidRDefault="00A229F8" w:rsidP="00ED41FC">
            <w:pPr>
              <w:rPr>
                <w:sz w:val="26"/>
                <w:szCs w:val="26"/>
                <w:rtl/>
              </w:rPr>
            </w:pPr>
            <w:r w:rsidRPr="00ED41FC">
              <w:rPr>
                <w:rFonts w:hint="cs"/>
                <w:sz w:val="26"/>
                <w:szCs w:val="26"/>
                <w:rtl/>
              </w:rPr>
              <w:t>ע"י ב"כ עו"ד נעמה שגיא-רייכמן</w:t>
            </w:r>
          </w:p>
        </w:tc>
        <w:tc>
          <w:tcPr>
            <w:tcW w:w="3337" w:type="dxa"/>
            <w:tcBorders>
              <w:top w:val="nil"/>
              <w:left w:val="nil"/>
              <w:bottom w:val="nil"/>
              <w:right w:val="nil"/>
            </w:tcBorders>
            <w:shd w:val="clear" w:color="auto" w:fill="auto"/>
          </w:tcPr>
          <w:p w14:paraId="4D77333F" w14:textId="77777777" w:rsidR="00A229F8" w:rsidRPr="00ED41FC" w:rsidRDefault="00A229F8" w:rsidP="00A229F8">
            <w:pPr>
              <w:jc w:val="right"/>
              <w:rPr>
                <w:rFonts w:ascii="Arial" w:hAnsi="Arial"/>
                <w:sz w:val="26"/>
                <w:szCs w:val="26"/>
              </w:rPr>
            </w:pPr>
          </w:p>
        </w:tc>
      </w:tr>
    </w:tbl>
    <w:bookmarkEnd w:id="0"/>
    <w:p w14:paraId="21D79A1B" w14:textId="77777777" w:rsidR="005A5587" w:rsidRPr="005A5587" w:rsidRDefault="005A5587" w:rsidP="005A5587">
      <w:pPr>
        <w:spacing w:after="120" w:line="240" w:lineRule="exact"/>
        <w:ind w:left="283" w:hanging="283"/>
        <w:jc w:val="both"/>
        <w:rPr>
          <w:rFonts w:ascii="FrankRuehl" w:hAnsi="FrankRuehl" w:cs="FrankRuehl"/>
          <w:rtl/>
        </w:rPr>
      </w:pPr>
      <w:r w:rsidRPr="005A5587">
        <w:rPr>
          <w:rFonts w:ascii="FrankRuehl" w:hAnsi="FrankRuehl" w:cs="FrankRuehl"/>
          <w:rtl/>
        </w:rPr>
        <w:t xml:space="preserve">חקיקה שאוזכרה: </w:t>
      </w:r>
    </w:p>
    <w:p w14:paraId="673FC690" w14:textId="77777777" w:rsidR="005A5587" w:rsidRPr="005A5587" w:rsidRDefault="005A5587" w:rsidP="005A5587">
      <w:pPr>
        <w:spacing w:after="120" w:line="240" w:lineRule="exact"/>
        <w:ind w:left="283" w:hanging="283"/>
        <w:jc w:val="both"/>
        <w:rPr>
          <w:rFonts w:ascii="FrankRuehl" w:hAnsi="FrankRuehl" w:cs="FrankRuehl"/>
          <w:rtl/>
        </w:rPr>
      </w:pPr>
      <w:hyperlink r:id="rId7" w:history="1">
        <w:r w:rsidRPr="005A5587">
          <w:rPr>
            <w:rFonts w:ascii="FrankRuehl" w:hAnsi="FrankRuehl" w:cs="FrankRuehl"/>
            <w:color w:val="0000FF"/>
            <w:u w:val="single"/>
            <w:rtl/>
          </w:rPr>
          <w:t>פקודת הסמים המסוכנים [נוסח חדש], תשל"ג-1973</w:t>
        </w:r>
      </w:hyperlink>
      <w:r w:rsidRPr="005A5587">
        <w:rPr>
          <w:rFonts w:ascii="FrankRuehl" w:hAnsi="FrankRuehl" w:cs="FrankRuehl"/>
          <w:rtl/>
        </w:rPr>
        <w:t xml:space="preserve">: סע'  </w:t>
      </w:r>
      <w:hyperlink r:id="rId8" w:history="1">
        <w:r w:rsidRPr="005A5587">
          <w:rPr>
            <w:rFonts w:ascii="FrankRuehl" w:hAnsi="FrankRuehl" w:cs="FrankRuehl"/>
            <w:color w:val="0000FF"/>
            <w:u w:val="single"/>
            <w:rtl/>
          </w:rPr>
          <w:t>6</w:t>
        </w:r>
      </w:hyperlink>
      <w:r w:rsidRPr="005A5587">
        <w:rPr>
          <w:rFonts w:ascii="FrankRuehl" w:hAnsi="FrankRuehl" w:cs="FrankRuehl"/>
          <w:rtl/>
        </w:rPr>
        <w:t xml:space="preserve">, </w:t>
      </w:r>
      <w:hyperlink r:id="rId9" w:history="1">
        <w:r w:rsidRPr="005A5587">
          <w:rPr>
            <w:rFonts w:ascii="FrankRuehl" w:hAnsi="FrankRuehl" w:cs="FrankRuehl"/>
            <w:color w:val="0000FF"/>
            <w:u w:val="single"/>
            <w:rtl/>
          </w:rPr>
          <w:t>9(א)</w:t>
        </w:r>
      </w:hyperlink>
      <w:r w:rsidRPr="005A5587">
        <w:rPr>
          <w:rFonts w:ascii="FrankRuehl" w:hAnsi="FrankRuehl" w:cs="FrankRuehl"/>
          <w:rtl/>
        </w:rPr>
        <w:t xml:space="preserve">, </w:t>
      </w:r>
      <w:hyperlink r:id="rId10" w:history="1">
        <w:r w:rsidRPr="005A5587">
          <w:rPr>
            <w:rFonts w:ascii="FrankRuehl" w:hAnsi="FrankRuehl" w:cs="FrankRuehl"/>
            <w:color w:val="0000FF"/>
            <w:u w:val="single"/>
            <w:rtl/>
          </w:rPr>
          <w:t>9(ד)</w:t>
        </w:r>
      </w:hyperlink>
    </w:p>
    <w:p w14:paraId="14B16A77" w14:textId="77777777" w:rsidR="005A5587" w:rsidRPr="005A5587" w:rsidRDefault="005A5587" w:rsidP="005A5587">
      <w:pPr>
        <w:jc w:val="center"/>
        <w:rPr>
          <w:rFonts w:ascii="Arial" w:hAnsi="Arial"/>
          <w:sz w:val="28"/>
          <w:szCs w:val="28"/>
          <w:rtl/>
        </w:rPr>
      </w:pPr>
    </w:p>
    <w:p w14:paraId="754E1D23" w14:textId="77777777" w:rsidR="005A5587" w:rsidRPr="00ED41FC" w:rsidRDefault="005A5587" w:rsidP="005A5587">
      <w:pPr>
        <w:jc w:val="center"/>
        <w:rPr>
          <w:rFonts w:ascii="Arial" w:hAnsi="Arial"/>
          <w:b/>
          <w:bCs/>
          <w:sz w:val="28"/>
          <w:szCs w:val="28"/>
          <w:rtl/>
        </w:rPr>
      </w:pPr>
      <w:bookmarkStart w:id="3" w:name="PsakDin"/>
      <w:r w:rsidRPr="00ED41FC">
        <w:rPr>
          <w:rFonts w:ascii="Arial" w:hAnsi="Arial"/>
          <w:b/>
          <w:bCs/>
          <w:sz w:val="28"/>
          <w:szCs w:val="28"/>
          <w:rtl/>
        </w:rPr>
        <w:t>גזר דין</w:t>
      </w:r>
    </w:p>
    <w:bookmarkEnd w:id="3"/>
    <w:p w14:paraId="50C0B39C" w14:textId="77777777" w:rsidR="00A229F8" w:rsidRPr="005A5587" w:rsidRDefault="00A229F8" w:rsidP="00A229F8">
      <w:pPr>
        <w:rPr>
          <w:rFonts w:ascii="Arial" w:hAnsi="Arial"/>
          <w:rtl/>
        </w:rPr>
      </w:pPr>
    </w:p>
    <w:p w14:paraId="0BB75718" w14:textId="77777777" w:rsidR="00A229F8" w:rsidRDefault="00A229F8" w:rsidP="00A229F8">
      <w:pPr>
        <w:spacing w:line="360" w:lineRule="auto"/>
        <w:jc w:val="both"/>
        <w:rPr>
          <w:rFonts w:ascii="Arial" w:hAnsi="Arial"/>
          <w:rtl/>
        </w:rPr>
      </w:pPr>
      <w:bookmarkStart w:id="4" w:name="ABSTRACT_START"/>
      <w:bookmarkEnd w:id="4"/>
      <w:r>
        <w:rPr>
          <w:rFonts w:ascii="Arial" w:hAnsi="Arial" w:hint="cs"/>
          <w:rtl/>
        </w:rPr>
        <w:t>במסגרת הסדר טיעון דיוני, ללא הסכמה עונשית, הודה הנאשם ביום 24.5.17 בכתב אישום מתוקן והורשע בעבירות אלו:</w:t>
      </w:r>
    </w:p>
    <w:p w14:paraId="1394EB05" w14:textId="77777777" w:rsidR="00A229F8" w:rsidRPr="00E45CA3" w:rsidRDefault="00A229F8" w:rsidP="00A229F8">
      <w:pPr>
        <w:spacing w:line="360" w:lineRule="auto"/>
        <w:jc w:val="both"/>
        <w:rPr>
          <w:rFonts w:ascii="Arial" w:hAnsi="Arial"/>
          <w:rtl/>
        </w:rPr>
      </w:pPr>
      <w:r w:rsidRPr="00E45CA3">
        <w:rPr>
          <w:rFonts w:ascii="Arial" w:hAnsi="Arial"/>
          <w:rtl/>
        </w:rPr>
        <w:t>א.</w:t>
      </w:r>
      <w:r w:rsidRPr="00E45CA3">
        <w:rPr>
          <w:rFonts w:ascii="Arial" w:hAnsi="Arial"/>
          <w:rtl/>
        </w:rPr>
        <w:tab/>
        <w:t>גידול סם מסוכן</w:t>
      </w:r>
      <w:r>
        <w:rPr>
          <w:rFonts w:ascii="Arial" w:hAnsi="Arial" w:hint="cs"/>
          <w:rtl/>
        </w:rPr>
        <w:t>,</w:t>
      </w:r>
      <w:r w:rsidRPr="00E45CA3">
        <w:rPr>
          <w:rFonts w:ascii="Arial" w:hAnsi="Arial"/>
          <w:rtl/>
        </w:rPr>
        <w:t xml:space="preserve"> לפי</w:t>
      </w:r>
      <w:r>
        <w:rPr>
          <w:rFonts w:ascii="Arial" w:hAnsi="Arial"/>
          <w:rtl/>
        </w:rPr>
        <w:t xml:space="preserve"> </w:t>
      </w:r>
      <w:hyperlink r:id="rId11" w:history="1">
        <w:r w:rsidR="005A5587" w:rsidRPr="005A5587">
          <w:rPr>
            <w:rFonts w:ascii="Arial" w:hAnsi="Arial"/>
            <w:color w:val="0000FF"/>
            <w:u w:val="single"/>
            <w:rtl/>
          </w:rPr>
          <w:t>סעיף  6</w:t>
        </w:r>
      </w:hyperlink>
      <w:r>
        <w:rPr>
          <w:rFonts w:ascii="Arial" w:hAnsi="Arial"/>
          <w:rtl/>
        </w:rPr>
        <w:t xml:space="preserve"> ל</w:t>
      </w:r>
      <w:hyperlink r:id="rId12" w:history="1">
        <w:r w:rsidR="00ED41FC" w:rsidRPr="00ED41FC">
          <w:rPr>
            <w:rFonts w:ascii="Arial" w:hAnsi="Arial"/>
            <w:color w:val="0000FF"/>
            <w:u w:val="single"/>
            <w:rtl/>
          </w:rPr>
          <w:t>פקודת הסמים המסוכנים</w:t>
        </w:r>
      </w:hyperlink>
      <w:r>
        <w:rPr>
          <w:rFonts w:ascii="Arial" w:hAnsi="Arial" w:hint="cs"/>
          <w:rtl/>
        </w:rPr>
        <w:t>;</w:t>
      </w:r>
    </w:p>
    <w:p w14:paraId="5308D43D" w14:textId="77777777" w:rsidR="00A229F8" w:rsidRPr="00B05847" w:rsidRDefault="00A229F8" w:rsidP="00A229F8">
      <w:pPr>
        <w:spacing w:line="360" w:lineRule="auto"/>
        <w:ind w:left="720" w:hanging="720"/>
        <w:jc w:val="both"/>
        <w:rPr>
          <w:rFonts w:ascii="Arial" w:hAnsi="Arial"/>
          <w:rtl/>
        </w:rPr>
      </w:pPr>
      <w:r w:rsidRPr="00E45CA3">
        <w:rPr>
          <w:rFonts w:ascii="Arial" w:hAnsi="Arial"/>
          <w:rtl/>
        </w:rPr>
        <w:t>ב.</w:t>
      </w:r>
      <w:r w:rsidRPr="00E45CA3">
        <w:rPr>
          <w:rFonts w:ascii="Arial" w:hAnsi="Arial"/>
          <w:rtl/>
        </w:rPr>
        <w:tab/>
        <w:t>החזקת חצרים לשם הכנת סם מסוכן</w:t>
      </w:r>
      <w:r>
        <w:rPr>
          <w:rFonts w:ascii="Arial" w:hAnsi="Arial" w:hint="cs"/>
          <w:rtl/>
        </w:rPr>
        <w:t>,</w:t>
      </w:r>
      <w:r w:rsidRPr="00E45CA3">
        <w:rPr>
          <w:rFonts w:ascii="Arial" w:hAnsi="Arial"/>
          <w:rtl/>
        </w:rPr>
        <w:t xml:space="preserve"> לפי </w:t>
      </w:r>
      <w:hyperlink r:id="rId13" w:history="1">
        <w:r w:rsidR="005A5587" w:rsidRPr="005A5587">
          <w:rPr>
            <w:rFonts w:ascii="Arial" w:hAnsi="Arial"/>
            <w:color w:val="0000FF"/>
            <w:u w:val="single"/>
            <w:rtl/>
          </w:rPr>
          <w:t>סעיף 9(א)</w:t>
        </w:r>
      </w:hyperlink>
      <w:r>
        <w:rPr>
          <w:rFonts w:ascii="Arial" w:hAnsi="Arial"/>
          <w:rtl/>
        </w:rPr>
        <w:t xml:space="preserve"> בצירוף </w:t>
      </w:r>
      <w:hyperlink r:id="rId14" w:history="1">
        <w:r w:rsidR="005A5587" w:rsidRPr="005A5587">
          <w:rPr>
            <w:rFonts w:ascii="Arial" w:hAnsi="Arial"/>
            <w:color w:val="0000FF"/>
            <w:u w:val="single"/>
            <w:rtl/>
          </w:rPr>
          <w:t>סעיף 9(ד)</w:t>
        </w:r>
      </w:hyperlink>
      <w:r>
        <w:rPr>
          <w:rFonts w:ascii="Arial" w:hAnsi="Arial"/>
          <w:rtl/>
        </w:rPr>
        <w:t xml:space="preserve"> רישא לפקודה</w:t>
      </w:r>
      <w:r>
        <w:rPr>
          <w:rFonts w:ascii="Arial" w:hAnsi="Arial" w:hint="cs"/>
          <w:rtl/>
        </w:rPr>
        <w:t>;</w:t>
      </w:r>
    </w:p>
    <w:p w14:paraId="14C3158F" w14:textId="77777777" w:rsidR="00A229F8" w:rsidRPr="00B05847" w:rsidRDefault="00A229F8" w:rsidP="00A229F8">
      <w:pPr>
        <w:spacing w:line="360" w:lineRule="auto"/>
        <w:jc w:val="both"/>
        <w:rPr>
          <w:rtl/>
        </w:rPr>
      </w:pPr>
    </w:p>
    <w:p w14:paraId="1B1EC9EC" w14:textId="77777777" w:rsidR="00A229F8" w:rsidRPr="00E45CA3" w:rsidRDefault="00A229F8" w:rsidP="00A229F8">
      <w:pPr>
        <w:spacing w:line="360" w:lineRule="auto"/>
        <w:jc w:val="both"/>
        <w:rPr>
          <w:b/>
          <w:bCs/>
          <w:u w:val="single"/>
          <w:rtl/>
        </w:rPr>
      </w:pPr>
      <w:bookmarkStart w:id="5" w:name="ABSTRACT_END"/>
      <w:bookmarkEnd w:id="5"/>
      <w:r>
        <w:rPr>
          <w:rFonts w:hint="cs"/>
          <w:b/>
          <w:bCs/>
          <w:u w:val="single"/>
          <w:rtl/>
        </w:rPr>
        <w:t>מעשי הנאשם:</w:t>
      </w:r>
    </w:p>
    <w:p w14:paraId="07351457" w14:textId="77777777" w:rsidR="00A229F8" w:rsidRDefault="00A229F8" w:rsidP="00A229F8">
      <w:pPr>
        <w:pStyle w:val="ListParagraph"/>
        <w:numPr>
          <w:ilvl w:val="0"/>
          <w:numId w:val="1"/>
        </w:numPr>
        <w:spacing w:line="360" w:lineRule="auto"/>
        <w:jc w:val="both"/>
      </w:pPr>
      <w:r>
        <w:rPr>
          <w:rFonts w:hint="cs"/>
          <w:rtl/>
        </w:rPr>
        <w:t>מיום 25.6.15 שכר הנאשם דירה בחולון תמורת שכר דירה של 6,000 ₪ לחודש, ועובר ליום 29.5.16 גידל בה סם מסוכן מסוג קנבוס.</w:t>
      </w:r>
    </w:p>
    <w:p w14:paraId="1A5A0A86" w14:textId="77777777" w:rsidR="00A229F8" w:rsidRDefault="00A229F8" w:rsidP="00A229F8">
      <w:pPr>
        <w:pStyle w:val="ListParagraph"/>
        <w:numPr>
          <w:ilvl w:val="0"/>
          <w:numId w:val="1"/>
        </w:numPr>
        <w:spacing w:line="360" w:lineRule="auto"/>
        <w:jc w:val="both"/>
      </w:pPr>
      <w:r>
        <w:rPr>
          <w:rFonts w:hint="cs"/>
          <w:rtl/>
        </w:rPr>
        <w:t>ביום 29.5.16 החזיק הנאשם בדירה 134 עציצים ובהם שתילי קנבוס, ועוד 64 שתילי קנבוס בכוסות, כשמשקלם הכולל של השתילים כארבעים קילוגרם נטו.</w:t>
      </w:r>
    </w:p>
    <w:p w14:paraId="0B528402" w14:textId="77777777" w:rsidR="00A229F8" w:rsidRDefault="00A229F8" w:rsidP="00A229F8">
      <w:pPr>
        <w:spacing w:line="360" w:lineRule="auto"/>
        <w:rPr>
          <w:rtl/>
        </w:rPr>
      </w:pPr>
    </w:p>
    <w:p w14:paraId="779F0595" w14:textId="77777777" w:rsidR="00A229F8" w:rsidRPr="00C62CA1" w:rsidRDefault="00A229F8" w:rsidP="00A229F8">
      <w:pPr>
        <w:spacing w:line="360" w:lineRule="auto"/>
        <w:rPr>
          <w:b/>
          <w:bCs/>
          <w:u w:val="single"/>
          <w:rtl/>
        </w:rPr>
      </w:pPr>
      <w:r>
        <w:rPr>
          <w:rFonts w:hint="cs"/>
          <w:b/>
          <w:bCs/>
          <w:u w:val="single"/>
          <w:rtl/>
        </w:rPr>
        <w:t xml:space="preserve">נסיבות העבירות </w:t>
      </w:r>
      <w:r>
        <w:rPr>
          <w:b/>
          <w:bCs/>
          <w:u w:val="single"/>
          <w:rtl/>
        </w:rPr>
        <w:t>–</w:t>
      </w:r>
      <w:r>
        <w:rPr>
          <w:rFonts w:hint="cs"/>
          <w:b/>
          <w:bCs/>
          <w:u w:val="single"/>
          <w:rtl/>
        </w:rPr>
        <w:t xml:space="preserve"> מתחם העונש ההולם:</w:t>
      </w:r>
    </w:p>
    <w:p w14:paraId="2AA6228F" w14:textId="77777777" w:rsidR="00A229F8" w:rsidRDefault="00A229F8" w:rsidP="00A229F8">
      <w:pPr>
        <w:pStyle w:val="ListParagraph"/>
        <w:numPr>
          <w:ilvl w:val="0"/>
          <w:numId w:val="2"/>
        </w:numPr>
        <w:spacing w:line="360" w:lineRule="auto"/>
        <w:jc w:val="both"/>
      </w:pPr>
      <w:r>
        <w:rPr>
          <w:rFonts w:hint="cs"/>
          <w:rtl/>
        </w:rPr>
        <w:t>לנאשם מיוחסות שתי עבירות, המהוות למעשה "אירוע אחד" ברצף הזמן, וכדעת הצדדים ייקבע מתחם עונשי אחד.</w:t>
      </w:r>
    </w:p>
    <w:p w14:paraId="4288A47C" w14:textId="77777777" w:rsidR="00A229F8" w:rsidRDefault="00A229F8" w:rsidP="00A229F8">
      <w:pPr>
        <w:pStyle w:val="ListParagraph"/>
        <w:numPr>
          <w:ilvl w:val="0"/>
          <w:numId w:val="2"/>
        </w:numPr>
        <w:spacing w:line="360" w:lineRule="auto"/>
        <w:jc w:val="both"/>
        <w:rPr>
          <w:rtl/>
        </w:rPr>
      </w:pPr>
      <w:r>
        <w:rPr>
          <w:rtl/>
        </w:rPr>
        <w:t xml:space="preserve">כידוע, פגיעתם של הסמים בחברה אינה נקודתית, אלא משתרעת על מרחבים וזמנים נרחבים: נפגע הצרכן המתמכר, נפגעת משפחתו, נפגעים אלו הניזוקים מפעילותו הפלילית של הצרכן המבקש לספק את הדחף לסם, ובנוסף – מעגלי היצור והשיווק של הסם מייצרים כשלעצמם </w:t>
      </w:r>
      <w:r>
        <w:rPr>
          <w:rtl/>
        </w:rPr>
        <w:lastRenderedPageBreak/>
        <w:t xml:space="preserve">פעילות עבריינית הנלווית לעצם העיסוק בסם, והרווחים העצומים מגיעים לעתים קרובות לארגוני פשע וטרור ומאפשרים את פעילותם הפוגענית. </w:t>
      </w:r>
    </w:p>
    <w:p w14:paraId="0F1B0F67" w14:textId="77777777" w:rsidR="00A229F8" w:rsidRDefault="00A229F8" w:rsidP="00A229F8">
      <w:pPr>
        <w:pStyle w:val="ListParagraph"/>
        <w:numPr>
          <w:ilvl w:val="0"/>
          <w:numId w:val="2"/>
        </w:numPr>
        <w:spacing w:line="360" w:lineRule="auto"/>
        <w:jc w:val="both"/>
        <w:rPr>
          <w:rtl/>
        </w:rPr>
      </w:pPr>
      <w:r>
        <w:rPr>
          <w:rtl/>
        </w:rPr>
        <w:t>במקרה דנן מדובר בגידולו של סם "קל" מסוג קנביס, כך שחלקם של הנזקים המלווים את העיסוק בסמים אחרים אינם רלוונטיים. עם זאת, גם פעילות זו אסורה ומזיקה, ויש אפוא לתת משקל להיקפי</w:t>
      </w:r>
      <w:r>
        <w:rPr>
          <w:rFonts w:hint="cs"/>
          <w:rtl/>
        </w:rPr>
        <w:t xml:space="preserve"> הנזק</w:t>
      </w:r>
      <w:r>
        <w:rPr>
          <w:rtl/>
        </w:rPr>
        <w:t>, הפוטנציאליים והקונקרטיים</w:t>
      </w:r>
      <w:r>
        <w:rPr>
          <w:rFonts w:hint="cs"/>
          <w:rtl/>
        </w:rPr>
        <w:t>, שהם תולדה של מספר השתילים וכמות הסם</w:t>
      </w:r>
      <w:r>
        <w:rPr>
          <w:rtl/>
        </w:rPr>
        <w:t>.</w:t>
      </w:r>
    </w:p>
    <w:p w14:paraId="1C2A9A8B" w14:textId="77777777" w:rsidR="00A229F8" w:rsidRDefault="00A229F8" w:rsidP="00A229F8">
      <w:pPr>
        <w:pStyle w:val="ListParagraph"/>
        <w:numPr>
          <w:ilvl w:val="0"/>
          <w:numId w:val="2"/>
        </w:numPr>
        <w:spacing w:line="360" w:lineRule="auto"/>
        <w:jc w:val="both"/>
        <w:rPr>
          <w:rtl/>
        </w:rPr>
      </w:pPr>
      <w:r>
        <w:rPr>
          <w:rtl/>
        </w:rPr>
        <w:t>מדובר בביצוע עבירה מתוכננת, שבוצעה לאורך זמן</w:t>
      </w:r>
      <w:r>
        <w:rPr>
          <w:rFonts w:hint="cs"/>
          <w:rtl/>
        </w:rPr>
        <w:t>,</w:t>
      </w:r>
      <w:r>
        <w:rPr>
          <w:rtl/>
        </w:rPr>
        <w:t xml:space="preserve"> תוך השקעת מחשבה ומשאבים, </w:t>
      </w:r>
      <w:r>
        <w:rPr>
          <w:rFonts w:hint="cs"/>
          <w:rtl/>
        </w:rPr>
        <w:t xml:space="preserve">שהניבה </w:t>
      </w:r>
      <w:r>
        <w:rPr>
          <w:rtl/>
        </w:rPr>
        <w:t xml:space="preserve"> שתילים רבים מאוד וכמות סם עצומה</w:t>
      </w:r>
      <w:r>
        <w:rPr>
          <w:rFonts w:hint="cs"/>
          <w:rtl/>
        </w:rPr>
        <w:t xml:space="preserve"> (הגם ש</w:t>
      </w:r>
      <w:r>
        <w:rPr>
          <w:rtl/>
        </w:rPr>
        <w:t>יש לזכור, כי בעוד שהמחוקק קבע כי כל חלק מצמח הקנביס הוא "סם", נצרכים בפועל רק חלקים מסוימים של הצמח</w:t>
      </w:r>
      <w:r>
        <w:rPr>
          <w:rFonts w:hint="cs"/>
          <w:rtl/>
        </w:rPr>
        <w:t>)</w:t>
      </w:r>
      <w:r>
        <w:rPr>
          <w:rtl/>
        </w:rPr>
        <w:t>.</w:t>
      </w:r>
    </w:p>
    <w:p w14:paraId="29777BD9" w14:textId="77777777" w:rsidR="00A229F8" w:rsidRDefault="00A229F8" w:rsidP="00A229F8">
      <w:pPr>
        <w:pStyle w:val="ListParagraph"/>
        <w:numPr>
          <w:ilvl w:val="0"/>
          <w:numId w:val="2"/>
        </w:numPr>
        <w:spacing w:line="360" w:lineRule="auto"/>
        <w:jc w:val="both"/>
      </w:pPr>
      <w:r>
        <w:rPr>
          <w:rtl/>
        </w:rPr>
        <w:t xml:space="preserve">גידול הסם וייצורו נעשו על-ידי הנאשם </w:t>
      </w:r>
      <w:r>
        <w:rPr>
          <w:rFonts w:hint="cs"/>
          <w:rtl/>
        </w:rPr>
        <w:t>לשם רווח כלכלי, עובדה המדגישה את היותו חוליית-יסוד במערך הפצה. לטענת הנאשם, שלא גובתה בראיות, עשה כן כדי להיחלץ מחובות כבדים; גם לו היתה טענתו מוכחת ומתקבלת, לא היה בכך כדי להקל בחומרת מעשיו: אין לקבל, ולו במעט, דרך זו של פתרון פלילי ומזיק לבעיות אישיות וכלכליות.</w:t>
      </w:r>
    </w:p>
    <w:p w14:paraId="67D6F3E5" w14:textId="77777777" w:rsidR="00A229F8" w:rsidRDefault="00A229F8" w:rsidP="00A229F8">
      <w:pPr>
        <w:pStyle w:val="ListParagraph"/>
        <w:numPr>
          <w:ilvl w:val="0"/>
          <w:numId w:val="2"/>
        </w:numPr>
        <w:spacing w:line="360" w:lineRule="auto"/>
        <w:jc w:val="both"/>
      </w:pPr>
      <w:r>
        <w:rPr>
          <w:rFonts w:hint="cs"/>
          <w:rtl/>
        </w:rPr>
        <w:t xml:space="preserve">המאשימה טוענת כי תופעת גידולו של קנביס ב"מעבדות" </w:t>
      </w:r>
      <w:r>
        <w:rPr>
          <w:rtl/>
        </w:rPr>
        <w:t>–</w:t>
      </w:r>
      <w:r>
        <w:rPr>
          <w:rFonts w:hint="cs"/>
          <w:rtl/>
        </w:rPr>
        <w:t xml:space="preserve"> דירות וחללים אחרים המשמשים לגידול בהיקפים מסחריים </w:t>
      </w:r>
      <w:r>
        <w:rPr>
          <w:rtl/>
        </w:rPr>
        <w:t>–</w:t>
      </w:r>
      <w:r>
        <w:rPr>
          <w:rFonts w:hint="cs"/>
          <w:rtl/>
        </w:rPr>
        <w:t xml:space="preserve"> הפכה ל"מכת מדינה", המצדיקה החמרה עונשית, אף מעבר לענישה הנוהגת. המאשימה לא הביאה בפניי נתונים אמפיריים לתמיכה בטענה זו; האם ניתן אפוא לקבלה באין נתונים כאלה?</w:t>
      </w:r>
    </w:p>
    <w:p w14:paraId="3C577DA5" w14:textId="77777777" w:rsidR="00A229F8" w:rsidRDefault="00A229F8" w:rsidP="00A229F8">
      <w:pPr>
        <w:pStyle w:val="ListParagraph"/>
        <w:numPr>
          <w:ilvl w:val="1"/>
          <w:numId w:val="2"/>
        </w:numPr>
        <w:spacing w:line="360" w:lineRule="auto"/>
        <w:jc w:val="both"/>
      </w:pPr>
      <w:r w:rsidRPr="00645ED1">
        <w:rPr>
          <w:rtl/>
        </w:rPr>
        <w:t>שאלה מורכבת היא</w:t>
      </w:r>
      <w:r>
        <w:rPr>
          <w:rFonts w:hint="cs"/>
          <w:rtl/>
        </w:rPr>
        <w:t>,</w:t>
      </w:r>
      <w:r w:rsidRPr="00645ED1">
        <w:rPr>
          <w:rtl/>
        </w:rPr>
        <w:t xml:space="preserve"> כיצד רשאי בית המשפט הדן בתיק קונקרטי לקבוע כי בא לפניו ביטוי של תופעה עבריינית רחבה יותר שהוא רואה בה "מכת מדינה". </w:t>
      </w:r>
      <w:r>
        <w:rPr>
          <w:rFonts w:hint="cs"/>
          <w:rtl/>
        </w:rPr>
        <w:t>ההלכה הפסוקה מ</w:t>
      </w:r>
      <w:r w:rsidRPr="00645ED1">
        <w:rPr>
          <w:rtl/>
        </w:rPr>
        <w:t>אפשר</w:t>
      </w:r>
      <w:r>
        <w:rPr>
          <w:rFonts w:hint="cs"/>
          <w:rtl/>
        </w:rPr>
        <w:t>ת</w:t>
      </w:r>
      <w:r w:rsidRPr="00645ED1">
        <w:rPr>
          <w:rtl/>
        </w:rPr>
        <w:t xml:space="preserve"> לערכאה הדיונית, הנחשפת למספר גדול של כתבי אישום ותיקים דומים, מרווח שיקול דעת וגמישות להסיק מסקנות אודות התגברותה של תופעת פשיעה בתחום עבריינות מסוים, אף אם לא הובאו לפניה נתונים עובדתיים חד משמעיים</w:t>
      </w:r>
      <w:r>
        <w:rPr>
          <w:rFonts w:hint="cs"/>
          <w:rtl/>
        </w:rPr>
        <w:t xml:space="preserve"> (</w:t>
      </w:r>
      <w:hyperlink r:id="rId15" w:history="1">
        <w:r w:rsidR="00ED41FC" w:rsidRPr="00ED41FC">
          <w:rPr>
            <w:color w:val="0000FF"/>
            <w:u w:val="single"/>
            <w:rtl/>
          </w:rPr>
          <w:t>ע"פ 4841/13</w:t>
        </w:r>
      </w:hyperlink>
      <w:r>
        <w:rPr>
          <w:rtl/>
        </w:rPr>
        <w:t xml:space="preserve"> </w:t>
      </w:r>
      <w:r w:rsidRPr="0051241E">
        <w:rPr>
          <w:b/>
          <w:bCs/>
          <w:rtl/>
        </w:rPr>
        <w:t>ספי נ' מ</w:t>
      </w:r>
      <w:r w:rsidRPr="0051241E">
        <w:rPr>
          <w:rFonts w:hint="cs"/>
          <w:b/>
          <w:bCs/>
          <w:rtl/>
        </w:rPr>
        <w:t>.י.</w:t>
      </w:r>
      <w:r>
        <w:rPr>
          <w:rFonts w:hint="cs"/>
          <w:rtl/>
        </w:rPr>
        <w:t xml:space="preserve"> (2014), </w:t>
      </w:r>
      <w:hyperlink r:id="rId16" w:history="1">
        <w:r w:rsidR="00ED41FC" w:rsidRPr="00ED41FC">
          <w:rPr>
            <w:color w:val="0000FF"/>
            <w:u w:val="single"/>
            <w:rtl/>
          </w:rPr>
          <w:t>ע"פ 5535/12</w:t>
        </w:r>
      </w:hyperlink>
      <w:r w:rsidRPr="00645ED1">
        <w:rPr>
          <w:rtl/>
        </w:rPr>
        <w:t xml:space="preserve"> </w:t>
      </w:r>
      <w:r w:rsidRPr="00BE135D">
        <w:rPr>
          <w:b/>
          <w:bCs/>
          <w:rtl/>
        </w:rPr>
        <w:t>כאברי נ' מ.י.</w:t>
      </w:r>
      <w:r w:rsidRPr="00645ED1">
        <w:rPr>
          <w:rtl/>
        </w:rPr>
        <w:t xml:space="preserve"> (2013)</w:t>
      </w:r>
      <w:r>
        <w:rPr>
          <w:rFonts w:hint="cs"/>
          <w:rtl/>
        </w:rPr>
        <w:t xml:space="preserve">, </w:t>
      </w:r>
      <w:hyperlink r:id="rId17" w:history="1">
        <w:r w:rsidR="00ED41FC" w:rsidRPr="00ED41FC">
          <w:rPr>
            <w:color w:val="0000FF"/>
            <w:u w:val="single"/>
            <w:rtl/>
          </w:rPr>
          <w:t>ע"פ 3160/12</w:t>
        </w:r>
      </w:hyperlink>
      <w:r>
        <w:rPr>
          <w:rtl/>
        </w:rPr>
        <w:t xml:space="preserve"> </w:t>
      </w:r>
      <w:r w:rsidRPr="00BE135D">
        <w:rPr>
          <w:b/>
          <w:bCs/>
          <w:rtl/>
        </w:rPr>
        <w:t>כריסטיאן נ' מ</w:t>
      </w:r>
      <w:r w:rsidRPr="00BE135D">
        <w:rPr>
          <w:rFonts w:hint="cs"/>
          <w:b/>
          <w:bCs/>
          <w:rtl/>
        </w:rPr>
        <w:t>.י.</w:t>
      </w:r>
      <w:r>
        <w:rPr>
          <w:rFonts w:hint="cs"/>
          <w:rtl/>
        </w:rPr>
        <w:t xml:space="preserve"> (2013);</w:t>
      </w:r>
    </w:p>
    <w:p w14:paraId="037BFA89" w14:textId="77777777" w:rsidR="00A229F8" w:rsidRDefault="00A229F8" w:rsidP="00A229F8">
      <w:pPr>
        <w:pStyle w:val="ListParagraph"/>
        <w:numPr>
          <w:ilvl w:val="1"/>
          <w:numId w:val="2"/>
        </w:numPr>
        <w:spacing w:line="360" w:lineRule="auto"/>
        <w:jc w:val="both"/>
      </w:pPr>
      <w:r>
        <w:rPr>
          <w:rFonts w:hint="cs"/>
          <w:rtl/>
        </w:rPr>
        <w:t xml:space="preserve">ואכן, אין לטעות בגידול שבהיקף התופעה בעירנו ובמחוזנו, שהפכו באופן בלתי-צפוי למרכז של חקלאות משוכללת ומכניסה, כפי שניתן להסיק מריבוי המקרים המובאים לבית המשפט, ואף תוך זהירות והתחשבות בהטיות אפשריות (כגון עליה ביכולות ובהיקפי אכיפה). כך ראו </w:t>
      </w:r>
      <w:hyperlink r:id="rId18" w:history="1">
        <w:r w:rsidR="00ED41FC" w:rsidRPr="00ED41FC">
          <w:rPr>
            <w:color w:val="0000FF"/>
            <w:u w:val="single"/>
            <w:rtl/>
          </w:rPr>
          <w:t>עפ"ג 12819-11-15</w:t>
        </w:r>
      </w:hyperlink>
      <w:r>
        <w:rPr>
          <w:rFonts w:hint="cs"/>
          <w:rtl/>
        </w:rPr>
        <w:t xml:space="preserve"> </w:t>
      </w:r>
      <w:r>
        <w:rPr>
          <w:rFonts w:hint="cs"/>
          <w:b/>
          <w:bCs/>
          <w:rtl/>
        </w:rPr>
        <w:t>מ.י. נ' בן-צבי</w:t>
      </w:r>
      <w:r>
        <w:rPr>
          <w:rFonts w:hint="cs"/>
          <w:rtl/>
        </w:rPr>
        <w:t xml:space="preserve"> (2015), </w:t>
      </w:r>
      <w:hyperlink r:id="rId19" w:history="1">
        <w:r w:rsidR="00ED41FC" w:rsidRPr="00ED41FC">
          <w:rPr>
            <w:color w:val="0000FF"/>
            <w:u w:val="single"/>
            <w:rtl/>
          </w:rPr>
          <w:t>עפ"ג 17796-10-14</w:t>
        </w:r>
      </w:hyperlink>
      <w:r>
        <w:rPr>
          <w:rFonts w:hint="cs"/>
          <w:rtl/>
        </w:rPr>
        <w:t xml:space="preserve"> </w:t>
      </w:r>
      <w:r>
        <w:rPr>
          <w:rFonts w:hint="cs"/>
          <w:b/>
          <w:bCs/>
          <w:rtl/>
        </w:rPr>
        <w:t xml:space="preserve">מ.י. נ' דדון </w:t>
      </w:r>
      <w:r>
        <w:rPr>
          <w:rFonts w:hint="cs"/>
          <w:rtl/>
        </w:rPr>
        <w:t xml:space="preserve">(2015) </w:t>
      </w:r>
      <w:hyperlink r:id="rId20" w:history="1">
        <w:r w:rsidR="00ED41FC" w:rsidRPr="00ED41FC">
          <w:rPr>
            <w:color w:val="0000FF"/>
            <w:u w:val="single"/>
            <w:rtl/>
          </w:rPr>
          <w:t>עפ"ג 31126-05-14</w:t>
        </w:r>
      </w:hyperlink>
      <w:r>
        <w:rPr>
          <w:rFonts w:hint="cs"/>
          <w:rtl/>
        </w:rPr>
        <w:t xml:space="preserve"> </w:t>
      </w:r>
      <w:r>
        <w:rPr>
          <w:rFonts w:hint="cs"/>
          <w:b/>
          <w:bCs/>
          <w:rtl/>
        </w:rPr>
        <w:t>מ.י. נ' חריט</w:t>
      </w:r>
      <w:r>
        <w:rPr>
          <w:rFonts w:hint="cs"/>
          <w:rtl/>
        </w:rPr>
        <w:t xml:space="preserve"> (2015) ו</w:t>
      </w:r>
      <w:hyperlink r:id="rId21" w:history="1">
        <w:r w:rsidR="00ED41FC" w:rsidRPr="00ED41FC">
          <w:rPr>
            <w:color w:val="0000FF"/>
            <w:u w:val="single"/>
            <w:rtl/>
          </w:rPr>
          <w:t>עפ"ג 46738-09-14</w:t>
        </w:r>
      </w:hyperlink>
      <w:r>
        <w:rPr>
          <w:rFonts w:hint="cs"/>
          <w:rtl/>
        </w:rPr>
        <w:t xml:space="preserve"> </w:t>
      </w:r>
      <w:r>
        <w:rPr>
          <w:rFonts w:hint="cs"/>
          <w:b/>
          <w:bCs/>
          <w:rtl/>
        </w:rPr>
        <w:t>מ.י. נ' צקבאשווילי</w:t>
      </w:r>
      <w:r>
        <w:rPr>
          <w:rFonts w:hint="cs"/>
          <w:rtl/>
        </w:rPr>
        <w:t xml:space="preserve"> (2014) </w:t>
      </w:r>
      <w:r>
        <w:rPr>
          <w:rtl/>
        </w:rPr>
        <w:t>–</w:t>
      </w:r>
      <w:r>
        <w:rPr>
          <w:rFonts w:hint="cs"/>
          <w:rtl/>
        </w:rPr>
        <w:t xml:space="preserve"> ענייניהן של שתיים ושלוש מעבדות סמים מסוג זה מובאים מדי שבוע בפני ערכאת הערעור בבית המשפט המחוזי בתל-אביב </w:t>
      </w:r>
      <w:r>
        <w:rPr>
          <w:rtl/>
        </w:rPr>
        <w:t>–</w:t>
      </w:r>
      <w:r>
        <w:rPr>
          <w:rFonts w:hint="cs"/>
          <w:rtl/>
        </w:rPr>
        <w:t xml:space="preserve"> יפו, כאמור בפסיקתו; וממחוזות אחרים </w:t>
      </w:r>
      <w:r>
        <w:rPr>
          <w:rtl/>
        </w:rPr>
        <w:t>–</w:t>
      </w:r>
      <w:r>
        <w:rPr>
          <w:rFonts w:hint="cs"/>
          <w:rtl/>
        </w:rPr>
        <w:t xml:space="preserve"> </w:t>
      </w:r>
      <w:hyperlink r:id="rId22" w:history="1">
        <w:r w:rsidR="00ED41FC" w:rsidRPr="00ED41FC">
          <w:rPr>
            <w:color w:val="0000FF"/>
            <w:u w:val="single"/>
            <w:rtl/>
          </w:rPr>
          <w:t>ת"פ (מרכז) 21059-03-16</w:t>
        </w:r>
      </w:hyperlink>
      <w:r>
        <w:rPr>
          <w:rtl/>
        </w:rPr>
        <w:t xml:space="preserve"> </w:t>
      </w:r>
      <w:r w:rsidRPr="00BE135D">
        <w:rPr>
          <w:b/>
          <w:bCs/>
          <w:rtl/>
        </w:rPr>
        <w:t>מ</w:t>
      </w:r>
      <w:r w:rsidRPr="00BE135D">
        <w:rPr>
          <w:rFonts w:hint="cs"/>
          <w:b/>
          <w:bCs/>
          <w:rtl/>
        </w:rPr>
        <w:t>.י.</w:t>
      </w:r>
      <w:r w:rsidRPr="00BE135D">
        <w:rPr>
          <w:b/>
          <w:bCs/>
          <w:rtl/>
        </w:rPr>
        <w:t xml:space="preserve"> נ' איליספוב</w:t>
      </w:r>
      <w:r>
        <w:rPr>
          <w:rFonts w:hint="cs"/>
          <w:rtl/>
        </w:rPr>
        <w:t xml:space="preserve"> (2017) ו</w:t>
      </w:r>
      <w:r w:rsidRPr="00F74BB1">
        <w:rPr>
          <w:rtl/>
        </w:rPr>
        <w:t xml:space="preserve">ע"פ (מחוזי חיפה) </w:t>
      </w:r>
      <w:r>
        <w:rPr>
          <w:rtl/>
        </w:rPr>
        <w:t xml:space="preserve">42358-10-14 </w:t>
      </w:r>
      <w:r w:rsidRPr="00BE135D">
        <w:rPr>
          <w:b/>
          <w:bCs/>
          <w:rtl/>
        </w:rPr>
        <w:t>גיא נ' מ</w:t>
      </w:r>
      <w:r w:rsidRPr="00BE135D">
        <w:rPr>
          <w:rFonts w:hint="cs"/>
          <w:b/>
          <w:bCs/>
          <w:rtl/>
        </w:rPr>
        <w:t>.י.</w:t>
      </w:r>
      <w:r>
        <w:rPr>
          <w:rFonts w:hint="cs"/>
          <w:rtl/>
        </w:rPr>
        <w:t xml:space="preserve"> (2015);</w:t>
      </w:r>
    </w:p>
    <w:p w14:paraId="46471A35" w14:textId="77777777" w:rsidR="00A229F8" w:rsidRDefault="00A229F8" w:rsidP="00A229F8">
      <w:pPr>
        <w:pStyle w:val="ListParagraph"/>
        <w:numPr>
          <w:ilvl w:val="1"/>
          <w:numId w:val="2"/>
        </w:numPr>
        <w:spacing w:line="360" w:lineRule="auto"/>
        <w:jc w:val="both"/>
      </w:pPr>
      <w:r>
        <w:rPr>
          <w:rFonts w:hint="cs"/>
          <w:rtl/>
        </w:rPr>
        <w:lastRenderedPageBreak/>
        <w:t>צודקת אפוא המאשימה בזהותה התנהגות פלילית זו כ"מכת מדינה", המצדיקה ענישה מחמירה. עם-זאת, הענישה הנוהגת בשנים האחרונות כבר הביאה בחשבון גם את היקף התופעה ואת קשיי חשיפתה, ואין אפוא הצדקה להחמרה נוספת ברמת הענישה;</w:t>
      </w:r>
    </w:p>
    <w:p w14:paraId="30C54530" w14:textId="77777777" w:rsidR="00A229F8" w:rsidRDefault="00A229F8" w:rsidP="00A229F8">
      <w:pPr>
        <w:pStyle w:val="ListParagraph"/>
        <w:numPr>
          <w:ilvl w:val="0"/>
          <w:numId w:val="2"/>
        </w:numPr>
        <w:spacing w:line="360" w:lineRule="auto"/>
        <w:jc w:val="both"/>
      </w:pPr>
      <w:r>
        <w:rPr>
          <w:rtl/>
        </w:rPr>
        <w:t xml:space="preserve">עיון בפסיקה מלמד כי העונש העיקרי המוטל ברגיל, ובאופן עקיב, בגין החזקת קנביס או גידולו בכמויות בסדרי גודל של קילוגרמים רבים ועד </w:t>
      </w:r>
      <w:r>
        <w:rPr>
          <w:rFonts w:hint="cs"/>
          <w:rtl/>
        </w:rPr>
        <w:t>40</w:t>
      </w:r>
      <w:r>
        <w:rPr>
          <w:rtl/>
        </w:rPr>
        <w:t xml:space="preserve"> קילוגרם ויותר, הינו של מאסר בפו</w:t>
      </w:r>
      <w:r>
        <w:rPr>
          <w:rFonts w:hint="cs"/>
          <w:rtl/>
        </w:rPr>
        <w:t xml:space="preserve">על לתקופות משמעותיות. מטבע הדברים, כובד העונש אינו עומד ביחס ישר לכמויות הסם, וכך עונשו של מי שגידל 40 קילוגרם איננו </w:t>
      </w:r>
      <w:r>
        <w:rPr>
          <w:rtl/>
        </w:rPr>
        <w:t>–</w:t>
      </w:r>
      <w:r>
        <w:rPr>
          <w:rFonts w:hint="cs"/>
          <w:rtl/>
        </w:rPr>
        <w:t xml:space="preserve"> ואינו אמור להיות </w:t>
      </w:r>
      <w:r>
        <w:rPr>
          <w:rtl/>
        </w:rPr>
        <w:t>–</w:t>
      </w:r>
      <w:r>
        <w:rPr>
          <w:rFonts w:hint="cs"/>
          <w:rtl/>
        </w:rPr>
        <w:t xml:space="preserve"> כפול מעונשו של מי שגידל 20 קילוגרם. להלן דוגמאות, העוקבות אחרי הנחיותיו של בית המשפט העליון ותואמות את המדיניות הנוהגת:</w:t>
      </w:r>
    </w:p>
    <w:p w14:paraId="1AFC056D" w14:textId="77777777" w:rsidR="00A229F8" w:rsidRDefault="00ED41FC" w:rsidP="00A229F8">
      <w:pPr>
        <w:spacing w:line="360" w:lineRule="auto"/>
        <w:ind w:left="360"/>
        <w:jc w:val="both"/>
        <w:rPr>
          <w:rtl/>
        </w:rPr>
      </w:pPr>
      <w:hyperlink r:id="rId23" w:history="1">
        <w:r w:rsidRPr="00ED41FC">
          <w:rPr>
            <w:color w:val="0000FF"/>
            <w:u w:val="single"/>
            <w:rtl/>
          </w:rPr>
          <w:t>ע"פ 2194/14</w:t>
        </w:r>
      </w:hyperlink>
      <w:r w:rsidR="00A229F8" w:rsidRPr="00E63483">
        <w:rPr>
          <w:rtl/>
        </w:rPr>
        <w:t xml:space="preserve"> </w:t>
      </w:r>
      <w:r w:rsidR="00A229F8" w:rsidRPr="00C13D3B">
        <w:rPr>
          <w:b/>
          <w:bCs/>
          <w:rtl/>
        </w:rPr>
        <w:t>בן שמעון</w:t>
      </w:r>
      <w:r w:rsidR="00A229F8" w:rsidRPr="00C13D3B">
        <w:rPr>
          <w:rFonts w:hint="cs"/>
          <w:b/>
          <w:bCs/>
          <w:rtl/>
        </w:rPr>
        <w:t xml:space="preserve"> נ' מ.י.</w:t>
      </w:r>
      <w:r w:rsidR="00A229F8">
        <w:rPr>
          <w:rFonts w:hint="cs"/>
          <w:rtl/>
        </w:rPr>
        <w:t xml:space="preserve"> (2014) </w:t>
      </w:r>
      <w:r w:rsidR="00A229F8">
        <w:rPr>
          <w:rtl/>
        </w:rPr>
        <w:t>–</w:t>
      </w:r>
      <w:r w:rsidR="00A229F8">
        <w:rPr>
          <w:rFonts w:hint="cs"/>
          <w:rtl/>
        </w:rPr>
        <w:t xml:space="preserve"> גידול 33.5 ק"ג, נקבע מתחם של 18 עד 30 חודשי מאסר</w:t>
      </w:r>
      <w:r w:rsidR="00A229F8">
        <w:rPr>
          <w:rStyle w:val="ab"/>
          <w:rtl/>
        </w:rPr>
        <w:footnoteReference w:id="1"/>
      </w:r>
      <w:r w:rsidR="00A229F8">
        <w:rPr>
          <w:rFonts w:hint="cs"/>
          <w:rtl/>
        </w:rPr>
        <w:t>;</w:t>
      </w:r>
    </w:p>
    <w:p w14:paraId="5168E8E9" w14:textId="77777777" w:rsidR="00A229F8" w:rsidRDefault="00ED41FC" w:rsidP="00A229F8">
      <w:pPr>
        <w:spacing w:line="360" w:lineRule="auto"/>
        <w:ind w:left="360"/>
        <w:jc w:val="both"/>
        <w:rPr>
          <w:rtl/>
        </w:rPr>
      </w:pPr>
      <w:hyperlink r:id="rId24" w:history="1">
        <w:r w:rsidRPr="00ED41FC">
          <w:rPr>
            <w:color w:val="0000FF"/>
            <w:u w:val="single"/>
            <w:rtl/>
          </w:rPr>
          <w:t>עפ"ג 17796-10-14</w:t>
        </w:r>
      </w:hyperlink>
      <w:r w:rsidR="00A229F8" w:rsidRPr="00393908">
        <w:rPr>
          <w:rtl/>
        </w:rPr>
        <w:t xml:space="preserve"> </w:t>
      </w:r>
      <w:r w:rsidR="00A229F8" w:rsidRPr="00C13D3B">
        <w:rPr>
          <w:b/>
          <w:bCs/>
          <w:rtl/>
        </w:rPr>
        <w:t>מ.י. נ' דדון</w:t>
      </w:r>
      <w:r w:rsidR="00A229F8" w:rsidRPr="00393908">
        <w:rPr>
          <w:rtl/>
        </w:rPr>
        <w:t xml:space="preserve"> (2015) ו</w:t>
      </w:r>
      <w:hyperlink r:id="rId25" w:history="1">
        <w:r w:rsidRPr="00ED41FC">
          <w:rPr>
            <w:color w:val="0000FF"/>
            <w:u w:val="single"/>
            <w:rtl/>
          </w:rPr>
          <w:t>עפ"ג 46738-09-14</w:t>
        </w:r>
      </w:hyperlink>
      <w:r w:rsidR="00A229F8">
        <w:rPr>
          <w:rtl/>
        </w:rPr>
        <w:t xml:space="preserve"> </w:t>
      </w:r>
      <w:r w:rsidR="00A229F8" w:rsidRPr="00C13D3B">
        <w:rPr>
          <w:b/>
          <w:bCs/>
          <w:rtl/>
        </w:rPr>
        <w:t>מ.י. נ' צקבאשווילי</w:t>
      </w:r>
      <w:r w:rsidR="00A229F8">
        <w:rPr>
          <w:rtl/>
        </w:rPr>
        <w:t xml:space="preserve"> (2014)</w:t>
      </w:r>
      <w:r w:rsidR="00A229F8">
        <w:rPr>
          <w:rFonts w:hint="cs"/>
          <w:rtl/>
        </w:rPr>
        <w:t xml:space="preserve"> </w:t>
      </w:r>
      <w:r w:rsidR="00A229F8">
        <w:rPr>
          <w:rtl/>
        </w:rPr>
        <w:t>–</w:t>
      </w:r>
      <w:r w:rsidR="00A229F8">
        <w:rPr>
          <w:rFonts w:hint="cs"/>
          <w:rtl/>
        </w:rPr>
        <w:t xml:space="preserve"> גידול 25 ק"ג ו-18 ק"ג בהתאמה, נקבעו מתחמים זהים של 18 עד 33 חודשי מאסר;</w:t>
      </w:r>
    </w:p>
    <w:p w14:paraId="40BC02F8" w14:textId="77777777" w:rsidR="00A229F8" w:rsidRDefault="00ED41FC" w:rsidP="00A229F8">
      <w:pPr>
        <w:spacing w:line="360" w:lineRule="auto"/>
        <w:ind w:left="360"/>
        <w:jc w:val="both"/>
        <w:rPr>
          <w:rtl/>
        </w:rPr>
      </w:pPr>
      <w:hyperlink r:id="rId26" w:history="1">
        <w:r w:rsidRPr="00ED41FC">
          <w:rPr>
            <w:color w:val="0000FF"/>
            <w:u w:val="single"/>
            <w:rtl/>
          </w:rPr>
          <w:t>עפ"ג 32071-04-15</w:t>
        </w:r>
      </w:hyperlink>
      <w:r w:rsidR="00A229F8">
        <w:rPr>
          <w:rFonts w:hint="cs"/>
          <w:rtl/>
        </w:rPr>
        <w:t xml:space="preserve"> </w:t>
      </w:r>
      <w:r w:rsidR="00A229F8">
        <w:rPr>
          <w:rFonts w:hint="cs"/>
          <w:b/>
          <w:bCs/>
          <w:rtl/>
        </w:rPr>
        <w:t>סבג נ' מ.י.</w:t>
      </w:r>
      <w:r w:rsidR="00A229F8">
        <w:rPr>
          <w:rFonts w:hint="cs"/>
          <w:rtl/>
        </w:rPr>
        <w:t xml:space="preserve"> (2015) </w:t>
      </w:r>
      <w:r w:rsidR="00A229F8">
        <w:rPr>
          <w:rtl/>
        </w:rPr>
        <w:t>–</w:t>
      </w:r>
      <w:r w:rsidR="00A229F8">
        <w:rPr>
          <w:rFonts w:hint="cs"/>
          <w:rtl/>
        </w:rPr>
        <w:t xml:space="preserve"> גידול 50 ק"ג, נקבע מתחם של 18 עד 33 חודשי מאסר;</w:t>
      </w:r>
    </w:p>
    <w:p w14:paraId="07CAB326" w14:textId="77777777" w:rsidR="00A229F8" w:rsidRPr="0045567D" w:rsidRDefault="00ED41FC" w:rsidP="00A229F8">
      <w:pPr>
        <w:spacing w:line="360" w:lineRule="auto"/>
        <w:ind w:left="360"/>
        <w:jc w:val="both"/>
        <w:rPr>
          <w:rtl/>
        </w:rPr>
      </w:pPr>
      <w:hyperlink r:id="rId27" w:history="1">
        <w:r w:rsidRPr="00ED41FC">
          <w:rPr>
            <w:color w:val="0000FF"/>
            <w:u w:val="single"/>
            <w:rtl/>
          </w:rPr>
          <w:t>ת"פ 16958-01-14</w:t>
        </w:r>
      </w:hyperlink>
      <w:r w:rsidR="00A229F8">
        <w:rPr>
          <w:rFonts w:hint="cs"/>
          <w:rtl/>
        </w:rPr>
        <w:t xml:space="preserve"> </w:t>
      </w:r>
      <w:r w:rsidR="00A229F8">
        <w:rPr>
          <w:rFonts w:hint="cs"/>
          <w:b/>
          <w:bCs/>
          <w:rtl/>
        </w:rPr>
        <w:t>מ.י. נ' חייק</w:t>
      </w:r>
      <w:r w:rsidR="00A229F8">
        <w:rPr>
          <w:rFonts w:hint="cs"/>
          <w:rtl/>
        </w:rPr>
        <w:t xml:space="preserve"> (2014) </w:t>
      </w:r>
      <w:r w:rsidR="00A229F8">
        <w:rPr>
          <w:rtl/>
        </w:rPr>
        <w:t>–</w:t>
      </w:r>
      <w:r w:rsidR="00A229F8">
        <w:rPr>
          <w:rFonts w:hint="cs"/>
          <w:rtl/>
        </w:rPr>
        <w:t xml:space="preserve"> גידול 60 ק"ג, נקבע מתחם של 12 עד 36 חודשי מאסר;</w:t>
      </w:r>
    </w:p>
    <w:p w14:paraId="06475E1F" w14:textId="77777777" w:rsidR="00A229F8" w:rsidRDefault="00ED41FC" w:rsidP="00A229F8">
      <w:pPr>
        <w:spacing w:line="360" w:lineRule="auto"/>
        <w:ind w:left="360"/>
        <w:jc w:val="both"/>
        <w:rPr>
          <w:rtl/>
        </w:rPr>
      </w:pPr>
      <w:hyperlink r:id="rId28" w:history="1">
        <w:r w:rsidRPr="00ED41FC">
          <w:rPr>
            <w:color w:val="0000FF"/>
            <w:u w:val="single"/>
            <w:rtl/>
          </w:rPr>
          <w:t>ת"פ 63025-03-15</w:t>
        </w:r>
      </w:hyperlink>
      <w:r w:rsidR="00A229F8">
        <w:rPr>
          <w:rFonts w:hint="cs"/>
          <w:rtl/>
        </w:rPr>
        <w:t xml:space="preserve"> </w:t>
      </w:r>
      <w:r w:rsidR="00A229F8">
        <w:rPr>
          <w:rFonts w:hint="cs"/>
          <w:b/>
          <w:bCs/>
          <w:rtl/>
        </w:rPr>
        <w:t>מ.י. נ' רובין</w:t>
      </w:r>
      <w:r w:rsidR="00A229F8">
        <w:rPr>
          <w:rFonts w:hint="cs"/>
          <w:rtl/>
        </w:rPr>
        <w:t xml:space="preserve"> (2016) </w:t>
      </w:r>
      <w:r w:rsidR="00A229F8">
        <w:rPr>
          <w:rtl/>
        </w:rPr>
        <w:t>–</w:t>
      </w:r>
      <w:r w:rsidR="00A229F8">
        <w:rPr>
          <w:rFonts w:hint="cs"/>
          <w:rtl/>
        </w:rPr>
        <w:t xml:space="preserve"> גידול 22 ק"ג, נקבע מתחם של 10 עד 30 חודשי מאסר</w:t>
      </w:r>
      <w:r w:rsidR="00A229F8">
        <w:rPr>
          <w:rStyle w:val="ab"/>
          <w:rtl/>
        </w:rPr>
        <w:footnoteReference w:id="2"/>
      </w:r>
      <w:r w:rsidR="00A229F8">
        <w:rPr>
          <w:rFonts w:hint="cs"/>
          <w:rtl/>
        </w:rPr>
        <w:t>;</w:t>
      </w:r>
    </w:p>
    <w:p w14:paraId="7AF29044" w14:textId="77777777" w:rsidR="00A229F8" w:rsidRDefault="00ED41FC" w:rsidP="00A229F8">
      <w:pPr>
        <w:spacing w:line="360" w:lineRule="auto"/>
        <w:ind w:left="360"/>
        <w:jc w:val="both"/>
        <w:rPr>
          <w:rtl/>
        </w:rPr>
      </w:pPr>
      <w:hyperlink r:id="rId29" w:history="1">
        <w:r w:rsidRPr="00ED41FC">
          <w:rPr>
            <w:color w:val="0000FF"/>
            <w:u w:val="single"/>
            <w:rtl/>
          </w:rPr>
          <w:t>ת"פ 15425-02-14</w:t>
        </w:r>
      </w:hyperlink>
      <w:r w:rsidR="00A229F8">
        <w:rPr>
          <w:rFonts w:hint="cs"/>
          <w:rtl/>
        </w:rPr>
        <w:t xml:space="preserve"> </w:t>
      </w:r>
      <w:r w:rsidR="00A229F8">
        <w:rPr>
          <w:rFonts w:hint="cs"/>
          <w:b/>
          <w:bCs/>
          <w:rtl/>
        </w:rPr>
        <w:t>מ.י. נ' גילוני</w:t>
      </w:r>
      <w:r w:rsidR="00A229F8">
        <w:rPr>
          <w:rFonts w:hint="cs"/>
          <w:rtl/>
        </w:rPr>
        <w:t xml:space="preserve"> (2015) </w:t>
      </w:r>
      <w:r w:rsidR="00A229F8">
        <w:rPr>
          <w:rtl/>
        </w:rPr>
        <w:t>–</w:t>
      </w:r>
      <w:r w:rsidR="00A229F8">
        <w:rPr>
          <w:rFonts w:hint="cs"/>
          <w:rtl/>
        </w:rPr>
        <w:t xml:space="preserve"> גידול 23 ק"ג, נקבע מתחם של 12 עד 30 חודשי מאסר;</w:t>
      </w:r>
    </w:p>
    <w:p w14:paraId="46958C12" w14:textId="77777777" w:rsidR="00A229F8" w:rsidRDefault="00ED41FC" w:rsidP="00A229F8">
      <w:pPr>
        <w:spacing w:line="360" w:lineRule="auto"/>
        <w:ind w:left="360"/>
        <w:jc w:val="both"/>
        <w:rPr>
          <w:rtl/>
        </w:rPr>
      </w:pPr>
      <w:hyperlink r:id="rId30" w:history="1">
        <w:r w:rsidRPr="00ED41FC">
          <w:rPr>
            <w:color w:val="0000FF"/>
            <w:u w:val="single"/>
            <w:rtl/>
          </w:rPr>
          <w:t>ת"פ 3001-08-12</w:t>
        </w:r>
      </w:hyperlink>
      <w:r w:rsidR="00A229F8">
        <w:rPr>
          <w:rFonts w:hint="cs"/>
          <w:rtl/>
        </w:rPr>
        <w:t xml:space="preserve"> </w:t>
      </w:r>
      <w:r w:rsidR="00A229F8">
        <w:rPr>
          <w:rFonts w:hint="cs"/>
          <w:b/>
          <w:bCs/>
          <w:rtl/>
        </w:rPr>
        <w:t xml:space="preserve">מ.י. נ' עמר </w:t>
      </w:r>
      <w:r w:rsidR="00A229F8">
        <w:rPr>
          <w:rFonts w:hint="cs"/>
          <w:rtl/>
        </w:rPr>
        <w:t xml:space="preserve">(2014) </w:t>
      </w:r>
      <w:r w:rsidR="00A229F8">
        <w:rPr>
          <w:rtl/>
        </w:rPr>
        <w:t>–</w:t>
      </w:r>
      <w:r w:rsidR="00A229F8">
        <w:rPr>
          <w:rFonts w:hint="cs"/>
          <w:rtl/>
        </w:rPr>
        <w:t xml:space="preserve"> גידול 35 ק"ג, נקבע מתחם של 12 עד 24 חודשי מאסר;</w:t>
      </w:r>
    </w:p>
    <w:p w14:paraId="722B62AE" w14:textId="77777777" w:rsidR="00A229F8" w:rsidRPr="00B8304F" w:rsidRDefault="00ED41FC" w:rsidP="00A229F8">
      <w:pPr>
        <w:spacing w:line="360" w:lineRule="auto"/>
        <w:ind w:left="360"/>
        <w:jc w:val="both"/>
        <w:rPr>
          <w:rtl/>
        </w:rPr>
      </w:pPr>
      <w:hyperlink r:id="rId31" w:history="1">
        <w:r w:rsidRPr="00ED41FC">
          <w:rPr>
            <w:color w:val="0000FF"/>
            <w:u w:val="single"/>
            <w:rtl/>
          </w:rPr>
          <w:t>ת"פ 14948-05-13</w:t>
        </w:r>
      </w:hyperlink>
      <w:r w:rsidR="00A229F8" w:rsidRPr="00C74533">
        <w:rPr>
          <w:rtl/>
        </w:rPr>
        <w:t xml:space="preserve"> </w:t>
      </w:r>
      <w:r w:rsidR="00A229F8" w:rsidRPr="005405F3">
        <w:rPr>
          <w:b/>
          <w:bCs/>
          <w:rtl/>
        </w:rPr>
        <w:t>מ</w:t>
      </w:r>
      <w:r w:rsidR="00A229F8" w:rsidRPr="005405F3">
        <w:rPr>
          <w:rFonts w:hint="cs"/>
          <w:b/>
          <w:bCs/>
          <w:rtl/>
        </w:rPr>
        <w:t>.י.</w:t>
      </w:r>
      <w:r w:rsidR="00A229F8" w:rsidRPr="005405F3">
        <w:rPr>
          <w:b/>
          <w:bCs/>
          <w:rtl/>
        </w:rPr>
        <w:t xml:space="preserve"> נ' בן משה</w:t>
      </w:r>
      <w:r w:rsidR="00A229F8">
        <w:rPr>
          <w:rFonts w:hint="cs"/>
          <w:rtl/>
        </w:rPr>
        <w:t xml:space="preserve"> (2014) </w:t>
      </w:r>
      <w:r w:rsidR="00A229F8">
        <w:rPr>
          <w:rtl/>
        </w:rPr>
        <w:t>–</w:t>
      </w:r>
      <w:r w:rsidR="00A229F8">
        <w:rPr>
          <w:rFonts w:hint="cs"/>
          <w:rtl/>
        </w:rPr>
        <w:t xml:space="preserve"> גידול 40 ק"ג, נגזרו 28 חודשי מאסר בפועל, ללא קביעת מתחם;</w:t>
      </w:r>
    </w:p>
    <w:p w14:paraId="0575ACBE" w14:textId="77777777" w:rsidR="00A229F8" w:rsidRDefault="00A229F8" w:rsidP="00A229F8">
      <w:pPr>
        <w:pStyle w:val="ListParagraph"/>
        <w:numPr>
          <w:ilvl w:val="0"/>
          <w:numId w:val="2"/>
        </w:numPr>
        <w:spacing w:line="360" w:lineRule="auto"/>
        <w:jc w:val="both"/>
      </w:pPr>
      <w:r>
        <w:rPr>
          <w:rFonts w:hint="cs"/>
          <w:rtl/>
        </w:rPr>
        <w:t>מתחם העונש ההולם ייקבע אפוא בין 15 לבין 36 חודשי מאסר בפועל, כעונש עיקרי.</w:t>
      </w:r>
    </w:p>
    <w:p w14:paraId="0E70AE7F" w14:textId="77777777" w:rsidR="00A229F8" w:rsidRPr="00C961BB" w:rsidRDefault="00A229F8" w:rsidP="00A229F8">
      <w:pPr>
        <w:spacing w:line="360" w:lineRule="auto"/>
        <w:jc w:val="both"/>
        <w:rPr>
          <w:rtl/>
        </w:rPr>
      </w:pPr>
    </w:p>
    <w:p w14:paraId="13E2FDD4" w14:textId="77777777" w:rsidR="00A229F8" w:rsidRPr="00057183" w:rsidRDefault="00A229F8" w:rsidP="00A229F8">
      <w:pPr>
        <w:spacing w:line="360" w:lineRule="auto"/>
        <w:jc w:val="both"/>
        <w:rPr>
          <w:b/>
          <w:bCs/>
          <w:u w:val="single"/>
        </w:rPr>
      </w:pPr>
      <w:r>
        <w:rPr>
          <w:rFonts w:hint="cs"/>
          <w:b/>
          <w:bCs/>
          <w:u w:val="single"/>
          <w:rtl/>
        </w:rPr>
        <w:t xml:space="preserve">נסיבותיו של הנאשם </w:t>
      </w:r>
      <w:r>
        <w:rPr>
          <w:b/>
          <w:bCs/>
          <w:u w:val="single"/>
          <w:rtl/>
        </w:rPr>
        <w:t>–</w:t>
      </w:r>
      <w:r>
        <w:rPr>
          <w:rFonts w:hint="cs"/>
          <w:b/>
          <w:bCs/>
          <w:u w:val="single"/>
          <w:rtl/>
        </w:rPr>
        <w:t xml:space="preserve"> קביעת העונש במתחם:</w:t>
      </w:r>
    </w:p>
    <w:p w14:paraId="063070A1" w14:textId="77777777" w:rsidR="00A229F8" w:rsidRDefault="00A229F8" w:rsidP="00A229F8">
      <w:pPr>
        <w:pStyle w:val="ListParagraph"/>
        <w:numPr>
          <w:ilvl w:val="0"/>
          <w:numId w:val="3"/>
        </w:numPr>
        <w:spacing w:line="360" w:lineRule="auto"/>
        <w:jc w:val="both"/>
      </w:pPr>
      <w:r>
        <w:rPr>
          <w:rFonts w:hint="cs"/>
          <w:rtl/>
        </w:rPr>
        <w:t xml:space="preserve">הנאשם יליד 1978, בקשר זוגי ואב לשני ילדים קטנים. לחובת הנאשם עבר פלילי </w:t>
      </w:r>
      <w:r>
        <w:rPr>
          <w:rtl/>
        </w:rPr>
        <w:t>–</w:t>
      </w:r>
      <w:r>
        <w:rPr>
          <w:rFonts w:hint="cs"/>
          <w:rtl/>
        </w:rPr>
        <w:t xml:space="preserve"> שלוש הרשעות, בעבירות אלימות במשפחה, רכוש והפרת הוראה חוקית, והוא ריצה עונש מאסר בעבר. עם-זאת, יש לציין כי עבירה אחרונה בגינה הורשע עבר הנאשם בשנת 2013, ואת עונש המאסר ריצה בשנת 2010.</w:t>
      </w:r>
    </w:p>
    <w:p w14:paraId="0B5D9653" w14:textId="77777777" w:rsidR="00A229F8" w:rsidRDefault="00A229F8" w:rsidP="00A229F8">
      <w:pPr>
        <w:pStyle w:val="ListParagraph"/>
        <w:numPr>
          <w:ilvl w:val="0"/>
          <w:numId w:val="3"/>
        </w:numPr>
        <w:spacing w:line="360" w:lineRule="auto"/>
        <w:jc w:val="both"/>
      </w:pPr>
      <w:r>
        <w:rPr>
          <w:rFonts w:hint="cs"/>
          <w:rtl/>
        </w:rPr>
        <w:t>לזכות הנאשם יש לזקוף נתונים אלו:</w:t>
      </w:r>
    </w:p>
    <w:p w14:paraId="205CACB8" w14:textId="77777777" w:rsidR="00A229F8" w:rsidRDefault="00A229F8" w:rsidP="00A229F8">
      <w:pPr>
        <w:pStyle w:val="ListParagraph"/>
        <w:numPr>
          <w:ilvl w:val="1"/>
          <w:numId w:val="3"/>
        </w:numPr>
        <w:spacing w:line="360" w:lineRule="auto"/>
        <w:jc w:val="both"/>
      </w:pPr>
      <w:r>
        <w:rPr>
          <w:rFonts w:hint="cs"/>
          <w:rtl/>
        </w:rPr>
        <w:t>הודאה שיש עמה נטילת אחריות וגם חיסכון במשאבי ציבור;</w:t>
      </w:r>
    </w:p>
    <w:p w14:paraId="1E5ADC06" w14:textId="77777777" w:rsidR="00A229F8" w:rsidRDefault="00A229F8" w:rsidP="00A229F8">
      <w:pPr>
        <w:pStyle w:val="ListParagraph"/>
        <w:numPr>
          <w:ilvl w:val="1"/>
          <w:numId w:val="3"/>
        </w:numPr>
        <w:spacing w:line="360" w:lineRule="auto"/>
        <w:jc w:val="both"/>
      </w:pPr>
      <w:r>
        <w:rPr>
          <w:rFonts w:hint="cs"/>
          <w:rtl/>
        </w:rPr>
        <w:t>פגיעת העונש במשפחתו, ובמיוחד בילדיו הקטנים;</w:t>
      </w:r>
    </w:p>
    <w:p w14:paraId="1EB7891B" w14:textId="77777777" w:rsidR="00A229F8" w:rsidRDefault="00A229F8" w:rsidP="00A229F8">
      <w:pPr>
        <w:pStyle w:val="ListParagraph"/>
        <w:numPr>
          <w:ilvl w:val="1"/>
          <w:numId w:val="3"/>
        </w:numPr>
        <w:spacing w:line="360" w:lineRule="auto"/>
        <w:jc w:val="both"/>
      </w:pPr>
      <w:r>
        <w:rPr>
          <w:rFonts w:hint="cs"/>
          <w:rtl/>
        </w:rPr>
        <w:t>הנזק שנגרם לנאשם בעטיים של מעשיו ושל ההליך הפלילי, משנפצע במהלך מעצרו על-ידי עציר אחר ונותרה בפניו צלקת גלויה לעין, לאחר תפירת חתך (נע/1-נע/4);</w:t>
      </w:r>
    </w:p>
    <w:p w14:paraId="021389C2" w14:textId="77777777" w:rsidR="00A229F8" w:rsidRDefault="00A229F8" w:rsidP="00A229F8">
      <w:pPr>
        <w:pStyle w:val="ListParagraph"/>
        <w:numPr>
          <w:ilvl w:val="0"/>
          <w:numId w:val="3"/>
        </w:numPr>
        <w:spacing w:line="360" w:lineRule="auto"/>
        <w:jc w:val="both"/>
      </w:pPr>
      <w:r>
        <w:rPr>
          <w:rFonts w:hint="cs"/>
          <w:rtl/>
        </w:rPr>
        <w:t>עברו הפלילי של הנאשם נושא עמו משקל מחמיר, אך מוגבל, לנוכח חלוף השנים ואי-מעורבות בעבירות סמים בעבר.</w:t>
      </w:r>
    </w:p>
    <w:p w14:paraId="42988CC0" w14:textId="77777777" w:rsidR="00A229F8" w:rsidRDefault="00A229F8" w:rsidP="00A229F8">
      <w:pPr>
        <w:pStyle w:val="ListParagraph"/>
        <w:numPr>
          <w:ilvl w:val="0"/>
          <w:numId w:val="3"/>
        </w:numPr>
        <w:spacing w:line="360" w:lineRule="auto"/>
        <w:jc w:val="both"/>
      </w:pPr>
      <w:r>
        <w:rPr>
          <w:rFonts w:hint="cs"/>
          <w:rtl/>
        </w:rPr>
        <w:t xml:space="preserve">עונשו העיקרי של הנאשם ייקבע אפוא בשליש התחתון של מתחם העונש. </w:t>
      </w:r>
    </w:p>
    <w:p w14:paraId="715C8135" w14:textId="77777777" w:rsidR="00A229F8" w:rsidRDefault="00A229F8" w:rsidP="00A229F8">
      <w:pPr>
        <w:pStyle w:val="ListParagraph"/>
        <w:numPr>
          <w:ilvl w:val="0"/>
          <w:numId w:val="3"/>
        </w:numPr>
        <w:spacing w:line="360" w:lineRule="auto"/>
        <w:jc w:val="both"/>
      </w:pPr>
      <w:r>
        <w:rPr>
          <w:rFonts w:hint="cs"/>
          <w:rtl/>
        </w:rPr>
        <w:t>הקנס שיוטל יהא מתון ביותר, כעתירת ההגנה, לנוכח תקופות המעצר והמאסר ולנוכח מצבו הכלכלי הדחוק של הנאשם. יצוין, שבמסגרת ההסדר לא התבקשה הכרזתו של הנאשם כ"סוחר סמים" ולא התבקש חילוט.</w:t>
      </w:r>
    </w:p>
    <w:p w14:paraId="04D5CED6" w14:textId="77777777" w:rsidR="00A229F8" w:rsidRDefault="00A229F8" w:rsidP="00A229F8">
      <w:pPr>
        <w:spacing w:line="360" w:lineRule="auto"/>
        <w:jc w:val="both"/>
        <w:rPr>
          <w:rtl/>
        </w:rPr>
      </w:pPr>
    </w:p>
    <w:p w14:paraId="196C8F88" w14:textId="77777777" w:rsidR="00A229F8" w:rsidRPr="00001648" w:rsidRDefault="00A229F8" w:rsidP="00A229F8">
      <w:pPr>
        <w:spacing w:line="360" w:lineRule="auto"/>
        <w:jc w:val="both"/>
        <w:rPr>
          <w:b/>
          <w:bCs/>
          <w:u w:val="single"/>
          <w:rtl/>
        </w:rPr>
      </w:pPr>
      <w:r>
        <w:rPr>
          <w:rFonts w:hint="cs"/>
          <w:b/>
          <w:bCs/>
          <w:u w:val="single"/>
          <w:rtl/>
        </w:rPr>
        <w:t>סוף-דבר, אני גוזר על הנאשם את העונשים הבאים:</w:t>
      </w:r>
    </w:p>
    <w:p w14:paraId="74CB1930" w14:textId="77777777" w:rsidR="00A229F8" w:rsidRDefault="00A229F8" w:rsidP="00A229F8">
      <w:pPr>
        <w:spacing w:line="360" w:lineRule="auto"/>
        <w:jc w:val="both"/>
        <w:rPr>
          <w:rtl/>
        </w:rPr>
      </w:pPr>
      <w:r>
        <w:rPr>
          <w:rFonts w:hint="cs"/>
          <w:rtl/>
        </w:rPr>
        <w:t>א.</w:t>
      </w:r>
      <w:r>
        <w:rPr>
          <w:rtl/>
        </w:rPr>
        <w:tab/>
      </w:r>
      <w:r>
        <w:rPr>
          <w:rFonts w:hint="cs"/>
          <w:rtl/>
        </w:rPr>
        <w:t>20 חודשי מאסר בפועל, החל מיום מעצרו 6.6.16;</w:t>
      </w:r>
    </w:p>
    <w:p w14:paraId="2E923CE7" w14:textId="77777777" w:rsidR="00A229F8" w:rsidRDefault="00A229F8" w:rsidP="00A229F8">
      <w:pPr>
        <w:spacing w:line="360" w:lineRule="auto"/>
        <w:jc w:val="both"/>
        <w:rPr>
          <w:rtl/>
        </w:rPr>
      </w:pPr>
      <w:r>
        <w:rPr>
          <w:rFonts w:hint="cs"/>
          <w:rtl/>
        </w:rPr>
        <w:t xml:space="preserve">ב. </w:t>
      </w:r>
      <w:r>
        <w:rPr>
          <w:rFonts w:hint="cs"/>
          <w:rtl/>
        </w:rPr>
        <w:tab/>
        <w:t>6 חודשי מאסר על-תנאי למשך שנתיים מיום שחרורו, שלא יעבור עבירת סם מסוג פשע;</w:t>
      </w:r>
    </w:p>
    <w:p w14:paraId="3B372423" w14:textId="77777777" w:rsidR="00A229F8" w:rsidRDefault="00A229F8" w:rsidP="00A229F8">
      <w:pPr>
        <w:spacing w:line="360" w:lineRule="auto"/>
        <w:ind w:left="720" w:hanging="720"/>
        <w:jc w:val="both"/>
        <w:rPr>
          <w:rtl/>
        </w:rPr>
      </w:pPr>
      <w:r>
        <w:rPr>
          <w:rFonts w:hint="cs"/>
          <w:rtl/>
        </w:rPr>
        <w:t>ג.</w:t>
      </w:r>
      <w:r>
        <w:rPr>
          <w:rtl/>
        </w:rPr>
        <w:tab/>
      </w:r>
      <w:r>
        <w:rPr>
          <w:rFonts w:hint="cs"/>
          <w:rtl/>
        </w:rPr>
        <w:t>קנס בסך 2,000 ₪, שישולם בחמישה תשלומים חודשיים, שווים ורצופים, שהראשון שבהם לא יאוחר מיום 1.1.18, וכשמחדל או עיכוב באחד התשלומים יעמיד מלוא הסך לפירעון מיידי. לא ישולם הקנס, ייאסר הנאשם למשך חודש נוסף. הקנס יועבר לזכות קרן הסמים;</w:t>
      </w:r>
    </w:p>
    <w:p w14:paraId="4D7231B9" w14:textId="77777777" w:rsidR="00A229F8" w:rsidRDefault="00A229F8" w:rsidP="00A229F8">
      <w:pPr>
        <w:spacing w:line="360" w:lineRule="auto"/>
        <w:ind w:left="720" w:hanging="720"/>
        <w:jc w:val="both"/>
        <w:rPr>
          <w:rtl/>
        </w:rPr>
      </w:pPr>
    </w:p>
    <w:p w14:paraId="30EA6C56" w14:textId="77777777" w:rsidR="00A229F8" w:rsidRDefault="00A229F8" w:rsidP="00A229F8">
      <w:pPr>
        <w:spacing w:line="360" w:lineRule="auto"/>
        <w:ind w:left="720" w:hanging="720"/>
        <w:jc w:val="both"/>
        <w:rPr>
          <w:rtl/>
        </w:rPr>
      </w:pPr>
      <w:r w:rsidRPr="0051241E">
        <w:rPr>
          <w:rFonts w:hint="cs"/>
          <w:b/>
          <w:bCs/>
          <w:u w:val="single"/>
          <w:rtl/>
        </w:rPr>
        <w:t>מוצגים</w:t>
      </w:r>
      <w:r>
        <w:rPr>
          <w:rFonts w:hint="cs"/>
          <w:rtl/>
        </w:rPr>
        <w:t>: הסם וציוד גידול יושמדו. יתר מוצגים, פרט לכסף, יועברו להכרעה פרטנית של קצין משטרה.</w:t>
      </w:r>
    </w:p>
    <w:p w14:paraId="2C4AE8D3" w14:textId="77777777" w:rsidR="00A229F8" w:rsidRDefault="00A229F8" w:rsidP="00A229F8">
      <w:pPr>
        <w:spacing w:line="360" w:lineRule="auto"/>
        <w:ind w:left="720" w:hanging="720"/>
        <w:jc w:val="both"/>
        <w:rPr>
          <w:rtl/>
        </w:rPr>
      </w:pPr>
    </w:p>
    <w:p w14:paraId="50D2A85D" w14:textId="77777777" w:rsidR="00A229F8" w:rsidRDefault="00A229F8" w:rsidP="00A229F8">
      <w:pPr>
        <w:spacing w:line="360" w:lineRule="auto"/>
        <w:ind w:left="720" w:hanging="720"/>
        <w:jc w:val="both"/>
        <w:rPr>
          <w:rtl/>
        </w:rPr>
      </w:pPr>
      <w:r>
        <w:rPr>
          <w:rFonts w:hint="cs"/>
          <w:rtl/>
        </w:rPr>
        <w:t>זכות ערעור תוך 45 יום לבית המשפט המחוזי.</w:t>
      </w:r>
    </w:p>
    <w:p w14:paraId="3C91DD17" w14:textId="77777777" w:rsidR="00A229F8" w:rsidRPr="00ED41FC" w:rsidRDefault="00ED41FC" w:rsidP="00A229F8">
      <w:pPr>
        <w:spacing w:line="360" w:lineRule="auto"/>
        <w:ind w:left="720" w:hanging="720"/>
        <w:jc w:val="both"/>
        <w:rPr>
          <w:color w:val="FFFFFF"/>
          <w:sz w:val="2"/>
          <w:szCs w:val="2"/>
          <w:rtl/>
        </w:rPr>
      </w:pPr>
      <w:r w:rsidRPr="00ED41FC">
        <w:rPr>
          <w:color w:val="FFFFFF"/>
          <w:sz w:val="2"/>
          <w:szCs w:val="2"/>
          <w:rtl/>
        </w:rPr>
        <w:t>5129371</w:t>
      </w:r>
    </w:p>
    <w:p w14:paraId="42DB8503" w14:textId="77777777" w:rsidR="00A229F8" w:rsidRPr="00250B83" w:rsidRDefault="00ED41FC" w:rsidP="00A229F8">
      <w:pPr>
        <w:rPr>
          <w:rtl/>
        </w:rPr>
      </w:pPr>
      <w:r w:rsidRPr="00ED41FC">
        <w:rPr>
          <w:rFonts w:ascii="Arial" w:hAnsi="Arial"/>
          <w:color w:val="FFFFFF"/>
          <w:sz w:val="2"/>
          <w:szCs w:val="2"/>
          <w:rtl/>
        </w:rPr>
        <w:t>54678313</w:t>
      </w:r>
      <w:r>
        <w:rPr>
          <w:rFonts w:ascii="Arial" w:hAnsi="Arial"/>
          <w:rtl/>
        </w:rPr>
        <w:t xml:space="preserve">ניתן היום,  ד' סיוון תשע"ז, 29 מאי 2017, במעמד הצדדים. </w:t>
      </w:r>
    </w:p>
    <w:p w14:paraId="7A8A8CC4" w14:textId="77777777" w:rsidR="00A229F8" w:rsidRPr="00250B83" w:rsidRDefault="00A229F8" w:rsidP="00A229F8">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304742C0" w14:textId="77777777" w:rsidR="00A229F8" w:rsidRPr="00250B83" w:rsidRDefault="00A229F8" w:rsidP="00A229F8">
      <w:pPr>
        <w:jc w:val="center"/>
        <w:rPr>
          <w:rFonts w:ascii="Arial" w:hAnsi="Arial"/>
          <w:rtl/>
        </w:rPr>
      </w:pPr>
    </w:p>
    <w:p w14:paraId="38D889DB" w14:textId="77777777" w:rsidR="00A229F8" w:rsidRPr="00250B83" w:rsidRDefault="00A229F8" w:rsidP="00A229F8">
      <w:pPr>
        <w:rPr>
          <w:rtl/>
        </w:rPr>
      </w:pPr>
    </w:p>
    <w:p w14:paraId="662D62AF" w14:textId="77777777" w:rsidR="00A229F8" w:rsidRPr="005A5587" w:rsidRDefault="005A5587" w:rsidP="00A229F8">
      <w:pPr>
        <w:pStyle w:val="a3"/>
        <w:jc w:val="center"/>
        <w:rPr>
          <w:color w:val="FFFFFF"/>
          <w:sz w:val="2"/>
          <w:szCs w:val="2"/>
          <w:rtl/>
        </w:rPr>
      </w:pPr>
      <w:r w:rsidRPr="005A5587">
        <w:rPr>
          <w:color w:val="FFFFFF"/>
          <w:sz w:val="2"/>
          <w:szCs w:val="2"/>
          <w:rtl/>
        </w:rPr>
        <w:t>5129371</w:t>
      </w:r>
    </w:p>
    <w:p w14:paraId="762FC264" w14:textId="77777777" w:rsidR="00ED41FC" w:rsidRPr="005A5587" w:rsidRDefault="005A5587" w:rsidP="00ED41FC">
      <w:pPr>
        <w:keepNext/>
        <w:rPr>
          <w:rFonts w:ascii="David" w:hAnsi="David"/>
          <w:color w:val="FFFFFF"/>
          <w:sz w:val="2"/>
          <w:szCs w:val="2"/>
          <w:rtl/>
        </w:rPr>
      </w:pPr>
      <w:r w:rsidRPr="005A5587">
        <w:rPr>
          <w:rFonts w:ascii="David" w:hAnsi="David"/>
          <w:color w:val="FFFFFF"/>
          <w:sz w:val="2"/>
          <w:szCs w:val="2"/>
          <w:rtl/>
        </w:rPr>
        <w:t>54678313</w:t>
      </w:r>
    </w:p>
    <w:p w14:paraId="214168F8" w14:textId="77777777" w:rsidR="00ED41FC" w:rsidRPr="00ED41FC" w:rsidRDefault="00ED41FC" w:rsidP="00ED41FC">
      <w:pPr>
        <w:keepNext/>
        <w:rPr>
          <w:rFonts w:ascii="David" w:hAnsi="David"/>
          <w:color w:val="000000"/>
          <w:sz w:val="22"/>
          <w:szCs w:val="22"/>
          <w:rtl/>
        </w:rPr>
      </w:pPr>
      <w:r w:rsidRPr="00ED41FC">
        <w:rPr>
          <w:rFonts w:ascii="David" w:hAnsi="David"/>
          <w:color w:val="000000"/>
          <w:sz w:val="22"/>
          <w:szCs w:val="22"/>
          <w:rtl/>
        </w:rPr>
        <w:t>עידו דרויאן גמליאל 54678313</w:t>
      </w:r>
    </w:p>
    <w:p w14:paraId="6564C8A2" w14:textId="77777777" w:rsidR="00ED41FC" w:rsidRDefault="00ED41FC" w:rsidP="00ED41FC">
      <w:r w:rsidRPr="00ED41FC">
        <w:rPr>
          <w:color w:val="000000"/>
          <w:rtl/>
        </w:rPr>
        <w:t>נוסח מסמך זה כפוף לשינויי ניסוח ועריכה</w:t>
      </w:r>
    </w:p>
    <w:p w14:paraId="6671E72F" w14:textId="77777777" w:rsidR="00ED41FC" w:rsidRDefault="00ED41FC" w:rsidP="00ED41FC">
      <w:pPr>
        <w:rPr>
          <w:rtl/>
        </w:rPr>
      </w:pPr>
    </w:p>
    <w:p w14:paraId="3ABEEB56" w14:textId="77777777" w:rsidR="00ED41FC" w:rsidRDefault="00ED41FC" w:rsidP="00ED41FC">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49572659" w14:textId="77777777" w:rsidR="002D7B2F" w:rsidRPr="00ED41FC" w:rsidRDefault="002D7B2F" w:rsidP="005A5587">
      <w:pPr>
        <w:rPr>
          <w:color w:val="0000FF"/>
          <w:u w:val="single"/>
        </w:rPr>
      </w:pPr>
    </w:p>
    <w:sectPr w:rsidR="002D7B2F" w:rsidRPr="00ED41FC" w:rsidSect="005A5587">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9AB75" w14:textId="77777777" w:rsidR="009E2466" w:rsidRDefault="009E2466" w:rsidP="00A229F8">
      <w:r>
        <w:separator/>
      </w:r>
    </w:p>
  </w:endnote>
  <w:endnote w:type="continuationSeparator" w:id="0">
    <w:p w14:paraId="65891FEF" w14:textId="77777777" w:rsidR="009E2466" w:rsidRDefault="009E2466" w:rsidP="00A22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73064" w14:textId="77777777" w:rsidR="009E2466" w:rsidRDefault="009E2466" w:rsidP="005A558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F862CB" w14:textId="77777777" w:rsidR="009E2466" w:rsidRPr="005A5587" w:rsidRDefault="009E2466" w:rsidP="005A5587">
    <w:pPr>
      <w:pStyle w:val="a5"/>
      <w:pBdr>
        <w:top w:val="single" w:sz="4" w:space="1" w:color="auto"/>
        <w:between w:val="single" w:sz="4" w:space="0" w:color="auto"/>
      </w:pBdr>
      <w:spacing w:after="60"/>
      <w:jc w:val="center"/>
      <w:rPr>
        <w:rFonts w:ascii="FrankRuehl" w:hAnsi="FrankRuehl" w:cs="FrankRuehl"/>
        <w:color w:val="000000"/>
      </w:rPr>
    </w:pPr>
    <w:r w:rsidRPr="005A55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B45BE" w14:textId="77777777" w:rsidR="009E2466" w:rsidRDefault="009E2466" w:rsidP="005A558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787C">
      <w:rPr>
        <w:rFonts w:ascii="FrankRuehl" w:hAnsi="FrankRuehl" w:cs="FrankRuehl"/>
        <w:noProof/>
        <w:rtl/>
      </w:rPr>
      <w:t>1</w:t>
    </w:r>
    <w:r>
      <w:rPr>
        <w:rFonts w:ascii="FrankRuehl" w:hAnsi="FrankRuehl" w:cs="FrankRuehl"/>
        <w:rtl/>
      </w:rPr>
      <w:fldChar w:fldCharType="end"/>
    </w:r>
  </w:p>
  <w:p w14:paraId="286F49CA" w14:textId="77777777" w:rsidR="009E2466" w:rsidRPr="005A5587" w:rsidRDefault="009E2466" w:rsidP="005A5587">
    <w:pPr>
      <w:pStyle w:val="a5"/>
      <w:pBdr>
        <w:top w:val="single" w:sz="4" w:space="1" w:color="auto"/>
        <w:between w:val="single" w:sz="4" w:space="0" w:color="auto"/>
      </w:pBdr>
      <w:spacing w:after="60"/>
      <w:jc w:val="center"/>
      <w:rPr>
        <w:rFonts w:ascii="FrankRuehl" w:hAnsi="FrankRuehl" w:cs="FrankRuehl"/>
        <w:color w:val="000000"/>
      </w:rPr>
    </w:pPr>
    <w:r w:rsidRPr="005A5587">
      <w:rPr>
        <w:rFonts w:ascii="FrankRuehl" w:hAnsi="FrankRuehl" w:cs="FrankRuehl"/>
        <w:color w:val="000000"/>
      </w:rPr>
      <w:pict w14:anchorId="55C8D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EC563" w14:textId="77777777" w:rsidR="009E2466" w:rsidRDefault="009E2466" w:rsidP="00A229F8">
      <w:r>
        <w:separator/>
      </w:r>
    </w:p>
  </w:footnote>
  <w:footnote w:type="continuationSeparator" w:id="0">
    <w:p w14:paraId="1DF1F066" w14:textId="77777777" w:rsidR="009E2466" w:rsidRDefault="009E2466" w:rsidP="00A229F8">
      <w:r>
        <w:continuationSeparator/>
      </w:r>
    </w:p>
  </w:footnote>
  <w:footnote w:id="1">
    <w:p w14:paraId="13EDFCB7" w14:textId="77777777" w:rsidR="009E2466" w:rsidRDefault="009E2466" w:rsidP="00A229F8">
      <w:pPr>
        <w:pStyle w:val="a9"/>
        <w:rPr>
          <w:rtl/>
        </w:rPr>
      </w:pPr>
      <w:r>
        <w:rPr>
          <w:rStyle w:val="ab"/>
        </w:rPr>
        <w:footnoteRef/>
      </w:r>
      <w:r>
        <w:rPr>
          <w:rtl/>
        </w:rPr>
        <w:t xml:space="preserve"> </w:t>
      </w:r>
      <w:r>
        <w:rPr>
          <w:rtl/>
        </w:rPr>
        <w:tab/>
      </w:r>
      <w:r>
        <w:rPr>
          <w:rFonts w:hint="cs"/>
          <w:rtl/>
        </w:rPr>
        <w:t>עונשו של הנאשם הומתק בערעור, מטעמי שיקום;</w:t>
      </w:r>
    </w:p>
  </w:footnote>
  <w:footnote w:id="2">
    <w:p w14:paraId="2C04C12A" w14:textId="77777777" w:rsidR="009E2466" w:rsidRDefault="009E2466" w:rsidP="00A229F8">
      <w:pPr>
        <w:pStyle w:val="a9"/>
        <w:rPr>
          <w:rtl/>
        </w:rPr>
      </w:pPr>
      <w:r>
        <w:rPr>
          <w:rStyle w:val="ab"/>
        </w:rPr>
        <w:footnoteRef/>
      </w:r>
      <w:r>
        <w:rPr>
          <w:rtl/>
        </w:rPr>
        <w:t xml:space="preserve"> </w:t>
      </w:r>
      <w:r>
        <w:rPr>
          <w:rtl/>
        </w:rPr>
        <w:tab/>
      </w:r>
      <w:r>
        <w:rPr>
          <w:rFonts w:hint="cs"/>
          <w:rtl/>
        </w:rPr>
        <w:t>הוגש ערעור שטרם נדון;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8604A" w14:textId="77777777" w:rsidR="009E2466" w:rsidRPr="005A5587" w:rsidRDefault="009E2466" w:rsidP="005A55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16603-06-16</w:t>
    </w:r>
    <w:r>
      <w:rPr>
        <w:rFonts w:ascii="David" w:hAnsi="David"/>
        <w:color w:val="000000"/>
        <w:sz w:val="22"/>
        <w:szCs w:val="22"/>
        <w:rtl/>
      </w:rPr>
      <w:tab/>
      <w:t xml:space="preserve"> פרקליטות מחוז תל אביב פלילי נ' שבתאי-שבי קנוש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8B668" w14:textId="77777777" w:rsidR="009E2466" w:rsidRPr="005A5587" w:rsidRDefault="009E2466" w:rsidP="005A55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16603-06-16</w:t>
    </w:r>
    <w:r>
      <w:rPr>
        <w:rFonts w:ascii="David" w:hAnsi="David"/>
        <w:color w:val="000000"/>
        <w:sz w:val="22"/>
        <w:szCs w:val="22"/>
        <w:rtl/>
      </w:rPr>
      <w:tab/>
      <w:t xml:space="preserve"> פרקליטות מחוז תל אביב פלילי נ' שבתאי-שבי קנוש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529C3"/>
    <w:multiLevelType w:val="hybridMultilevel"/>
    <w:tmpl w:val="A0765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DA7B30"/>
    <w:multiLevelType w:val="hybridMultilevel"/>
    <w:tmpl w:val="1AC20422"/>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A7241B"/>
    <w:multiLevelType w:val="hybridMultilevel"/>
    <w:tmpl w:val="9F26EDEC"/>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60936627">
    <w:abstractNumId w:val="0"/>
  </w:num>
  <w:num w:numId="2" w16cid:durableId="1313487833">
    <w:abstractNumId w:val="2"/>
  </w:num>
  <w:num w:numId="3" w16cid:durableId="1157650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29F8"/>
    <w:rsid w:val="00136456"/>
    <w:rsid w:val="00165704"/>
    <w:rsid w:val="002D7B2F"/>
    <w:rsid w:val="00323952"/>
    <w:rsid w:val="00374CB2"/>
    <w:rsid w:val="004E01C6"/>
    <w:rsid w:val="005A5587"/>
    <w:rsid w:val="0092787C"/>
    <w:rsid w:val="009E2466"/>
    <w:rsid w:val="00A229F8"/>
    <w:rsid w:val="00BA16A0"/>
    <w:rsid w:val="00E33684"/>
    <w:rsid w:val="00ED41FC"/>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34E7A8C5"/>
  <w15:chartTrackingRefBased/>
  <w15:docId w15:val="{ABFF5A8B-42A9-46DE-8B42-EB900C65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9F8"/>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229F8"/>
    <w:pPr>
      <w:tabs>
        <w:tab w:val="center" w:pos="4153"/>
        <w:tab w:val="right" w:pos="8306"/>
      </w:tabs>
    </w:pPr>
  </w:style>
  <w:style w:type="character" w:customStyle="1" w:styleId="a4">
    <w:name w:val="כותרת עליונה תו"/>
    <w:link w:val="a3"/>
    <w:rsid w:val="00A229F8"/>
    <w:rPr>
      <w:rFonts w:ascii="Times New Roman" w:eastAsia="Times New Roman" w:hAnsi="Times New Roman" w:cs="David"/>
      <w:sz w:val="24"/>
      <w:szCs w:val="24"/>
    </w:rPr>
  </w:style>
  <w:style w:type="paragraph" w:styleId="a5">
    <w:name w:val="footer"/>
    <w:basedOn w:val="a"/>
    <w:link w:val="a6"/>
    <w:rsid w:val="00A229F8"/>
    <w:pPr>
      <w:tabs>
        <w:tab w:val="center" w:pos="4153"/>
        <w:tab w:val="right" w:pos="8306"/>
      </w:tabs>
    </w:pPr>
  </w:style>
  <w:style w:type="character" w:customStyle="1" w:styleId="a6">
    <w:name w:val="כותרת תחתונה תו"/>
    <w:link w:val="a5"/>
    <w:rsid w:val="00A229F8"/>
    <w:rPr>
      <w:rFonts w:ascii="Times New Roman" w:eastAsia="Times New Roman" w:hAnsi="Times New Roman" w:cs="David"/>
      <w:sz w:val="24"/>
      <w:szCs w:val="24"/>
    </w:rPr>
  </w:style>
  <w:style w:type="table" w:styleId="a7">
    <w:name w:val="Table Grid"/>
    <w:basedOn w:val="a1"/>
    <w:rsid w:val="00A229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229F8"/>
  </w:style>
  <w:style w:type="paragraph" w:customStyle="1" w:styleId="ListParagraph">
    <w:name w:val="List Paragraph"/>
    <w:basedOn w:val="a"/>
    <w:rsid w:val="00A229F8"/>
    <w:pPr>
      <w:ind w:left="720"/>
      <w:contextualSpacing/>
    </w:pPr>
  </w:style>
  <w:style w:type="paragraph" w:styleId="a9">
    <w:name w:val="footnote text"/>
    <w:basedOn w:val="a"/>
    <w:link w:val="aa"/>
    <w:rsid w:val="00A229F8"/>
    <w:rPr>
      <w:sz w:val="20"/>
      <w:szCs w:val="20"/>
    </w:rPr>
  </w:style>
  <w:style w:type="character" w:customStyle="1" w:styleId="aa">
    <w:name w:val="טקסט הערת שוליים תו"/>
    <w:link w:val="a9"/>
    <w:rsid w:val="00A229F8"/>
    <w:rPr>
      <w:rFonts w:ascii="Times New Roman" w:eastAsia="Times New Roman" w:hAnsi="Times New Roman" w:cs="David"/>
      <w:sz w:val="20"/>
      <w:szCs w:val="20"/>
    </w:rPr>
  </w:style>
  <w:style w:type="character" w:styleId="ab">
    <w:name w:val="footnote reference"/>
    <w:rsid w:val="00A229F8"/>
    <w:rPr>
      <w:vertAlign w:val="superscript"/>
    </w:rPr>
  </w:style>
  <w:style w:type="character" w:styleId="Hyperlink">
    <w:name w:val="Hyperlink"/>
    <w:basedOn w:val="a0"/>
    <w:rsid w:val="00ED4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9.a" TargetMode="External"/><Relationship Id="rId18" Type="http://schemas.openxmlformats.org/officeDocument/2006/relationships/hyperlink" Target="http://www.nevo.co.il/case/20705570" TargetMode="External"/><Relationship Id="rId26" Type="http://schemas.openxmlformats.org/officeDocument/2006/relationships/hyperlink" Target="http://www.nevo.co.il/case/20207948" TargetMode="External"/><Relationship Id="rId21" Type="http://schemas.openxmlformats.org/officeDocument/2006/relationships/hyperlink" Target="http://www.nevo.co.il/case/18045843"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583050" TargetMode="External"/><Relationship Id="rId25" Type="http://schemas.openxmlformats.org/officeDocument/2006/relationships/hyperlink" Target="http://www.nevo.co.il/case/18045843"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590454" TargetMode="External"/><Relationship Id="rId20" Type="http://schemas.openxmlformats.org/officeDocument/2006/relationships/hyperlink" Target="http://www.nevo.co.il/case/16938303" TargetMode="External"/><Relationship Id="rId29" Type="http://schemas.openxmlformats.org/officeDocument/2006/relationships/hyperlink" Target="http://www.nevo.co.il/case/113038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18090154"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7773349" TargetMode="External"/><Relationship Id="rId23" Type="http://schemas.openxmlformats.org/officeDocument/2006/relationships/hyperlink" Target="http://www.nevo.co.il/case/13070717" TargetMode="External"/><Relationship Id="rId28" Type="http://schemas.openxmlformats.org/officeDocument/2006/relationships/hyperlink" Target="http://www.nevo.co.il/case/20149050" TargetMode="External"/><Relationship Id="rId36" Type="http://schemas.openxmlformats.org/officeDocument/2006/relationships/footer" Target="footer2.xml"/><Relationship Id="rId10" Type="http://schemas.openxmlformats.org/officeDocument/2006/relationships/hyperlink" Target="http://www.nevo.co.il/law/4216/9.d" TargetMode="External"/><Relationship Id="rId19" Type="http://schemas.openxmlformats.org/officeDocument/2006/relationships/hyperlink" Target="http://www.nevo.co.il/case/18090154" TargetMode="External"/><Relationship Id="rId31" Type="http://schemas.openxmlformats.org/officeDocument/2006/relationships/hyperlink" Target="http://www.nevo.co.il/case/7000852" TargetMode="External"/><Relationship Id="rId4" Type="http://schemas.openxmlformats.org/officeDocument/2006/relationships/webSettings" Target="webSettings.xml"/><Relationship Id="rId9" Type="http://schemas.openxmlformats.org/officeDocument/2006/relationships/hyperlink" Target="http://www.nevo.co.il/law/4216/9.a" TargetMode="External"/><Relationship Id="rId14" Type="http://schemas.openxmlformats.org/officeDocument/2006/relationships/hyperlink" Target="http://www.nevo.co.il/law/4216/9.d" TargetMode="External"/><Relationship Id="rId22" Type="http://schemas.openxmlformats.org/officeDocument/2006/relationships/hyperlink" Target="http://www.nevo.co.il/case/21020095" TargetMode="External"/><Relationship Id="rId27" Type="http://schemas.openxmlformats.org/officeDocument/2006/relationships/hyperlink" Target="http://www.nevo.co.il/case/11237056" TargetMode="External"/><Relationship Id="rId30" Type="http://schemas.openxmlformats.org/officeDocument/2006/relationships/hyperlink" Target="http://www.nevo.co.il/case/3888303"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1333</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7987</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3997809</vt:i4>
      </vt:variant>
      <vt:variant>
        <vt:i4>72</vt:i4>
      </vt:variant>
      <vt:variant>
        <vt:i4>0</vt:i4>
      </vt:variant>
      <vt:variant>
        <vt:i4>5</vt:i4>
      </vt:variant>
      <vt:variant>
        <vt:lpwstr>http://www.nevo.co.il/case/7000852</vt:lpwstr>
      </vt:variant>
      <vt:variant>
        <vt:lpwstr/>
      </vt:variant>
      <vt:variant>
        <vt:i4>3866740</vt:i4>
      </vt:variant>
      <vt:variant>
        <vt:i4>69</vt:i4>
      </vt:variant>
      <vt:variant>
        <vt:i4>0</vt:i4>
      </vt:variant>
      <vt:variant>
        <vt:i4>5</vt:i4>
      </vt:variant>
      <vt:variant>
        <vt:lpwstr>http://www.nevo.co.il/case/3888303</vt:lpwstr>
      </vt:variant>
      <vt:variant>
        <vt:lpwstr/>
      </vt:variant>
      <vt:variant>
        <vt:i4>3473533</vt:i4>
      </vt:variant>
      <vt:variant>
        <vt:i4>66</vt:i4>
      </vt:variant>
      <vt:variant>
        <vt:i4>0</vt:i4>
      </vt:variant>
      <vt:variant>
        <vt:i4>5</vt:i4>
      </vt:variant>
      <vt:variant>
        <vt:lpwstr>http://www.nevo.co.il/case/11303846</vt:lpwstr>
      </vt:variant>
      <vt:variant>
        <vt:lpwstr/>
      </vt:variant>
      <vt:variant>
        <vt:i4>4128880</vt:i4>
      </vt:variant>
      <vt:variant>
        <vt:i4>63</vt:i4>
      </vt:variant>
      <vt:variant>
        <vt:i4>0</vt:i4>
      </vt:variant>
      <vt:variant>
        <vt:i4>5</vt:i4>
      </vt:variant>
      <vt:variant>
        <vt:lpwstr>http://www.nevo.co.il/case/20149050</vt:lpwstr>
      </vt:variant>
      <vt:variant>
        <vt:lpwstr/>
      </vt:variant>
      <vt:variant>
        <vt:i4>3211382</vt:i4>
      </vt:variant>
      <vt:variant>
        <vt:i4>60</vt:i4>
      </vt:variant>
      <vt:variant>
        <vt:i4>0</vt:i4>
      </vt:variant>
      <vt:variant>
        <vt:i4>5</vt:i4>
      </vt:variant>
      <vt:variant>
        <vt:lpwstr>http://www.nevo.co.il/case/11237056</vt:lpwstr>
      </vt:variant>
      <vt:variant>
        <vt:lpwstr/>
      </vt:variant>
      <vt:variant>
        <vt:i4>3342461</vt:i4>
      </vt:variant>
      <vt:variant>
        <vt:i4>57</vt:i4>
      </vt:variant>
      <vt:variant>
        <vt:i4>0</vt:i4>
      </vt:variant>
      <vt:variant>
        <vt:i4>5</vt:i4>
      </vt:variant>
      <vt:variant>
        <vt:lpwstr>http://www.nevo.co.il/case/20207948</vt:lpwstr>
      </vt:variant>
      <vt:variant>
        <vt:lpwstr/>
      </vt:variant>
      <vt:variant>
        <vt:i4>3145840</vt:i4>
      </vt:variant>
      <vt:variant>
        <vt:i4>54</vt:i4>
      </vt:variant>
      <vt:variant>
        <vt:i4>0</vt:i4>
      </vt:variant>
      <vt:variant>
        <vt:i4>5</vt:i4>
      </vt:variant>
      <vt:variant>
        <vt:lpwstr>http://www.nevo.co.il/case/18045843</vt:lpwstr>
      </vt:variant>
      <vt:variant>
        <vt:lpwstr/>
      </vt:variant>
      <vt:variant>
        <vt:i4>3407988</vt:i4>
      </vt:variant>
      <vt:variant>
        <vt:i4>51</vt:i4>
      </vt:variant>
      <vt:variant>
        <vt:i4>0</vt:i4>
      </vt:variant>
      <vt:variant>
        <vt:i4>5</vt:i4>
      </vt:variant>
      <vt:variant>
        <vt:lpwstr>http://www.nevo.co.il/case/18090154</vt:lpwstr>
      </vt:variant>
      <vt:variant>
        <vt:lpwstr/>
      </vt:variant>
      <vt:variant>
        <vt:i4>3145847</vt:i4>
      </vt:variant>
      <vt:variant>
        <vt:i4>48</vt:i4>
      </vt:variant>
      <vt:variant>
        <vt:i4>0</vt:i4>
      </vt:variant>
      <vt:variant>
        <vt:i4>5</vt:i4>
      </vt:variant>
      <vt:variant>
        <vt:lpwstr>http://www.nevo.co.il/case/13070717</vt:lpwstr>
      </vt:variant>
      <vt:variant>
        <vt:lpwstr/>
      </vt:variant>
      <vt:variant>
        <vt:i4>3866743</vt:i4>
      </vt:variant>
      <vt:variant>
        <vt:i4>45</vt:i4>
      </vt:variant>
      <vt:variant>
        <vt:i4>0</vt:i4>
      </vt:variant>
      <vt:variant>
        <vt:i4>5</vt:i4>
      </vt:variant>
      <vt:variant>
        <vt:lpwstr>http://www.nevo.co.il/case/21020095</vt:lpwstr>
      </vt:variant>
      <vt:variant>
        <vt:lpwstr/>
      </vt:variant>
      <vt:variant>
        <vt:i4>3145840</vt:i4>
      </vt:variant>
      <vt:variant>
        <vt:i4>42</vt:i4>
      </vt:variant>
      <vt:variant>
        <vt:i4>0</vt:i4>
      </vt:variant>
      <vt:variant>
        <vt:i4>5</vt:i4>
      </vt:variant>
      <vt:variant>
        <vt:lpwstr>http://www.nevo.co.il/case/18045843</vt:lpwstr>
      </vt:variant>
      <vt:variant>
        <vt:lpwstr/>
      </vt:variant>
      <vt:variant>
        <vt:i4>3145842</vt:i4>
      </vt:variant>
      <vt:variant>
        <vt:i4>39</vt:i4>
      </vt:variant>
      <vt:variant>
        <vt:i4>0</vt:i4>
      </vt:variant>
      <vt:variant>
        <vt:i4>5</vt:i4>
      </vt:variant>
      <vt:variant>
        <vt:lpwstr>http://www.nevo.co.il/case/16938303</vt:lpwstr>
      </vt:variant>
      <vt:variant>
        <vt:lpwstr/>
      </vt:variant>
      <vt:variant>
        <vt:i4>3407988</vt:i4>
      </vt:variant>
      <vt:variant>
        <vt:i4>36</vt:i4>
      </vt:variant>
      <vt:variant>
        <vt:i4>0</vt:i4>
      </vt:variant>
      <vt:variant>
        <vt:i4>5</vt:i4>
      </vt:variant>
      <vt:variant>
        <vt:lpwstr>http://www.nevo.co.il/case/18090154</vt:lpwstr>
      </vt:variant>
      <vt:variant>
        <vt:lpwstr/>
      </vt:variant>
      <vt:variant>
        <vt:i4>3604593</vt:i4>
      </vt:variant>
      <vt:variant>
        <vt:i4>33</vt:i4>
      </vt:variant>
      <vt:variant>
        <vt:i4>0</vt:i4>
      </vt:variant>
      <vt:variant>
        <vt:i4>5</vt:i4>
      </vt:variant>
      <vt:variant>
        <vt:lpwstr>http://www.nevo.co.il/case/20705570</vt:lpwstr>
      </vt:variant>
      <vt:variant>
        <vt:lpwstr/>
      </vt:variant>
      <vt:variant>
        <vt:i4>3997815</vt:i4>
      </vt:variant>
      <vt:variant>
        <vt:i4>30</vt:i4>
      </vt:variant>
      <vt:variant>
        <vt:i4>0</vt:i4>
      </vt:variant>
      <vt:variant>
        <vt:i4>5</vt:i4>
      </vt:variant>
      <vt:variant>
        <vt:lpwstr>http://www.nevo.co.il/case/5583050</vt:lpwstr>
      </vt:variant>
      <vt:variant>
        <vt:lpwstr/>
      </vt:variant>
      <vt:variant>
        <vt:i4>3932276</vt:i4>
      </vt:variant>
      <vt:variant>
        <vt:i4>27</vt:i4>
      </vt:variant>
      <vt:variant>
        <vt:i4>0</vt:i4>
      </vt:variant>
      <vt:variant>
        <vt:i4>5</vt:i4>
      </vt:variant>
      <vt:variant>
        <vt:lpwstr>http://www.nevo.co.il/case/5590454</vt:lpwstr>
      </vt:variant>
      <vt:variant>
        <vt:lpwstr/>
      </vt:variant>
      <vt:variant>
        <vt:i4>3801204</vt:i4>
      </vt:variant>
      <vt:variant>
        <vt:i4>24</vt:i4>
      </vt:variant>
      <vt:variant>
        <vt:i4>0</vt:i4>
      </vt:variant>
      <vt:variant>
        <vt:i4>5</vt:i4>
      </vt:variant>
      <vt:variant>
        <vt:lpwstr>http://www.nevo.co.il/case/7773349</vt:lpwstr>
      </vt:variant>
      <vt:variant>
        <vt:lpwstr/>
      </vt:variant>
      <vt:variant>
        <vt:i4>2293860</vt:i4>
      </vt:variant>
      <vt:variant>
        <vt:i4>21</vt:i4>
      </vt:variant>
      <vt:variant>
        <vt:i4>0</vt:i4>
      </vt:variant>
      <vt:variant>
        <vt:i4>5</vt:i4>
      </vt:variant>
      <vt:variant>
        <vt:lpwstr>http://www.nevo.co.il/law/4216/9.d</vt:lpwstr>
      </vt:variant>
      <vt:variant>
        <vt:lpwstr/>
      </vt:variant>
      <vt:variant>
        <vt:i4>2490468</vt:i4>
      </vt:variant>
      <vt:variant>
        <vt:i4>18</vt:i4>
      </vt:variant>
      <vt:variant>
        <vt:i4>0</vt:i4>
      </vt:variant>
      <vt:variant>
        <vt:i4>5</vt:i4>
      </vt:variant>
      <vt:variant>
        <vt:lpwstr>http://www.nevo.co.il/law/4216/9.a</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2293860</vt:i4>
      </vt:variant>
      <vt:variant>
        <vt:i4>9</vt:i4>
      </vt:variant>
      <vt:variant>
        <vt:i4>0</vt:i4>
      </vt:variant>
      <vt:variant>
        <vt:i4>5</vt:i4>
      </vt:variant>
      <vt:variant>
        <vt:lpwstr>http://www.nevo.co.il/law/4216/9.d</vt:lpwstr>
      </vt:variant>
      <vt:variant>
        <vt:lpwstr/>
      </vt:variant>
      <vt:variant>
        <vt:i4>2490468</vt:i4>
      </vt:variant>
      <vt:variant>
        <vt:i4>6</vt:i4>
      </vt:variant>
      <vt:variant>
        <vt:i4>0</vt:i4>
      </vt:variant>
      <vt:variant>
        <vt:i4>5</vt:i4>
      </vt:variant>
      <vt:variant>
        <vt:lpwstr>http://www.nevo.co.il/law/4216/9.a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2025-04-22T23:05:00Z</dcterms:created>
  <dcterms:modified xsi:type="dcterms:W3CDTF">2025-04-22T23:05:00Z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16603</vt:lpwstr>
  </property>
  <property fmtid="{D5CDD505-2E9C-101B-9397-08002B2CF9AE}" pid="6" name="NEWPARTB">
    <vt:lpwstr>06</vt:lpwstr>
  </property>
  <property fmtid="{D5CDD505-2E9C-101B-9397-08002B2CF9AE}" pid="7" name="NEWPARTC">
    <vt:lpwstr>16</vt:lpwstr>
  </property>
  <property fmtid="{D5CDD505-2E9C-101B-9397-08002B2CF9AE}" pid="8" name="APPELLANT">
    <vt:lpwstr>פרקליטות מחוז תל אביב פלילי</vt:lpwstr>
  </property>
  <property fmtid="{D5CDD505-2E9C-101B-9397-08002B2CF9AE}" pid="9" name="APPELLEE">
    <vt:lpwstr>שבתאי-שבי קנוש</vt:lpwstr>
  </property>
  <property fmtid="{D5CDD505-2E9C-101B-9397-08002B2CF9AE}" pid="10" name="LAWYER">
    <vt:lpwstr>ניר ביטון;נעמה שגיא רייכמן</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20170529</vt:lpwstr>
  </property>
  <property fmtid="{D5CDD505-2E9C-101B-9397-08002B2CF9AE}" pid="14" name="TYPE_N_DATE">
    <vt:lpwstr>38020170529</vt:lpwstr>
  </property>
  <property fmtid="{D5CDD505-2E9C-101B-9397-08002B2CF9AE}" pid="15" name="CASESLISTTMP1">
    <vt:lpwstr>7773349;5590454;5583050;20705570;18090154:2;16938303;18045843:2;21020095;13070717;20207948;11237056;20149050;11303846;3888303;7000852</vt:lpwstr>
  </property>
  <property fmtid="{D5CDD505-2E9C-101B-9397-08002B2CF9AE}" pid="16" name="CASENOTES1">
    <vt:lpwstr>ProcID=133;209&amp;PartA=42358&amp;PartB=10&amp;PartC=14</vt:lpwstr>
  </property>
  <property fmtid="{D5CDD505-2E9C-101B-9397-08002B2CF9AE}" pid="17" name="WORDNUMPAGES">
    <vt:lpwstr>4</vt:lpwstr>
  </property>
  <property fmtid="{D5CDD505-2E9C-101B-9397-08002B2CF9AE}" pid="18" name="TYPE_ABS_DATE">
    <vt:lpwstr>380020170529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4216/006:2;009.a:2;009.d:2</vt:lpwstr>
  </property>
</Properties>
</file>