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97F94" w:rsidRPr="00352F20" w14:paraId="5F75DC32" w14:textId="77777777" w:rsidTr="009937B7">
        <w:trPr>
          <w:trHeight w:hRule="exact" w:val="418"/>
          <w:jc w:val="center"/>
        </w:trPr>
        <w:tc>
          <w:tcPr>
            <w:tcW w:w="8720" w:type="dxa"/>
            <w:gridSpan w:val="3"/>
          </w:tcPr>
          <w:p w14:paraId="68ECCCB3" w14:textId="77777777" w:rsidR="00E97F94" w:rsidRPr="00352F20" w:rsidRDefault="00E97F94" w:rsidP="009937B7">
            <w:pPr>
              <w:pStyle w:val="a3"/>
              <w:tabs>
                <w:tab w:val="clear" w:pos="8306"/>
              </w:tabs>
              <w:jc w:val="center"/>
              <w:rPr>
                <w:rFonts w:ascii="Tahoma" w:hAnsi="Tahoma" w:cs="Tahoma"/>
                <w:b/>
                <w:bCs/>
                <w:color w:val="000080"/>
                <w:sz w:val="20"/>
                <w:szCs w:val="20"/>
                <w:rtl/>
              </w:rPr>
            </w:pPr>
            <w:bookmarkStart w:id="0" w:name="LastJudge"/>
            <w:r w:rsidRPr="00352F20">
              <w:rPr>
                <w:rFonts w:ascii="Tahoma" w:hAnsi="Tahoma" w:cs="Tahoma"/>
                <w:b/>
                <w:bCs/>
                <w:color w:val="000080"/>
                <w:sz w:val="20"/>
                <w:szCs w:val="20"/>
                <w:rtl/>
              </w:rPr>
              <w:t>בית משפט השלום בראשון לציון</w:t>
            </w:r>
          </w:p>
        </w:tc>
      </w:tr>
      <w:tr w:rsidR="00E97F94" w:rsidRPr="00352F20" w14:paraId="18DD6065" w14:textId="77777777" w:rsidTr="009937B7">
        <w:trPr>
          <w:trHeight w:val="337"/>
          <w:jc w:val="center"/>
        </w:trPr>
        <w:tc>
          <w:tcPr>
            <w:tcW w:w="6396" w:type="dxa"/>
          </w:tcPr>
          <w:p w14:paraId="478D5CF4" w14:textId="77777777" w:rsidR="00E97F94" w:rsidRPr="00352F20" w:rsidRDefault="00E97F94" w:rsidP="009937B7">
            <w:pPr>
              <w:rPr>
                <w:b/>
                <w:bCs/>
                <w:sz w:val="26"/>
                <w:szCs w:val="26"/>
                <w:rtl/>
              </w:rPr>
            </w:pPr>
            <w:r w:rsidRPr="00352F20">
              <w:rPr>
                <w:b/>
                <w:bCs/>
                <w:sz w:val="26"/>
                <w:szCs w:val="26"/>
                <w:rtl/>
              </w:rPr>
              <w:t>ת"פ</w:t>
            </w:r>
            <w:r w:rsidRPr="00352F20">
              <w:rPr>
                <w:rFonts w:hint="cs"/>
                <w:b/>
                <w:bCs/>
                <w:sz w:val="26"/>
                <w:szCs w:val="26"/>
                <w:rtl/>
              </w:rPr>
              <w:t xml:space="preserve"> </w:t>
            </w:r>
            <w:r w:rsidRPr="00352F20">
              <w:rPr>
                <w:b/>
                <w:bCs/>
                <w:sz w:val="26"/>
                <w:szCs w:val="26"/>
                <w:rtl/>
              </w:rPr>
              <w:t>20028-06-16</w:t>
            </w:r>
            <w:r w:rsidRPr="00352F20">
              <w:rPr>
                <w:rFonts w:hint="cs"/>
                <w:b/>
                <w:bCs/>
                <w:sz w:val="26"/>
                <w:szCs w:val="26"/>
                <w:rtl/>
              </w:rPr>
              <w:t xml:space="preserve"> </w:t>
            </w:r>
            <w:r w:rsidRPr="00352F20">
              <w:rPr>
                <w:b/>
                <w:bCs/>
                <w:sz w:val="26"/>
                <w:szCs w:val="26"/>
                <w:rtl/>
              </w:rPr>
              <w:t>מדינת ישראל נ' אברהם</w:t>
            </w:r>
          </w:p>
          <w:p w14:paraId="1533E0F9" w14:textId="77777777" w:rsidR="00E97F94" w:rsidRPr="00352F20" w:rsidRDefault="00E97F94" w:rsidP="009937B7">
            <w:pPr>
              <w:rPr>
                <w:b/>
                <w:bCs/>
                <w:sz w:val="26"/>
                <w:szCs w:val="26"/>
                <w:rtl/>
              </w:rPr>
            </w:pPr>
          </w:p>
        </w:tc>
        <w:tc>
          <w:tcPr>
            <w:tcW w:w="236" w:type="dxa"/>
          </w:tcPr>
          <w:p w14:paraId="024A6C41" w14:textId="77777777" w:rsidR="00E97F94" w:rsidRPr="00352F20" w:rsidRDefault="00E97F94" w:rsidP="009937B7">
            <w:pPr>
              <w:pStyle w:val="a3"/>
              <w:jc w:val="right"/>
              <w:rPr>
                <w:b/>
                <w:bCs/>
                <w:sz w:val="26"/>
                <w:szCs w:val="26"/>
                <w:rtl/>
              </w:rPr>
            </w:pPr>
          </w:p>
        </w:tc>
        <w:tc>
          <w:tcPr>
            <w:tcW w:w="2088" w:type="dxa"/>
          </w:tcPr>
          <w:p w14:paraId="7C27AB23" w14:textId="77777777" w:rsidR="00E97F94" w:rsidRPr="00352F20" w:rsidRDefault="00E97F94" w:rsidP="009937B7">
            <w:pPr>
              <w:pStyle w:val="a3"/>
              <w:tabs>
                <w:tab w:val="clear" w:pos="4153"/>
              </w:tabs>
              <w:jc w:val="right"/>
              <w:rPr>
                <w:b/>
                <w:bCs/>
                <w:sz w:val="26"/>
                <w:szCs w:val="26"/>
                <w:rtl/>
              </w:rPr>
            </w:pPr>
            <w:r w:rsidRPr="00352F20">
              <w:rPr>
                <w:b/>
                <w:bCs/>
                <w:sz w:val="26"/>
                <w:szCs w:val="26"/>
                <w:rtl/>
              </w:rPr>
              <w:t>26 נובמבר 2017</w:t>
            </w:r>
          </w:p>
        </w:tc>
      </w:tr>
    </w:tbl>
    <w:p w14:paraId="7FC7C4D9" w14:textId="77777777" w:rsidR="00E97F94" w:rsidRPr="00352F20" w:rsidRDefault="00E97F94" w:rsidP="00E97F94">
      <w:pPr>
        <w:pStyle w:val="a3"/>
        <w:jc w:val="center"/>
        <w:rPr>
          <w:rFonts w:ascii="Tahoma" w:hAnsi="Tahoma" w:cs="Tahoma"/>
          <w:b/>
          <w:bCs/>
          <w:color w:val="000080"/>
          <w:sz w:val="20"/>
          <w:szCs w:val="20"/>
          <w:rtl/>
        </w:rPr>
      </w:pPr>
    </w:p>
    <w:p w14:paraId="2DD7C7F2" w14:textId="77777777" w:rsidR="00E97F94" w:rsidRPr="00352F20" w:rsidRDefault="00E97F94" w:rsidP="00E97F94">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E97F94" w:rsidRPr="00352F20" w14:paraId="1F3D0CE9" w14:textId="77777777" w:rsidTr="009937B7">
        <w:trPr>
          <w:trHeight w:val="337"/>
          <w:jc w:val="center"/>
        </w:trPr>
        <w:tc>
          <w:tcPr>
            <w:tcW w:w="1592" w:type="dxa"/>
          </w:tcPr>
          <w:p w14:paraId="4A1E665B" w14:textId="77777777" w:rsidR="00E97F94" w:rsidRPr="00352F20" w:rsidRDefault="00E97F94" w:rsidP="009937B7">
            <w:pPr>
              <w:pStyle w:val="a3"/>
              <w:bidi w:val="0"/>
              <w:spacing w:line="360" w:lineRule="auto"/>
              <w:jc w:val="both"/>
              <w:rPr>
                <w:rFonts w:ascii="Times New Roman" w:hAnsi="Times New Roman"/>
              </w:rPr>
            </w:pPr>
            <w:r w:rsidRPr="00352F20">
              <w:rPr>
                <w:rFonts w:ascii="Times New Roman" w:hAnsi="Times New Roman"/>
              </w:rPr>
              <w:t xml:space="preserve">  </w:t>
            </w:r>
          </w:p>
        </w:tc>
        <w:tc>
          <w:tcPr>
            <w:tcW w:w="7128" w:type="dxa"/>
          </w:tcPr>
          <w:p w14:paraId="0B4989ED" w14:textId="77777777" w:rsidR="00E97F94" w:rsidRPr="00352F20" w:rsidRDefault="00E97F94" w:rsidP="009937B7">
            <w:pPr>
              <w:pStyle w:val="a3"/>
              <w:spacing w:line="360" w:lineRule="auto"/>
              <w:jc w:val="right"/>
              <w:rPr>
                <w:b/>
                <w:bCs/>
                <w:sz w:val="26"/>
                <w:szCs w:val="26"/>
                <w:rtl/>
              </w:rPr>
            </w:pPr>
            <w:r w:rsidRPr="00352F20">
              <w:rPr>
                <w:rFonts w:hint="cs"/>
                <w:rtl/>
              </w:rPr>
              <w:t xml:space="preserve"> </w:t>
            </w:r>
          </w:p>
        </w:tc>
      </w:tr>
    </w:tbl>
    <w:p w14:paraId="042508E3" w14:textId="77777777" w:rsidR="00E97F94" w:rsidRPr="00352F20" w:rsidRDefault="00E97F94" w:rsidP="00E97F94">
      <w:pPr>
        <w:spacing w:line="360" w:lineRule="auto"/>
        <w:jc w:val="both"/>
        <w:rPr>
          <w:rFonts w:ascii="Arial" w:hAnsi="Arial"/>
          <w:rtl/>
        </w:rPr>
      </w:pPr>
    </w:p>
    <w:p w14:paraId="1BD28F75" w14:textId="77777777" w:rsidR="00E97F94" w:rsidRPr="00352F20" w:rsidRDefault="00E97F94" w:rsidP="00E97F9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9937B7" w:rsidRPr="00352F20" w14:paraId="73950E26" w14:textId="77777777" w:rsidTr="00E97F94">
        <w:trPr>
          <w:gridAfter w:val="1"/>
          <w:wAfter w:w="55" w:type="dxa"/>
        </w:trPr>
        <w:tc>
          <w:tcPr>
            <w:tcW w:w="8719" w:type="dxa"/>
            <w:gridSpan w:val="2"/>
            <w:shd w:val="clear" w:color="auto" w:fill="auto"/>
          </w:tcPr>
          <w:p w14:paraId="77D64EAC" w14:textId="77777777" w:rsidR="00E97F94" w:rsidRPr="00352F20" w:rsidRDefault="00E97F94" w:rsidP="00E97F94">
            <w:pPr>
              <w:spacing w:line="360" w:lineRule="auto"/>
              <w:rPr>
                <w:b/>
                <w:bCs/>
                <w:sz w:val="26"/>
                <w:szCs w:val="26"/>
                <w:rtl/>
              </w:rPr>
            </w:pPr>
            <w:r w:rsidRPr="00352F20">
              <w:rPr>
                <w:rFonts w:hint="cs"/>
                <w:b/>
                <w:bCs/>
                <w:sz w:val="26"/>
                <w:szCs w:val="26"/>
                <w:rtl/>
              </w:rPr>
              <w:t>בפני כב' סגן הנשיאה</w:t>
            </w:r>
            <w:r w:rsidRPr="00352F20">
              <w:rPr>
                <w:rStyle w:val="TimesNewRomanTimesNewRoman"/>
                <w:rFonts w:hint="cs"/>
                <w:rtl/>
              </w:rPr>
              <w:t>, שמעון שטיין</w:t>
            </w:r>
            <w:r w:rsidRPr="00352F20">
              <w:rPr>
                <w:rStyle w:val="TimesNewRomanTimesNewRoman"/>
                <w:rtl/>
              </w:rPr>
              <w:t xml:space="preserve"> </w:t>
            </w:r>
          </w:p>
        </w:tc>
      </w:tr>
      <w:tr w:rsidR="009937B7" w:rsidRPr="00352F20" w14:paraId="6A04CD76" w14:textId="77777777" w:rsidTr="00E97F94">
        <w:tc>
          <w:tcPr>
            <w:tcW w:w="2880" w:type="dxa"/>
            <w:shd w:val="clear" w:color="auto" w:fill="auto"/>
          </w:tcPr>
          <w:p w14:paraId="384CB6C6" w14:textId="77777777" w:rsidR="00E97F94" w:rsidRPr="00352F20" w:rsidRDefault="00E97F94" w:rsidP="00E97F94">
            <w:pPr>
              <w:spacing w:line="360" w:lineRule="auto"/>
              <w:ind w:left="26"/>
              <w:rPr>
                <w:b/>
                <w:bCs/>
                <w:sz w:val="26"/>
                <w:szCs w:val="26"/>
                <w:rtl/>
              </w:rPr>
            </w:pPr>
            <w:bookmarkStart w:id="1" w:name="FirstAppellant"/>
            <w:r w:rsidRPr="00352F20">
              <w:rPr>
                <w:rFonts w:hint="cs"/>
                <w:b/>
                <w:bCs/>
                <w:sz w:val="26"/>
                <w:szCs w:val="26"/>
                <w:rtl/>
              </w:rPr>
              <w:t>ה</w:t>
            </w:r>
            <w:r w:rsidRPr="00352F20">
              <w:rPr>
                <w:b/>
                <w:bCs/>
                <w:sz w:val="26"/>
                <w:szCs w:val="26"/>
                <w:rtl/>
              </w:rPr>
              <w:t>מאשימה</w:t>
            </w:r>
          </w:p>
        </w:tc>
        <w:tc>
          <w:tcPr>
            <w:tcW w:w="5922" w:type="dxa"/>
            <w:gridSpan w:val="2"/>
            <w:shd w:val="clear" w:color="auto" w:fill="auto"/>
          </w:tcPr>
          <w:p w14:paraId="720CA437" w14:textId="77777777" w:rsidR="00E97F94" w:rsidRPr="00352F20" w:rsidRDefault="00E97F94" w:rsidP="00E97F94">
            <w:pPr>
              <w:spacing w:line="360" w:lineRule="auto"/>
              <w:rPr>
                <w:b/>
                <w:bCs/>
                <w:sz w:val="26"/>
                <w:szCs w:val="26"/>
                <w:rtl/>
              </w:rPr>
            </w:pPr>
            <w:r w:rsidRPr="00352F20">
              <w:rPr>
                <w:b/>
                <w:bCs/>
                <w:sz w:val="26"/>
                <w:szCs w:val="26"/>
                <w:rtl/>
              </w:rPr>
              <w:t>מדינת ישראל</w:t>
            </w:r>
          </w:p>
        </w:tc>
      </w:tr>
      <w:bookmarkEnd w:id="1"/>
      <w:tr w:rsidR="009937B7" w:rsidRPr="00352F20" w14:paraId="4D6F51BE" w14:textId="77777777" w:rsidTr="00E97F94">
        <w:tc>
          <w:tcPr>
            <w:tcW w:w="8802" w:type="dxa"/>
            <w:gridSpan w:val="3"/>
            <w:shd w:val="clear" w:color="auto" w:fill="auto"/>
          </w:tcPr>
          <w:p w14:paraId="554B0EE5" w14:textId="77777777" w:rsidR="00E97F94" w:rsidRPr="00352F20" w:rsidRDefault="00E97F94" w:rsidP="00E97F94">
            <w:pPr>
              <w:spacing w:line="360" w:lineRule="auto"/>
              <w:jc w:val="center"/>
              <w:rPr>
                <w:rFonts w:ascii="Arial" w:hAnsi="Arial"/>
                <w:b/>
                <w:bCs/>
                <w:sz w:val="26"/>
                <w:szCs w:val="26"/>
                <w:rtl/>
              </w:rPr>
            </w:pPr>
            <w:r w:rsidRPr="00352F20">
              <w:rPr>
                <w:rFonts w:ascii="Arial" w:hAnsi="Arial"/>
                <w:b/>
                <w:bCs/>
                <w:sz w:val="26"/>
                <w:szCs w:val="26"/>
                <w:rtl/>
              </w:rPr>
              <w:t>נגד</w:t>
            </w:r>
          </w:p>
          <w:p w14:paraId="3B8737AA" w14:textId="77777777" w:rsidR="00E97F94" w:rsidRPr="00352F20" w:rsidRDefault="00E97F94" w:rsidP="00E97F94">
            <w:pPr>
              <w:spacing w:line="360" w:lineRule="auto"/>
              <w:jc w:val="center"/>
              <w:rPr>
                <w:rFonts w:ascii="Arial" w:hAnsi="Arial"/>
                <w:b/>
                <w:bCs/>
                <w:sz w:val="26"/>
                <w:szCs w:val="26"/>
              </w:rPr>
            </w:pPr>
          </w:p>
        </w:tc>
      </w:tr>
      <w:tr w:rsidR="009937B7" w:rsidRPr="00352F20" w14:paraId="4D61751B" w14:textId="77777777" w:rsidTr="00E97F94">
        <w:tc>
          <w:tcPr>
            <w:tcW w:w="2880" w:type="dxa"/>
            <w:shd w:val="clear" w:color="auto" w:fill="auto"/>
          </w:tcPr>
          <w:p w14:paraId="429FCFD3" w14:textId="77777777" w:rsidR="00E97F94" w:rsidRPr="00352F20" w:rsidRDefault="00E97F94" w:rsidP="00E97F94">
            <w:pPr>
              <w:spacing w:line="360" w:lineRule="auto"/>
              <w:ind w:left="26"/>
              <w:rPr>
                <w:b/>
                <w:bCs/>
                <w:sz w:val="26"/>
                <w:szCs w:val="26"/>
                <w:rtl/>
              </w:rPr>
            </w:pPr>
            <w:r w:rsidRPr="00352F20">
              <w:rPr>
                <w:rFonts w:hint="cs"/>
                <w:b/>
                <w:bCs/>
                <w:sz w:val="26"/>
                <w:szCs w:val="26"/>
                <w:rtl/>
              </w:rPr>
              <w:t>ה</w:t>
            </w:r>
            <w:r w:rsidRPr="00352F20">
              <w:rPr>
                <w:b/>
                <w:bCs/>
                <w:sz w:val="26"/>
                <w:szCs w:val="26"/>
                <w:rtl/>
              </w:rPr>
              <w:t>נאש</w:t>
            </w:r>
            <w:r w:rsidRPr="00352F20">
              <w:rPr>
                <w:rFonts w:hint="cs"/>
                <w:b/>
                <w:bCs/>
                <w:sz w:val="26"/>
                <w:szCs w:val="26"/>
                <w:rtl/>
              </w:rPr>
              <w:t>ם</w:t>
            </w:r>
          </w:p>
        </w:tc>
        <w:tc>
          <w:tcPr>
            <w:tcW w:w="5922" w:type="dxa"/>
            <w:gridSpan w:val="2"/>
            <w:shd w:val="clear" w:color="auto" w:fill="auto"/>
          </w:tcPr>
          <w:p w14:paraId="07F4976A" w14:textId="77777777" w:rsidR="00E97F94" w:rsidRPr="00352F20" w:rsidRDefault="00E97F94" w:rsidP="00E97F94">
            <w:pPr>
              <w:spacing w:line="360" w:lineRule="auto"/>
              <w:rPr>
                <w:b/>
                <w:bCs/>
                <w:sz w:val="26"/>
                <w:szCs w:val="26"/>
                <w:rtl/>
              </w:rPr>
            </w:pPr>
            <w:r w:rsidRPr="00352F20">
              <w:rPr>
                <w:b/>
                <w:bCs/>
                <w:sz w:val="26"/>
                <w:szCs w:val="26"/>
                <w:rtl/>
              </w:rPr>
              <w:t>לירן אברהם</w:t>
            </w:r>
          </w:p>
        </w:tc>
      </w:tr>
    </w:tbl>
    <w:p w14:paraId="2ED65E1B" w14:textId="77777777" w:rsidR="00E97F94" w:rsidRPr="00352F20" w:rsidRDefault="00E97F94" w:rsidP="00E97F94">
      <w:pPr>
        <w:spacing w:line="360" w:lineRule="auto"/>
        <w:jc w:val="both"/>
        <w:rPr>
          <w:sz w:val="6"/>
          <w:szCs w:val="6"/>
          <w:rtl/>
        </w:rPr>
      </w:pPr>
      <w:r w:rsidRPr="00352F20">
        <w:rPr>
          <w:sz w:val="6"/>
          <w:szCs w:val="6"/>
          <w:rtl/>
        </w:rPr>
        <w:t>&lt;#1#&gt;</w:t>
      </w:r>
    </w:p>
    <w:p w14:paraId="70E50EB8" w14:textId="77777777" w:rsidR="00E97F94" w:rsidRPr="00352F20" w:rsidRDefault="00E97F94" w:rsidP="00E97F94">
      <w:pPr>
        <w:pStyle w:val="12"/>
        <w:spacing w:line="360" w:lineRule="auto"/>
        <w:rPr>
          <w:u w:val="none"/>
          <w:rtl/>
        </w:rPr>
      </w:pPr>
      <w:r w:rsidRPr="00352F20">
        <w:rPr>
          <w:rFonts w:hint="cs"/>
          <w:u w:val="none"/>
          <w:rtl/>
        </w:rPr>
        <w:t>נוכחים:</w:t>
      </w:r>
    </w:p>
    <w:p w14:paraId="1E728BAD" w14:textId="77777777" w:rsidR="00E97F94" w:rsidRPr="00352F20" w:rsidRDefault="00E97F94" w:rsidP="00E97F94">
      <w:pPr>
        <w:pStyle w:val="12"/>
        <w:spacing w:line="360" w:lineRule="auto"/>
        <w:rPr>
          <w:b w:val="0"/>
          <w:bCs w:val="0"/>
          <w:u w:val="none"/>
          <w:rtl/>
        </w:rPr>
      </w:pPr>
      <w:bookmarkStart w:id="2" w:name="FirstLawyer"/>
      <w:r w:rsidRPr="00352F20">
        <w:rPr>
          <w:rFonts w:hint="cs"/>
          <w:b w:val="0"/>
          <w:bCs w:val="0"/>
          <w:u w:val="none"/>
          <w:rtl/>
        </w:rPr>
        <w:t>ב"כ</w:t>
      </w:r>
      <w:bookmarkEnd w:id="2"/>
      <w:r w:rsidRPr="00352F20">
        <w:rPr>
          <w:rFonts w:hint="cs"/>
          <w:b w:val="0"/>
          <w:bCs w:val="0"/>
          <w:u w:val="none"/>
          <w:rtl/>
        </w:rPr>
        <w:t xml:space="preserve"> המאשימה עו"ד יעל גבעוני </w:t>
      </w:r>
    </w:p>
    <w:p w14:paraId="2B6535CE" w14:textId="77777777" w:rsidR="00E97F94" w:rsidRPr="00352F20" w:rsidRDefault="00E97F94" w:rsidP="00E97F94">
      <w:pPr>
        <w:pStyle w:val="12"/>
        <w:spacing w:line="360" w:lineRule="auto"/>
        <w:rPr>
          <w:b w:val="0"/>
          <w:bCs w:val="0"/>
          <w:u w:val="none"/>
          <w:rtl/>
        </w:rPr>
      </w:pPr>
      <w:r w:rsidRPr="00352F20">
        <w:rPr>
          <w:rFonts w:hint="cs"/>
          <w:b w:val="0"/>
          <w:bCs w:val="0"/>
          <w:u w:val="none"/>
          <w:rtl/>
        </w:rPr>
        <w:t xml:space="preserve">ב"כ הנאשם עו"ד אוליאל לירון </w:t>
      </w:r>
    </w:p>
    <w:p w14:paraId="64CDDE06" w14:textId="77777777" w:rsidR="00E97F94" w:rsidRPr="00352F20" w:rsidRDefault="00E97F94" w:rsidP="00E97F94">
      <w:pPr>
        <w:pStyle w:val="12"/>
        <w:spacing w:line="360" w:lineRule="auto"/>
        <w:rPr>
          <w:b w:val="0"/>
          <w:bCs w:val="0"/>
          <w:u w:val="none"/>
          <w:rtl/>
        </w:rPr>
      </w:pPr>
      <w:r w:rsidRPr="00352F20">
        <w:rPr>
          <w:rFonts w:hint="cs"/>
          <w:b w:val="0"/>
          <w:bCs w:val="0"/>
          <w:u w:val="none"/>
          <w:rtl/>
        </w:rPr>
        <w:t xml:space="preserve">הנאשם התייצב </w:t>
      </w:r>
    </w:p>
    <w:p w14:paraId="48CB833E" w14:textId="77777777" w:rsidR="00437914" w:rsidRDefault="00E97F94" w:rsidP="00437914">
      <w:pPr>
        <w:spacing w:line="360" w:lineRule="auto"/>
        <w:jc w:val="both"/>
        <w:rPr>
          <w:sz w:val="6"/>
          <w:szCs w:val="6"/>
          <w:rtl/>
        </w:rPr>
      </w:pPr>
      <w:r w:rsidRPr="00352F20">
        <w:rPr>
          <w:sz w:val="6"/>
          <w:szCs w:val="6"/>
          <w:rtl/>
        </w:rPr>
        <w:t>&lt;#2#</w:t>
      </w:r>
      <w:bookmarkStart w:id="3" w:name="LawTable"/>
      <w:bookmarkEnd w:id="3"/>
    </w:p>
    <w:p w14:paraId="4276AD0D" w14:textId="77777777" w:rsidR="00437914" w:rsidRPr="00437914" w:rsidRDefault="00437914" w:rsidP="00437914">
      <w:pPr>
        <w:spacing w:after="120" w:line="240" w:lineRule="exact"/>
        <w:ind w:left="283" w:hanging="283"/>
        <w:jc w:val="both"/>
        <w:rPr>
          <w:rFonts w:ascii="FrankRuehl" w:hAnsi="FrankRuehl" w:cs="FrankRuehl"/>
          <w:rtl/>
        </w:rPr>
      </w:pPr>
    </w:p>
    <w:p w14:paraId="5DD9A928" w14:textId="77777777" w:rsidR="00437914" w:rsidRPr="00437914" w:rsidRDefault="00437914" w:rsidP="00437914">
      <w:pPr>
        <w:spacing w:after="120" w:line="240" w:lineRule="exact"/>
        <w:ind w:left="283" w:hanging="283"/>
        <w:jc w:val="both"/>
        <w:rPr>
          <w:rFonts w:ascii="FrankRuehl" w:hAnsi="FrankRuehl" w:cs="FrankRuehl"/>
          <w:rtl/>
        </w:rPr>
      </w:pPr>
      <w:r w:rsidRPr="00437914">
        <w:rPr>
          <w:rFonts w:ascii="FrankRuehl" w:hAnsi="FrankRuehl" w:cs="FrankRuehl"/>
          <w:rtl/>
        </w:rPr>
        <w:t xml:space="preserve">חקיקה שאוזכרה: </w:t>
      </w:r>
    </w:p>
    <w:p w14:paraId="023B50C8" w14:textId="77777777" w:rsidR="00437914" w:rsidRPr="00437914" w:rsidRDefault="00437914" w:rsidP="00437914">
      <w:pPr>
        <w:spacing w:after="120" w:line="240" w:lineRule="exact"/>
        <w:ind w:left="283" w:hanging="283"/>
        <w:jc w:val="both"/>
        <w:rPr>
          <w:rFonts w:ascii="FrankRuehl" w:hAnsi="FrankRuehl" w:cs="FrankRuehl"/>
          <w:rtl/>
        </w:rPr>
      </w:pPr>
      <w:hyperlink r:id="rId7" w:history="1">
        <w:r w:rsidRPr="00437914">
          <w:rPr>
            <w:rFonts w:ascii="FrankRuehl" w:hAnsi="FrankRuehl" w:cs="FrankRuehl"/>
            <w:color w:val="0000FF"/>
            <w:u w:val="single"/>
            <w:rtl/>
          </w:rPr>
          <w:t>פקודת הסמים המסוכנים [נוסח חדש], תשל"ג-1973</w:t>
        </w:r>
      </w:hyperlink>
      <w:r w:rsidRPr="00437914">
        <w:rPr>
          <w:rFonts w:ascii="FrankRuehl" w:hAnsi="FrankRuehl" w:cs="FrankRuehl"/>
          <w:rtl/>
        </w:rPr>
        <w:t xml:space="preserve">: סע'  </w:t>
      </w:r>
      <w:hyperlink r:id="rId8" w:history="1">
        <w:r w:rsidRPr="00437914">
          <w:rPr>
            <w:rFonts w:ascii="FrankRuehl" w:hAnsi="FrankRuehl" w:cs="FrankRuehl"/>
            <w:color w:val="0000FF"/>
            <w:u w:val="single"/>
            <w:rtl/>
          </w:rPr>
          <w:t>7.א.</w:t>
        </w:r>
      </w:hyperlink>
      <w:r w:rsidRPr="00437914">
        <w:rPr>
          <w:rFonts w:ascii="FrankRuehl" w:hAnsi="FrankRuehl" w:cs="FrankRuehl"/>
          <w:rtl/>
        </w:rPr>
        <w:t xml:space="preserve">, </w:t>
      </w:r>
      <w:hyperlink r:id="rId9" w:history="1">
        <w:r w:rsidRPr="00437914">
          <w:rPr>
            <w:rFonts w:ascii="FrankRuehl" w:hAnsi="FrankRuehl" w:cs="FrankRuehl"/>
            <w:color w:val="0000FF"/>
            <w:u w:val="single"/>
            <w:rtl/>
          </w:rPr>
          <w:t>7.ג</w:t>
        </w:r>
      </w:hyperlink>
    </w:p>
    <w:p w14:paraId="3896B5B0" w14:textId="77777777" w:rsidR="00437914" w:rsidRPr="00437914" w:rsidRDefault="00437914" w:rsidP="00437914">
      <w:pPr>
        <w:spacing w:after="120" w:line="240" w:lineRule="exact"/>
        <w:ind w:left="283" w:hanging="283"/>
        <w:jc w:val="both"/>
        <w:rPr>
          <w:rFonts w:ascii="FrankRuehl" w:hAnsi="FrankRuehl" w:cs="FrankRuehl"/>
          <w:rtl/>
        </w:rPr>
      </w:pPr>
      <w:hyperlink r:id="rId10" w:history="1">
        <w:r w:rsidRPr="00437914">
          <w:rPr>
            <w:rFonts w:ascii="FrankRuehl" w:hAnsi="FrankRuehl" w:cs="FrankRuehl"/>
            <w:color w:val="0000FF"/>
            <w:u w:val="single"/>
            <w:rtl/>
          </w:rPr>
          <w:t>חוק העונשין, תשל"ז-1977</w:t>
        </w:r>
      </w:hyperlink>
      <w:r w:rsidRPr="00437914">
        <w:rPr>
          <w:rFonts w:ascii="FrankRuehl" w:hAnsi="FrankRuehl" w:cs="FrankRuehl"/>
          <w:rtl/>
        </w:rPr>
        <w:t xml:space="preserve">: סע'  </w:t>
      </w:r>
      <w:hyperlink r:id="rId11" w:history="1">
        <w:r w:rsidRPr="00437914">
          <w:rPr>
            <w:rFonts w:ascii="FrankRuehl" w:hAnsi="FrankRuehl" w:cs="FrankRuehl"/>
            <w:color w:val="0000FF"/>
            <w:u w:val="single"/>
            <w:rtl/>
          </w:rPr>
          <w:t>40 ג (א)</w:t>
        </w:r>
      </w:hyperlink>
      <w:r w:rsidRPr="00437914">
        <w:rPr>
          <w:rFonts w:ascii="FrankRuehl" w:hAnsi="FrankRuehl" w:cs="FrankRuehl"/>
          <w:rtl/>
        </w:rPr>
        <w:t xml:space="preserve">, </w:t>
      </w:r>
      <w:hyperlink r:id="rId12" w:history="1">
        <w:r w:rsidRPr="00437914">
          <w:rPr>
            <w:rFonts w:ascii="FrankRuehl" w:hAnsi="FrankRuehl" w:cs="FrankRuehl"/>
            <w:color w:val="0000FF"/>
            <w:u w:val="single"/>
            <w:rtl/>
          </w:rPr>
          <w:t>55(א)</w:t>
        </w:r>
      </w:hyperlink>
      <w:r w:rsidRPr="00437914">
        <w:rPr>
          <w:rFonts w:ascii="FrankRuehl" w:hAnsi="FrankRuehl" w:cs="FrankRuehl"/>
          <w:rtl/>
        </w:rPr>
        <w:t xml:space="preserve">, </w:t>
      </w:r>
      <w:hyperlink r:id="rId13" w:history="1">
        <w:r w:rsidRPr="00437914">
          <w:rPr>
            <w:rFonts w:ascii="FrankRuehl" w:hAnsi="FrankRuehl" w:cs="FrankRuehl"/>
            <w:color w:val="0000FF"/>
            <w:u w:val="single"/>
            <w:rtl/>
          </w:rPr>
          <w:t>56</w:t>
        </w:r>
      </w:hyperlink>
      <w:r w:rsidRPr="00437914">
        <w:rPr>
          <w:rFonts w:ascii="FrankRuehl" w:hAnsi="FrankRuehl" w:cs="FrankRuehl"/>
          <w:rtl/>
        </w:rPr>
        <w:t xml:space="preserve">, </w:t>
      </w:r>
      <w:hyperlink r:id="rId14" w:history="1">
        <w:r w:rsidRPr="00437914">
          <w:rPr>
            <w:rFonts w:ascii="FrankRuehl" w:hAnsi="FrankRuehl" w:cs="FrankRuehl"/>
            <w:color w:val="0000FF"/>
            <w:u w:val="single"/>
            <w:rtl/>
          </w:rPr>
          <w:t>56 (א)</w:t>
        </w:r>
      </w:hyperlink>
      <w:r w:rsidRPr="00437914">
        <w:rPr>
          <w:rFonts w:ascii="FrankRuehl" w:hAnsi="FrankRuehl" w:cs="FrankRuehl"/>
          <w:rtl/>
        </w:rPr>
        <w:t xml:space="preserve">, </w:t>
      </w:r>
      <w:hyperlink r:id="rId15" w:history="1">
        <w:r w:rsidRPr="00437914">
          <w:rPr>
            <w:rFonts w:ascii="FrankRuehl" w:hAnsi="FrankRuehl" w:cs="FrankRuehl"/>
            <w:color w:val="0000FF"/>
            <w:u w:val="single"/>
            <w:rtl/>
          </w:rPr>
          <w:t>56(ב)</w:t>
        </w:r>
      </w:hyperlink>
      <w:r w:rsidRPr="00437914">
        <w:rPr>
          <w:rFonts w:ascii="FrankRuehl" w:hAnsi="FrankRuehl" w:cs="FrankRuehl"/>
          <w:rtl/>
        </w:rPr>
        <w:t xml:space="preserve">, </w:t>
      </w:r>
      <w:hyperlink r:id="rId16" w:history="1">
        <w:r w:rsidRPr="00437914">
          <w:rPr>
            <w:rFonts w:ascii="FrankRuehl" w:hAnsi="FrankRuehl" w:cs="FrankRuehl"/>
            <w:color w:val="0000FF"/>
            <w:u w:val="single"/>
            <w:rtl/>
          </w:rPr>
          <w:t>85</w:t>
        </w:r>
      </w:hyperlink>
    </w:p>
    <w:p w14:paraId="08C50127" w14:textId="77777777" w:rsidR="00437914" w:rsidRPr="00437914" w:rsidRDefault="00437914" w:rsidP="00437914">
      <w:pPr>
        <w:spacing w:after="120" w:line="240" w:lineRule="exact"/>
        <w:ind w:left="283" w:hanging="283"/>
        <w:jc w:val="both"/>
        <w:rPr>
          <w:rFonts w:ascii="FrankRuehl" w:hAnsi="FrankRuehl" w:cs="FrankRuehl"/>
          <w:rtl/>
        </w:rPr>
      </w:pPr>
    </w:p>
    <w:p w14:paraId="08C9E1FB" w14:textId="77777777" w:rsidR="00437914" w:rsidRPr="00437914" w:rsidRDefault="00437914" w:rsidP="00437914">
      <w:pPr>
        <w:spacing w:line="360" w:lineRule="auto"/>
        <w:jc w:val="both"/>
        <w:rPr>
          <w:sz w:val="6"/>
          <w:szCs w:val="6"/>
          <w:rtl/>
        </w:rPr>
      </w:pPr>
      <w:bookmarkStart w:id="4" w:name="LawTable_End"/>
      <w:bookmarkEnd w:id="4"/>
    </w:p>
    <w:p w14:paraId="43EEFF20" w14:textId="77777777" w:rsidR="00437914" w:rsidRPr="00437914" w:rsidRDefault="00437914" w:rsidP="00437914">
      <w:pPr>
        <w:spacing w:line="360" w:lineRule="auto"/>
        <w:jc w:val="both"/>
        <w:rPr>
          <w:sz w:val="6"/>
          <w:szCs w:val="6"/>
          <w:rtl/>
        </w:rPr>
      </w:pPr>
    </w:p>
    <w:p w14:paraId="42BE3728" w14:textId="77777777" w:rsidR="00C228C2" w:rsidRPr="00C228C2" w:rsidRDefault="00E97F94" w:rsidP="00437914">
      <w:pPr>
        <w:spacing w:line="360" w:lineRule="auto"/>
        <w:jc w:val="both"/>
        <w:rPr>
          <w:rFonts w:ascii="FrankRuehl" w:hAnsi="FrankRuehl" w:cs="FrankRuehl"/>
          <w:rtl/>
        </w:rPr>
      </w:pPr>
      <w:r w:rsidRPr="00437914">
        <w:rPr>
          <w:sz w:val="6"/>
          <w:szCs w:val="6"/>
          <w:rtl/>
        </w:rPr>
        <w:t>&gt;</w:t>
      </w:r>
    </w:p>
    <w:p w14:paraId="1656CCC8" w14:textId="77777777" w:rsidR="00C228C2" w:rsidRPr="00C228C2" w:rsidRDefault="00C228C2" w:rsidP="00E97F94">
      <w:pPr>
        <w:spacing w:line="360" w:lineRule="auto"/>
        <w:jc w:val="both"/>
        <w:rPr>
          <w:sz w:val="6"/>
          <w:szCs w:val="6"/>
        </w:rPr>
      </w:pPr>
    </w:p>
    <w:p w14:paraId="1AFAC091" w14:textId="77777777" w:rsidR="00C228C2" w:rsidRPr="00C228C2" w:rsidRDefault="00C228C2" w:rsidP="00E97F94">
      <w:pPr>
        <w:spacing w:line="360" w:lineRule="auto"/>
        <w:jc w:val="both"/>
        <w:rPr>
          <w:sz w:val="6"/>
          <w:szCs w:val="6"/>
        </w:rPr>
      </w:pPr>
    </w:p>
    <w:p w14:paraId="20BA3F16" w14:textId="77777777" w:rsidR="00E97F94" w:rsidRPr="00C228C2" w:rsidRDefault="00E97F94" w:rsidP="00E97F94">
      <w:pPr>
        <w:spacing w:line="360" w:lineRule="auto"/>
        <w:jc w:val="both"/>
        <w:rPr>
          <w:sz w:val="6"/>
          <w:szCs w:val="6"/>
        </w:rPr>
      </w:pPr>
    </w:p>
    <w:p w14:paraId="2413029D" w14:textId="77777777" w:rsidR="00352F20" w:rsidRPr="00352F20" w:rsidRDefault="00352F20" w:rsidP="00E97F94">
      <w:pPr>
        <w:spacing w:line="360" w:lineRule="auto"/>
        <w:jc w:val="center"/>
        <w:rPr>
          <w:rFonts w:ascii="Arial" w:hAnsi="Arial"/>
          <w:b/>
          <w:bCs/>
          <w:sz w:val="28"/>
          <w:szCs w:val="28"/>
          <w:rtl/>
        </w:rPr>
      </w:pPr>
    </w:p>
    <w:p w14:paraId="08580FCA" w14:textId="77777777" w:rsidR="00352F20" w:rsidRPr="00352F20" w:rsidRDefault="00352F20" w:rsidP="00E97F94">
      <w:pPr>
        <w:spacing w:line="360" w:lineRule="auto"/>
        <w:jc w:val="center"/>
        <w:rPr>
          <w:rFonts w:ascii="Arial" w:hAnsi="Arial"/>
          <w:b/>
          <w:bCs/>
          <w:sz w:val="28"/>
          <w:szCs w:val="28"/>
          <w:rtl/>
        </w:rPr>
      </w:pPr>
    </w:p>
    <w:p w14:paraId="35626830" w14:textId="77777777" w:rsidR="00352F20" w:rsidRPr="00352F20" w:rsidRDefault="00352F20" w:rsidP="00352F20">
      <w:pPr>
        <w:spacing w:line="360" w:lineRule="auto"/>
        <w:jc w:val="center"/>
        <w:rPr>
          <w:rFonts w:ascii="Arial" w:hAnsi="Arial"/>
          <w:b/>
          <w:bCs/>
          <w:sz w:val="28"/>
          <w:szCs w:val="28"/>
          <w:u w:val="single"/>
          <w:rtl/>
        </w:rPr>
      </w:pPr>
      <w:bookmarkStart w:id="5" w:name="PsakDin"/>
      <w:bookmarkEnd w:id="0"/>
      <w:r w:rsidRPr="00352F20">
        <w:rPr>
          <w:rFonts w:ascii="Arial" w:hAnsi="Arial"/>
          <w:b/>
          <w:bCs/>
          <w:sz w:val="28"/>
          <w:szCs w:val="28"/>
          <w:u w:val="single"/>
          <w:rtl/>
        </w:rPr>
        <w:t>גזר דין</w:t>
      </w:r>
    </w:p>
    <w:bookmarkEnd w:id="5"/>
    <w:p w14:paraId="1B43CEEF" w14:textId="77777777" w:rsidR="00E97F94" w:rsidRPr="00654BBB" w:rsidRDefault="00E97F94" w:rsidP="00E97F94">
      <w:pPr>
        <w:spacing w:line="360" w:lineRule="auto"/>
        <w:jc w:val="both"/>
      </w:pPr>
    </w:p>
    <w:p w14:paraId="136663F8"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bookmarkStart w:id="6" w:name="ABSTRACT_START"/>
      <w:bookmarkEnd w:id="6"/>
      <w:r w:rsidRPr="00E97F94">
        <w:rPr>
          <w:rFonts w:ascii="Calibri" w:hAnsi="Calibri" w:hint="cs"/>
          <w:rtl/>
        </w:rPr>
        <w:t xml:space="preserve">ביום 26.9.16, הודה הנאשם והורשע בעובדות כתב האישום, בעבירה של החזקת סם שלא לצריכה עצמית, עבירה לפי סעיף </w:t>
      </w:r>
      <w:hyperlink r:id="rId17" w:history="1">
        <w:r w:rsidR="00C228C2" w:rsidRPr="00C228C2">
          <w:rPr>
            <w:rFonts w:ascii="Calibri" w:hAnsi="Calibri"/>
            <w:color w:val="0000FF"/>
            <w:u w:val="single"/>
            <w:rtl/>
          </w:rPr>
          <w:t>7(</w:t>
        </w:r>
        <w:r w:rsidR="00C228C2" w:rsidRPr="00C228C2">
          <w:rPr>
            <w:rFonts w:ascii="Calibri" w:hAnsi="Calibri" w:hint="eastAsia"/>
            <w:color w:val="0000FF"/>
            <w:u w:val="single"/>
            <w:rtl/>
          </w:rPr>
          <w:t>א</w:t>
        </w:r>
        <w:r w:rsidR="00C228C2" w:rsidRPr="00C228C2">
          <w:rPr>
            <w:rFonts w:ascii="Calibri" w:hAnsi="Calibri"/>
            <w:color w:val="0000FF"/>
            <w:u w:val="single"/>
            <w:rtl/>
          </w:rPr>
          <w:t>) + 7(</w:t>
        </w:r>
        <w:r w:rsidR="00C228C2" w:rsidRPr="00C228C2">
          <w:rPr>
            <w:rFonts w:ascii="Calibri" w:hAnsi="Calibri" w:hint="eastAsia"/>
            <w:color w:val="0000FF"/>
            <w:u w:val="single"/>
            <w:rtl/>
          </w:rPr>
          <w:t>ג</w:t>
        </w:r>
        <w:r w:rsidR="00C228C2" w:rsidRPr="00C228C2">
          <w:rPr>
            <w:rFonts w:ascii="Calibri" w:hAnsi="Calibri"/>
            <w:color w:val="0000FF"/>
            <w:u w:val="single"/>
            <w:rtl/>
          </w:rPr>
          <w:t>)</w:t>
        </w:r>
      </w:hyperlink>
      <w:r w:rsidRPr="00E97F94">
        <w:rPr>
          <w:rFonts w:ascii="Calibri" w:hAnsi="Calibri" w:hint="cs"/>
          <w:rtl/>
        </w:rPr>
        <w:t xml:space="preserve"> רישא, ל</w:t>
      </w:r>
      <w:hyperlink r:id="rId18" w:history="1">
        <w:r w:rsidR="00352F20" w:rsidRPr="00352F20">
          <w:rPr>
            <w:rFonts w:ascii="Calibri" w:hAnsi="Calibri" w:hint="eastAsia"/>
            <w:color w:val="0000FF"/>
            <w:u w:val="single"/>
            <w:rtl/>
          </w:rPr>
          <w:t>פקודת</w:t>
        </w:r>
        <w:r w:rsidR="00352F20" w:rsidRPr="00352F20">
          <w:rPr>
            <w:rFonts w:ascii="Calibri" w:hAnsi="Calibri"/>
            <w:color w:val="0000FF"/>
            <w:u w:val="single"/>
            <w:rtl/>
          </w:rPr>
          <w:t xml:space="preserve"> </w:t>
        </w:r>
        <w:r w:rsidR="00352F20" w:rsidRPr="00352F20">
          <w:rPr>
            <w:rFonts w:ascii="Calibri" w:hAnsi="Calibri" w:hint="eastAsia"/>
            <w:color w:val="0000FF"/>
            <w:u w:val="single"/>
            <w:rtl/>
          </w:rPr>
          <w:t>הסמים</w:t>
        </w:r>
        <w:r w:rsidR="00352F20" w:rsidRPr="00352F20">
          <w:rPr>
            <w:rFonts w:ascii="Calibri" w:hAnsi="Calibri"/>
            <w:color w:val="0000FF"/>
            <w:u w:val="single"/>
            <w:rtl/>
          </w:rPr>
          <w:t xml:space="preserve"> </w:t>
        </w:r>
        <w:r w:rsidR="00352F20" w:rsidRPr="00352F20">
          <w:rPr>
            <w:rFonts w:ascii="Calibri" w:hAnsi="Calibri" w:hint="eastAsia"/>
            <w:color w:val="0000FF"/>
            <w:u w:val="single"/>
            <w:rtl/>
          </w:rPr>
          <w:t>המסוכנים</w:t>
        </w:r>
      </w:hyperlink>
      <w:r w:rsidRPr="00E97F94">
        <w:rPr>
          <w:rFonts w:ascii="Calibri" w:hAnsi="Calibri" w:hint="cs"/>
          <w:rtl/>
        </w:rPr>
        <w:t xml:space="preserve">, התשל"ג 1973. </w:t>
      </w:r>
    </w:p>
    <w:p w14:paraId="5A15DCF6" w14:textId="77777777" w:rsidR="00E97F94" w:rsidRPr="00E97F94" w:rsidRDefault="00E97F94" w:rsidP="00E97F94">
      <w:pPr>
        <w:spacing w:line="360" w:lineRule="auto"/>
        <w:ind w:left="-58"/>
        <w:contextualSpacing/>
        <w:jc w:val="both"/>
        <w:rPr>
          <w:rFonts w:ascii="Calibri" w:hAnsi="Calibri" w:cs="Calibri"/>
        </w:rPr>
      </w:pPr>
    </w:p>
    <w:p w14:paraId="13CAA83B" w14:textId="77777777" w:rsidR="00E97F94" w:rsidRPr="00E97F94" w:rsidRDefault="00E97F94" w:rsidP="00E97F94">
      <w:pPr>
        <w:numPr>
          <w:ilvl w:val="0"/>
          <w:numId w:val="1"/>
        </w:numPr>
        <w:spacing w:after="160" w:line="360" w:lineRule="auto"/>
        <w:ind w:left="-58"/>
        <w:contextualSpacing/>
        <w:jc w:val="both"/>
        <w:rPr>
          <w:rFonts w:ascii="Calibri" w:hAnsi="Calibri" w:cs="Calibri"/>
        </w:rPr>
      </w:pPr>
      <w:r w:rsidRPr="00E97F94">
        <w:rPr>
          <w:rFonts w:ascii="Calibri" w:hAnsi="Calibri" w:hint="cs"/>
          <w:rtl/>
        </w:rPr>
        <w:t xml:space="preserve">על פי עובדות כתב האישום, ביום 2.6.16, בשעה 12:30, בעקבות צו בית משפט, בוצע חיפוש במתחם בו מתגוררת משפחתו של הנאשם, ברחוב גדעון 5 בראשון לציון (להלן: </w:t>
      </w:r>
      <w:r w:rsidRPr="00E97F94">
        <w:rPr>
          <w:rFonts w:ascii="Calibri" w:hAnsi="Calibri" w:hint="cs"/>
          <w:b/>
          <w:bCs/>
          <w:rtl/>
        </w:rPr>
        <w:t>"המתחם"</w:t>
      </w:r>
      <w:r w:rsidRPr="00E97F94">
        <w:rPr>
          <w:rFonts w:ascii="Calibri" w:hAnsi="Calibri" w:hint="cs"/>
          <w:rtl/>
        </w:rPr>
        <w:t xml:space="preserve">). </w:t>
      </w:r>
    </w:p>
    <w:p w14:paraId="60A49142" w14:textId="77777777" w:rsidR="00E97F94" w:rsidRPr="00E97F94" w:rsidRDefault="00E97F94" w:rsidP="00E97F94">
      <w:pPr>
        <w:spacing w:after="160" w:line="360" w:lineRule="auto"/>
        <w:ind w:left="720"/>
        <w:contextualSpacing/>
        <w:rPr>
          <w:rFonts w:ascii="Calibri" w:hAnsi="Calibri"/>
        </w:rPr>
      </w:pPr>
    </w:p>
    <w:p w14:paraId="2465892A"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bookmarkStart w:id="7" w:name="ABSTRACT_END"/>
      <w:bookmarkEnd w:id="7"/>
      <w:r w:rsidRPr="00E97F94">
        <w:rPr>
          <w:rFonts w:ascii="Calibri" w:hAnsi="Calibri" w:hint="cs"/>
          <w:rtl/>
        </w:rPr>
        <w:t xml:space="preserve">במהלך החיפוש, תפסו השוטרים סם מסוכן מסוג קנבוס במשקל 2.689 קילו נטו, אותו הסליק הנאשם בתוך קופסא כחולה הנמצאת במחסן במבנה של בית כנסת נטוש הנמצא במתחם (להלן: </w:t>
      </w:r>
      <w:r w:rsidRPr="00E97F94">
        <w:rPr>
          <w:rFonts w:ascii="Calibri" w:hAnsi="Calibri" w:hint="cs"/>
          <w:b/>
          <w:bCs/>
          <w:rtl/>
        </w:rPr>
        <w:t>"הקופסא"</w:t>
      </w:r>
      <w:r w:rsidRPr="00E97F94">
        <w:rPr>
          <w:rFonts w:ascii="Calibri" w:hAnsi="Calibri" w:hint="cs"/>
          <w:rtl/>
        </w:rPr>
        <w:t xml:space="preserve">). </w:t>
      </w:r>
    </w:p>
    <w:p w14:paraId="664BD138" w14:textId="77777777" w:rsidR="00E97F94" w:rsidRPr="00E97F94" w:rsidRDefault="00E97F94" w:rsidP="00E97F94">
      <w:pPr>
        <w:spacing w:after="160" w:line="360" w:lineRule="auto"/>
        <w:ind w:left="720"/>
        <w:contextualSpacing/>
        <w:rPr>
          <w:rFonts w:ascii="Calibri" w:hAnsi="Calibri"/>
        </w:rPr>
      </w:pPr>
    </w:p>
    <w:p w14:paraId="05A63DB2"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באותן הנסיבות, בסמוך לקופסא, תפסו השוטרים משקל אלקטרוני השייך לנאשם. </w:t>
      </w:r>
    </w:p>
    <w:p w14:paraId="55997BCD" w14:textId="77777777" w:rsidR="00E97F94" w:rsidRPr="00E97F94" w:rsidRDefault="00E97F94" w:rsidP="00E97F94">
      <w:pPr>
        <w:spacing w:after="160" w:line="360" w:lineRule="auto"/>
        <w:ind w:left="720"/>
        <w:contextualSpacing/>
        <w:rPr>
          <w:rFonts w:ascii="Calibri" w:hAnsi="Calibri"/>
        </w:rPr>
      </w:pPr>
    </w:p>
    <w:p w14:paraId="7C2F52C4" w14:textId="77777777" w:rsidR="00E97F94" w:rsidRDefault="00E97F94" w:rsidP="00E97F94">
      <w:pPr>
        <w:spacing w:line="360" w:lineRule="auto"/>
        <w:ind w:left="-483"/>
        <w:jc w:val="both"/>
        <w:rPr>
          <w:b/>
          <w:bCs/>
          <w:rtl/>
        </w:rPr>
      </w:pPr>
      <w:r>
        <w:rPr>
          <w:rFonts w:hint="cs"/>
          <w:b/>
          <w:bCs/>
          <w:u w:val="single"/>
          <w:rtl/>
        </w:rPr>
        <w:t>הצדדים לעונש</w:t>
      </w:r>
      <w:r>
        <w:rPr>
          <w:rFonts w:hint="cs"/>
          <w:b/>
          <w:bCs/>
          <w:rtl/>
        </w:rPr>
        <w:t>:</w:t>
      </w:r>
    </w:p>
    <w:p w14:paraId="3E872D9A" w14:textId="77777777" w:rsidR="00E97F94" w:rsidRDefault="00E97F94" w:rsidP="00E97F94">
      <w:pPr>
        <w:spacing w:line="360" w:lineRule="auto"/>
        <w:ind w:left="-483"/>
        <w:jc w:val="both"/>
        <w:rPr>
          <w:b/>
          <w:bCs/>
          <w:rtl/>
        </w:rPr>
      </w:pPr>
      <w:r>
        <w:rPr>
          <w:rFonts w:hint="cs"/>
          <w:b/>
          <w:bCs/>
          <w:u w:val="single"/>
          <w:rtl/>
        </w:rPr>
        <w:t>טיעוני המאשימה</w:t>
      </w:r>
      <w:r>
        <w:rPr>
          <w:rFonts w:hint="cs"/>
          <w:b/>
          <w:bCs/>
          <w:rtl/>
        </w:rPr>
        <w:t>:</w:t>
      </w:r>
    </w:p>
    <w:p w14:paraId="62ED4549"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הנאשם, יליד 1980, יש לו הרשעות קודמות, בין היתר בעבירות סמים, בגינן תלוי ועומד כנגדו מע"ת למשך חודשיים וכן התחייבות בסך 1,000 ₪. </w:t>
      </w:r>
    </w:p>
    <w:p w14:paraId="4387E147" w14:textId="77777777" w:rsidR="00E97F94" w:rsidRPr="00E97F94" w:rsidRDefault="00E97F94" w:rsidP="00E97F94">
      <w:pPr>
        <w:spacing w:line="360" w:lineRule="auto"/>
        <w:ind w:left="-58"/>
        <w:contextualSpacing/>
        <w:jc w:val="both"/>
        <w:rPr>
          <w:rFonts w:ascii="Calibri" w:hAnsi="Calibri" w:cs="Calibri"/>
        </w:rPr>
      </w:pPr>
    </w:p>
    <w:p w14:paraId="4EDA3FE0" w14:textId="77777777" w:rsidR="00E97F94" w:rsidRPr="00E97F94" w:rsidRDefault="00E97F94" w:rsidP="00E97F94">
      <w:pPr>
        <w:numPr>
          <w:ilvl w:val="0"/>
          <w:numId w:val="1"/>
        </w:numPr>
        <w:spacing w:after="160" w:line="360" w:lineRule="auto"/>
        <w:ind w:left="-58"/>
        <w:contextualSpacing/>
        <w:jc w:val="both"/>
        <w:rPr>
          <w:rFonts w:ascii="Calibri" w:hAnsi="Calibri" w:cs="Calibri"/>
        </w:rPr>
      </w:pPr>
      <w:r w:rsidRPr="00E97F94">
        <w:rPr>
          <w:rFonts w:ascii="Calibri" w:hAnsi="Calibri" w:hint="cs"/>
          <w:rtl/>
        </w:rPr>
        <w:t xml:space="preserve">הערכים המוגנים שנפגעו הינם שמירה על החברה מפני נגע הסמים שהולך ומתפשט, כשהחזקה ושימוש סמים מגדילים את מעגל הפשיעה, שכן עבירות מסוג זה כוללות בתוכן לרוב גם ביצוע עבירות נלוות, הכרוכות בשימוש בסם ובכף נפגעים גם הערכים של שלום הציבור ובריאות הציבור. </w:t>
      </w:r>
    </w:p>
    <w:p w14:paraId="25D16179" w14:textId="77777777" w:rsidR="00E97F94" w:rsidRPr="00E97F94" w:rsidRDefault="00E97F94" w:rsidP="00E97F94">
      <w:pPr>
        <w:spacing w:after="160" w:line="360" w:lineRule="auto"/>
        <w:ind w:left="720"/>
        <w:contextualSpacing/>
        <w:rPr>
          <w:rFonts w:ascii="Calibri" w:hAnsi="Calibri"/>
        </w:rPr>
      </w:pPr>
    </w:p>
    <w:p w14:paraId="6C95246A"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לטענת המאשימה מתחם הענישה נע בין 6 חודשי מאסר ועד ל - 15 חודשי מאסר בפועל, במקרים דומים ואף במקרים בהם נתפסה כמות פחותה יותר של סמים. בעניינו של הנאשם התקבלו 2 תסקירים, על פי התסקיר הראשון, הנאשם הראה נכונות לטיפול בבעיית הסמים וכן לטיפול פרטני אחת לשבוע. </w:t>
      </w:r>
    </w:p>
    <w:p w14:paraId="30A2DEF6" w14:textId="77777777" w:rsidR="00E97F94" w:rsidRPr="00E97F94" w:rsidRDefault="00E97F94" w:rsidP="00E97F94">
      <w:pPr>
        <w:spacing w:after="160" w:line="360" w:lineRule="auto"/>
        <w:ind w:left="720"/>
        <w:contextualSpacing/>
        <w:rPr>
          <w:rFonts w:ascii="Calibri" w:hAnsi="Calibri"/>
        </w:rPr>
      </w:pPr>
    </w:p>
    <w:p w14:paraId="73503EEF"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שירות המבחן מציין בין גורמי הסיכון כי הנאשם מחזיק בעמדות מקלות בנוגע לשימוש בסמים, התייחסותו הקורבנית, והשלכת קשייו על משפחתו. מהתסקיר השני עלה כי הנאשם השתלב בטיפול, מקפיד על הכללים, מוסר בדיקות נקיות ואולם עדיין קיים סיכון במצבי לחץ ועל כן המשך טיפול בעניינו של הנאשם הכרחי, ולפיכך ממליץ שירות המבחן על הארכת המאסר המותנה והטלת צו מבחן. </w:t>
      </w:r>
    </w:p>
    <w:p w14:paraId="688B402C" w14:textId="77777777" w:rsidR="00E97F94" w:rsidRPr="00E97F94" w:rsidRDefault="00E97F94" w:rsidP="00E97F94">
      <w:pPr>
        <w:spacing w:after="160" w:line="360" w:lineRule="auto"/>
        <w:ind w:left="720"/>
        <w:contextualSpacing/>
        <w:rPr>
          <w:rFonts w:ascii="Calibri" w:hAnsi="Calibri"/>
        </w:rPr>
      </w:pPr>
    </w:p>
    <w:p w14:paraId="4129C0CF"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לטענת המאשימה, הפסיקה קובעת כי גם אם מדובר בסם "קל" לא תיתכן ענישה שאינה מאסר בפועל במתקן כליאה או בעבודות שירות. בייחוד מקום בו אדם לא נרתע וממשיך לבצע את עבירות הסמים. </w:t>
      </w:r>
    </w:p>
    <w:p w14:paraId="79D6A375" w14:textId="77777777" w:rsidR="00E97F94" w:rsidRPr="00E97F94" w:rsidRDefault="00E97F94" w:rsidP="00E97F94">
      <w:pPr>
        <w:spacing w:after="160" w:line="360" w:lineRule="auto"/>
        <w:ind w:left="720"/>
        <w:contextualSpacing/>
        <w:rPr>
          <w:rFonts w:ascii="Calibri" w:hAnsi="Calibri"/>
        </w:rPr>
      </w:pPr>
    </w:p>
    <w:p w14:paraId="3A49ACAD"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המאשימה עותרת לגזור על הנאשם מאסר בפועל בן 12 חודשים, הפעלת המאסר המותנה במצטבר, הפעלת ההתחייבות, פסילה על תנאי ובפועל, קנס ומאסר מותנה. </w:t>
      </w:r>
    </w:p>
    <w:p w14:paraId="3772355A" w14:textId="77777777" w:rsidR="00E97F94" w:rsidRDefault="00E97F94" w:rsidP="00E97F94">
      <w:pPr>
        <w:spacing w:line="360" w:lineRule="auto"/>
        <w:ind w:left="-483"/>
        <w:jc w:val="both"/>
        <w:rPr>
          <w:b/>
          <w:bCs/>
          <w:u w:val="single"/>
        </w:rPr>
      </w:pPr>
    </w:p>
    <w:p w14:paraId="337582A1" w14:textId="77777777" w:rsidR="00E97F94" w:rsidRDefault="00E97F94" w:rsidP="00E97F94">
      <w:pPr>
        <w:spacing w:line="360" w:lineRule="auto"/>
        <w:ind w:left="-483"/>
        <w:jc w:val="both"/>
        <w:rPr>
          <w:b/>
          <w:bCs/>
          <w:u w:val="single"/>
          <w:rtl/>
        </w:rPr>
      </w:pPr>
      <w:r>
        <w:rPr>
          <w:rFonts w:hint="cs"/>
          <w:b/>
          <w:bCs/>
          <w:u w:val="single"/>
          <w:rtl/>
        </w:rPr>
        <w:t>טיעוני ב"כ הנאשם</w:t>
      </w:r>
      <w:r>
        <w:rPr>
          <w:rFonts w:hint="cs"/>
          <w:b/>
          <w:bCs/>
          <w:rtl/>
        </w:rPr>
        <w:t>:</w:t>
      </w:r>
    </w:p>
    <w:p w14:paraId="3E213886" w14:textId="77777777" w:rsidR="00E97F94" w:rsidRPr="00E97F94" w:rsidRDefault="00E97F94" w:rsidP="00E97F94">
      <w:pPr>
        <w:spacing w:after="160" w:line="360" w:lineRule="auto"/>
        <w:ind w:left="720"/>
        <w:contextualSpacing/>
        <w:rPr>
          <w:rFonts w:ascii="Calibri" w:hAnsi="Calibri"/>
          <w:rtl/>
        </w:rPr>
      </w:pPr>
    </w:p>
    <w:p w14:paraId="1B8244F3" w14:textId="77777777" w:rsidR="00E97F94" w:rsidRDefault="00E97F94" w:rsidP="00E97F94">
      <w:pPr>
        <w:numPr>
          <w:ilvl w:val="0"/>
          <w:numId w:val="1"/>
        </w:numPr>
        <w:spacing w:after="160" w:line="360" w:lineRule="auto"/>
        <w:ind w:left="-58"/>
        <w:contextualSpacing/>
        <w:jc w:val="both"/>
        <w:rPr>
          <w:rtl/>
        </w:rPr>
      </w:pPr>
      <w:r>
        <w:rPr>
          <w:rFonts w:hint="cs"/>
          <w:rtl/>
        </w:rPr>
        <w:t xml:space="preserve">לטענת ב"כ הנאשם, זהו המקרה בו המאשימה אמורה לבוא לקראת הנאשם שעבר תהליך ארוך, השתקם, הליך שיקומו נפרס על פני שני תסקירים, באמצעות טיפול קבוצתי ופרטני, שעובר הנאשם </w:t>
      </w:r>
      <w:r>
        <w:rPr>
          <w:rFonts w:hint="cs"/>
          <w:rtl/>
        </w:rPr>
        <w:lastRenderedPageBreak/>
        <w:t xml:space="preserve">מידי יום. הנאשם נקי לחלוטין מסמים, חזר לגדל את ילדיו וכיום הוא מבין שהתנהלותו בעבר הביאה חורבן אמיתי עליו ועל ביתו. </w:t>
      </w:r>
    </w:p>
    <w:p w14:paraId="6F9BD0B4" w14:textId="77777777" w:rsidR="00E97F94" w:rsidRPr="00E97F94" w:rsidRDefault="00E97F94" w:rsidP="00E97F94">
      <w:pPr>
        <w:spacing w:after="160" w:line="360" w:lineRule="auto"/>
        <w:ind w:left="720"/>
        <w:contextualSpacing/>
        <w:rPr>
          <w:rFonts w:ascii="Calibri" w:hAnsi="Calibri" w:cs="Calibri"/>
        </w:rPr>
      </w:pPr>
    </w:p>
    <w:p w14:paraId="47A26C98" w14:textId="77777777" w:rsidR="00E97F94" w:rsidRDefault="00E97F94" w:rsidP="00E97F94">
      <w:pPr>
        <w:numPr>
          <w:ilvl w:val="0"/>
          <w:numId w:val="1"/>
        </w:numPr>
        <w:spacing w:after="160" w:line="360" w:lineRule="auto"/>
        <w:ind w:left="-58"/>
        <w:contextualSpacing/>
        <w:jc w:val="both"/>
      </w:pPr>
      <w:r>
        <w:rPr>
          <w:rFonts w:hint="cs"/>
          <w:rtl/>
        </w:rPr>
        <w:t xml:space="preserve">שיקומו של הנאשם זה לחם חוקו של האינטרס הציבורי. שימוש בסמים הורס יחידים והופך אותם לעול לחברה, יחד עם זאת, פסיקת בתי המשפט לאורך השנים, שמה דגש על שיקומו של נאשם, שבסיכומו של יום משרת את החברה כולה. על השיקום לגבור על תכליות אחרות. </w:t>
      </w:r>
    </w:p>
    <w:p w14:paraId="3D2CEFF1" w14:textId="77777777" w:rsidR="00E97F94" w:rsidRDefault="00E97F94" w:rsidP="00E97F94">
      <w:pPr>
        <w:spacing w:after="160" w:line="360" w:lineRule="auto"/>
        <w:ind w:left="720"/>
        <w:contextualSpacing/>
      </w:pPr>
    </w:p>
    <w:p w14:paraId="7FFDB987" w14:textId="77777777" w:rsidR="00E97F94" w:rsidRDefault="00E97F94" w:rsidP="00E97F94">
      <w:pPr>
        <w:numPr>
          <w:ilvl w:val="0"/>
          <w:numId w:val="1"/>
        </w:numPr>
        <w:spacing w:after="160" w:line="360" w:lineRule="auto"/>
        <w:ind w:left="-58"/>
        <w:contextualSpacing/>
        <w:jc w:val="both"/>
        <w:rPr>
          <w:rtl/>
        </w:rPr>
      </w:pPr>
      <w:r>
        <w:rPr>
          <w:rFonts w:hint="cs"/>
          <w:rtl/>
        </w:rPr>
        <w:t xml:space="preserve">ב"כ הנאשם עותר להארכת המאסר המותנה, אימוץ המלצות שירות המבחן, הטלת צו מבחן ורכיבי ענישה נוספים שיעזרו להרתיע את הנאשם. </w:t>
      </w:r>
    </w:p>
    <w:p w14:paraId="43C36D19" w14:textId="77777777" w:rsidR="00E97F94" w:rsidRDefault="00E97F94" w:rsidP="00E97F94">
      <w:pPr>
        <w:spacing w:after="160" w:line="360" w:lineRule="auto"/>
        <w:ind w:left="720"/>
        <w:contextualSpacing/>
      </w:pPr>
    </w:p>
    <w:p w14:paraId="3B3D3811" w14:textId="77777777" w:rsidR="00E97F94" w:rsidRDefault="00E97F94" w:rsidP="00E97F94">
      <w:pPr>
        <w:numPr>
          <w:ilvl w:val="0"/>
          <w:numId w:val="1"/>
        </w:numPr>
        <w:spacing w:after="160" w:line="360" w:lineRule="auto"/>
        <w:ind w:left="-58"/>
        <w:contextualSpacing/>
        <w:jc w:val="both"/>
        <w:rPr>
          <w:rtl/>
        </w:rPr>
      </w:pPr>
      <w:r>
        <w:rPr>
          <w:rFonts w:hint="cs"/>
          <w:rtl/>
        </w:rPr>
        <w:t xml:space="preserve">יש לזקוף לזכות הנאשם את הודייתו המיידית, שניתנה עוד במעמד הדיון הראשון, מתוך חרטה, ומעל הכל, מתוך רצון עז להחלים ולהתרומם מאותו בור בו היה שרוי משך שנים. הנאשם לא הפר את התנאים בהם היה שרוי, מהיום הראשון השתלב בהליך טיפולי אישי וקבוצתי. </w:t>
      </w:r>
    </w:p>
    <w:p w14:paraId="369CB1CD" w14:textId="77777777" w:rsidR="00E97F94" w:rsidRDefault="00E97F94" w:rsidP="00E97F94">
      <w:pPr>
        <w:spacing w:after="160" w:line="360" w:lineRule="auto"/>
        <w:ind w:left="720"/>
        <w:contextualSpacing/>
      </w:pPr>
    </w:p>
    <w:p w14:paraId="345DE635" w14:textId="77777777" w:rsidR="00E97F94" w:rsidRDefault="00E97F94" w:rsidP="00E97F94">
      <w:pPr>
        <w:numPr>
          <w:ilvl w:val="0"/>
          <w:numId w:val="1"/>
        </w:numPr>
        <w:spacing w:after="160" w:line="360" w:lineRule="auto"/>
        <w:ind w:left="-58"/>
        <w:contextualSpacing/>
        <w:jc w:val="both"/>
        <w:rPr>
          <w:rtl/>
        </w:rPr>
      </w:pPr>
      <w:r>
        <w:rPr>
          <w:rFonts w:hint="cs"/>
          <w:rtl/>
        </w:rPr>
        <w:t xml:space="preserve">ב"כ הנאשם סבור כי מתחם הענישה נע בין 4 חודשי מאסר בעבודות שירות ועד ל - 12 חודשי מאסר בפועל. ואולם בענייננו קיים שיקול השיקום. לא נפתחו כנגד הנאשם תיקים נוספים. ב"כ הנאשם עתר שלא לפסול לנאשם את רישיון הנהיגה, על מנת שתינתן לו האפשרות לצאת לעבוד, משפחתו של הנאשם נושאת בחובותיו. הנאשם מבקש כיום לצאת חזרה לתעסוקה, להשתלב בחברה ולחיות חיים נורמטיביים ולפרנס את זוגתו, שהחלה לעבוד, אך לאחרונה, לאחר שבמשך שנה שימשה כמפקחת עליו. </w:t>
      </w:r>
    </w:p>
    <w:p w14:paraId="115545D7" w14:textId="77777777" w:rsidR="00E97F94" w:rsidRDefault="00E97F94" w:rsidP="00E97F94">
      <w:pPr>
        <w:spacing w:after="160" w:line="360" w:lineRule="auto"/>
        <w:ind w:left="-418"/>
        <w:jc w:val="both"/>
        <w:rPr>
          <w:rtl/>
        </w:rPr>
      </w:pPr>
      <w:r>
        <w:rPr>
          <w:rFonts w:hint="cs"/>
          <w:b/>
          <w:bCs/>
          <w:u w:val="single"/>
          <w:rtl/>
        </w:rPr>
        <w:t>דברו האחרון של הנאשם:</w:t>
      </w:r>
    </w:p>
    <w:p w14:paraId="0F6500A1" w14:textId="77777777" w:rsidR="00E97F94" w:rsidRDefault="00E97F94" w:rsidP="00E97F94">
      <w:pPr>
        <w:numPr>
          <w:ilvl w:val="0"/>
          <w:numId w:val="1"/>
        </w:numPr>
        <w:spacing w:after="160" w:line="360" w:lineRule="auto"/>
        <w:ind w:left="-58"/>
        <w:contextualSpacing/>
        <w:jc w:val="both"/>
        <w:rPr>
          <w:rtl/>
        </w:rPr>
      </w:pPr>
      <w:r w:rsidRPr="00E97F94">
        <w:rPr>
          <w:rFonts w:ascii="Calibri" w:hAnsi="Calibri" w:hint="cs"/>
          <w:rtl/>
        </w:rPr>
        <w:t xml:space="preserve">הנאשם תיאר בפני בית המשפט את התהליך השיקומי אותו עבר ועובר, את ההבנה למצבו ולנסיבות שהובילו אותו לבצע את העבירות. הוא תיאר כי הוא טרם השתקם עד תום וכי זהו תהליך איטי, הוא שב לקשר עם ילדיו ומרגיש שזכה בחייו ועל כן מבקש את התחשבותו של בית המשפט. </w:t>
      </w:r>
    </w:p>
    <w:p w14:paraId="30D5EAD2" w14:textId="77777777" w:rsidR="00E97F94" w:rsidRDefault="00E97F94" w:rsidP="00E97F94">
      <w:pPr>
        <w:spacing w:line="360" w:lineRule="auto"/>
        <w:rPr>
          <w:sz w:val="30"/>
          <w:szCs w:val="30"/>
          <w:rtl/>
        </w:rPr>
      </w:pPr>
    </w:p>
    <w:p w14:paraId="199E34F6" w14:textId="77777777" w:rsidR="00E97F94" w:rsidRDefault="00E97F94" w:rsidP="00E97F94">
      <w:pPr>
        <w:spacing w:after="160" w:line="360" w:lineRule="auto"/>
        <w:ind w:left="-418"/>
        <w:jc w:val="both"/>
        <w:rPr>
          <w:b/>
          <w:bCs/>
          <w:rtl/>
        </w:rPr>
      </w:pPr>
      <w:r>
        <w:rPr>
          <w:rFonts w:hint="cs"/>
          <w:b/>
          <w:bCs/>
          <w:u w:val="single"/>
          <w:rtl/>
        </w:rPr>
        <w:t>תסקיר שירות המבחן</w:t>
      </w:r>
      <w:r>
        <w:rPr>
          <w:rFonts w:hint="cs"/>
          <w:b/>
          <w:bCs/>
          <w:rtl/>
        </w:rPr>
        <w:t xml:space="preserve">: </w:t>
      </w:r>
    </w:p>
    <w:p w14:paraId="65627D75"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בעניינו של הנאשם הוגשו שלושה תסקירים, כאשר הרלוונטיים לענייננו הינם התסקיר מיום 7.6.17 והתסקיר מיום 25.9.17. </w:t>
      </w:r>
    </w:p>
    <w:p w14:paraId="0E73E545" w14:textId="77777777" w:rsidR="00E97F94" w:rsidRPr="00E97F94" w:rsidRDefault="00E97F94" w:rsidP="00E97F94">
      <w:pPr>
        <w:spacing w:after="160" w:line="360" w:lineRule="auto"/>
        <w:ind w:left="720"/>
        <w:contextualSpacing/>
        <w:rPr>
          <w:rFonts w:ascii="Calibri" w:hAnsi="Calibri" w:cs="Calibri"/>
        </w:rPr>
      </w:pPr>
    </w:p>
    <w:p w14:paraId="0F2F53E6" w14:textId="77777777" w:rsidR="00E97F94" w:rsidRPr="00E97F94" w:rsidRDefault="00E97F94" w:rsidP="00E97F94">
      <w:pPr>
        <w:numPr>
          <w:ilvl w:val="0"/>
          <w:numId w:val="1"/>
        </w:numPr>
        <w:spacing w:after="160" w:line="360" w:lineRule="auto"/>
        <w:ind w:left="-58"/>
        <w:contextualSpacing/>
        <w:jc w:val="both"/>
        <w:rPr>
          <w:rFonts w:ascii="Calibri" w:hAnsi="Calibri" w:cs="Calibri"/>
        </w:rPr>
      </w:pPr>
      <w:r w:rsidRPr="00E97F94">
        <w:rPr>
          <w:rFonts w:ascii="Calibri" w:hAnsi="Calibri" w:hint="cs"/>
          <w:rtl/>
        </w:rPr>
        <w:t xml:space="preserve">מהתסקיר הראשון עולה כי הנאשם, כבן 36, גרוש ואב לשני ילדים קטינים. מתגורר בבית דגן עם בת זוגתו, אינו עובד ונמצא בתנאים מגבילים הכוללים מעצר לילה. </w:t>
      </w:r>
    </w:p>
    <w:p w14:paraId="25B24B24" w14:textId="77777777" w:rsidR="00E97F94" w:rsidRPr="00E97F94" w:rsidRDefault="00E97F94" w:rsidP="00E97F94">
      <w:pPr>
        <w:spacing w:after="160" w:line="360" w:lineRule="auto"/>
        <w:ind w:left="720"/>
        <w:contextualSpacing/>
        <w:rPr>
          <w:rFonts w:ascii="Calibri" w:hAnsi="Calibri"/>
        </w:rPr>
      </w:pPr>
    </w:p>
    <w:p w14:paraId="43F95A7A"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לירון כבן 36, גרוש ואב לשני ילדים בגילאי 6, 8 המתגוררים עם אמם בראשון לציון. מתגורר בבית דגן עם בת זוגתו. הנאשם אינו עובד ובתחילת פברואר 2017 החל טיפול אינטנסיבי במרכז יום "חוסן" לנפגעי סמים ברחובות ובטיפול פרטני ביחידה להתמכרויות בראשל"צ. </w:t>
      </w:r>
    </w:p>
    <w:p w14:paraId="5010CF37" w14:textId="77777777" w:rsidR="00E97F94" w:rsidRPr="00E97F94" w:rsidRDefault="00E97F94" w:rsidP="00E97F94">
      <w:pPr>
        <w:spacing w:after="160" w:line="360" w:lineRule="auto"/>
        <w:ind w:left="720"/>
        <w:contextualSpacing/>
        <w:rPr>
          <w:rFonts w:ascii="Calibri" w:hAnsi="Calibri"/>
          <w:rtl/>
        </w:rPr>
      </w:pPr>
    </w:p>
    <w:p w14:paraId="2FEA431A" w14:textId="77777777" w:rsidR="00E97F94" w:rsidRPr="00E97F94" w:rsidRDefault="00E97F94" w:rsidP="00E97F94">
      <w:pPr>
        <w:spacing w:after="160" w:line="360" w:lineRule="auto"/>
        <w:ind w:left="720"/>
        <w:contextualSpacing/>
        <w:rPr>
          <w:rFonts w:ascii="Calibri" w:hAnsi="Calibri"/>
        </w:rPr>
      </w:pPr>
    </w:p>
    <w:p w14:paraId="491D1948"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במהלך התקופה לא נפתחו כנגדו תיקי מב"ד נוספים ותלוי ועומד כנגדו מע"ת בר הפעלה. </w:t>
      </w:r>
    </w:p>
    <w:p w14:paraId="7C5FBB04" w14:textId="77777777" w:rsidR="00E97F94" w:rsidRPr="00E97F94" w:rsidRDefault="00E97F94" w:rsidP="00E97F94">
      <w:pPr>
        <w:spacing w:after="160" w:line="360" w:lineRule="auto"/>
        <w:ind w:left="720"/>
        <w:contextualSpacing/>
        <w:rPr>
          <w:rFonts w:ascii="Calibri" w:hAnsi="Calibri"/>
        </w:rPr>
      </w:pPr>
    </w:p>
    <w:p w14:paraId="7F967CD0"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תסקיר שירות המבחן מתאר את מורכבות היחסים במשפחת מוצאו והרקע האישי של הנאשם. עולה כי הנאשם החל להכיר בהתמכרותו לסמים לראשונה עם הגשת כתב האישום בתיק הנוכחי וברצונו לטפל בכך. כאשר החל מחודש יוני 2016 הפסיק את השימוש בסם. </w:t>
      </w:r>
    </w:p>
    <w:p w14:paraId="4B3F3B36" w14:textId="77777777" w:rsidR="00E97F94" w:rsidRPr="00E97F94" w:rsidRDefault="00E97F94" w:rsidP="00E97F94">
      <w:pPr>
        <w:spacing w:after="160" w:line="360" w:lineRule="auto"/>
        <w:ind w:left="720"/>
        <w:contextualSpacing/>
        <w:rPr>
          <w:rFonts w:ascii="Calibri" w:hAnsi="Calibri"/>
        </w:rPr>
      </w:pPr>
    </w:p>
    <w:p w14:paraId="53CF6600"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הנאשם הביע בפני שירות המבחן צער בגין התנהגותו, התמיד בטיפול הקבוצתי והאישי, מוסר בדיקות שתן, מקפיד על הכללים, בפגישות הפרטניות משתף בהתמודדויות השונות הקשורות לקשרים בחייו, מעוניין להמשיך ולהתמיד על מנת לנסות להתמודד בדרכים לגיטימיות עם קשיים בחייו הנוגעים לתפקודו כהורה, כבן זוג וכן לעבד בצורה טובה יותר את נסיבות חייו שהובילו להתמכרותו לסמים. </w:t>
      </w:r>
    </w:p>
    <w:p w14:paraId="5688F09B" w14:textId="77777777" w:rsidR="00E97F94" w:rsidRPr="00E97F94" w:rsidRDefault="00E97F94" w:rsidP="00E97F94">
      <w:pPr>
        <w:spacing w:after="160" w:line="360" w:lineRule="auto"/>
        <w:ind w:left="720"/>
        <w:contextualSpacing/>
        <w:rPr>
          <w:rFonts w:ascii="Calibri" w:hAnsi="Calibri"/>
        </w:rPr>
      </w:pPr>
    </w:p>
    <w:p w14:paraId="5E8345A5"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בתסקיר זה העריך שירות המבחן כי הנאשם בעל קשיי ויסות ועבר של התמכרות מתמשכת, הסיכון עדיין קיים במצבי לחץ סביב מערכות יחסים ועל כן המשך טיפול הינו הכרחי. לצד זה, עולה כי הנאשם מכיר בבעייתו, לוקח אחריות לביצוע העבירה ומתמיד בטיפול האינטנסיבי תוך שהוא שומר על ניקיון מסמים לצד שמירה על יציבות במישור המשפחתי והזוגי. </w:t>
      </w:r>
    </w:p>
    <w:p w14:paraId="6D13B4E3" w14:textId="77777777" w:rsidR="00E97F94" w:rsidRPr="00E97F94" w:rsidRDefault="00E97F94" w:rsidP="00E97F94">
      <w:pPr>
        <w:spacing w:after="160" w:line="360" w:lineRule="auto"/>
        <w:ind w:left="720"/>
        <w:contextualSpacing/>
        <w:rPr>
          <w:rFonts w:ascii="Calibri" w:hAnsi="Calibri"/>
        </w:rPr>
      </w:pPr>
    </w:p>
    <w:p w14:paraId="280F6286"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בסיכומו של תסקיר המליץ שירות המבחן להאריך את המאסר המותנה, בכפוף לצו מבחן למשך שנה. </w:t>
      </w:r>
    </w:p>
    <w:p w14:paraId="71438478" w14:textId="77777777" w:rsidR="00E97F94" w:rsidRPr="00E97F94" w:rsidRDefault="00E97F94" w:rsidP="00E97F94">
      <w:pPr>
        <w:spacing w:after="160" w:line="360" w:lineRule="auto"/>
        <w:ind w:left="720"/>
        <w:contextualSpacing/>
        <w:rPr>
          <w:rFonts w:ascii="Calibri" w:hAnsi="Calibri"/>
        </w:rPr>
      </w:pPr>
    </w:p>
    <w:p w14:paraId="463DEEF9"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בתסקיר מיום 25.9.17 שב שירות המבחן ותיאר את ההיסטוריה המשפחתית והאישית של הנאשם, הדגיש כי לא נפתחו כנגד הנאשם תיקי מב"ד נוספים וכל שתלוי ועומד כנגדו הוא המאסר המותנה. </w:t>
      </w:r>
    </w:p>
    <w:p w14:paraId="51059834" w14:textId="77777777" w:rsidR="00E97F94" w:rsidRPr="00E97F94" w:rsidRDefault="00E97F94" w:rsidP="00E97F94">
      <w:pPr>
        <w:spacing w:after="160" w:line="360" w:lineRule="auto"/>
        <w:ind w:left="720"/>
        <w:contextualSpacing/>
        <w:rPr>
          <w:rFonts w:ascii="Calibri" w:hAnsi="Calibri"/>
        </w:rPr>
      </w:pPr>
    </w:p>
    <w:p w14:paraId="5EACE33F"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שירות המבחן מציין בתסקירו כי מעריך כי מאמציו של הנאשם לשיקום בטווח המיידי והארוך הינם גורמים מפחיתי סיכון להישנות עבירות בעתיד. הנאשם מבין את משמעות המאסר המותנה שתלוי נגדו.</w:t>
      </w:r>
    </w:p>
    <w:p w14:paraId="2996D85B" w14:textId="77777777" w:rsidR="00E97F94" w:rsidRPr="00E97F94" w:rsidRDefault="00E97F94" w:rsidP="00E97F94">
      <w:pPr>
        <w:spacing w:after="160" w:line="360" w:lineRule="auto"/>
        <w:ind w:left="720"/>
        <w:contextualSpacing/>
        <w:rPr>
          <w:rFonts w:ascii="Calibri" w:hAnsi="Calibri"/>
        </w:rPr>
      </w:pPr>
    </w:p>
    <w:p w14:paraId="1AF6E730"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הנאשם מקפיד להגיע בזמן לפגישות הקבוצתיות והאישיות שנקבעו עמו, מביע צער בגין התנהגותו ותיאר כי מאז מעצרו אינו צורך סמים. </w:t>
      </w:r>
    </w:p>
    <w:p w14:paraId="0D0FE4E6" w14:textId="77777777" w:rsidR="00E97F94" w:rsidRPr="00E97F94" w:rsidRDefault="00E97F94" w:rsidP="00E97F94">
      <w:pPr>
        <w:spacing w:after="160" w:line="360" w:lineRule="auto"/>
        <w:ind w:left="720"/>
        <w:contextualSpacing/>
        <w:rPr>
          <w:rFonts w:ascii="Calibri" w:hAnsi="Calibri"/>
        </w:rPr>
      </w:pPr>
    </w:p>
    <w:p w14:paraId="35CCF178"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שירות המבחן שב וממליץ להאריך את המאסר המותנה וכן להטיל על הנאשם צו מבחן. </w:t>
      </w:r>
    </w:p>
    <w:p w14:paraId="12585EFD" w14:textId="77777777" w:rsidR="00E97F94" w:rsidRDefault="00E97F94" w:rsidP="00E97F94">
      <w:pPr>
        <w:spacing w:line="360" w:lineRule="auto"/>
        <w:jc w:val="both"/>
        <w:rPr>
          <w:b/>
          <w:bCs/>
        </w:rPr>
      </w:pPr>
    </w:p>
    <w:p w14:paraId="6340D3F1" w14:textId="77777777" w:rsidR="00E97F94" w:rsidRDefault="00E97F94" w:rsidP="00E97F94">
      <w:pPr>
        <w:spacing w:after="160" w:line="360" w:lineRule="auto"/>
        <w:ind w:left="-418"/>
        <w:jc w:val="both"/>
        <w:rPr>
          <w:b/>
          <w:bCs/>
          <w:u w:val="single"/>
          <w:rtl/>
        </w:rPr>
      </w:pPr>
      <w:r>
        <w:rPr>
          <w:rFonts w:hint="cs"/>
          <w:b/>
          <w:bCs/>
          <w:u w:val="single"/>
          <w:rtl/>
        </w:rPr>
        <w:t>דיון והכרעה</w:t>
      </w:r>
      <w:r>
        <w:rPr>
          <w:rFonts w:hint="cs"/>
          <w:b/>
          <w:bCs/>
          <w:rtl/>
        </w:rPr>
        <w:t>:</w:t>
      </w:r>
    </w:p>
    <w:p w14:paraId="490FC20E" w14:textId="77777777" w:rsidR="00E97F94" w:rsidRDefault="00E97F94" w:rsidP="00E97F94">
      <w:pPr>
        <w:numPr>
          <w:ilvl w:val="0"/>
          <w:numId w:val="1"/>
        </w:numPr>
        <w:spacing w:after="160" w:line="360" w:lineRule="auto"/>
        <w:ind w:left="-58"/>
        <w:contextualSpacing/>
        <w:jc w:val="both"/>
        <w:rPr>
          <w:rtl/>
        </w:rPr>
      </w:pPr>
      <w:r>
        <w:rPr>
          <w:rFonts w:hint="cs"/>
          <w:rtl/>
        </w:rPr>
        <w:t xml:space="preserve">על פי האמור בסעיף </w:t>
      </w:r>
      <w:hyperlink r:id="rId19" w:history="1">
        <w:r w:rsidR="00C228C2" w:rsidRPr="00C228C2">
          <w:rPr>
            <w:color w:val="0000FF"/>
            <w:u w:val="single"/>
            <w:rtl/>
          </w:rPr>
          <w:t>40 ג (א)</w:t>
        </w:r>
      </w:hyperlink>
      <w:r>
        <w:rPr>
          <w:rFonts w:hint="cs"/>
          <w:rtl/>
        </w:rPr>
        <w:t xml:space="preserve"> ל</w:t>
      </w:r>
      <w:hyperlink r:id="rId20" w:history="1">
        <w:r w:rsidR="00352F20" w:rsidRPr="00352F20">
          <w:rPr>
            <w:color w:val="0000FF"/>
            <w:u w:val="single"/>
            <w:rtl/>
          </w:rPr>
          <w:t>חוק העונשין</w:t>
        </w:r>
      </w:hyperlink>
      <w:r>
        <w:rPr>
          <w:rFonts w:hint="cs"/>
          <w:rtl/>
        </w:rPr>
        <w:t>, בקביעת מתחם העונש בהתאם לעקרון ההלימה, על בית המשפט להתחשב "</w:t>
      </w:r>
      <w:r>
        <w:rPr>
          <w:rFonts w:hint="cs"/>
          <w:b/>
          <w:bCs/>
          <w:rtl/>
        </w:rPr>
        <w:t>בערך החברתי שנפגע מביצוע העבירה, במידת הפגיעה בו, במדיניות הענישה הנהוגה ובנסיבות הקשורות בביצוע העבירה</w:t>
      </w:r>
      <w:r>
        <w:rPr>
          <w:rFonts w:hint="cs"/>
          <w:rtl/>
        </w:rPr>
        <w:t>".</w:t>
      </w:r>
    </w:p>
    <w:p w14:paraId="7C947670" w14:textId="77777777" w:rsidR="00E97F94" w:rsidRDefault="00E97F94" w:rsidP="00E97F94">
      <w:pPr>
        <w:spacing w:after="160" w:line="360" w:lineRule="auto"/>
        <w:ind w:left="720"/>
        <w:contextualSpacing/>
        <w:rPr>
          <w:rFonts w:cs="Arial"/>
          <w:sz w:val="22"/>
          <w:szCs w:val="22"/>
        </w:rPr>
      </w:pPr>
    </w:p>
    <w:p w14:paraId="6690A158" w14:textId="77777777" w:rsidR="00E97F94" w:rsidRDefault="00E97F94" w:rsidP="00E97F94">
      <w:pPr>
        <w:numPr>
          <w:ilvl w:val="0"/>
          <w:numId w:val="1"/>
        </w:numPr>
        <w:spacing w:after="160" w:line="360" w:lineRule="auto"/>
        <w:ind w:left="-58"/>
        <w:contextualSpacing/>
        <w:jc w:val="both"/>
        <w:rPr>
          <w:rtl/>
        </w:rPr>
      </w:pPr>
      <w:r>
        <w:rPr>
          <w:rFonts w:hint="cs"/>
          <w:rtl/>
        </w:rPr>
        <w:t xml:space="preserve">הערך החברתי המוגן בעבירות הקשורות לסם הינו פגיעה בשלום הציבור ובסדר הציבורי. </w:t>
      </w:r>
    </w:p>
    <w:p w14:paraId="558A9425" w14:textId="77777777" w:rsidR="00E97F94" w:rsidRDefault="00E97F94" w:rsidP="00E97F94">
      <w:pPr>
        <w:spacing w:after="160" w:line="360" w:lineRule="auto"/>
        <w:ind w:left="720"/>
        <w:contextualSpacing/>
        <w:rPr>
          <w:rFonts w:cs="Arial"/>
          <w:sz w:val="22"/>
          <w:szCs w:val="22"/>
        </w:rPr>
      </w:pPr>
    </w:p>
    <w:p w14:paraId="40622DDA" w14:textId="77777777" w:rsidR="00E97F94" w:rsidRDefault="00E97F94" w:rsidP="00E97F94">
      <w:pPr>
        <w:numPr>
          <w:ilvl w:val="0"/>
          <w:numId w:val="1"/>
        </w:numPr>
        <w:spacing w:after="160" w:line="360" w:lineRule="auto"/>
        <w:ind w:left="-58"/>
        <w:contextualSpacing/>
        <w:jc w:val="both"/>
        <w:rPr>
          <w:rtl/>
        </w:rPr>
      </w:pPr>
      <w:r>
        <w:rPr>
          <w:rFonts w:hint="cs"/>
          <w:rtl/>
        </w:rPr>
        <w:t xml:space="preserve">באשר לעבירה של החזקת סם </w:t>
      </w:r>
      <w:r w:rsidRPr="00E97F94">
        <w:rPr>
          <w:rFonts w:ascii="Calibri" w:hAnsi="Calibri" w:hint="cs"/>
          <w:rtl/>
        </w:rPr>
        <w:t>שלא</w:t>
      </w:r>
      <w:r>
        <w:rPr>
          <w:rFonts w:hint="cs"/>
          <w:rtl/>
        </w:rPr>
        <w:t xml:space="preserve"> לצריכה עצמית, אני קובע כי מתחם העונש ההולם נע בין מאסר מותנה ועד למספר חודשי מאסר לריצוי בפועל.</w:t>
      </w:r>
    </w:p>
    <w:p w14:paraId="1185D8F1" w14:textId="77777777" w:rsidR="00E97F94" w:rsidRDefault="00E97F94" w:rsidP="00E97F94">
      <w:pPr>
        <w:spacing w:line="360" w:lineRule="auto"/>
        <w:ind w:left="720"/>
        <w:contextualSpacing/>
        <w:rPr>
          <w:rFonts w:cs="Arial"/>
          <w:sz w:val="22"/>
          <w:szCs w:val="22"/>
        </w:rPr>
      </w:pPr>
    </w:p>
    <w:p w14:paraId="56E059BC" w14:textId="77777777" w:rsidR="00E97F94" w:rsidRDefault="00E97F94" w:rsidP="00E97F94">
      <w:pPr>
        <w:numPr>
          <w:ilvl w:val="0"/>
          <w:numId w:val="1"/>
        </w:numPr>
        <w:spacing w:after="160" w:line="360" w:lineRule="auto"/>
        <w:ind w:left="-58"/>
        <w:contextualSpacing/>
        <w:jc w:val="both"/>
      </w:pPr>
      <w:r>
        <w:rPr>
          <w:rFonts w:hint="cs"/>
          <w:rtl/>
        </w:rPr>
        <w:t xml:space="preserve">בעניין זה אני מוצא להפנות לפסקי הדין הבאים: </w:t>
      </w:r>
    </w:p>
    <w:p w14:paraId="77DF665F" w14:textId="77777777" w:rsidR="00E97F94" w:rsidRDefault="00E97F94" w:rsidP="00E97F94">
      <w:pPr>
        <w:spacing w:line="360" w:lineRule="auto"/>
        <w:ind w:left="720"/>
        <w:contextualSpacing/>
        <w:rPr>
          <w:rFonts w:cs="Arial"/>
          <w:sz w:val="22"/>
          <w:szCs w:val="22"/>
        </w:rPr>
      </w:pPr>
    </w:p>
    <w:p w14:paraId="50674BFD" w14:textId="77777777" w:rsidR="00E97F94" w:rsidRDefault="00E97F94" w:rsidP="00E97F94">
      <w:pPr>
        <w:numPr>
          <w:ilvl w:val="0"/>
          <w:numId w:val="2"/>
        </w:numPr>
        <w:spacing w:line="360" w:lineRule="auto"/>
        <w:ind w:left="1225" w:hanging="425"/>
        <w:contextualSpacing/>
        <w:jc w:val="both"/>
        <w:rPr>
          <w:rtl/>
        </w:rPr>
      </w:pPr>
      <w:r>
        <w:rPr>
          <w:rFonts w:hint="cs"/>
          <w:rtl/>
        </w:rPr>
        <w:t xml:space="preserve">ת.פ. </w:t>
      </w:r>
      <w:hyperlink r:id="rId21" w:history="1">
        <w:r w:rsidR="00437914" w:rsidRPr="00437914">
          <w:rPr>
            <w:color w:val="0000FF"/>
            <w:u w:val="single"/>
            <w:rtl/>
          </w:rPr>
          <w:t xml:space="preserve">15375-12-10 </w:t>
        </w:r>
      </w:hyperlink>
      <w:r>
        <w:rPr>
          <w:rFonts w:hint="cs"/>
          <w:rtl/>
        </w:rPr>
        <w:t xml:space="preserve"> </w:t>
      </w:r>
      <w:r>
        <w:rPr>
          <w:rFonts w:hint="cs"/>
          <w:b/>
          <w:bCs/>
          <w:rtl/>
        </w:rPr>
        <w:t>מדינת ישראל נ' אסבייאן</w:t>
      </w:r>
      <w:r>
        <w:rPr>
          <w:rFonts w:hint="cs"/>
          <w:rtl/>
        </w:rPr>
        <w:t>, מיום 18.10.12, הנאשם הורשע בעבירות של החזקת סמים שלא לצריכה עצמית, גידול סמים וסחר בסמים. בית המשפט ביטל את הרשעתו של הנאשם בהיותו צעיר וגזר עליו של"צ וצו מבחן. בית המשפט של הערעור (</w:t>
      </w:r>
      <w:hyperlink r:id="rId22" w:history="1">
        <w:r w:rsidR="00352F20" w:rsidRPr="00352F20">
          <w:rPr>
            <w:color w:val="0000FF"/>
            <w:u w:val="single"/>
            <w:rtl/>
          </w:rPr>
          <w:t>עפ"ג 53414-11-12</w:t>
        </w:r>
      </w:hyperlink>
      <w:r>
        <w:rPr>
          <w:rFonts w:hint="cs"/>
          <w:rtl/>
        </w:rPr>
        <w:t>) גזר על הנאשם עונש מאסר על תנאי, של"צ וצו מבחן.</w:t>
      </w:r>
    </w:p>
    <w:p w14:paraId="25DAFDF5" w14:textId="77777777" w:rsidR="00E97F94" w:rsidRDefault="00352F20" w:rsidP="00E97F94">
      <w:pPr>
        <w:numPr>
          <w:ilvl w:val="0"/>
          <w:numId w:val="2"/>
        </w:numPr>
        <w:spacing w:line="360" w:lineRule="auto"/>
        <w:ind w:left="1225" w:hanging="425"/>
        <w:contextualSpacing/>
        <w:jc w:val="both"/>
      </w:pPr>
      <w:hyperlink r:id="rId23" w:history="1">
        <w:r w:rsidRPr="00352F20">
          <w:rPr>
            <w:color w:val="0000FF"/>
            <w:u w:val="single"/>
            <w:rtl/>
          </w:rPr>
          <w:t>ת.פ. 3886/04</w:t>
        </w:r>
      </w:hyperlink>
      <w:r w:rsidR="00E97F94">
        <w:rPr>
          <w:rFonts w:hint="cs"/>
          <w:rtl/>
        </w:rPr>
        <w:t xml:space="preserve"> </w:t>
      </w:r>
      <w:r w:rsidR="00E97F94">
        <w:rPr>
          <w:rFonts w:hint="cs"/>
          <w:b/>
          <w:bCs/>
          <w:rtl/>
        </w:rPr>
        <w:t xml:space="preserve">מדינת ישראל נ' פרץ, </w:t>
      </w:r>
      <w:r w:rsidR="00E97F94" w:rsidRPr="00E97F94">
        <w:rPr>
          <w:rFonts w:ascii="Calibri" w:hAnsi="Calibri" w:hint="cs"/>
          <w:rtl/>
        </w:rPr>
        <w:t xml:space="preserve">מיום </w:t>
      </w:r>
      <w:r w:rsidR="00E97F94">
        <w:rPr>
          <w:rFonts w:hint="cs"/>
          <w:rtl/>
        </w:rPr>
        <w:t xml:space="preserve">14.6.04 , הנאשם הורשע בעבירות של החזקת סמים שלא לצריכה עצמית, אספקת סם, סחר בסם, שימוש עצמי וניסיון לסחר, בית המשפט ביטל את הרשעתו של הנאשם, בשל שיקום והיעדר עבר פלילי. </w:t>
      </w:r>
    </w:p>
    <w:p w14:paraId="5D4D59B2" w14:textId="77777777" w:rsidR="00E97F94" w:rsidRDefault="00352F20" w:rsidP="00E97F94">
      <w:pPr>
        <w:numPr>
          <w:ilvl w:val="0"/>
          <w:numId w:val="2"/>
        </w:numPr>
        <w:spacing w:line="360" w:lineRule="auto"/>
        <w:ind w:left="1225" w:hanging="425"/>
        <w:contextualSpacing/>
        <w:jc w:val="both"/>
      </w:pPr>
      <w:hyperlink r:id="rId24" w:history="1">
        <w:r w:rsidRPr="00352F20">
          <w:rPr>
            <w:color w:val="0000FF"/>
            <w:u w:val="single"/>
            <w:rtl/>
          </w:rPr>
          <w:t>ת.פ. 51025-04-15</w:t>
        </w:r>
      </w:hyperlink>
      <w:r w:rsidR="00E97F94">
        <w:rPr>
          <w:rFonts w:hint="cs"/>
          <w:rtl/>
        </w:rPr>
        <w:t xml:space="preserve"> </w:t>
      </w:r>
      <w:r w:rsidR="00E97F94">
        <w:rPr>
          <w:rFonts w:hint="cs"/>
          <w:b/>
          <w:bCs/>
          <w:rtl/>
        </w:rPr>
        <w:t>מדינת ישראל נ' מימון</w:t>
      </w:r>
      <w:r w:rsidR="00E97F94">
        <w:rPr>
          <w:rFonts w:hint="cs"/>
          <w:rtl/>
        </w:rPr>
        <w:t xml:space="preserve">, מיום 13.3.17הנאשם הורשע בעבירות של גידול שתילי קנאבוס וכן החזקת סם במשקל של 1.54 גר מסוג קנאביס. בית המשפט קבע את מתחם הענישה בין מאסר על תנאי ועד למס' חודשי מאסר בפועל וגזר על הנאשם, בעל עבר פלילי, עונש מאסר מותנה בן 6 חודשים. </w:t>
      </w:r>
    </w:p>
    <w:p w14:paraId="7B76FC9E" w14:textId="77777777" w:rsidR="00E97F94" w:rsidRPr="00E97F94" w:rsidRDefault="00352F20" w:rsidP="00E97F94">
      <w:pPr>
        <w:numPr>
          <w:ilvl w:val="0"/>
          <w:numId w:val="2"/>
        </w:numPr>
        <w:spacing w:line="360" w:lineRule="auto"/>
        <w:ind w:left="1225" w:hanging="425"/>
        <w:contextualSpacing/>
        <w:jc w:val="both"/>
        <w:rPr>
          <w:rFonts w:ascii="Calibri" w:hAnsi="Calibri" w:cs="Calibri"/>
        </w:rPr>
      </w:pPr>
      <w:hyperlink r:id="rId25" w:history="1">
        <w:r w:rsidRPr="00352F20">
          <w:rPr>
            <w:rFonts w:ascii="Calibri" w:hAnsi="Calibri" w:hint="eastAsia"/>
            <w:color w:val="0000FF"/>
            <w:u w:val="single"/>
            <w:rtl/>
          </w:rPr>
          <w:t>ת</w:t>
        </w:r>
        <w:r w:rsidRPr="00352F20">
          <w:rPr>
            <w:rFonts w:ascii="Calibri" w:hAnsi="Calibri"/>
            <w:color w:val="0000FF"/>
            <w:u w:val="single"/>
            <w:rtl/>
          </w:rPr>
          <w:t>.</w:t>
        </w:r>
        <w:r w:rsidRPr="00352F20">
          <w:rPr>
            <w:rFonts w:ascii="Calibri" w:hAnsi="Calibri" w:hint="eastAsia"/>
            <w:color w:val="0000FF"/>
            <w:u w:val="single"/>
            <w:rtl/>
          </w:rPr>
          <w:t>פ</w:t>
        </w:r>
        <w:r w:rsidRPr="00352F20">
          <w:rPr>
            <w:rFonts w:ascii="Calibri" w:hAnsi="Calibri"/>
            <w:color w:val="0000FF"/>
            <w:u w:val="single"/>
            <w:rtl/>
          </w:rPr>
          <w:t>. (</w:t>
        </w:r>
        <w:r w:rsidRPr="00352F20">
          <w:rPr>
            <w:rFonts w:ascii="Calibri" w:hAnsi="Calibri" w:hint="eastAsia"/>
            <w:color w:val="0000FF"/>
            <w:u w:val="single"/>
            <w:rtl/>
          </w:rPr>
          <w:t>ראשל</w:t>
        </w:r>
        <w:r w:rsidRPr="00352F20">
          <w:rPr>
            <w:rFonts w:ascii="Calibri" w:hAnsi="Calibri"/>
            <w:color w:val="0000FF"/>
            <w:u w:val="single"/>
            <w:rtl/>
          </w:rPr>
          <w:t>"</w:t>
        </w:r>
        <w:r w:rsidRPr="00352F20">
          <w:rPr>
            <w:rFonts w:ascii="Calibri" w:hAnsi="Calibri" w:hint="eastAsia"/>
            <w:color w:val="0000FF"/>
            <w:u w:val="single"/>
            <w:rtl/>
          </w:rPr>
          <w:t>צ</w:t>
        </w:r>
        <w:r w:rsidRPr="00352F20">
          <w:rPr>
            <w:rFonts w:ascii="Calibri" w:hAnsi="Calibri"/>
            <w:color w:val="0000FF"/>
            <w:u w:val="single"/>
            <w:rtl/>
          </w:rPr>
          <w:t>) 20127-06-11</w:t>
        </w:r>
      </w:hyperlink>
      <w:r w:rsidR="00E97F94" w:rsidRPr="00E97F94">
        <w:rPr>
          <w:rFonts w:ascii="Calibri" w:hAnsi="Calibri" w:hint="cs"/>
          <w:rtl/>
        </w:rPr>
        <w:t xml:space="preserve"> </w:t>
      </w:r>
      <w:r w:rsidR="00E97F94" w:rsidRPr="00E97F94">
        <w:rPr>
          <w:rFonts w:ascii="Calibri" w:hAnsi="Calibri" w:hint="cs"/>
          <w:b/>
          <w:bCs/>
          <w:rtl/>
        </w:rPr>
        <w:t>מדינת ישראל נ' אברמוב</w:t>
      </w:r>
      <w:r w:rsidR="00E97F94" w:rsidRPr="00E97F94">
        <w:rPr>
          <w:rFonts w:ascii="Calibri" w:hAnsi="Calibri" w:hint="cs"/>
          <w:rtl/>
        </w:rPr>
        <w:t xml:space="preserve"> (2.10.11), הורשע הנאשם בעבירה של החזקת סמים מסוג חשיש שלא לצריכה עצמית במשקל של 77.68 גרם, וכן בהפרת הוראה חוקית, ונדון למאסר בפועל למשך 5 חודשים. </w:t>
      </w:r>
    </w:p>
    <w:p w14:paraId="1EC63C60" w14:textId="77777777" w:rsidR="00E97F94" w:rsidRPr="00E97F94" w:rsidRDefault="00E97F94" w:rsidP="00E97F94">
      <w:pPr>
        <w:numPr>
          <w:ilvl w:val="0"/>
          <w:numId w:val="2"/>
        </w:numPr>
        <w:spacing w:line="360" w:lineRule="auto"/>
        <w:ind w:left="1225" w:hanging="425"/>
        <w:contextualSpacing/>
        <w:jc w:val="both"/>
        <w:rPr>
          <w:rFonts w:ascii="Calibri" w:hAnsi="Calibri" w:cs="Calibri"/>
        </w:rPr>
      </w:pPr>
      <w:r w:rsidRPr="00E97F94">
        <w:rPr>
          <w:rFonts w:ascii="Calibri" w:hAnsi="Calibri" w:hint="cs"/>
          <w:rtl/>
        </w:rPr>
        <w:t>ב</w:t>
      </w:r>
      <w:hyperlink r:id="rId26" w:history="1">
        <w:r w:rsidR="00352F20" w:rsidRPr="00352F20">
          <w:rPr>
            <w:rFonts w:ascii="Calibri" w:hAnsi="Calibri" w:hint="eastAsia"/>
            <w:color w:val="0000FF"/>
            <w:u w:val="single"/>
            <w:rtl/>
          </w:rPr>
          <w:t>ת</w:t>
        </w:r>
        <w:r w:rsidR="00352F20" w:rsidRPr="00352F20">
          <w:rPr>
            <w:rFonts w:ascii="Calibri" w:hAnsi="Calibri"/>
            <w:color w:val="0000FF"/>
            <w:u w:val="single"/>
            <w:rtl/>
          </w:rPr>
          <w:t>"</w:t>
        </w:r>
        <w:r w:rsidR="00352F20" w:rsidRPr="00352F20">
          <w:rPr>
            <w:rFonts w:ascii="Calibri" w:hAnsi="Calibri" w:hint="eastAsia"/>
            <w:color w:val="0000FF"/>
            <w:u w:val="single"/>
            <w:rtl/>
          </w:rPr>
          <w:t>פ</w:t>
        </w:r>
        <w:r w:rsidR="00352F20" w:rsidRPr="00352F20">
          <w:rPr>
            <w:rFonts w:ascii="Calibri" w:hAnsi="Calibri"/>
            <w:color w:val="0000FF"/>
            <w:u w:val="single"/>
            <w:rtl/>
          </w:rPr>
          <w:t xml:space="preserve"> (</w:t>
        </w:r>
        <w:r w:rsidR="00352F20" w:rsidRPr="00352F20">
          <w:rPr>
            <w:rFonts w:ascii="Calibri" w:hAnsi="Calibri" w:hint="eastAsia"/>
            <w:color w:val="0000FF"/>
            <w:u w:val="single"/>
            <w:rtl/>
          </w:rPr>
          <w:t>ראשל</w:t>
        </w:r>
        <w:r w:rsidR="00352F20" w:rsidRPr="00352F20">
          <w:rPr>
            <w:rFonts w:ascii="Calibri" w:hAnsi="Calibri"/>
            <w:color w:val="0000FF"/>
            <w:u w:val="single"/>
            <w:rtl/>
          </w:rPr>
          <w:t>"</w:t>
        </w:r>
        <w:r w:rsidR="00352F20" w:rsidRPr="00352F20">
          <w:rPr>
            <w:rFonts w:ascii="Calibri" w:hAnsi="Calibri" w:hint="eastAsia"/>
            <w:color w:val="0000FF"/>
            <w:u w:val="single"/>
            <w:rtl/>
          </w:rPr>
          <w:t>צ</w:t>
        </w:r>
        <w:r w:rsidR="00352F20" w:rsidRPr="00352F20">
          <w:rPr>
            <w:rFonts w:ascii="Calibri" w:hAnsi="Calibri"/>
            <w:color w:val="0000FF"/>
            <w:u w:val="single"/>
            <w:rtl/>
          </w:rPr>
          <w:t>) 19158-06-11</w:t>
        </w:r>
      </w:hyperlink>
      <w:r w:rsidRPr="00E97F94">
        <w:rPr>
          <w:rFonts w:ascii="Calibri" w:hAnsi="Calibri" w:hint="cs"/>
          <w:rtl/>
        </w:rPr>
        <w:t xml:space="preserve"> </w:t>
      </w:r>
      <w:r w:rsidRPr="00E97F94">
        <w:rPr>
          <w:rFonts w:ascii="Calibri" w:hAnsi="Calibri" w:hint="cs"/>
          <w:b/>
          <w:bCs/>
          <w:rtl/>
        </w:rPr>
        <w:t>מדינת ישראל נ' ברנס</w:t>
      </w:r>
      <w:r w:rsidRPr="00E97F94">
        <w:rPr>
          <w:rFonts w:ascii="Calibri" w:hAnsi="Calibri" w:hint="cs"/>
          <w:rtl/>
        </w:rPr>
        <w:t xml:space="preserve"> (17.9.11), הורשע הנאשם 2 בביצוע עבירה של החזקת סם מסוכן שלא לצריכה עצמית, כאשר החזיק סם מסוכן מסוג חשיש במשקל של 2,357 גרם. על הנאשם הוטלו 5 חודשי מאסר בפועל.</w:t>
      </w:r>
    </w:p>
    <w:p w14:paraId="3606F5D5" w14:textId="77777777" w:rsidR="00E97F94" w:rsidRPr="00E97F94" w:rsidRDefault="00E97F94" w:rsidP="00E97F94">
      <w:pPr>
        <w:numPr>
          <w:ilvl w:val="0"/>
          <w:numId w:val="2"/>
        </w:numPr>
        <w:spacing w:line="360" w:lineRule="auto"/>
        <w:ind w:left="1225" w:hanging="425"/>
        <w:contextualSpacing/>
        <w:jc w:val="both"/>
        <w:rPr>
          <w:rFonts w:ascii="Calibri" w:hAnsi="Calibri"/>
        </w:rPr>
      </w:pPr>
      <w:r w:rsidRPr="00E97F94">
        <w:rPr>
          <w:rFonts w:ascii="Calibri" w:hAnsi="Calibri" w:hint="cs"/>
          <w:rtl/>
        </w:rPr>
        <w:t>ב</w:t>
      </w:r>
      <w:hyperlink r:id="rId27" w:history="1">
        <w:r w:rsidR="00352F20" w:rsidRPr="00352F20">
          <w:rPr>
            <w:rFonts w:ascii="Calibri" w:hAnsi="Calibri" w:hint="eastAsia"/>
            <w:color w:val="0000FF"/>
            <w:u w:val="single"/>
            <w:rtl/>
          </w:rPr>
          <w:t>ת</w:t>
        </w:r>
        <w:r w:rsidR="00352F20" w:rsidRPr="00352F20">
          <w:rPr>
            <w:rFonts w:ascii="Calibri" w:hAnsi="Calibri"/>
            <w:color w:val="0000FF"/>
            <w:u w:val="single"/>
            <w:rtl/>
          </w:rPr>
          <w:t>"</w:t>
        </w:r>
        <w:r w:rsidR="00352F20" w:rsidRPr="00352F20">
          <w:rPr>
            <w:rFonts w:ascii="Calibri" w:hAnsi="Calibri" w:hint="eastAsia"/>
            <w:color w:val="0000FF"/>
            <w:u w:val="single"/>
            <w:rtl/>
          </w:rPr>
          <w:t>פ</w:t>
        </w:r>
        <w:r w:rsidR="00352F20" w:rsidRPr="00352F20">
          <w:rPr>
            <w:rFonts w:ascii="Calibri" w:hAnsi="Calibri"/>
            <w:color w:val="0000FF"/>
            <w:u w:val="single"/>
            <w:rtl/>
          </w:rPr>
          <w:t xml:space="preserve"> (</w:t>
        </w:r>
        <w:r w:rsidR="00352F20" w:rsidRPr="00352F20">
          <w:rPr>
            <w:rFonts w:ascii="Calibri" w:hAnsi="Calibri" w:hint="eastAsia"/>
            <w:color w:val="0000FF"/>
            <w:u w:val="single"/>
            <w:rtl/>
          </w:rPr>
          <w:t>ב</w:t>
        </w:r>
        <w:r w:rsidR="00352F20" w:rsidRPr="00352F20">
          <w:rPr>
            <w:rFonts w:ascii="Calibri" w:hAnsi="Calibri"/>
            <w:color w:val="0000FF"/>
            <w:u w:val="single"/>
            <w:rtl/>
          </w:rPr>
          <w:t>"</w:t>
        </w:r>
        <w:r w:rsidR="00352F20" w:rsidRPr="00352F20">
          <w:rPr>
            <w:rFonts w:ascii="Calibri" w:hAnsi="Calibri" w:hint="eastAsia"/>
            <w:color w:val="0000FF"/>
            <w:u w:val="single"/>
            <w:rtl/>
          </w:rPr>
          <w:t>ש</w:t>
        </w:r>
        <w:r w:rsidR="00352F20" w:rsidRPr="00352F20">
          <w:rPr>
            <w:rFonts w:ascii="Calibri" w:hAnsi="Calibri"/>
            <w:color w:val="0000FF"/>
            <w:u w:val="single"/>
            <w:rtl/>
          </w:rPr>
          <w:t>) 50987-05-13</w:t>
        </w:r>
      </w:hyperlink>
      <w:r w:rsidRPr="00E97F94">
        <w:rPr>
          <w:rFonts w:ascii="Calibri" w:hAnsi="Calibri" w:hint="cs"/>
          <w:rtl/>
        </w:rPr>
        <w:t xml:space="preserve"> </w:t>
      </w:r>
      <w:r w:rsidRPr="00E97F94">
        <w:rPr>
          <w:rFonts w:ascii="Calibri" w:hAnsi="Calibri" w:hint="cs"/>
          <w:b/>
          <w:bCs/>
          <w:rtl/>
        </w:rPr>
        <w:t>מדינת ישראל נ' בראונשטיין</w:t>
      </w:r>
      <w:r w:rsidRPr="00E97F94">
        <w:rPr>
          <w:rFonts w:ascii="Calibri" w:hAnsi="Calibri" w:hint="cs"/>
          <w:rtl/>
        </w:rPr>
        <w:t xml:space="preserve"> (11.7.13), הורשע הנאשם בעבירה של החזקת סם שלא לצריכה עצמית, כאשר מדובר ב- 83.5 גרם של סם מסוכן מסוג חשיש. על הנאשם הוטלו 4 חודשי עבודות שירות.</w:t>
      </w:r>
    </w:p>
    <w:p w14:paraId="4411C6BE" w14:textId="77777777" w:rsidR="00E97F94" w:rsidRPr="00E97F94" w:rsidRDefault="00E97F94" w:rsidP="00E97F94">
      <w:pPr>
        <w:numPr>
          <w:ilvl w:val="0"/>
          <w:numId w:val="2"/>
        </w:numPr>
        <w:tabs>
          <w:tab w:val="num" w:pos="1225"/>
        </w:tabs>
        <w:spacing w:line="360" w:lineRule="auto"/>
        <w:ind w:left="1225" w:hanging="425"/>
        <w:contextualSpacing/>
        <w:jc w:val="both"/>
        <w:rPr>
          <w:rFonts w:ascii="Calibri" w:hAnsi="Calibri" w:cs="Calibri"/>
          <w:rtl/>
        </w:rPr>
      </w:pPr>
      <w:r w:rsidRPr="00E97F94">
        <w:rPr>
          <w:rFonts w:ascii="Calibri" w:hAnsi="Calibri" w:hint="cs"/>
          <w:rtl/>
        </w:rPr>
        <w:t>ב</w:t>
      </w:r>
      <w:hyperlink r:id="rId28" w:history="1">
        <w:r w:rsidR="00352F20" w:rsidRPr="00352F20">
          <w:rPr>
            <w:rFonts w:ascii="Calibri" w:hAnsi="Calibri" w:hint="eastAsia"/>
            <w:color w:val="0000FF"/>
            <w:u w:val="single"/>
            <w:rtl/>
          </w:rPr>
          <w:t>ת</w:t>
        </w:r>
        <w:r w:rsidR="00352F20" w:rsidRPr="00352F20">
          <w:rPr>
            <w:rFonts w:ascii="Calibri" w:hAnsi="Calibri"/>
            <w:color w:val="0000FF"/>
            <w:u w:val="single"/>
            <w:rtl/>
          </w:rPr>
          <w:t>"</w:t>
        </w:r>
        <w:r w:rsidR="00352F20" w:rsidRPr="00352F20">
          <w:rPr>
            <w:rFonts w:ascii="Calibri" w:hAnsi="Calibri" w:hint="eastAsia"/>
            <w:color w:val="0000FF"/>
            <w:u w:val="single"/>
            <w:rtl/>
          </w:rPr>
          <w:t>פ</w:t>
        </w:r>
        <w:r w:rsidR="00352F20" w:rsidRPr="00352F20">
          <w:rPr>
            <w:rFonts w:ascii="Calibri" w:hAnsi="Calibri"/>
            <w:color w:val="0000FF"/>
            <w:u w:val="single"/>
            <w:rtl/>
          </w:rPr>
          <w:t xml:space="preserve"> (</w:t>
        </w:r>
        <w:r w:rsidR="00352F20" w:rsidRPr="00352F20">
          <w:rPr>
            <w:rFonts w:ascii="Calibri" w:hAnsi="Calibri" w:hint="eastAsia"/>
            <w:color w:val="0000FF"/>
            <w:u w:val="single"/>
            <w:rtl/>
          </w:rPr>
          <w:t>ק</w:t>
        </w:r>
        <w:r w:rsidR="00352F20" w:rsidRPr="00352F20">
          <w:rPr>
            <w:rFonts w:ascii="Calibri" w:hAnsi="Calibri"/>
            <w:color w:val="0000FF"/>
            <w:u w:val="single"/>
            <w:rtl/>
          </w:rPr>
          <w:t>"</w:t>
        </w:r>
        <w:r w:rsidR="00352F20" w:rsidRPr="00352F20">
          <w:rPr>
            <w:rFonts w:ascii="Calibri" w:hAnsi="Calibri" w:hint="eastAsia"/>
            <w:color w:val="0000FF"/>
            <w:u w:val="single"/>
            <w:rtl/>
          </w:rPr>
          <w:t>ג</w:t>
        </w:r>
        <w:r w:rsidR="00352F20" w:rsidRPr="00352F20">
          <w:rPr>
            <w:rFonts w:ascii="Calibri" w:hAnsi="Calibri"/>
            <w:color w:val="0000FF"/>
            <w:u w:val="single"/>
            <w:rtl/>
          </w:rPr>
          <w:t>) 33690-02-12</w:t>
        </w:r>
      </w:hyperlink>
      <w:r w:rsidRPr="00E97F94">
        <w:rPr>
          <w:rFonts w:ascii="Calibri" w:hAnsi="Calibri" w:hint="cs"/>
          <w:rtl/>
        </w:rPr>
        <w:t xml:space="preserve"> </w:t>
      </w:r>
      <w:r w:rsidRPr="00E97F94">
        <w:rPr>
          <w:rFonts w:ascii="Calibri" w:hAnsi="Calibri" w:hint="cs"/>
          <w:b/>
          <w:bCs/>
          <w:rtl/>
        </w:rPr>
        <w:t>מדינת ישראל נ' אפלמן</w:t>
      </w:r>
      <w:r w:rsidRPr="00E97F94">
        <w:rPr>
          <w:rFonts w:ascii="Calibri" w:hAnsi="Calibri" w:hint="cs"/>
          <w:rtl/>
        </w:rPr>
        <w:t xml:space="preserve"> (11.12.13), הורשע הנאשם בעבירה של החזקת סם שלא לצריכה עצמית, כאשר מדובר בסם מסוכן מסוג חשיש במשקל כולל של 47.4 גרם, ונדון ל-220 שעות של שירות לתועלת הציבור. </w:t>
      </w:r>
    </w:p>
    <w:p w14:paraId="7902431B" w14:textId="77777777" w:rsidR="00E97F94" w:rsidRPr="00E97F94" w:rsidRDefault="00E97F94" w:rsidP="00E97F94">
      <w:pPr>
        <w:spacing w:line="360" w:lineRule="auto"/>
        <w:ind w:left="1647"/>
        <w:jc w:val="both"/>
        <w:rPr>
          <w:rFonts w:ascii="Calibri" w:hAnsi="Calibri" w:cs="Arial"/>
          <w:sz w:val="22"/>
          <w:szCs w:val="22"/>
        </w:rPr>
      </w:pPr>
    </w:p>
    <w:p w14:paraId="66D56C13" w14:textId="77777777" w:rsidR="00E97F94" w:rsidRDefault="00E97F94" w:rsidP="00E97F94">
      <w:pPr>
        <w:numPr>
          <w:ilvl w:val="0"/>
          <w:numId w:val="1"/>
        </w:numPr>
        <w:spacing w:after="160" w:line="360" w:lineRule="auto"/>
        <w:ind w:left="-58"/>
        <w:contextualSpacing/>
        <w:jc w:val="both"/>
        <w:rPr>
          <w:rtl/>
        </w:rPr>
      </w:pPr>
      <w:r>
        <w:rPr>
          <w:rFonts w:hint="cs"/>
          <w:rtl/>
        </w:rPr>
        <w:t xml:space="preserve">בעניינו לצד כל האמור, מצאתי מקום ליתן דגש להליך השיקומי אותו עובר הנאשם, בגזירת הדין לא נעלמה מעיניי חומרת העבירה, זאת בעיקר בהתייחס לכמויות הסם שנתפסו אצל הנאשם ואין צורך להכביר על כך מילים. הנאשם ניהל אורח חיים התמכרותי ושולי מגיל צעיר וביצוע עבירות היה חלק מאורח חיים זה, כאשר לחובתו של הנאשם 4 הרשעות קודמות, בין היתר בגין צריכת סמים. </w:t>
      </w:r>
    </w:p>
    <w:p w14:paraId="24A00C1E" w14:textId="77777777" w:rsidR="00E97F94" w:rsidRPr="00E97F94" w:rsidRDefault="00E97F94" w:rsidP="00E97F94">
      <w:pPr>
        <w:spacing w:after="160" w:line="360" w:lineRule="auto"/>
        <w:ind w:left="720"/>
        <w:contextualSpacing/>
        <w:rPr>
          <w:rFonts w:ascii="Calibri" w:hAnsi="Calibri" w:cs="Arial"/>
          <w:sz w:val="22"/>
          <w:szCs w:val="22"/>
        </w:rPr>
      </w:pPr>
    </w:p>
    <w:p w14:paraId="2AFD8E00" w14:textId="77777777" w:rsidR="00E97F94" w:rsidRDefault="00E97F94" w:rsidP="00E97F94">
      <w:pPr>
        <w:numPr>
          <w:ilvl w:val="0"/>
          <w:numId w:val="1"/>
        </w:numPr>
        <w:spacing w:after="160" w:line="360" w:lineRule="auto"/>
        <w:ind w:left="-58"/>
        <w:contextualSpacing/>
        <w:jc w:val="both"/>
        <w:rPr>
          <w:rtl/>
        </w:rPr>
      </w:pPr>
      <w:r>
        <w:rPr>
          <w:rFonts w:hint="cs"/>
          <w:rtl/>
        </w:rPr>
        <w:t xml:space="preserve">יכול שבנסיבות אחרות, הייתי מוצא לגזור על הנאשם עונש מאסר בפועל שירוצה על דרך של עבודות שירות ואולי אף מאסר של ממש, ואולם נוכח נסיבותיו האישיות, כפי שפורטו בהרחבה בתסקירי שירות המבחן ובמסמכים התומכים, ובשים לב להמלצת שירות המבחן ובהתחשב בהליך השיקומי האינטנסיבי אותו עובר הנאשם, אני סבור כי יש מקום לגזור על הנאשם עונש ברף התחתון של המתחם. </w:t>
      </w:r>
    </w:p>
    <w:p w14:paraId="5C3D6B31" w14:textId="77777777" w:rsidR="00E97F94" w:rsidRPr="00E97F94" w:rsidRDefault="00E97F94" w:rsidP="00E97F94">
      <w:pPr>
        <w:spacing w:after="160" w:line="360" w:lineRule="auto"/>
        <w:ind w:left="720"/>
        <w:contextualSpacing/>
        <w:rPr>
          <w:rFonts w:ascii="Calibri" w:hAnsi="Calibri" w:cs="Arial"/>
          <w:sz w:val="22"/>
          <w:szCs w:val="22"/>
        </w:rPr>
      </w:pPr>
    </w:p>
    <w:p w14:paraId="3B4624CC" w14:textId="77777777" w:rsidR="00E97F94" w:rsidRDefault="00E97F94" w:rsidP="00E97F94">
      <w:pPr>
        <w:numPr>
          <w:ilvl w:val="0"/>
          <w:numId w:val="1"/>
        </w:numPr>
        <w:spacing w:after="160" w:line="360" w:lineRule="auto"/>
        <w:ind w:left="-58"/>
        <w:contextualSpacing/>
        <w:jc w:val="both"/>
        <w:rPr>
          <w:rtl/>
        </w:rPr>
      </w:pPr>
      <w:r>
        <w:rPr>
          <w:rFonts w:hint="cs"/>
          <w:rtl/>
        </w:rPr>
        <w:t xml:space="preserve">הנאשם מזה כשנה ומחצה מצליח לשמור על ניקיון מסמים, כאשר את תהליך הגמילה הוא עובר במסגרת שירות המבחן באופן פרטני ובאופן קבוצתי. מהתסקירים שהוגשו בעניינו עולה כי הנאשם מתמיד להגיע לפגישות באופן קבוע, מוסר דגימות שתן ומגלה הפנמה עמוקה למצבו ונכונות לשנות את דפוסי התנהגותו. </w:t>
      </w:r>
    </w:p>
    <w:p w14:paraId="0CFE7277" w14:textId="77777777" w:rsidR="00E97F94" w:rsidRPr="00E97F94" w:rsidRDefault="00E97F94" w:rsidP="00E97F94">
      <w:pPr>
        <w:spacing w:after="160" w:line="360" w:lineRule="auto"/>
        <w:ind w:left="720"/>
        <w:contextualSpacing/>
        <w:rPr>
          <w:rFonts w:ascii="Calibri" w:hAnsi="Calibri" w:cs="Arial"/>
          <w:sz w:val="22"/>
          <w:szCs w:val="22"/>
        </w:rPr>
      </w:pPr>
    </w:p>
    <w:p w14:paraId="1879F63B" w14:textId="77777777" w:rsidR="00E97F94" w:rsidRDefault="00E97F94" w:rsidP="00E97F94">
      <w:pPr>
        <w:numPr>
          <w:ilvl w:val="0"/>
          <w:numId w:val="1"/>
        </w:numPr>
        <w:spacing w:after="160" w:line="360" w:lineRule="auto"/>
        <w:ind w:left="-58"/>
        <w:contextualSpacing/>
        <w:jc w:val="both"/>
        <w:rPr>
          <w:rtl/>
        </w:rPr>
      </w:pPr>
      <w:r>
        <w:rPr>
          <w:rFonts w:hint="cs"/>
          <w:rtl/>
        </w:rPr>
        <w:t xml:space="preserve">אני סבור כי יש מקום כי בית המשפט יירתם למאמץ זה וייתן יד לרצון הנאשם לפתוח ב"דף חדש" ונקי. </w:t>
      </w:r>
    </w:p>
    <w:p w14:paraId="19E7F55A" w14:textId="77777777" w:rsidR="00E97F94" w:rsidRPr="00E97F94" w:rsidRDefault="00E97F94" w:rsidP="00E97F94">
      <w:pPr>
        <w:spacing w:after="160" w:line="360" w:lineRule="auto"/>
        <w:ind w:left="720"/>
        <w:contextualSpacing/>
        <w:rPr>
          <w:rFonts w:ascii="Calibri" w:hAnsi="Calibri" w:cs="Arial"/>
          <w:sz w:val="22"/>
          <w:szCs w:val="22"/>
        </w:rPr>
      </w:pPr>
    </w:p>
    <w:p w14:paraId="72BC2ED8" w14:textId="77777777" w:rsidR="00E97F94" w:rsidRDefault="00E97F94" w:rsidP="00E97F94">
      <w:pPr>
        <w:numPr>
          <w:ilvl w:val="0"/>
          <w:numId w:val="1"/>
        </w:numPr>
        <w:spacing w:after="160" w:line="360" w:lineRule="auto"/>
        <w:ind w:left="-58"/>
        <w:contextualSpacing/>
        <w:jc w:val="both"/>
        <w:rPr>
          <w:rtl/>
        </w:rPr>
      </w:pPr>
      <w:r>
        <w:rPr>
          <w:rFonts w:hint="cs"/>
          <w:rtl/>
        </w:rPr>
        <w:t xml:space="preserve">עוד אני סבור כי הטלת עונש מאסר מאחורי סורג ובריח ואף הטלת מאסר על דרך של עבודות שירות יש בה כדי לסכל את שיקום הנאשם ולפגוע בו ואני סבור כי אין בה בהכרח כדי להגן על האינטרס הציבורי, ההפך הוא הנכון. </w:t>
      </w:r>
    </w:p>
    <w:p w14:paraId="385E1AAB" w14:textId="77777777" w:rsidR="00E97F94" w:rsidRPr="00E97F94" w:rsidRDefault="00E97F94" w:rsidP="00E97F94">
      <w:pPr>
        <w:spacing w:after="160" w:line="360" w:lineRule="auto"/>
        <w:ind w:left="720"/>
        <w:contextualSpacing/>
        <w:rPr>
          <w:rFonts w:ascii="Calibri" w:hAnsi="Calibri" w:cs="Arial"/>
          <w:sz w:val="22"/>
          <w:szCs w:val="22"/>
        </w:rPr>
      </w:pPr>
    </w:p>
    <w:p w14:paraId="0D31D1E3" w14:textId="77777777" w:rsidR="00E97F94" w:rsidRDefault="00E97F94" w:rsidP="00E97F94">
      <w:pPr>
        <w:numPr>
          <w:ilvl w:val="0"/>
          <w:numId w:val="1"/>
        </w:numPr>
        <w:spacing w:after="160" w:line="360" w:lineRule="auto"/>
        <w:ind w:left="-58"/>
        <w:contextualSpacing/>
        <w:jc w:val="both"/>
        <w:rPr>
          <w:rtl/>
        </w:rPr>
      </w:pPr>
      <w:r>
        <w:rPr>
          <w:rFonts w:hint="cs"/>
          <w:rtl/>
        </w:rPr>
        <w:t xml:space="preserve">מדובר במקרה מובהק המצדיק את מתן הבכורה לשיקול שיקומו של הנאשם על פני שיקולי ההלימה וההרתעה. </w:t>
      </w:r>
    </w:p>
    <w:p w14:paraId="4B4DBB0B" w14:textId="77777777" w:rsidR="00E97F94" w:rsidRPr="00E97F94" w:rsidRDefault="00E97F94" w:rsidP="00E97F94">
      <w:pPr>
        <w:spacing w:after="160" w:line="360" w:lineRule="auto"/>
        <w:ind w:left="720"/>
        <w:contextualSpacing/>
        <w:rPr>
          <w:rFonts w:ascii="Calibri" w:hAnsi="Calibri" w:cs="Arial"/>
          <w:sz w:val="22"/>
          <w:szCs w:val="22"/>
        </w:rPr>
      </w:pPr>
    </w:p>
    <w:p w14:paraId="000D7D13" w14:textId="77777777" w:rsidR="00E97F94" w:rsidRDefault="00E97F94" w:rsidP="00E97F94">
      <w:pPr>
        <w:numPr>
          <w:ilvl w:val="0"/>
          <w:numId w:val="1"/>
        </w:numPr>
        <w:spacing w:after="160" w:line="360" w:lineRule="auto"/>
        <w:ind w:left="-58"/>
        <w:contextualSpacing/>
        <w:jc w:val="both"/>
      </w:pPr>
      <w:r>
        <w:rPr>
          <w:rFonts w:hint="cs"/>
          <w:rtl/>
        </w:rPr>
        <w:t xml:space="preserve">עוד שמתי לנגד עיניי את העובדה כי הנאשם נטל אחריות, הודה במיוחס לו בהזדמנות הראשונה והביע חרטה כנה. מאז ביצוע העבירות לא נפתחו נגדו תיקים נוספים. </w:t>
      </w:r>
    </w:p>
    <w:p w14:paraId="208400D8" w14:textId="77777777" w:rsidR="00E97F94" w:rsidRDefault="00E97F94" w:rsidP="00E97F94">
      <w:pPr>
        <w:spacing w:after="160" w:line="360" w:lineRule="auto"/>
        <w:ind w:left="-58"/>
        <w:contextualSpacing/>
        <w:jc w:val="both"/>
        <w:rPr>
          <w:rtl/>
        </w:rPr>
      </w:pPr>
    </w:p>
    <w:p w14:paraId="03212821" w14:textId="77777777" w:rsidR="00E97F94" w:rsidRDefault="00E97F94" w:rsidP="00E97F94">
      <w:pPr>
        <w:tabs>
          <w:tab w:val="left" w:pos="720"/>
        </w:tabs>
        <w:spacing w:after="120" w:line="360" w:lineRule="auto"/>
        <w:ind w:left="357" w:hanging="840"/>
        <w:jc w:val="both"/>
        <w:rPr>
          <w:rFonts w:ascii="Times New Roman" w:hAnsi="Times New Roman"/>
          <w:b/>
          <w:bCs/>
        </w:rPr>
      </w:pPr>
      <w:r>
        <w:rPr>
          <w:rFonts w:hint="cs"/>
          <w:b/>
          <w:bCs/>
          <w:u w:val="single"/>
          <w:rtl/>
        </w:rPr>
        <w:t>דיון – סוגיית הארכת המאסר על תנאי</w:t>
      </w:r>
      <w:r>
        <w:rPr>
          <w:rFonts w:hint="cs"/>
          <w:b/>
          <w:bCs/>
          <w:rtl/>
        </w:rPr>
        <w:t>:</w:t>
      </w:r>
    </w:p>
    <w:p w14:paraId="2A0D29F2" w14:textId="77777777" w:rsidR="00E97F94" w:rsidRDefault="00E97F94" w:rsidP="00E97F94">
      <w:pPr>
        <w:numPr>
          <w:ilvl w:val="0"/>
          <w:numId w:val="1"/>
        </w:numPr>
        <w:spacing w:after="160" w:line="360" w:lineRule="auto"/>
        <w:ind w:left="-58"/>
        <w:contextualSpacing/>
        <w:jc w:val="both"/>
        <w:rPr>
          <w:rtl/>
        </w:rPr>
      </w:pPr>
      <w:r>
        <w:rPr>
          <w:rFonts w:hint="cs"/>
          <w:rtl/>
        </w:rPr>
        <w:t>הלכה ידועה היא כי מי שנדון למאסר על תנאי והורשע בשל עבירה נוספת, יצווה בית משפט על הפעלת המאסר על תנאי (</w:t>
      </w:r>
      <w:hyperlink r:id="rId29" w:history="1">
        <w:r w:rsidR="00C228C2" w:rsidRPr="00C228C2">
          <w:rPr>
            <w:color w:val="0000FF"/>
            <w:u w:val="single"/>
            <w:rtl/>
          </w:rPr>
          <w:t>סעיף 55(א)</w:t>
        </w:r>
      </w:hyperlink>
      <w:r>
        <w:rPr>
          <w:rFonts w:hint="cs"/>
          <w:rtl/>
        </w:rPr>
        <w:t xml:space="preserve"> ל</w:t>
      </w:r>
      <w:hyperlink r:id="rId30" w:history="1">
        <w:r w:rsidR="00352F20" w:rsidRPr="00352F20">
          <w:rPr>
            <w:color w:val="0000FF"/>
            <w:u w:val="single"/>
            <w:rtl/>
          </w:rPr>
          <w:t>חוק העונשין</w:t>
        </w:r>
      </w:hyperlink>
      <w:r>
        <w:rPr>
          <w:rFonts w:hint="cs"/>
          <w:rtl/>
        </w:rPr>
        <w:t xml:space="preserve">). יחד עם זאת, </w:t>
      </w:r>
      <w:hyperlink r:id="rId31" w:history="1">
        <w:r w:rsidR="00C228C2" w:rsidRPr="00C228C2">
          <w:rPr>
            <w:color w:val="0000FF"/>
            <w:u w:val="single"/>
            <w:rtl/>
          </w:rPr>
          <w:t>סעיף 56 (א)</w:t>
        </w:r>
      </w:hyperlink>
      <w:r>
        <w:rPr>
          <w:rFonts w:hint="cs"/>
          <w:rtl/>
        </w:rPr>
        <w:t xml:space="preserve"> ל</w:t>
      </w:r>
      <w:hyperlink r:id="rId32" w:history="1">
        <w:r w:rsidR="00352F20" w:rsidRPr="00352F20">
          <w:rPr>
            <w:color w:val="0000FF"/>
            <w:u w:val="single"/>
            <w:rtl/>
          </w:rPr>
          <w:t>חוק העונשין</w:t>
        </w:r>
      </w:hyperlink>
      <w:r>
        <w:rPr>
          <w:rFonts w:hint="cs"/>
          <w:rtl/>
        </w:rPr>
        <w:t xml:space="preserve"> קובע כדלקמן: </w:t>
      </w:r>
    </w:p>
    <w:p w14:paraId="560EE5FB" w14:textId="77777777" w:rsidR="00E97F94" w:rsidRDefault="00E97F94" w:rsidP="00E97F94">
      <w:pPr>
        <w:spacing w:line="360" w:lineRule="auto"/>
        <w:ind w:left="1440" w:right="1134"/>
        <w:contextualSpacing/>
        <w:jc w:val="both"/>
        <w:rPr>
          <w:b/>
          <w:bCs/>
          <w:rtl/>
        </w:rPr>
      </w:pPr>
      <w:r>
        <w:rPr>
          <w:rFonts w:hint="cs"/>
          <w:b/>
          <w:bCs/>
          <w:rtl/>
        </w:rPr>
        <w:t>"בית המשפט שהרשיע נאשם בשל עבירה נוספת ולא הטיל עליו בשל אותה עבירה עונש מאסר רשאי, על אף האמור בסעיף 55 ובמקום לצוות על הפעלת המאסר על תנאי, לצוות, מטעמים שירשמו, על הארכת תקופת התנאי או חידושה לתקופה נוספת שלא תעלה על שנתיים אם שוכנע בית משפט שבנסיבות העניין לא יהיה צודק להפעיל את המאסר על תנאי".</w:t>
      </w:r>
    </w:p>
    <w:p w14:paraId="1499C074" w14:textId="77777777" w:rsidR="00E97F94" w:rsidRDefault="00E97F94" w:rsidP="00E97F94">
      <w:pPr>
        <w:spacing w:line="360" w:lineRule="auto"/>
        <w:ind w:left="226"/>
        <w:contextualSpacing/>
        <w:jc w:val="both"/>
        <w:rPr>
          <w:rtl/>
        </w:rPr>
      </w:pPr>
    </w:p>
    <w:p w14:paraId="6978D5B0" w14:textId="77777777" w:rsidR="00E97F94" w:rsidRDefault="00E97F94" w:rsidP="00E97F94">
      <w:pPr>
        <w:numPr>
          <w:ilvl w:val="0"/>
          <w:numId w:val="1"/>
        </w:numPr>
        <w:spacing w:after="160" w:line="360" w:lineRule="auto"/>
        <w:ind w:left="-58"/>
        <w:contextualSpacing/>
        <w:jc w:val="both"/>
        <w:rPr>
          <w:rtl/>
        </w:rPr>
      </w:pPr>
      <w:r>
        <w:rPr>
          <w:rFonts w:hint="cs"/>
          <w:rtl/>
        </w:rPr>
        <w:t>השאלה הנותרת היא האם קיימים במקרה דנן טעמים להארכת התנאי. בעניין זה, מצאתי להפנות ל</w:t>
      </w:r>
      <w:hyperlink r:id="rId33" w:history="1">
        <w:r w:rsidR="00352F20" w:rsidRPr="00352F20">
          <w:rPr>
            <w:b/>
            <w:bCs/>
            <w:color w:val="0000FF"/>
            <w:u w:val="single"/>
            <w:rtl/>
          </w:rPr>
          <w:t>רע"פ 5798/00 ריזי נ' מדינת ישראל, פ"ד נה</w:t>
        </w:r>
      </w:hyperlink>
      <w:r>
        <w:rPr>
          <w:rFonts w:hint="cs"/>
          <w:rtl/>
        </w:rPr>
        <w:t xml:space="preserve"> (3) 1, 10 (2000):</w:t>
      </w:r>
    </w:p>
    <w:p w14:paraId="5BAABFF1" w14:textId="77777777" w:rsidR="00E97F94" w:rsidRDefault="00E97F94" w:rsidP="00E97F94">
      <w:pPr>
        <w:spacing w:line="360" w:lineRule="auto"/>
        <w:ind w:left="226"/>
        <w:contextualSpacing/>
        <w:jc w:val="both"/>
      </w:pPr>
    </w:p>
    <w:p w14:paraId="409255D2" w14:textId="77777777" w:rsidR="00E97F94" w:rsidRDefault="00E97F94" w:rsidP="00E97F94">
      <w:pPr>
        <w:spacing w:line="360" w:lineRule="auto"/>
        <w:ind w:left="1440" w:right="1134"/>
        <w:contextualSpacing/>
        <w:jc w:val="both"/>
        <w:rPr>
          <w:b/>
          <w:bCs/>
          <w:rtl/>
        </w:rPr>
      </w:pPr>
      <w:r>
        <w:rPr>
          <w:rFonts w:hint="cs"/>
          <w:b/>
          <w:bCs/>
          <w:rtl/>
        </w:rPr>
        <w:t xml:space="preserve">"אם עבר פלוני בתוך התקופה שנקבעה בגזר-הדין הראשון עבירה מבין עבירות התנאי, על בית-המשפט המרשיעו בעבירה כזו להפעיל את המאסר המותנה. שיקול-הדעת שלא להפעיל את התנאי הוא מצומצם ומותנה בכך שלא יוטל עונש מאסר בגין העבירה הנוספת – עבירת התנאי – וזאת אך מטעמים מיוחדים שיירשמו" </w:t>
      </w:r>
    </w:p>
    <w:p w14:paraId="48F327E3" w14:textId="77777777" w:rsidR="00E97F94" w:rsidRDefault="00E97F94" w:rsidP="00E97F94">
      <w:pPr>
        <w:spacing w:line="360" w:lineRule="auto"/>
        <w:ind w:left="946" w:firstLine="494"/>
        <w:contextualSpacing/>
        <w:jc w:val="both"/>
      </w:pPr>
      <w:r>
        <w:rPr>
          <w:rFonts w:hint="cs"/>
          <w:rtl/>
        </w:rPr>
        <w:t>(ראו גם אהרון אנקר, מאסר על תנאי (1981), 97-99).</w:t>
      </w:r>
    </w:p>
    <w:p w14:paraId="334E1E0F" w14:textId="77777777" w:rsidR="00E97F94" w:rsidRDefault="00E97F94" w:rsidP="00E97F94">
      <w:pPr>
        <w:spacing w:line="360" w:lineRule="auto"/>
        <w:ind w:left="226"/>
        <w:contextualSpacing/>
        <w:jc w:val="both"/>
        <w:rPr>
          <w:rtl/>
        </w:rPr>
      </w:pPr>
    </w:p>
    <w:p w14:paraId="56E4032F" w14:textId="77777777" w:rsidR="00E97F94" w:rsidRDefault="00E97F94" w:rsidP="00E97F94">
      <w:pPr>
        <w:numPr>
          <w:ilvl w:val="0"/>
          <w:numId w:val="1"/>
        </w:numPr>
        <w:spacing w:after="160" w:line="360" w:lineRule="auto"/>
        <w:ind w:left="-58"/>
        <w:contextualSpacing/>
        <w:jc w:val="both"/>
      </w:pPr>
      <w:r>
        <w:rPr>
          <w:rFonts w:hint="cs"/>
          <w:rtl/>
        </w:rPr>
        <w:t xml:space="preserve">סמכותו של בית משפט להאריך את עונש המאסר על תנאי מקורה בשיקולים של "צדק". כמו כן, </w:t>
      </w:r>
      <w:hyperlink r:id="rId34" w:history="1">
        <w:r w:rsidR="00C228C2" w:rsidRPr="00C228C2">
          <w:rPr>
            <w:color w:val="0000FF"/>
            <w:u w:val="single"/>
            <w:rtl/>
          </w:rPr>
          <w:t>סעיף 56(ב)</w:t>
        </w:r>
      </w:hyperlink>
      <w:r>
        <w:rPr>
          <w:rFonts w:hint="cs"/>
          <w:rtl/>
        </w:rPr>
        <w:t xml:space="preserve"> ל</w:t>
      </w:r>
      <w:hyperlink r:id="rId35" w:history="1">
        <w:r w:rsidR="00352F20" w:rsidRPr="00352F20">
          <w:rPr>
            <w:color w:val="0000FF"/>
            <w:u w:val="single"/>
            <w:rtl/>
          </w:rPr>
          <w:t>חוק העונשין</w:t>
        </w:r>
      </w:hyperlink>
      <w:r>
        <w:rPr>
          <w:rFonts w:hint="cs"/>
          <w:rtl/>
        </w:rPr>
        <w:t xml:space="preserve"> קובע שבית המשפט לא יעשה שימוש בסמכות להארכת תקופת התנאי, אלא לגבי הרשעה ראשונה של הנאשם בשל עבירה נוספת. ואולם, </w:t>
      </w:r>
      <w:hyperlink r:id="rId36" w:history="1">
        <w:r w:rsidR="00C228C2" w:rsidRPr="00C228C2">
          <w:rPr>
            <w:color w:val="0000FF"/>
            <w:u w:val="single"/>
            <w:rtl/>
          </w:rPr>
          <w:t>סעיף 85</w:t>
        </w:r>
      </w:hyperlink>
      <w:r>
        <w:rPr>
          <w:rFonts w:hint="cs"/>
          <w:rtl/>
        </w:rPr>
        <w:t xml:space="preserve"> ל</w:t>
      </w:r>
      <w:hyperlink r:id="rId37" w:history="1">
        <w:r w:rsidR="00352F20" w:rsidRPr="00352F20">
          <w:rPr>
            <w:color w:val="0000FF"/>
            <w:u w:val="single"/>
            <w:rtl/>
          </w:rPr>
          <w:t>חוק העונשין</w:t>
        </w:r>
      </w:hyperlink>
      <w:r>
        <w:rPr>
          <w:rFonts w:hint="cs"/>
          <w:rtl/>
        </w:rPr>
        <w:t xml:space="preserve">, קבע "הסדר מיוחד" - הארכה נוספת של עונש המאסר על תנאי וזאת בכפוף לכך שהנאשם עבר טיפול התמכרות לסמים. </w:t>
      </w:r>
    </w:p>
    <w:p w14:paraId="045B04D5" w14:textId="77777777" w:rsidR="00E97F94" w:rsidRDefault="00E97F94" w:rsidP="00E97F94">
      <w:pPr>
        <w:spacing w:line="360" w:lineRule="auto"/>
        <w:ind w:left="226"/>
        <w:contextualSpacing/>
        <w:jc w:val="both"/>
        <w:rPr>
          <w:rtl/>
        </w:rPr>
      </w:pPr>
    </w:p>
    <w:p w14:paraId="32D5224A" w14:textId="77777777" w:rsidR="00E97F94" w:rsidRDefault="00E97F94" w:rsidP="00E97F94">
      <w:pPr>
        <w:spacing w:line="360" w:lineRule="auto"/>
        <w:ind w:left="1440" w:right="1134"/>
        <w:contextualSpacing/>
        <w:jc w:val="both"/>
        <w:rPr>
          <w:b/>
          <w:bCs/>
          <w:rtl/>
        </w:rPr>
      </w:pPr>
      <w:r>
        <w:rPr>
          <w:rFonts w:hint="cs"/>
          <w:b/>
          <w:bCs/>
          <w:rtl/>
        </w:rPr>
        <w:t xml:space="preserve">"85. (א) על אף הוראות סעיף 56(ב), רשאי בית משפט שהרשיע אדם העובר טיפול למשתמשים בסמים, או שסיים טיפול כאמור, להשתמש בסמכותו לפי סעיף 56 יותר מפעם אחת, אם שוכנע שלא יהיה זה צודק להפעיל את המאסר על תנאי משום שיש סיכוי לשיקומו של האדם, כי הפעלת המאסר על תנאי תסב לו נזק חמור, וכי אין סיכון לשלום הציבור בשל הארכת התנאי" </w:t>
      </w:r>
    </w:p>
    <w:p w14:paraId="35915297" w14:textId="77777777" w:rsidR="00E97F94" w:rsidRDefault="00E97F94" w:rsidP="00E97F94">
      <w:pPr>
        <w:spacing w:line="360" w:lineRule="auto"/>
        <w:ind w:left="226"/>
        <w:contextualSpacing/>
        <w:jc w:val="both"/>
        <w:rPr>
          <w:rtl/>
        </w:rPr>
      </w:pPr>
    </w:p>
    <w:p w14:paraId="231A3F4D" w14:textId="77777777" w:rsidR="00E97F94" w:rsidRDefault="00E97F94" w:rsidP="00E97F94">
      <w:pPr>
        <w:numPr>
          <w:ilvl w:val="0"/>
          <w:numId w:val="1"/>
        </w:numPr>
        <w:spacing w:after="160" w:line="360" w:lineRule="auto"/>
        <w:ind w:left="-58"/>
        <w:contextualSpacing/>
        <w:jc w:val="both"/>
        <w:rPr>
          <w:rtl/>
        </w:rPr>
      </w:pPr>
      <w:r>
        <w:rPr>
          <w:rFonts w:hint="cs"/>
          <w:rtl/>
        </w:rPr>
        <w:t>ב</w:t>
      </w:r>
      <w:hyperlink r:id="rId38" w:history="1">
        <w:r w:rsidR="00352F20" w:rsidRPr="00352F20">
          <w:rPr>
            <w:color w:val="0000FF"/>
            <w:u w:val="single"/>
            <w:rtl/>
          </w:rPr>
          <w:t>ע"פ 4517/04 מסראווה נ' מדינת ישראל, פ"ד נ"ט</w:t>
        </w:r>
      </w:hyperlink>
      <w:r>
        <w:rPr>
          <w:rFonts w:hint="cs"/>
          <w:rtl/>
        </w:rPr>
        <w:t xml:space="preserve">(6) 119, נפסק, כי: </w:t>
      </w:r>
    </w:p>
    <w:p w14:paraId="40FB3BA6" w14:textId="77777777" w:rsidR="00E97F94" w:rsidRDefault="00E97F94" w:rsidP="00E97F94">
      <w:pPr>
        <w:spacing w:line="360" w:lineRule="auto"/>
        <w:ind w:left="226"/>
        <w:contextualSpacing/>
        <w:jc w:val="both"/>
        <w:rPr>
          <w:rtl/>
        </w:rPr>
      </w:pPr>
    </w:p>
    <w:p w14:paraId="012C1E82" w14:textId="77777777" w:rsidR="00E97F94" w:rsidRDefault="00E97F94" w:rsidP="00E97F94">
      <w:pPr>
        <w:spacing w:line="360" w:lineRule="auto"/>
        <w:ind w:left="1440" w:right="1134"/>
        <w:contextualSpacing/>
        <w:jc w:val="both"/>
        <w:rPr>
          <w:b/>
          <w:bCs/>
          <w:rtl/>
        </w:rPr>
      </w:pPr>
      <w:r>
        <w:rPr>
          <w:rFonts w:hint="cs"/>
          <w:b/>
          <w:bCs/>
          <w:rtl/>
        </w:rPr>
        <w:t>"הכלל שנקבע בסעיף 56 ל</w:t>
      </w:r>
      <w:hyperlink r:id="rId39" w:history="1">
        <w:r w:rsidR="00352F20" w:rsidRPr="00352F20">
          <w:rPr>
            <w:b/>
            <w:bCs/>
            <w:color w:val="0000FF"/>
            <w:u w:val="single"/>
            <w:rtl/>
          </w:rPr>
          <w:t>חוק העונשין</w:t>
        </w:r>
      </w:hyperlink>
      <w:r>
        <w:rPr>
          <w:rFonts w:hint="cs"/>
          <w:b/>
          <w:bCs/>
          <w:rtl/>
        </w:rPr>
        <w:t>, הוא כי ביצוע עבירת התנאי מפעיל את המאסר המותנה ויהא זה במקרים חריגים בלבד ורק מטעמים שירשמו שבית המשפט יהיה רשאי להורות על הארכת תקופת התנאי אם שוכנע כי בנסיבות העניין לא יהא זה צודק להפעילו. אמנם, ככל שהפעלת התנאי היא אוטומטית כך גדל כוחו המרתיע של המאסר המותנה... , אולם חרף זאת ניתן שיקול הדעת לבית המשפט שלא להפעילו, כדי לאפשר לו, מקום שהצדק מחייב זאת, להעניק לנאשם הזדמנות נוספת והכוונה לחזור לדרך הישר, וגם בחריג זה גלום עיקרון ההרתעה</w:t>
      </w:r>
    </w:p>
    <w:p w14:paraId="149B147B" w14:textId="77777777" w:rsidR="00E97F94" w:rsidRDefault="00E97F94" w:rsidP="00E97F94">
      <w:pPr>
        <w:spacing w:line="360" w:lineRule="auto"/>
        <w:ind w:left="226"/>
        <w:contextualSpacing/>
        <w:jc w:val="both"/>
        <w:rPr>
          <w:rtl/>
        </w:rPr>
      </w:pPr>
    </w:p>
    <w:p w14:paraId="1C6D6F74" w14:textId="77777777" w:rsidR="00E97F94" w:rsidRDefault="00E97F94" w:rsidP="00E97F94">
      <w:pPr>
        <w:numPr>
          <w:ilvl w:val="0"/>
          <w:numId w:val="1"/>
        </w:numPr>
        <w:spacing w:after="160" w:line="360" w:lineRule="auto"/>
        <w:ind w:left="-58"/>
        <w:contextualSpacing/>
        <w:jc w:val="both"/>
        <w:rPr>
          <w:rtl/>
        </w:rPr>
      </w:pPr>
      <w:r>
        <w:rPr>
          <w:rFonts w:hint="cs"/>
          <w:rtl/>
        </w:rPr>
        <w:t>ב</w:t>
      </w:r>
      <w:hyperlink r:id="rId40" w:history="1">
        <w:r w:rsidR="00352F20" w:rsidRPr="00352F20">
          <w:rPr>
            <w:color w:val="0000FF"/>
            <w:u w:val="single"/>
            <w:rtl/>
          </w:rPr>
          <w:t>רע"פ 4300/07</w:t>
        </w:r>
      </w:hyperlink>
      <w:r>
        <w:rPr>
          <w:rFonts w:hint="cs"/>
          <w:rtl/>
        </w:rPr>
        <w:t xml:space="preserve"> </w:t>
      </w:r>
      <w:r>
        <w:rPr>
          <w:rFonts w:hint="cs"/>
          <w:b/>
          <w:bCs/>
          <w:rtl/>
        </w:rPr>
        <w:t>איהאב נאצר נ' מדינת ישראל</w:t>
      </w:r>
      <w:r>
        <w:rPr>
          <w:rFonts w:hint="cs"/>
          <w:rtl/>
        </w:rPr>
        <w:t xml:space="preserve"> (פורסם בנבו), חזר כב' השופט לוי על ההלכה לפיה הכלל </w:t>
      </w:r>
      <w:hyperlink r:id="rId41" w:history="1">
        <w:r w:rsidR="00C228C2" w:rsidRPr="00C228C2">
          <w:rPr>
            <w:color w:val="0000FF"/>
            <w:u w:val="single"/>
            <w:rtl/>
          </w:rPr>
          <w:t>שבסעיף 56</w:t>
        </w:r>
      </w:hyperlink>
      <w:r>
        <w:rPr>
          <w:rFonts w:hint="cs"/>
          <w:rtl/>
        </w:rPr>
        <w:t xml:space="preserve"> ל</w:t>
      </w:r>
      <w:hyperlink r:id="rId42" w:history="1">
        <w:r w:rsidR="00352F20" w:rsidRPr="00352F20">
          <w:rPr>
            <w:color w:val="0000FF"/>
            <w:u w:val="single"/>
            <w:rtl/>
          </w:rPr>
          <w:t>חוק העונשין</w:t>
        </w:r>
      </w:hyperlink>
      <w:r>
        <w:rPr>
          <w:rFonts w:hint="cs"/>
          <w:rtl/>
        </w:rPr>
        <w:t xml:space="preserve"> הוא כי עונש מאסר יש להפעיל "</w:t>
      </w:r>
      <w:r>
        <w:rPr>
          <w:rFonts w:hint="cs"/>
          <w:b/>
          <w:bCs/>
          <w:rtl/>
        </w:rPr>
        <w:t>אלא אם כן שוכנע בית המשפט כי קיימות נסיבות מיוחדות המצדיקות חריגה מן הכלל...</w:t>
      </w:r>
      <w:r>
        <w:rPr>
          <w:rFonts w:hint="cs"/>
          <w:rtl/>
        </w:rPr>
        <w:t>".</w:t>
      </w:r>
    </w:p>
    <w:p w14:paraId="2D598008" w14:textId="77777777" w:rsidR="00E97F94" w:rsidRDefault="00E97F94" w:rsidP="00E97F94">
      <w:pPr>
        <w:spacing w:line="360" w:lineRule="auto"/>
        <w:ind w:left="226"/>
        <w:contextualSpacing/>
        <w:jc w:val="both"/>
        <w:rPr>
          <w:rtl/>
        </w:rPr>
      </w:pPr>
    </w:p>
    <w:p w14:paraId="5D918EA8" w14:textId="77777777" w:rsidR="00E97F94" w:rsidRPr="00E97F94" w:rsidRDefault="00E97F94" w:rsidP="00E97F94">
      <w:pPr>
        <w:numPr>
          <w:ilvl w:val="0"/>
          <w:numId w:val="1"/>
        </w:numPr>
        <w:spacing w:after="160" w:line="360" w:lineRule="auto"/>
        <w:ind w:left="-58"/>
        <w:contextualSpacing/>
        <w:jc w:val="both"/>
        <w:rPr>
          <w:rFonts w:ascii="Calibri" w:hAnsi="Calibri" w:cs="Calibri"/>
          <w:rtl/>
        </w:rPr>
      </w:pPr>
      <w:r w:rsidRPr="00E97F94">
        <w:rPr>
          <w:rFonts w:ascii="Calibri" w:hAnsi="Calibri" w:hint="cs"/>
          <w:rtl/>
        </w:rPr>
        <w:t xml:space="preserve">בעניינו של הנאשם הוגשו מספר תסקירים, מתן גזר הדין בעניינו נדחה מספר פעמים על מנת לאפשר לנאשם להשלים את ההליך הטיפולי והשיקומי. </w:t>
      </w:r>
    </w:p>
    <w:p w14:paraId="341A99C3" w14:textId="77777777" w:rsidR="00E97F94" w:rsidRPr="00E97F94" w:rsidRDefault="00E97F94" w:rsidP="00E97F94">
      <w:pPr>
        <w:spacing w:after="160" w:line="360" w:lineRule="auto"/>
        <w:ind w:left="720"/>
        <w:contextualSpacing/>
        <w:rPr>
          <w:rFonts w:ascii="Calibri" w:hAnsi="Calibri"/>
        </w:rPr>
      </w:pPr>
    </w:p>
    <w:p w14:paraId="7B899E03" w14:textId="77777777" w:rsidR="00E97F94" w:rsidRPr="00E97F94" w:rsidRDefault="00E97F94" w:rsidP="00E97F94">
      <w:pPr>
        <w:spacing w:after="160" w:line="360" w:lineRule="auto"/>
        <w:ind w:left="-58"/>
        <w:contextualSpacing/>
        <w:jc w:val="both"/>
        <w:rPr>
          <w:rFonts w:ascii="Calibri" w:hAnsi="Calibri"/>
          <w:rtl/>
        </w:rPr>
      </w:pPr>
      <w:r w:rsidRPr="00E97F94">
        <w:rPr>
          <w:rFonts w:ascii="Calibri" w:hAnsi="Calibri" w:hint="cs"/>
          <w:rtl/>
        </w:rPr>
        <w:t xml:space="preserve">מהתסקירים עולה כי אכן חלה התקדמות משמעותית במצבו של הנאשם, בהבנה ובהכרה את מצבו. אף מדברו האחרון של הנאשם עולה כי הוא מבין את בחירותיו ופועל לשנותם, הוא חזר לקשר עם ילדיו, מתמיד בטיפול ומבקש לחזור ולנהל חיים תקינים. </w:t>
      </w:r>
    </w:p>
    <w:p w14:paraId="697FC090" w14:textId="77777777" w:rsidR="00E97F94" w:rsidRPr="00E97F94" w:rsidRDefault="00E97F94" w:rsidP="00E97F94">
      <w:pPr>
        <w:spacing w:after="160" w:line="360" w:lineRule="auto"/>
        <w:ind w:left="-58"/>
        <w:contextualSpacing/>
        <w:jc w:val="both"/>
        <w:rPr>
          <w:rFonts w:ascii="Calibri" w:hAnsi="Calibri" w:cs="Calibri"/>
          <w:rtl/>
        </w:rPr>
      </w:pPr>
    </w:p>
    <w:p w14:paraId="650B4EAB" w14:textId="77777777" w:rsidR="00E97F94" w:rsidRPr="00E97F94" w:rsidRDefault="00E97F94" w:rsidP="00E97F94">
      <w:pPr>
        <w:numPr>
          <w:ilvl w:val="0"/>
          <w:numId w:val="1"/>
        </w:numPr>
        <w:spacing w:after="160" w:line="360" w:lineRule="auto"/>
        <w:ind w:left="-58"/>
        <w:contextualSpacing/>
        <w:jc w:val="both"/>
        <w:rPr>
          <w:rFonts w:ascii="Calibri" w:hAnsi="Calibri" w:cs="Calibri"/>
        </w:rPr>
      </w:pPr>
      <w:r w:rsidRPr="00E97F94">
        <w:rPr>
          <w:rFonts w:ascii="Calibri" w:hAnsi="Calibri" w:hint="cs"/>
          <w:rtl/>
        </w:rPr>
        <w:t xml:space="preserve">אני סבור כי זהו המקרה המובהק בו על החברה ובית המשפט להושיט יד מצילה לנאשם, במערבולת החיים אליה נקלע וזאת בבחינת מתן קרן אור לנאשם, בו יוכל להיתפס בהמשך חייו ולהמשיך בהליך השיקומי האינטנסיבי. אני מאמין, כי הנאשם עשה כברת דרך וכולי תקווה כי הוא עלה על דרך הישר, יוכל להתמיד בשיקום, להישאר נקי מסמים, ולנהל קשר תקין וטוב עם ילדיו ומשפחתו. </w:t>
      </w:r>
    </w:p>
    <w:p w14:paraId="7DD5E7B5" w14:textId="77777777" w:rsidR="00E97F94" w:rsidRPr="00E97F94" w:rsidRDefault="00E97F94" w:rsidP="00E97F94">
      <w:pPr>
        <w:spacing w:after="160" w:line="360" w:lineRule="auto"/>
        <w:ind w:left="-58"/>
        <w:contextualSpacing/>
        <w:jc w:val="both"/>
        <w:rPr>
          <w:rFonts w:ascii="Calibri" w:hAnsi="Calibri" w:cs="Calibri"/>
        </w:rPr>
      </w:pPr>
    </w:p>
    <w:p w14:paraId="1227190C" w14:textId="77777777" w:rsidR="00E97F94" w:rsidRPr="00E97F94" w:rsidRDefault="00E97F94" w:rsidP="00E97F94">
      <w:pPr>
        <w:numPr>
          <w:ilvl w:val="0"/>
          <w:numId w:val="1"/>
        </w:numPr>
        <w:spacing w:after="160" w:line="360" w:lineRule="auto"/>
        <w:ind w:left="-58"/>
        <w:contextualSpacing/>
        <w:jc w:val="both"/>
        <w:rPr>
          <w:rFonts w:ascii="Calibri" w:hAnsi="Calibri" w:cs="Calibri"/>
        </w:rPr>
      </w:pPr>
      <w:r w:rsidRPr="00E97F94">
        <w:rPr>
          <w:rFonts w:ascii="Calibri" w:hAnsi="Calibri" w:hint="cs"/>
          <w:rtl/>
        </w:rPr>
        <w:t xml:space="preserve">בנסיבות אלה, מצאתי כי יש מקום להאריך את המאסר המותנה וכך אני מורה. </w:t>
      </w:r>
    </w:p>
    <w:p w14:paraId="00F89271" w14:textId="77777777" w:rsidR="00E97F94" w:rsidRPr="00E97F94" w:rsidRDefault="00E97F94" w:rsidP="00E97F94">
      <w:pPr>
        <w:spacing w:line="360" w:lineRule="auto"/>
        <w:ind w:left="720"/>
        <w:contextualSpacing/>
        <w:rPr>
          <w:rFonts w:ascii="Calibri" w:hAnsi="Calibri"/>
          <w:rtl/>
        </w:rPr>
      </w:pPr>
    </w:p>
    <w:p w14:paraId="5B16AB8D" w14:textId="77777777" w:rsidR="00E97F94" w:rsidRPr="00E97F94" w:rsidRDefault="00E97F94" w:rsidP="00E97F94">
      <w:pPr>
        <w:spacing w:line="360" w:lineRule="auto"/>
        <w:ind w:left="720"/>
        <w:contextualSpacing/>
        <w:rPr>
          <w:rFonts w:ascii="Calibri" w:hAnsi="Calibri"/>
        </w:rPr>
      </w:pPr>
    </w:p>
    <w:p w14:paraId="0FC02A67" w14:textId="77777777" w:rsidR="00E97F94" w:rsidRDefault="00E97F94" w:rsidP="00E97F94">
      <w:pPr>
        <w:spacing w:line="360" w:lineRule="auto"/>
        <w:ind w:left="-483"/>
        <w:jc w:val="both"/>
        <w:rPr>
          <w:rtl/>
        </w:rPr>
      </w:pPr>
      <w:r>
        <w:rPr>
          <w:rFonts w:hint="cs"/>
          <w:b/>
          <w:bCs/>
          <w:u w:val="single"/>
          <w:rtl/>
        </w:rPr>
        <w:t>סוף דבר</w:t>
      </w:r>
      <w:r>
        <w:rPr>
          <w:rFonts w:hint="cs"/>
          <w:rtl/>
        </w:rPr>
        <w:t>:</w:t>
      </w:r>
    </w:p>
    <w:p w14:paraId="5A2758C1" w14:textId="77777777" w:rsidR="00E97F94" w:rsidRDefault="00E97F94" w:rsidP="00E97F94">
      <w:pPr>
        <w:spacing w:line="360" w:lineRule="auto"/>
        <w:ind w:left="-483"/>
        <w:jc w:val="both"/>
        <w:rPr>
          <w:rtl/>
        </w:rPr>
      </w:pPr>
      <w:r>
        <w:rPr>
          <w:rFonts w:hint="cs"/>
          <w:b/>
          <w:bCs/>
          <w:u w:val="single"/>
          <w:rtl/>
        </w:rPr>
        <w:t>לאור כל האמור לעיל, הנני מורה כדלקמן</w:t>
      </w:r>
      <w:r>
        <w:rPr>
          <w:rFonts w:hint="cs"/>
          <w:rtl/>
        </w:rPr>
        <w:t>:</w:t>
      </w:r>
    </w:p>
    <w:p w14:paraId="3284CBD1" w14:textId="77777777" w:rsidR="00E97F94" w:rsidRPr="00E97F94" w:rsidRDefault="00E97F94" w:rsidP="00E97F94">
      <w:pPr>
        <w:spacing w:after="160" w:line="360" w:lineRule="auto"/>
        <w:ind w:left="720"/>
        <w:contextualSpacing/>
        <w:rPr>
          <w:rFonts w:ascii="Calibri" w:hAnsi="Calibri"/>
          <w:rtl/>
        </w:rPr>
      </w:pPr>
    </w:p>
    <w:p w14:paraId="2B8BD364" w14:textId="77777777" w:rsidR="00E97F94" w:rsidRDefault="00E97F94" w:rsidP="00E97F94">
      <w:pPr>
        <w:numPr>
          <w:ilvl w:val="0"/>
          <w:numId w:val="1"/>
        </w:numPr>
        <w:spacing w:after="160" w:line="360" w:lineRule="auto"/>
        <w:ind w:left="-58"/>
        <w:contextualSpacing/>
        <w:jc w:val="both"/>
        <w:rPr>
          <w:rtl/>
        </w:rPr>
      </w:pPr>
      <w:r>
        <w:rPr>
          <w:rFonts w:hint="cs"/>
          <w:rtl/>
        </w:rPr>
        <w:t>הנני מאריך את המאסר המותנה בן חודשיים ימים שהוטל על הנאשם ב</w:t>
      </w:r>
      <w:hyperlink r:id="rId43" w:history="1">
        <w:r w:rsidR="00352F20" w:rsidRPr="00352F20">
          <w:rPr>
            <w:color w:val="0000FF"/>
            <w:u w:val="single"/>
            <w:rtl/>
          </w:rPr>
          <w:t>ת"פ (ת"א) 35038-11-15</w:t>
        </w:r>
      </w:hyperlink>
      <w:r>
        <w:rPr>
          <w:rFonts w:hint="cs"/>
          <w:rtl/>
        </w:rPr>
        <w:t xml:space="preserve"> </w:t>
      </w:r>
      <w:r>
        <w:rPr>
          <w:rFonts w:hint="cs"/>
          <w:b/>
          <w:bCs/>
          <w:rtl/>
        </w:rPr>
        <w:t xml:space="preserve">מדינת ישראל נ' אברהם, </w:t>
      </w:r>
      <w:r>
        <w:rPr>
          <w:rFonts w:hint="cs"/>
          <w:rtl/>
        </w:rPr>
        <w:t xml:space="preserve">ביום 29.3.16 למשך שנתיים נוספות החל מהיום. </w:t>
      </w:r>
    </w:p>
    <w:p w14:paraId="2E395B3A" w14:textId="77777777" w:rsidR="00E97F94" w:rsidRPr="00E97F94" w:rsidRDefault="00E97F94" w:rsidP="00E97F94">
      <w:pPr>
        <w:spacing w:after="160" w:line="360" w:lineRule="auto"/>
        <w:ind w:left="720"/>
        <w:contextualSpacing/>
        <w:rPr>
          <w:rFonts w:ascii="Calibri" w:hAnsi="Calibri" w:cs="Calibri"/>
        </w:rPr>
      </w:pPr>
    </w:p>
    <w:p w14:paraId="696D86E0" w14:textId="77777777" w:rsidR="00E97F94" w:rsidRDefault="00E97F94" w:rsidP="00E97F94">
      <w:pPr>
        <w:numPr>
          <w:ilvl w:val="0"/>
          <w:numId w:val="1"/>
        </w:numPr>
        <w:spacing w:after="160" w:line="360" w:lineRule="auto"/>
        <w:ind w:left="-58"/>
        <w:contextualSpacing/>
        <w:jc w:val="both"/>
      </w:pPr>
      <w:r>
        <w:rPr>
          <w:rFonts w:hint="cs"/>
          <w:rtl/>
        </w:rPr>
        <w:t>עוד אני מאריך את ההתחייבות עליה חתם במסגרת ב</w:t>
      </w:r>
      <w:hyperlink r:id="rId44" w:history="1">
        <w:r w:rsidR="00352F20" w:rsidRPr="00352F20">
          <w:rPr>
            <w:color w:val="0000FF"/>
            <w:u w:val="single"/>
            <w:rtl/>
          </w:rPr>
          <w:t>ת"פ (ת"א) 35038-11-15</w:t>
        </w:r>
      </w:hyperlink>
      <w:r>
        <w:rPr>
          <w:rFonts w:hint="cs"/>
          <w:rtl/>
        </w:rPr>
        <w:t xml:space="preserve"> </w:t>
      </w:r>
      <w:r>
        <w:rPr>
          <w:rFonts w:hint="cs"/>
          <w:b/>
          <w:bCs/>
          <w:rtl/>
        </w:rPr>
        <w:t xml:space="preserve">מדינת ישראל נ' אברהם, </w:t>
      </w:r>
      <w:r>
        <w:rPr>
          <w:rFonts w:hint="cs"/>
          <w:rtl/>
        </w:rPr>
        <w:t xml:space="preserve">ביום 29.3.16 , בסך 1,000 ₪ למשך תקופה נוספת בת שנתיים מהיום. </w:t>
      </w:r>
    </w:p>
    <w:p w14:paraId="29DC322B" w14:textId="77777777" w:rsidR="00E97F94" w:rsidRPr="00E97F94" w:rsidRDefault="00E97F94" w:rsidP="00E97F94">
      <w:pPr>
        <w:spacing w:after="160" w:line="360" w:lineRule="auto"/>
        <w:ind w:left="720"/>
        <w:contextualSpacing/>
        <w:rPr>
          <w:rFonts w:ascii="Calibri" w:hAnsi="Calibri" w:cs="Calibri"/>
        </w:rPr>
      </w:pPr>
    </w:p>
    <w:p w14:paraId="7F7D5995" w14:textId="77777777" w:rsidR="00E97F94" w:rsidRDefault="00E97F94" w:rsidP="00E97F94">
      <w:pPr>
        <w:numPr>
          <w:ilvl w:val="0"/>
          <w:numId w:val="1"/>
        </w:numPr>
        <w:spacing w:after="160" w:line="360" w:lineRule="auto"/>
        <w:ind w:left="-58"/>
        <w:contextualSpacing/>
        <w:jc w:val="both"/>
      </w:pPr>
      <w:r>
        <w:rPr>
          <w:rFonts w:hint="cs"/>
          <w:rtl/>
        </w:rPr>
        <w:t xml:space="preserve">לא מצאתי לגזור על הנאשם קנס ו/או להפעיל את ההתחייבות. </w:t>
      </w:r>
    </w:p>
    <w:p w14:paraId="06E2B1A7" w14:textId="77777777" w:rsidR="00E97F94" w:rsidRDefault="00E97F94" w:rsidP="00E97F94">
      <w:pPr>
        <w:spacing w:after="160" w:line="360" w:lineRule="auto"/>
        <w:ind w:left="720"/>
        <w:contextualSpacing/>
      </w:pPr>
    </w:p>
    <w:p w14:paraId="41C60558" w14:textId="77777777" w:rsidR="00E97F94" w:rsidRDefault="00E97F94" w:rsidP="00E97F94">
      <w:pPr>
        <w:numPr>
          <w:ilvl w:val="0"/>
          <w:numId w:val="1"/>
        </w:numPr>
        <w:spacing w:after="160" w:line="360" w:lineRule="auto"/>
        <w:ind w:left="-58"/>
        <w:contextualSpacing/>
        <w:jc w:val="both"/>
        <w:rPr>
          <w:rtl/>
        </w:rPr>
      </w:pPr>
      <w:r>
        <w:rPr>
          <w:rFonts w:hint="cs"/>
          <w:rtl/>
        </w:rPr>
        <w:t xml:space="preserve">ניתן בזאת צו מבחן כנגד הנאשם למשך שנה, הובהר לנאשם כי אם לא יעמוד בתנאי הצו, יוכל בית המשפט לדון מחדש בעני ינו. </w:t>
      </w:r>
    </w:p>
    <w:p w14:paraId="64C7EB37" w14:textId="77777777" w:rsidR="00E97F94" w:rsidRPr="00E97F94" w:rsidRDefault="00E97F94" w:rsidP="00E97F94">
      <w:pPr>
        <w:spacing w:after="160" w:line="360" w:lineRule="auto"/>
        <w:ind w:left="720"/>
        <w:contextualSpacing/>
        <w:rPr>
          <w:rFonts w:ascii="Calibri" w:hAnsi="Calibri"/>
        </w:rPr>
      </w:pPr>
    </w:p>
    <w:p w14:paraId="64978C8C" w14:textId="77777777" w:rsidR="00E97F94" w:rsidRDefault="00E97F94" w:rsidP="00E97F94">
      <w:pPr>
        <w:numPr>
          <w:ilvl w:val="0"/>
          <w:numId w:val="1"/>
        </w:numPr>
        <w:spacing w:after="160" w:line="360" w:lineRule="auto"/>
        <w:ind w:left="-58"/>
        <w:contextualSpacing/>
        <w:jc w:val="both"/>
        <w:rPr>
          <w:rFonts w:ascii="Arial" w:hAnsi="Arial"/>
          <w:rtl/>
        </w:rPr>
      </w:pPr>
      <w:r>
        <w:rPr>
          <w:rFonts w:ascii="Arial" w:hAnsi="Arial" w:hint="cs"/>
          <w:rtl/>
        </w:rPr>
        <w:t xml:space="preserve">ניתן בזאת צו כללי למוצגים; חילוט, השמדה, השבה לבעלים וזאת על פי החלטת קצין חקירות ממונה. </w:t>
      </w:r>
    </w:p>
    <w:p w14:paraId="24F7C275" w14:textId="77777777" w:rsidR="00E97F94" w:rsidRPr="00E97F94" w:rsidRDefault="00E97F94" w:rsidP="00E97F94">
      <w:pPr>
        <w:spacing w:after="160" w:line="360" w:lineRule="auto"/>
        <w:ind w:left="720"/>
        <w:contextualSpacing/>
        <w:rPr>
          <w:rFonts w:ascii="Calibri" w:hAnsi="Calibri" w:cs="Calibri"/>
        </w:rPr>
      </w:pPr>
    </w:p>
    <w:p w14:paraId="4FEBD60C" w14:textId="77777777" w:rsidR="00E97F94" w:rsidRPr="00E97F94" w:rsidRDefault="00E97F94" w:rsidP="00E97F94">
      <w:pPr>
        <w:numPr>
          <w:ilvl w:val="0"/>
          <w:numId w:val="1"/>
        </w:numPr>
        <w:spacing w:after="160" w:line="360" w:lineRule="auto"/>
        <w:ind w:left="-58"/>
        <w:contextualSpacing/>
        <w:jc w:val="both"/>
        <w:rPr>
          <w:rFonts w:ascii="Calibri" w:hAnsi="Calibri" w:cs="Calibri"/>
        </w:rPr>
      </w:pPr>
      <w:r w:rsidRPr="00E97F94">
        <w:rPr>
          <w:rFonts w:ascii="Calibri" w:hAnsi="Calibri" w:hint="cs"/>
          <w:b/>
          <w:bCs/>
          <w:u w:val="single"/>
          <w:rtl/>
        </w:rPr>
        <w:t>זכות ערעור לבית המשפט המחוזי בתוך 45 ימים</w:t>
      </w:r>
      <w:r w:rsidRPr="00E97F94">
        <w:rPr>
          <w:rFonts w:ascii="Calibri" w:hAnsi="Calibri" w:hint="cs"/>
          <w:rtl/>
        </w:rPr>
        <w:t xml:space="preserve">.   </w:t>
      </w:r>
    </w:p>
    <w:p w14:paraId="257F7882" w14:textId="77777777" w:rsidR="00E97F94" w:rsidRPr="00E97F94" w:rsidRDefault="00E97F94" w:rsidP="00E97F94">
      <w:pPr>
        <w:spacing w:after="160" w:line="360" w:lineRule="auto"/>
        <w:ind w:left="720"/>
        <w:contextualSpacing/>
        <w:rPr>
          <w:rFonts w:ascii="Calibri" w:hAnsi="Calibri"/>
        </w:rPr>
      </w:pPr>
    </w:p>
    <w:p w14:paraId="263EC727" w14:textId="77777777" w:rsidR="00E97F94" w:rsidRPr="00654BBB" w:rsidRDefault="00E97F94" w:rsidP="00E97F94">
      <w:pPr>
        <w:numPr>
          <w:ilvl w:val="0"/>
          <w:numId w:val="1"/>
        </w:numPr>
        <w:spacing w:after="160" w:line="360" w:lineRule="auto"/>
        <w:ind w:left="-58"/>
        <w:contextualSpacing/>
        <w:jc w:val="both"/>
        <w:rPr>
          <w:b/>
          <w:bCs/>
          <w:u w:val="single"/>
        </w:rPr>
      </w:pPr>
      <w:r w:rsidRPr="00E97F94">
        <w:rPr>
          <w:rFonts w:ascii="Calibri" w:hAnsi="Calibri" w:hint="cs"/>
          <w:rtl/>
        </w:rPr>
        <w:t xml:space="preserve">המזכירות תעביר העתק גזר דיני זה לשירות המבחן. </w:t>
      </w:r>
    </w:p>
    <w:p w14:paraId="516AF849" w14:textId="77777777" w:rsidR="00E97F94" w:rsidRDefault="00E97F94" w:rsidP="00E97F94">
      <w:pPr>
        <w:spacing w:after="160" w:line="360" w:lineRule="auto"/>
        <w:ind w:left="-418"/>
        <w:contextualSpacing/>
        <w:jc w:val="both"/>
        <w:rPr>
          <w:b/>
          <w:bCs/>
          <w:u w:val="single"/>
        </w:rPr>
      </w:pPr>
    </w:p>
    <w:p w14:paraId="0FC3EF8D" w14:textId="77777777" w:rsidR="00E97F94" w:rsidRDefault="00E97F94" w:rsidP="00E97F94">
      <w:pPr>
        <w:spacing w:after="160" w:line="360" w:lineRule="auto"/>
        <w:ind w:left="-418"/>
        <w:contextualSpacing/>
        <w:rPr>
          <w:b/>
          <w:bCs/>
          <w:sz w:val="6"/>
          <w:szCs w:val="6"/>
          <w:rtl/>
        </w:rPr>
      </w:pPr>
      <w:r>
        <w:rPr>
          <w:b/>
          <w:bCs/>
          <w:sz w:val="6"/>
          <w:szCs w:val="6"/>
          <w:rtl/>
        </w:rPr>
        <w:t>&lt;#4#&gt;</w:t>
      </w:r>
    </w:p>
    <w:p w14:paraId="6AC99E54" w14:textId="77777777" w:rsidR="00E97F94" w:rsidRDefault="00E97F94" w:rsidP="00E97F94">
      <w:pPr>
        <w:rPr>
          <w:rtl/>
        </w:rPr>
      </w:pPr>
    </w:p>
    <w:p w14:paraId="53CBFFDD" w14:textId="77777777" w:rsidR="00E97F94" w:rsidRDefault="00352F20" w:rsidP="00E97F94">
      <w:pPr>
        <w:rPr>
          <w:rtl/>
        </w:rPr>
      </w:pPr>
      <w:r w:rsidRPr="00352F20">
        <w:rPr>
          <w:b/>
          <w:bCs/>
          <w:color w:val="FFFFFF"/>
          <w:sz w:val="2"/>
          <w:szCs w:val="2"/>
          <w:rtl/>
        </w:rPr>
        <w:t>5129371</w:t>
      </w:r>
      <w:r>
        <w:rPr>
          <w:b/>
          <w:bCs/>
          <w:rtl/>
        </w:rPr>
        <w:t xml:space="preserve">ניתנה והודעה היום ח' כסלו תשע"ח, 26/11/2017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937B7" w14:paraId="3B0C7D9A" w14:textId="77777777" w:rsidTr="00E97F94">
        <w:trPr>
          <w:trHeight w:val="316"/>
          <w:jc w:val="right"/>
        </w:trPr>
        <w:tc>
          <w:tcPr>
            <w:tcW w:w="3936" w:type="dxa"/>
            <w:shd w:val="clear" w:color="auto" w:fill="auto"/>
            <w:vAlign w:val="bottom"/>
          </w:tcPr>
          <w:p w14:paraId="5423AB28" w14:textId="77777777" w:rsidR="00E97F94" w:rsidRPr="00352F20" w:rsidRDefault="00352F20" w:rsidP="00E97F94">
            <w:pPr>
              <w:jc w:val="center"/>
              <w:rPr>
                <w:color w:val="FFFFFF"/>
                <w:sz w:val="2"/>
                <w:szCs w:val="2"/>
              </w:rPr>
            </w:pPr>
            <w:r w:rsidRPr="00352F20">
              <w:rPr>
                <w:color w:val="FFFFFF"/>
                <w:sz w:val="2"/>
                <w:szCs w:val="2"/>
                <w:rtl/>
              </w:rPr>
              <w:t>54678313</w:t>
            </w:r>
            <w:r w:rsidR="00E97F94" w:rsidRPr="00352F20">
              <w:rPr>
                <w:color w:val="FFFFFF"/>
                <w:sz w:val="2"/>
                <w:szCs w:val="2"/>
                <w:rtl/>
              </w:rPr>
              <w:t xml:space="preserve">     </w:t>
            </w:r>
          </w:p>
          <w:p w14:paraId="776A109E" w14:textId="77777777" w:rsidR="00E97F94" w:rsidRDefault="00E97F94" w:rsidP="00E97F94">
            <w:pPr>
              <w:jc w:val="center"/>
              <w:rPr>
                <w:rtl/>
              </w:rPr>
            </w:pPr>
          </w:p>
        </w:tc>
      </w:tr>
      <w:tr w:rsidR="009937B7" w14:paraId="2346BCA9" w14:textId="77777777" w:rsidTr="00E97F94">
        <w:trPr>
          <w:trHeight w:val="361"/>
          <w:jc w:val="right"/>
        </w:trPr>
        <w:tc>
          <w:tcPr>
            <w:tcW w:w="3936" w:type="dxa"/>
            <w:shd w:val="clear" w:color="auto" w:fill="auto"/>
          </w:tcPr>
          <w:p w14:paraId="693B4EB1" w14:textId="77777777" w:rsidR="00E97F94" w:rsidRPr="00E97F94" w:rsidRDefault="00E97F94" w:rsidP="00E97F94">
            <w:pPr>
              <w:jc w:val="center"/>
              <w:rPr>
                <w:b/>
                <w:bCs/>
                <w:rtl/>
              </w:rPr>
            </w:pPr>
            <w:r w:rsidRPr="00E97F94">
              <w:rPr>
                <w:b/>
                <w:bCs/>
                <w:rtl/>
              </w:rPr>
              <w:t>שמעון</w:t>
            </w:r>
            <w:r w:rsidRPr="00E97F94">
              <w:rPr>
                <w:rFonts w:hint="cs"/>
                <w:b/>
                <w:bCs/>
                <w:rtl/>
              </w:rPr>
              <w:t xml:space="preserve"> </w:t>
            </w:r>
            <w:r w:rsidRPr="00E97F94">
              <w:rPr>
                <w:b/>
                <w:bCs/>
                <w:rtl/>
              </w:rPr>
              <w:t>שטיין</w:t>
            </w:r>
            <w:r w:rsidRPr="00E97F94">
              <w:rPr>
                <w:rFonts w:hint="cs"/>
                <w:b/>
                <w:bCs/>
                <w:rtl/>
              </w:rPr>
              <w:t xml:space="preserve">, </w:t>
            </w:r>
            <w:r w:rsidRPr="00E97F94">
              <w:rPr>
                <w:b/>
                <w:bCs/>
                <w:rtl/>
              </w:rPr>
              <w:t>סגן נשיאה</w:t>
            </w:r>
          </w:p>
        </w:tc>
      </w:tr>
    </w:tbl>
    <w:p w14:paraId="6BC0697F" w14:textId="77777777" w:rsidR="00E97F94" w:rsidRDefault="00E97F94" w:rsidP="00E97F94">
      <w:pPr>
        <w:rPr>
          <w:rtl/>
        </w:rPr>
      </w:pPr>
    </w:p>
    <w:p w14:paraId="4F9C1FA0" w14:textId="77777777" w:rsidR="00E97F94" w:rsidRDefault="00E97F94" w:rsidP="00E97F94">
      <w:pPr>
        <w:rPr>
          <w:rtl/>
        </w:rPr>
      </w:pPr>
    </w:p>
    <w:p w14:paraId="33762BF2" w14:textId="77777777" w:rsidR="00E97F94" w:rsidRDefault="00E97F94" w:rsidP="00E97F94">
      <w:r>
        <w:rPr>
          <w:rtl/>
        </w:rPr>
        <w:t>הוקלד</w:t>
      </w:r>
      <w:r>
        <w:t xml:space="preserve"> </w:t>
      </w:r>
      <w:r>
        <w:rPr>
          <w:rtl/>
        </w:rPr>
        <w:t>על</w:t>
      </w:r>
      <w:r>
        <w:t xml:space="preserve"> </w:t>
      </w:r>
      <w:r>
        <w:rPr>
          <w:rtl/>
        </w:rPr>
        <w:t>ידי</w:t>
      </w:r>
      <w:r>
        <w:t xml:space="preserve"> </w:t>
      </w:r>
      <w:r>
        <w:rPr>
          <w:rtl/>
        </w:rPr>
        <w:t>טלי</w:t>
      </w:r>
      <w:r>
        <w:t xml:space="preserve"> </w:t>
      </w:r>
      <w:r>
        <w:rPr>
          <w:rtl/>
        </w:rPr>
        <w:t>ברמי</w:t>
      </w:r>
    </w:p>
    <w:p w14:paraId="5780AF31" w14:textId="77777777" w:rsidR="002D7B2F" w:rsidRPr="00352F20" w:rsidRDefault="002D7B2F" w:rsidP="00352F20">
      <w:pPr>
        <w:keepNext/>
        <w:rPr>
          <w:color w:val="000000"/>
          <w:sz w:val="22"/>
          <w:szCs w:val="22"/>
          <w:rtl/>
        </w:rPr>
      </w:pPr>
    </w:p>
    <w:p w14:paraId="7ECDC131" w14:textId="77777777" w:rsidR="00352F20" w:rsidRPr="00352F20" w:rsidRDefault="00352F20" w:rsidP="00352F20">
      <w:pPr>
        <w:keepNext/>
        <w:rPr>
          <w:color w:val="000000"/>
          <w:sz w:val="22"/>
          <w:szCs w:val="22"/>
          <w:rtl/>
        </w:rPr>
      </w:pPr>
      <w:r w:rsidRPr="00352F20">
        <w:rPr>
          <w:color w:val="000000"/>
          <w:sz w:val="22"/>
          <w:szCs w:val="22"/>
          <w:rtl/>
        </w:rPr>
        <w:t>שמעון שטיין 54678313</w:t>
      </w:r>
    </w:p>
    <w:p w14:paraId="36795F33" w14:textId="77777777" w:rsidR="00352F20" w:rsidRDefault="00352F20" w:rsidP="00352F20">
      <w:r w:rsidRPr="00352F20">
        <w:rPr>
          <w:color w:val="000000"/>
          <w:rtl/>
        </w:rPr>
        <w:t>נוסח מסמך זה כפוף לשינויי ניסוח ועריכה</w:t>
      </w:r>
    </w:p>
    <w:p w14:paraId="6945FEAB" w14:textId="77777777" w:rsidR="00352F20" w:rsidRDefault="00352F20" w:rsidP="00352F20">
      <w:pPr>
        <w:rPr>
          <w:rtl/>
        </w:rPr>
      </w:pPr>
    </w:p>
    <w:p w14:paraId="3D47C97A" w14:textId="77777777" w:rsidR="00352F20" w:rsidRDefault="00352F20" w:rsidP="00352F20">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0609219E" w14:textId="77777777" w:rsidR="00352F20" w:rsidRPr="00352F20" w:rsidRDefault="00352F20" w:rsidP="00352F20">
      <w:pPr>
        <w:jc w:val="center"/>
        <w:rPr>
          <w:color w:val="0000FF"/>
          <w:u w:val="single"/>
        </w:rPr>
      </w:pPr>
    </w:p>
    <w:sectPr w:rsidR="00352F20" w:rsidRPr="00352F20" w:rsidSect="00352F20">
      <w:headerReference w:type="even" r:id="rId46"/>
      <w:headerReference w:type="default" r:id="rId47"/>
      <w:footerReference w:type="even" r:id="rId48"/>
      <w:footerReference w:type="default" r:id="rId4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37399" w14:textId="77777777" w:rsidR="00F205FC" w:rsidRDefault="00F205FC" w:rsidP="001E36BF">
      <w:r>
        <w:separator/>
      </w:r>
    </w:p>
  </w:endnote>
  <w:endnote w:type="continuationSeparator" w:id="0">
    <w:p w14:paraId="097F3EE9" w14:textId="77777777" w:rsidR="00F205FC" w:rsidRDefault="00F205FC" w:rsidP="001E3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CFC2D" w14:textId="77777777" w:rsidR="00F46C2E" w:rsidRDefault="00F46C2E" w:rsidP="00352F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44F2FC2D" w14:textId="77777777" w:rsidR="00F46C2E" w:rsidRPr="00352F20" w:rsidRDefault="00F46C2E" w:rsidP="00352F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284F2" w14:textId="77777777" w:rsidR="00F46C2E" w:rsidRDefault="00F46C2E" w:rsidP="00352F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6250">
      <w:rPr>
        <w:rFonts w:ascii="FrankRuehl" w:hAnsi="FrankRuehl" w:cs="FrankRuehl"/>
        <w:noProof/>
        <w:rtl/>
      </w:rPr>
      <w:t>1</w:t>
    </w:r>
    <w:r>
      <w:rPr>
        <w:rFonts w:ascii="FrankRuehl" w:hAnsi="FrankRuehl" w:cs="FrankRuehl"/>
        <w:rtl/>
      </w:rPr>
      <w:fldChar w:fldCharType="end"/>
    </w:r>
  </w:p>
  <w:p w14:paraId="55932442" w14:textId="77777777" w:rsidR="00F46C2E" w:rsidRPr="00352F20" w:rsidRDefault="00F46C2E" w:rsidP="00352F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49FBE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9F527" w14:textId="77777777" w:rsidR="00F205FC" w:rsidRDefault="00F205FC" w:rsidP="001E36BF">
      <w:r>
        <w:separator/>
      </w:r>
    </w:p>
  </w:footnote>
  <w:footnote w:type="continuationSeparator" w:id="0">
    <w:p w14:paraId="23B08504" w14:textId="77777777" w:rsidR="00F205FC" w:rsidRDefault="00F205FC" w:rsidP="001E3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A0B82" w14:textId="77777777" w:rsidR="00F46C2E" w:rsidRPr="00352F20" w:rsidRDefault="00F46C2E" w:rsidP="00352F2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20028-06-16</w:t>
    </w:r>
    <w:r>
      <w:rPr>
        <w:color w:val="000000"/>
        <w:sz w:val="22"/>
        <w:szCs w:val="22"/>
        <w:rtl/>
      </w:rPr>
      <w:tab/>
      <w:t xml:space="preserve"> מדינת ישראל נ' לירן אברהם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7295A" w14:textId="77777777" w:rsidR="00F46C2E" w:rsidRPr="00352F20" w:rsidRDefault="00F46C2E" w:rsidP="00352F2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20028-06-16</w:t>
    </w:r>
    <w:r>
      <w:rPr>
        <w:color w:val="000000"/>
        <w:sz w:val="22"/>
        <w:szCs w:val="22"/>
        <w:rtl/>
      </w:rPr>
      <w:tab/>
      <w:t xml:space="preserve"> מדינת ישראל נ' לירן אברהם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E434B9"/>
    <w:multiLevelType w:val="hybridMultilevel"/>
    <w:tmpl w:val="EE166006"/>
    <w:lvl w:ilvl="0" w:tplc="3530DBBA">
      <w:start w:val="1"/>
      <w:numFmt w:val="hebrew1"/>
      <w:lvlText w:val="%1."/>
      <w:lvlJc w:val="left"/>
      <w:pPr>
        <w:ind w:left="720" w:hanging="360"/>
      </w:pPr>
      <w:rPr>
        <w:rFonts w:cs="Davi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775673E2"/>
    <w:multiLevelType w:val="hybridMultilevel"/>
    <w:tmpl w:val="98823B56"/>
    <w:lvl w:ilvl="0" w:tplc="AA60B6FC">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6046805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63786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7F94"/>
    <w:rsid w:val="001E36BF"/>
    <w:rsid w:val="002D7B2F"/>
    <w:rsid w:val="00352F20"/>
    <w:rsid w:val="00437914"/>
    <w:rsid w:val="00496250"/>
    <w:rsid w:val="007932ED"/>
    <w:rsid w:val="009937B7"/>
    <w:rsid w:val="00B33A55"/>
    <w:rsid w:val="00B81AA2"/>
    <w:rsid w:val="00BA16A0"/>
    <w:rsid w:val="00C228C2"/>
    <w:rsid w:val="00D40C03"/>
    <w:rsid w:val="00E97F94"/>
    <w:rsid w:val="00EC08C8"/>
    <w:rsid w:val="00F205FC"/>
    <w:rsid w:val="00F46C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465AE93"/>
  <w15:chartTrackingRefBased/>
  <w15:docId w15:val="{CA1B6D3B-91F3-4E3E-9090-9F7FB342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7F94"/>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7F94"/>
    <w:pPr>
      <w:tabs>
        <w:tab w:val="center" w:pos="4153"/>
        <w:tab w:val="right" w:pos="8306"/>
      </w:tabs>
    </w:pPr>
  </w:style>
  <w:style w:type="character" w:customStyle="1" w:styleId="a4">
    <w:name w:val="כותרת עליונה תו"/>
    <w:link w:val="a3"/>
    <w:rsid w:val="00E97F94"/>
    <w:rPr>
      <w:rFonts w:ascii="David" w:eastAsia="David" w:hAnsi="David" w:cs="David"/>
      <w:sz w:val="24"/>
      <w:szCs w:val="24"/>
    </w:rPr>
  </w:style>
  <w:style w:type="paragraph" w:styleId="a5">
    <w:name w:val="footer"/>
    <w:basedOn w:val="a"/>
    <w:link w:val="a6"/>
    <w:rsid w:val="00E97F94"/>
    <w:pPr>
      <w:tabs>
        <w:tab w:val="center" w:pos="4153"/>
        <w:tab w:val="right" w:pos="8306"/>
      </w:tabs>
    </w:pPr>
  </w:style>
  <w:style w:type="character" w:customStyle="1" w:styleId="a6">
    <w:name w:val="כותרת תחתונה תו"/>
    <w:link w:val="a5"/>
    <w:rsid w:val="00E97F94"/>
    <w:rPr>
      <w:rFonts w:ascii="David" w:eastAsia="David" w:hAnsi="David" w:cs="David"/>
      <w:sz w:val="24"/>
      <w:szCs w:val="24"/>
    </w:rPr>
  </w:style>
  <w:style w:type="table" w:styleId="a7">
    <w:name w:val="Table Grid"/>
    <w:basedOn w:val="a1"/>
    <w:rsid w:val="00E97F94"/>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7F94"/>
  </w:style>
  <w:style w:type="character" w:customStyle="1" w:styleId="TimesNewRomanTimesNewRoman">
    <w:name w:val="סגנון (לטיני) Times New Roman (עברית ושפות אחרות) Times New Roman..."/>
    <w:rsid w:val="00E97F94"/>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97F94"/>
    <w:rPr>
      <w:rFonts w:ascii="Times New Roman" w:eastAsia="Times New Roman" w:hAnsi="Times New Roman"/>
      <w:b/>
      <w:bCs/>
      <w:u w:val="single"/>
    </w:rPr>
  </w:style>
  <w:style w:type="character" w:styleId="Hyperlink">
    <w:name w:val="Hyperlink"/>
    <w:rsid w:val="00E97F94"/>
    <w:rPr>
      <w:color w:val="0000FF"/>
      <w:u w:val="single"/>
    </w:rPr>
  </w:style>
  <w:style w:type="character" w:styleId="a9">
    <w:name w:val="line number"/>
    <w:rsid w:val="00E97F94"/>
  </w:style>
  <w:style w:type="character" w:styleId="aa">
    <w:name w:val="Unresolved Mention"/>
    <w:rsid w:val="00352F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6" TargetMode="External"/><Relationship Id="rId18" Type="http://schemas.openxmlformats.org/officeDocument/2006/relationships/hyperlink" Target="http://www.nevo.co.il/law/4216" TargetMode="External"/><Relationship Id="rId26" Type="http://schemas.openxmlformats.org/officeDocument/2006/relationships/hyperlink" Target="http://www.nevo.co.il/case/3606459"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4145194" TargetMode="External"/><Relationship Id="rId34" Type="http://schemas.openxmlformats.org/officeDocument/2006/relationships/hyperlink" Target="http://www.nevo.co.il/law/70301/56.b"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85" TargetMode="External"/><Relationship Id="rId29" Type="http://schemas.openxmlformats.org/officeDocument/2006/relationships/hyperlink" Target="http://www.nevo.co.il/law/70301/55.a"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20228235"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949341"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56.b" TargetMode="External"/><Relationship Id="rId23" Type="http://schemas.openxmlformats.org/officeDocument/2006/relationships/hyperlink" Target="http://www.nevo.co.il/case/1544328" TargetMode="External"/><Relationship Id="rId28" Type="http://schemas.openxmlformats.org/officeDocument/2006/relationships/hyperlink" Target="http://www.nevo.co.il/case/4242855" TargetMode="External"/><Relationship Id="rId36" Type="http://schemas.openxmlformats.org/officeDocument/2006/relationships/hyperlink" Target="http://www.nevo.co.il/law/70301/85"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law/70301/56.a" TargetMode="External"/><Relationship Id="rId44" Type="http://schemas.openxmlformats.org/officeDocument/2006/relationships/hyperlink" Target="http://www.nevo.co.il/case/2073098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56.a" TargetMode="External"/><Relationship Id="rId22" Type="http://schemas.openxmlformats.org/officeDocument/2006/relationships/hyperlink" Target="http://www.nevo.co.il/case/4069046" TargetMode="External"/><Relationship Id="rId27" Type="http://schemas.openxmlformats.org/officeDocument/2006/relationships/hyperlink" Target="http://www.nevo.co.il/case/7018336"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0730980" TargetMode="External"/><Relationship Id="rId48"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55.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3720891" TargetMode="External"/><Relationship Id="rId33" Type="http://schemas.openxmlformats.org/officeDocument/2006/relationships/hyperlink" Target="http://www.nevo.co.il/case/6032952" TargetMode="External"/><Relationship Id="rId38" Type="http://schemas.openxmlformats.org/officeDocument/2006/relationships/hyperlink" Target="http://www.nevo.co.il/case/5962012"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0301/5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2616</Words>
  <Characters>13082</Characters>
  <Application>Microsoft Office Word</Application>
  <DocSecurity>0</DocSecurity>
  <Lines>109</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15667</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3997822</vt:i4>
      </vt:variant>
      <vt:variant>
        <vt:i4>111</vt:i4>
      </vt:variant>
      <vt:variant>
        <vt:i4>0</vt:i4>
      </vt:variant>
      <vt:variant>
        <vt:i4>5</vt:i4>
      </vt:variant>
      <vt:variant>
        <vt:lpwstr>http://www.nevo.co.il/case/20730980</vt:lpwstr>
      </vt:variant>
      <vt:variant>
        <vt:lpwstr/>
      </vt:variant>
      <vt:variant>
        <vt:i4>3997822</vt:i4>
      </vt:variant>
      <vt:variant>
        <vt:i4>108</vt:i4>
      </vt:variant>
      <vt:variant>
        <vt:i4>0</vt:i4>
      </vt:variant>
      <vt:variant>
        <vt:i4>5</vt:i4>
      </vt:variant>
      <vt:variant>
        <vt:lpwstr>http://www.nevo.co.il/case/20730980</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6488160</vt:i4>
      </vt:variant>
      <vt:variant>
        <vt:i4>102</vt:i4>
      </vt:variant>
      <vt:variant>
        <vt:i4>0</vt:i4>
      </vt:variant>
      <vt:variant>
        <vt:i4>5</vt:i4>
      </vt:variant>
      <vt:variant>
        <vt:lpwstr>http://www.nevo.co.il/law/70301/56</vt:lpwstr>
      </vt:variant>
      <vt:variant>
        <vt:lpwstr/>
      </vt:variant>
      <vt:variant>
        <vt:i4>3342448</vt:i4>
      </vt:variant>
      <vt:variant>
        <vt:i4>99</vt:i4>
      </vt:variant>
      <vt:variant>
        <vt:i4>0</vt:i4>
      </vt:variant>
      <vt:variant>
        <vt:i4>5</vt:i4>
      </vt:variant>
      <vt:variant>
        <vt:lpwstr>http://www.nevo.co.il/case/5949341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3211390</vt:i4>
      </vt:variant>
      <vt:variant>
        <vt:i4>93</vt:i4>
      </vt:variant>
      <vt:variant>
        <vt:i4>0</vt:i4>
      </vt:variant>
      <vt:variant>
        <vt:i4>5</vt:i4>
      </vt:variant>
      <vt:variant>
        <vt:lpwstr>http://www.nevo.co.il/case/5962012</vt:lpwstr>
      </vt:variant>
      <vt:variant>
        <vt:lpwstr/>
      </vt:variant>
      <vt:variant>
        <vt:i4>7995492</vt:i4>
      </vt:variant>
      <vt:variant>
        <vt:i4>90</vt:i4>
      </vt:variant>
      <vt:variant>
        <vt:i4>0</vt:i4>
      </vt:variant>
      <vt:variant>
        <vt:i4>5</vt:i4>
      </vt:variant>
      <vt:variant>
        <vt:lpwstr>http://www.nevo.co.il/law/70301</vt:lpwstr>
      </vt:variant>
      <vt:variant>
        <vt:lpwstr/>
      </vt:variant>
      <vt:variant>
        <vt:i4>6291565</vt:i4>
      </vt:variant>
      <vt:variant>
        <vt:i4>87</vt:i4>
      </vt:variant>
      <vt:variant>
        <vt:i4>0</vt:i4>
      </vt:variant>
      <vt:variant>
        <vt:i4>5</vt:i4>
      </vt:variant>
      <vt:variant>
        <vt:lpwstr>http://www.nevo.co.il/law/70301/85</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65614</vt:i4>
      </vt:variant>
      <vt:variant>
        <vt:i4>81</vt:i4>
      </vt:variant>
      <vt:variant>
        <vt:i4>0</vt:i4>
      </vt:variant>
      <vt:variant>
        <vt:i4>5</vt:i4>
      </vt:variant>
      <vt:variant>
        <vt:lpwstr>http://www.nevo.co.il/law/70301/56.b</vt:lpwstr>
      </vt:variant>
      <vt:variant>
        <vt:lpwstr/>
      </vt:variant>
      <vt:variant>
        <vt:i4>4063347</vt:i4>
      </vt:variant>
      <vt:variant>
        <vt:i4>78</vt:i4>
      </vt:variant>
      <vt:variant>
        <vt:i4>0</vt:i4>
      </vt:variant>
      <vt:variant>
        <vt:i4>5</vt:i4>
      </vt:variant>
      <vt:variant>
        <vt:lpwstr>http://www.nevo.co.il/case/6032952</vt:lpwstr>
      </vt:variant>
      <vt:variant>
        <vt:lpwstr/>
      </vt:variant>
      <vt:variant>
        <vt:i4>7995492</vt:i4>
      </vt:variant>
      <vt:variant>
        <vt:i4>75</vt:i4>
      </vt:variant>
      <vt:variant>
        <vt:i4>0</vt:i4>
      </vt:variant>
      <vt:variant>
        <vt:i4>5</vt:i4>
      </vt:variant>
      <vt:variant>
        <vt:lpwstr>http://www.nevo.co.il/law/70301</vt:lpwstr>
      </vt:variant>
      <vt:variant>
        <vt:lpwstr/>
      </vt:variant>
      <vt:variant>
        <vt:i4>131150</vt:i4>
      </vt:variant>
      <vt:variant>
        <vt:i4>72</vt:i4>
      </vt:variant>
      <vt:variant>
        <vt:i4>0</vt:i4>
      </vt:variant>
      <vt:variant>
        <vt:i4>5</vt:i4>
      </vt:variant>
      <vt:variant>
        <vt:lpwstr>http://www.nevo.co.il/law/70301/56.a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65614</vt:i4>
      </vt:variant>
      <vt:variant>
        <vt:i4>66</vt:i4>
      </vt:variant>
      <vt:variant>
        <vt:i4>0</vt:i4>
      </vt:variant>
      <vt:variant>
        <vt:i4>5</vt:i4>
      </vt:variant>
      <vt:variant>
        <vt:lpwstr>http://www.nevo.co.il/law/70301/55.a</vt:lpwstr>
      </vt:variant>
      <vt:variant>
        <vt:lpwstr/>
      </vt:variant>
      <vt:variant>
        <vt:i4>3997809</vt:i4>
      </vt:variant>
      <vt:variant>
        <vt:i4>63</vt:i4>
      </vt:variant>
      <vt:variant>
        <vt:i4>0</vt:i4>
      </vt:variant>
      <vt:variant>
        <vt:i4>5</vt:i4>
      </vt:variant>
      <vt:variant>
        <vt:lpwstr>http://www.nevo.co.il/case/4242855</vt:lpwstr>
      </vt:variant>
      <vt:variant>
        <vt:lpwstr/>
      </vt:variant>
      <vt:variant>
        <vt:i4>3342463</vt:i4>
      </vt:variant>
      <vt:variant>
        <vt:i4>60</vt:i4>
      </vt:variant>
      <vt:variant>
        <vt:i4>0</vt:i4>
      </vt:variant>
      <vt:variant>
        <vt:i4>5</vt:i4>
      </vt:variant>
      <vt:variant>
        <vt:lpwstr>http://www.nevo.co.il/case/7018336</vt:lpwstr>
      </vt:variant>
      <vt:variant>
        <vt:lpwstr/>
      </vt:variant>
      <vt:variant>
        <vt:i4>4063345</vt:i4>
      </vt:variant>
      <vt:variant>
        <vt:i4>57</vt:i4>
      </vt:variant>
      <vt:variant>
        <vt:i4>0</vt:i4>
      </vt:variant>
      <vt:variant>
        <vt:i4>5</vt:i4>
      </vt:variant>
      <vt:variant>
        <vt:lpwstr>http://www.nevo.co.il/case/3606459</vt:lpwstr>
      </vt:variant>
      <vt:variant>
        <vt:lpwstr/>
      </vt:variant>
      <vt:variant>
        <vt:i4>3670138</vt:i4>
      </vt:variant>
      <vt:variant>
        <vt:i4>54</vt:i4>
      </vt:variant>
      <vt:variant>
        <vt:i4>0</vt:i4>
      </vt:variant>
      <vt:variant>
        <vt:i4>5</vt:i4>
      </vt:variant>
      <vt:variant>
        <vt:lpwstr>http://www.nevo.co.il/case/3720891</vt:lpwstr>
      </vt:variant>
      <vt:variant>
        <vt:lpwstr/>
      </vt:variant>
      <vt:variant>
        <vt:i4>3866740</vt:i4>
      </vt:variant>
      <vt:variant>
        <vt:i4>51</vt:i4>
      </vt:variant>
      <vt:variant>
        <vt:i4>0</vt:i4>
      </vt:variant>
      <vt:variant>
        <vt:i4>5</vt:i4>
      </vt:variant>
      <vt:variant>
        <vt:lpwstr>http://www.nevo.co.il/case/20228235</vt:lpwstr>
      </vt:variant>
      <vt:variant>
        <vt:lpwstr/>
      </vt:variant>
      <vt:variant>
        <vt:i4>4063351</vt:i4>
      </vt:variant>
      <vt:variant>
        <vt:i4>48</vt:i4>
      </vt:variant>
      <vt:variant>
        <vt:i4>0</vt:i4>
      </vt:variant>
      <vt:variant>
        <vt:i4>5</vt:i4>
      </vt:variant>
      <vt:variant>
        <vt:lpwstr>http://www.nevo.co.il/case/1544328</vt:lpwstr>
      </vt:variant>
      <vt:variant>
        <vt:lpwstr/>
      </vt:variant>
      <vt:variant>
        <vt:i4>3407993</vt:i4>
      </vt:variant>
      <vt:variant>
        <vt:i4>45</vt:i4>
      </vt:variant>
      <vt:variant>
        <vt:i4>0</vt:i4>
      </vt:variant>
      <vt:variant>
        <vt:i4>5</vt:i4>
      </vt:variant>
      <vt:variant>
        <vt:lpwstr>http://www.nevo.co.il/case/4069046</vt:lpwstr>
      </vt:variant>
      <vt:variant>
        <vt:lpwstr/>
      </vt:variant>
      <vt:variant>
        <vt:i4>3473529</vt:i4>
      </vt:variant>
      <vt:variant>
        <vt:i4>42</vt:i4>
      </vt:variant>
      <vt:variant>
        <vt:i4>0</vt:i4>
      </vt:variant>
      <vt:variant>
        <vt:i4>5</vt:i4>
      </vt:variant>
      <vt:variant>
        <vt:lpwstr>http://www.nevo.co.il/case/4145194</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6291565</vt:i4>
      </vt:variant>
      <vt:variant>
        <vt:i4>27</vt:i4>
      </vt:variant>
      <vt:variant>
        <vt:i4>0</vt:i4>
      </vt:variant>
      <vt:variant>
        <vt:i4>5</vt:i4>
      </vt:variant>
      <vt:variant>
        <vt:lpwstr>http://www.nevo.co.il/law/70301/85</vt:lpwstr>
      </vt:variant>
      <vt:variant>
        <vt:lpwstr/>
      </vt:variant>
      <vt:variant>
        <vt:i4>65614</vt:i4>
      </vt:variant>
      <vt:variant>
        <vt:i4>24</vt:i4>
      </vt:variant>
      <vt:variant>
        <vt:i4>0</vt:i4>
      </vt:variant>
      <vt:variant>
        <vt:i4>5</vt:i4>
      </vt:variant>
      <vt:variant>
        <vt:lpwstr>http://www.nevo.co.il/law/70301/56.b</vt:lpwstr>
      </vt:variant>
      <vt:variant>
        <vt:lpwstr/>
      </vt:variant>
      <vt:variant>
        <vt:i4>131150</vt:i4>
      </vt:variant>
      <vt:variant>
        <vt:i4>21</vt:i4>
      </vt:variant>
      <vt:variant>
        <vt:i4>0</vt:i4>
      </vt:variant>
      <vt:variant>
        <vt:i4>5</vt:i4>
      </vt:variant>
      <vt:variant>
        <vt:lpwstr>http://www.nevo.co.il/law/70301/56.a</vt:lpwstr>
      </vt:variant>
      <vt:variant>
        <vt:lpwstr/>
      </vt:variant>
      <vt:variant>
        <vt:i4>6488160</vt:i4>
      </vt:variant>
      <vt:variant>
        <vt:i4>18</vt:i4>
      </vt:variant>
      <vt:variant>
        <vt:i4>0</vt:i4>
      </vt:variant>
      <vt:variant>
        <vt:i4>5</vt:i4>
      </vt:variant>
      <vt:variant>
        <vt:lpwstr>http://www.nevo.co.il/law/70301/56</vt:lpwstr>
      </vt:variant>
      <vt:variant>
        <vt:lpwstr/>
      </vt:variant>
      <vt:variant>
        <vt:i4>65614</vt:i4>
      </vt:variant>
      <vt:variant>
        <vt:i4>15</vt:i4>
      </vt:variant>
      <vt:variant>
        <vt:i4>0</vt:i4>
      </vt:variant>
      <vt:variant>
        <vt:i4>5</vt:i4>
      </vt:variant>
      <vt:variant>
        <vt:lpwstr>http://www.nevo.co.il/law/70301/55.a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2025-04-22T23:05:00Z</dcterms:created>
  <dcterms:modified xsi:type="dcterms:W3CDTF">2025-04-22T23:05:00Z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20028</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לירן אברהם</vt:lpwstr>
  </property>
  <property fmtid="{D5CDD505-2E9C-101B-9397-08002B2CF9AE}" pid="10" name="LAWYER">
    <vt:lpwstr>יעל גבעוני;אוליאל לירון</vt:lpwstr>
  </property>
  <property fmtid="{D5CDD505-2E9C-101B-9397-08002B2CF9AE}" pid="11" name="JUDGE">
    <vt:lpwstr>שמעון שטיין</vt:lpwstr>
  </property>
  <property fmtid="{D5CDD505-2E9C-101B-9397-08002B2CF9AE}" pid="12" name="CITY">
    <vt:lpwstr>ראשל"צ</vt:lpwstr>
  </property>
  <property fmtid="{D5CDD505-2E9C-101B-9397-08002B2CF9AE}" pid="13" name="DATE">
    <vt:lpwstr>20171126</vt:lpwstr>
  </property>
  <property fmtid="{D5CDD505-2E9C-101B-9397-08002B2CF9AE}" pid="14" name="TYPE_N_DATE">
    <vt:lpwstr>38020171126</vt:lpwstr>
  </property>
  <property fmtid="{D5CDD505-2E9C-101B-9397-08002B2CF9AE}" pid="15" name="WORDNUMPAGES">
    <vt:lpwstr>9</vt:lpwstr>
  </property>
  <property fmtid="{D5CDD505-2E9C-101B-9397-08002B2CF9AE}" pid="16" name="TYPE_ABS_DATE">
    <vt:lpwstr>380020171126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4145194;4069046;1544328;20228235;3720891;3606459;7018336;4242855;6032952;5962012;5949341;20730980:2</vt:lpwstr>
  </property>
  <property fmtid="{D5CDD505-2E9C-101B-9397-08002B2CF9AE}" pid="36" name="LAWLISTTMP1">
    <vt:lpwstr>4216/007.a;007.c</vt:lpwstr>
  </property>
  <property fmtid="{D5CDD505-2E9C-101B-9397-08002B2CF9AE}" pid="37" name="LAWLISTTMP2">
    <vt:lpwstr>70301/040c.a;055.a;056.a;056.b;085;056</vt:lpwstr>
  </property>
</Properties>
</file>