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75A2A" w:rsidRPr="00863630" w14:paraId="4BAF0FD3" w14:textId="77777777" w:rsidTr="00863630">
        <w:trPr>
          <w:trHeight w:hRule="exact" w:val="418"/>
          <w:jc w:val="center"/>
        </w:trPr>
        <w:tc>
          <w:tcPr>
            <w:tcW w:w="8721" w:type="dxa"/>
            <w:gridSpan w:val="2"/>
          </w:tcPr>
          <w:p w14:paraId="43FFE989" w14:textId="77777777" w:rsidR="00175A2A" w:rsidRPr="00863630" w:rsidRDefault="00175A2A" w:rsidP="00863630">
            <w:pPr>
              <w:pStyle w:val="a3"/>
              <w:jc w:val="center"/>
              <w:rPr>
                <w:rFonts w:ascii="Tahoma" w:hAnsi="Tahoma" w:cs="Tahoma"/>
                <w:noProof w:val="0"/>
                <w:color w:val="000080"/>
                <w:rtl/>
              </w:rPr>
            </w:pPr>
            <w:bookmarkStart w:id="0" w:name="LastJudge"/>
            <w:r w:rsidRPr="00863630">
              <w:rPr>
                <w:rFonts w:ascii="Tahoma" w:hAnsi="Tahoma" w:cs="Tahoma"/>
                <w:b/>
                <w:bCs/>
                <w:noProof w:val="0"/>
                <w:color w:val="000080"/>
                <w:rtl/>
              </w:rPr>
              <w:t>בית משפט השלום בקריית גת</w:t>
            </w:r>
          </w:p>
        </w:tc>
      </w:tr>
      <w:tr w:rsidR="00175A2A" w:rsidRPr="00863630" w14:paraId="6600C596" w14:textId="77777777" w:rsidTr="00863630">
        <w:trPr>
          <w:trHeight w:val="337"/>
          <w:jc w:val="center"/>
        </w:trPr>
        <w:tc>
          <w:tcPr>
            <w:tcW w:w="5047" w:type="dxa"/>
          </w:tcPr>
          <w:p w14:paraId="15FEF071" w14:textId="77777777" w:rsidR="00175A2A" w:rsidRPr="00863630" w:rsidRDefault="00175A2A" w:rsidP="00863630">
            <w:pPr>
              <w:rPr>
                <w:b/>
                <w:bCs/>
                <w:noProof w:val="0"/>
                <w:sz w:val="26"/>
                <w:szCs w:val="26"/>
                <w:rtl/>
              </w:rPr>
            </w:pPr>
          </w:p>
        </w:tc>
        <w:tc>
          <w:tcPr>
            <w:tcW w:w="3674" w:type="dxa"/>
          </w:tcPr>
          <w:p w14:paraId="705AC9E8" w14:textId="77777777" w:rsidR="00175A2A" w:rsidRPr="00863630" w:rsidRDefault="00175A2A" w:rsidP="00863630">
            <w:pPr>
              <w:pStyle w:val="a3"/>
              <w:jc w:val="right"/>
              <w:rPr>
                <w:b/>
                <w:bCs/>
                <w:noProof w:val="0"/>
                <w:sz w:val="26"/>
                <w:szCs w:val="26"/>
                <w:rtl/>
              </w:rPr>
            </w:pPr>
            <w:r w:rsidRPr="00863630">
              <w:rPr>
                <w:b/>
                <w:bCs/>
                <w:noProof w:val="0"/>
                <w:sz w:val="26"/>
                <w:szCs w:val="26"/>
                <w:rtl/>
              </w:rPr>
              <w:t>20 יוני 2017</w:t>
            </w:r>
          </w:p>
        </w:tc>
      </w:tr>
      <w:tr w:rsidR="00175A2A" w:rsidRPr="00863630" w14:paraId="15942A5F" w14:textId="77777777" w:rsidTr="00863630">
        <w:trPr>
          <w:trHeight w:val="337"/>
          <w:jc w:val="center"/>
        </w:trPr>
        <w:tc>
          <w:tcPr>
            <w:tcW w:w="8721" w:type="dxa"/>
            <w:gridSpan w:val="2"/>
          </w:tcPr>
          <w:p w14:paraId="46A8F285" w14:textId="77777777" w:rsidR="00175A2A" w:rsidRPr="00863630" w:rsidRDefault="00175A2A" w:rsidP="00863630">
            <w:pPr>
              <w:rPr>
                <w:b/>
                <w:bCs/>
                <w:noProof w:val="0"/>
                <w:sz w:val="26"/>
                <w:szCs w:val="26"/>
                <w:rtl/>
              </w:rPr>
            </w:pPr>
            <w:r w:rsidRPr="00863630">
              <w:rPr>
                <w:b/>
                <w:bCs/>
                <w:noProof w:val="0"/>
                <w:sz w:val="26"/>
                <w:szCs w:val="26"/>
                <w:rtl/>
              </w:rPr>
              <w:t>ת"פ 35639-06-16 מדינת ישראל נ' בידוש</w:t>
            </w:r>
          </w:p>
          <w:p w14:paraId="5A6CA8CA" w14:textId="77777777" w:rsidR="00175A2A" w:rsidRPr="00863630" w:rsidRDefault="00175A2A" w:rsidP="00863630">
            <w:pPr>
              <w:rPr>
                <w:rtl/>
              </w:rPr>
            </w:pPr>
          </w:p>
        </w:tc>
      </w:tr>
    </w:tbl>
    <w:p w14:paraId="702A41F2" w14:textId="77777777" w:rsidR="00175A2A" w:rsidRPr="00863630" w:rsidRDefault="00175A2A" w:rsidP="00175A2A"/>
    <w:tbl>
      <w:tblPr>
        <w:bidiVisual/>
        <w:tblW w:w="0" w:type="auto"/>
        <w:jc w:val="center"/>
        <w:tblLook w:val="0000" w:firstRow="0" w:lastRow="0" w:firstColumn="0" w:lastColumn="0" w:noHBand="0" w:noVBand="0"/>
      </w:tblPr>
      <w:tblGrid>
        <w:gridCol w:w="873"/>
        <w:gridCol w:w="7848"/>
      </w:tblGrid>
      <w:tr w:rsidR="00175A2A" w:rsidRPr="00863630" w14:paraId="151D84BD" w14:textId="77777777" w:rsidTr="00863630">
        <w:trPr>
          <w:trHeight w:val="337"/>
          <w:jc w:val="center"/>
        </w:trPr>
        <w:tc>
          <w:tcPr>
            <w:tcW w:w="873" w:type="dxa"/>
          </w:tcPr>
          <w:p w14:paraId="2030CD0A" w14:textId="77777777" w:rsidR="00175A2A" w:rsidRPr="00863630" w:rsidRDefault="00175A2A" w:rsidP="00863630">
            <w:pPr>
              <w:tabs>
                <w:tab w:val="left" w:pos="1710"/>
              </w:tabs>
              <w:rPr>
                <w:b/>
                <w:bCs/>
                <w:sz w:val="28"/>
                <w:szCs w:val="28"/>
                <w:rtl/>
              </w:rPr>
            </w:pPr>
            <w:r w:rsidRPr="00863630">
              <w:rPr>
                <w:rFonts w:hint="cs"/>
                <w:b/>
                <w:bCs/>
                <w:sz w:val="28"/>
                <w:szCs w:val="28"/>
                <w:rtl/>
              </w:rPr>
              <w:t>בפני</w:t>
            </w:r>
          </w:p>
        </w:tc>
        <w:tc>
          <w:tcPr>
            <w:tcW w:w="7848" w:type="dxa"/>
          </w:tcPr>
          <w:p w14:paraId="0B36B04F" w14:textId="77777777" w:rsidR="00175A2A" w:rsidRPr="00863630" w:rsidRDefault="00175A2A" w:rsidP="00863630">
            <w:pPr>
              <w:rPr>
                <w:rFonts w:ascii="Arial" w:hAnsi="Arial"/>
                <w:b/>
                <w:bCs/>
                <w:sz w:val="28"/>
                <w:szCs w:val="28"/>
                <w:rtl/>
              </w:rPr>
            </w:pPr>
            <w:r w:rsidRPr="00863630">
              <w:rPr>
                <w:rFonts w:ascii="Arial" w:hAnsi="Arial" w:hint="cs"/>
                <w:b/>
                <w:bCs/>
                <w:sz w:val="28"/>
                <w:szCs w:val="28"/>
                <w:rtl/>
              </w:rPr>
              <w:t>כב' ה</w:t>
            </w:r>
            <w:r w:rsidRPr="00863630">
              <w:rPr>
                <w:rFonts w:ascii="Arial" w:hAnsi="Arial"/>
                <w:b/>
                <w:bCs/>
                <w:sz w:val="28"/>
                <w:szCs w:val="28"/>
                <w:rtl/>
              </w:rPr>
              <w:t>סגנית נשיאה</w:t>
            </w:r>
            <w:r w:rsidRPr="00863630">
              <w:rPr>
                <w:rFonts w:ascii="Arial" w:hAnsi="Arial" w:hint="cs"/>
                <w:b/>
                <w:bCs/>
                <w:sz w:val="28"/>
                <w:szCs w:val="28"/>
                <w:rtl/>
              </w:rPr>
              <w:t xml:space="preserve">  </w:t>
            </w:r>
            <w:r w:rsidRPr="00863630">
              <w:rPr>
                <w:rFonts w:ascii="Arial" w:hAnsi="Arial"/>
                <w:b/>
                <w:bCs/>
                <w:sz w:val="28"/>
                <w:szCs w:val="28"/>
                <w:rtl/>
              </w:rPr>
              <w:t>ד''ר נגה שמואלי-מאייר</w:t>
            </w:r>
          </w:p>
          <w:p w14:paraId="4C16789A" w14:textId="77777777" w:rsidR="00175A2A" w:rsidRPr="00863630" w:rsidRDefault="00175A2A" w:rsidP="00863630">
            <w:pPr>
              <w:tabs>
                <w:tab w:val="left" w:pos="1710"/>
              </w:tabs>
              <w:rPr>
                <w:rtl/>
              </w:rPr>
            </w:pPr>
          </w:p>
        </w:tc>
      </w:tr>
    </w:tbl>
    <w:p w14:paraId="287A0381" w14:textId="77777777" w:rsidR="00175A2A" w:rsidRPr="00863630" w:rsidRDefault="00175A2A" w:rsidP="00175A2A">
      <w:pPr>
        <w:pStyle w:val="a3"/>
        <w:rPr>
          <w:noProof w:val="0"/>
          <w:rtl/>
        </w:rPr>
      </w:pPr>
      <w:r w:rsidRPr="00863630">
        <w:rPr>
          <w:noProof w:val="0"/>
          <w:rtl/>
        </w:rPr>
        <w:t xml:space="preserve"> </w:t>
      </w:r>
    </w:p>
    <w:p w14:paraId="6BE53238" w14:textId="77777777" w:rsidR="00175A2A" w:rsidRPr="00863630" w:rsidRDefault="00175A2A" w:rsidP="00175A2A">
      <w:pPr>
        <w:spacing w:after="160"/>
        <w:rPr>
          <w:rtl/>
        </w:rPr>
      </w:pPr>
    </w:p>
    <w:tbl>
      <w:tblPr>
        <w:bidiVisual/>
        <w:tblW w:w="8820" w:type="dxa"/>
        <w:jc w:val="center"/>
        <w:tblLook w:val="01E0" w:firstRow="1" w:lastRow="1" w:firstColumn="1" w:lastColumn="1" w:noHBand="0" w:noVBand="0"/>
      </w:tblPr>
      <w:tblGrid>
        <w:gridCol w:w="5603"/>
        <w:gridCol w:w="3217"/>
      </w:tblGrid>
      <w:tr w:rsidR="00175A2A" w:rsidRPr="00863630" w14:paraId="308B9D67" w14:textId="77777777" w:rsidTr="00175A2A">
        <w:trPr>
          <w:jc w:val="center"/>
        </w:trPr>
        <w:tc>
          <w:tcPr>
            <w:tcW w:w="5603" w:type="dxa"/>
            <w:shd w:val="clear" w:color="auto" w:fill="auto"/>
          </w:tcPr>
          <w:p w14:paraId="52C47DB0" w14:textId="77777777" w:rsidR="00175A2A" w:rsidRPr="00863630" w:rsidRDefault="00175A2A" w:rsidP="00175A2A">
            <w:pPr>
              <w:spacing w:after="160"/>
              <w:rPr>
                <w:b/>
                <w:bCs/>
                <w:noProof w:val="0"/>
                <w:sz w:val="28"/>
                <w:szCs w:val="28"/>
                <w:rtl/>
              </w:rPr>
            </w:pPr>
            <w:bookmarkStart w:id="1" w:name="FirstAppellant"/>
            <w:r w:rsidRPr="00863630">
              <w:rPr>
                <w:rFonts w:ascii="Arial" w:hAnsi="Arial" w:hint="cs"/>
                <w:b/>
                <w:bCs/>
                <w:noProof w:val="0"/>
                <w:sz w:val="28"/>
                <w:szCs w:val="28"/>
                <w:rtl/>
              </w:rPr>
              <w:t>מדינת ישראל</w:t>
            </w:r>
          </w:p>
          <w:p w14:paraId="57169FC7" w14:textId="77777777" w:rsidR="00175A2A" w:rsidRPr="00863630" w:rsidRDefault="00175A2A" w:rsidP="00175A2A">
            <w:pPr>
              <w:spacing w:after="160"/>
              <w:rPr>
                <w:sz w:val="26"/>
                <w:szCs w:val="26"/>
                <w:rtl/>
              </w:rPr>
            </w:pPr>
          </w:p>
          <w:p w14:paraId="19FC8324" w14:textId="77777777" w:rsidR="00175A2A" w:rsidRPr="00863630" w:rsidRDefault="00175A2A" w:rsidP="00175A2A">
            <w:pPr>
              <w:spacing w:after="160"/>
              <w:rPr>
                <w:b/>
                <w:bCs/>
                <w:sz w:val="28"/>
                <w:szCs w:val="28"/>
                <w:rtl/>
              </w:rPr>
            </w:pPr>
          </w:p>
        </w:tc>
        <w:tc>
          <w:tcPr>
            <w:tcW w:w="3217" w:type="dxa"/>
            <w:shd w:val="clear" w:color="auto" w:fill="auto"/>
          </w:tcPr>
          <w:p w14:paraId="073FBA7F" w14:textId="77777777" w:rsidR="00175A2A" w:rsidRPr="00863630" w:rsidRDefault="00175A2A" w:rsidP="00175A2A">
            <w:pPr>
              <w:bidi w:val="0"/>
              <w:spacing w:after="160"/>
              <w:jc w:val="right"/>
              <w:rPr>
                <w:rFonts w:ascii="Arial" w:hAnsi="Arial"/>
                <w:b/>
                <w:bCs/>
                <w:noProof w:val="0"/>
                <w:sz w:val="28"/>
                <w:szCs w:val="28"/>
                <w:rtl/>
              </w:rPr>
            </w:pPr>
            <w:r w:rsidRPr="00863630">
              <w:rPr>
                <w:rFonts w:ascii="Arial" w:hAnsi="Arial" w:hint="cs"/>
                <w:b/>
                <w:bCs/>
                <w:noProof w:val="0"/>
                <w:sz w:val="28"/>
                <w:szCs w:val="28"/>
                <w:rtl/>
              </w:rPr>
              <w:t>ה</w:t>
            </w:r>
            <w:r w:rsidRPr="00863630">
              <w:rPr>
                <w:rFonts w:ascii="Arial" w:hAnsi="Arial"/>
                <w:b/>
                <w:bCs/>
                <w:noProof w:val="0"/>
                <w:sz w:val="28"/>
                <w:szCs w:val="28"/>
                <w:rtl/>
              </w:rPr>
              <w:t>מאשימה</w:t>
            </w:r>
          </w:p>
          <w:p w14:paraId="32E25961" w14:textId="77777777" w:rsidR="00175A2A" w:rsidRPr="00863630" w:rsidRDefault="00175A2A" w:rsidP="00175A2A">
            <w:pPr>
              <w:spacing w:after="160"/>
              <w:rPr>
                <w:b/>
                <w:bCs/>
                <w:noProof w:val="0"/>
                <w:sz w:val="26"/>
                <w:szCs w:val="26"/>
                <w:rtl/>
              </w:rPr>
            </w:pPr>
          </w:p>
        </w:tc>
      </w:tr>
      <w:bookmarkEnd w:id="1"/>
      <w:tr w:rsidR="00175A2A" w:rsidRPr="00863630" w14:paraId="2E4D039C" w14:textId="77777777" w:rsidTr="00175A2A">
        <w:trPr>
          <w:jc w:val="center"/>
        </w:trPr>
        <w:tc>
          <w:tcPr>
            <w:tcW w:w="8820" w:type="dxa"/>
            <w:gridSpan w:val="2"/>
            <w:shd w:val="clear" w:color="auto" w:fill="auto"/>
          </w:tcPr>
          <w:p w14:paraId="772256F9" w14:textId="77777777" w:rsidR="00175A2A" w:rsidRPr="00863630" w:rsidRDefault="00175A2A" w:rsidP="00175A2A">
            <w:pPr>
              <w:spacing w:after="160"/>
              <w:rPr>
                <w:rFonts w:ascii="Arial" w:hAnsi="Arial"/>
                <w:b/>
                <w:bCs/>
                <w:noProof w:val="0"/>
                <w:sz w:val="26"/>
                <w:szCs w:val="26"/>
                <w:rtl/>
              </w:rPr>
            </w:pPr>
          </w:p>
          <w:p w14:paraId="7B6F977F" w14:textId="77777777" w:rsidR="00175A2A" w:rsidRPr="00863630" w:rsidRDefault="00175A2A" w:rsidP="00175A2A">
            <w:pPr>
              <w:spacing w:after="160"/>
              <w:jc w:val="center"/>
              <w:rPr>
                <w:rFonts w:ascii="Arial" w:hAnsi="Arial"/>
                <w:b/>
                <w:bCs/>
                <w:noProof w:val="0"/>
                <w:sz w:val="28"/>
                <w:szCs w:val="28"/>
                <w:rtl/>
              </w:rPr>
            </w:pPr>
            <w:r w:rsidRPr="00863630">
              <w:rPr>
                <w:rFonts w:ascii="Arial" w:hAnsi="Arial"/>
                <w:b/>
                <w:bCs/>
                <w:noProof w:val="0"/>
                <w:sz w:val="28"/>
                <w:szCs w:val="28"/>
                <w:rtl/>
              </w:rPr>
              <w:t>נגד</w:t>
            </w:r>
          </w:p>
          <w:p w14:paraId="0313EBE3" w14:textId="77777777" w:rsidR="00175A2A" w:rsidRPr="00863630" w:rsidRDefault="00175A2A" w:rsidP="00175A2A">
            <w:pPr>
              <w:spacing w:after="160"/>
              <w:rPr>
                <w:rFonts w:ascii="Arial" w:hAnsi="Arial"/>
                <w:b/>
                <w:bCs/>
                <w:noProof w:val="0"/>
                <w:sz w:val="26"/>
                <w:szCs w:val="26"/>
              </w:rPr>
            </w:pPr>
          </w:p>
        </w:tc>
      </w:tr>
      <w:tr w:rsidR="00175A2A" w:rsidRPr="00863630" w14:paraId="1DD5EE82" w14:textId="77777777" w:rsidTr="00175A2A">
        <w:trPr>
          <w:jc w:val="center"/>
        </w:trPr>
        <w:tc>
          <w:tcPr>
            <w:tcW w:w="5603" w:type="dxa"/>
            <w:shd w:val="clear" w:color="auto" w:fill="auto"/>
          </w:tcPr>
          <w:p w14:paraId="5B904E97" w14:textId="77777777" w:rsidR="00175A2A" w:rsidRPr="00863630" w:rsidRDefault="00175A2A" w:rsidP="00175A2A">
            <w:pPr>
              <w:spacing w:after="160"/>
            </w:pPr>
            <w:r w:rsidRPr="00863630">
              <w:rPr>
                <w:rFonts w:ascii="Arial" w:hAnsi="Arial" w:hint="cs"/>
                <w:b/>
                <w:bCs/>
                <w:noProof w:val="0"/>
                <w:sz w:val="28"/>
                <w:szCs w:val="28"/>
                <w:rtl/>
              </w:rPr>
              <w:t>יורם בידוש</w:t>
            </w:r>
          </w:p>
          <w:p w14:paraId="4A23DC4F" w14:textId="77777777" w:rsidR="00175A2A" w:rsidRPr="00863630" w:rsidRDefault="00175A2A" w:rsidP="00175A2A">
            <w:pPr>
              <w:spacing w:after="160"/>
              <w:rPr>
                <w:b/>
                <w:bCs/>
                <w:noProof w:val="0"/>
                <w:sz w:val="28"/>
                <w:szCs w:val="28"/>
                <w:rtl/>
              </w:rPr>
            </w:pPr>
          </w:p>
          <w:p w14:paraId="5CC79A4A" w14:textId="77777777" w:rsidR="00175A2A" w:rsidRPr="00863630" w:rsidRDefault="00175A2A" w:rsidP="00175A2A">
            <w:pPr>
              <w:spacing w:after="160"/>
              <w:rPr>
                <w:b/>
                <w:bCs/>
                <w:noProof w:val="0"/>
                <w:sz w:val="28"/>
                <w:szCs w:val="28"/>
                <w:rtl/>
              </w:rPr>
            </w:pPr>
          </w:p>
        </w:tc>
        <w:tc>
          <w:tcPr>
            <w:tcW w:w="3217" w:type="dxa"/>
            <w:shd w:val="clear" w:color="auto" w:fill="auto"/>
          </w:tcPr>
          <w:p w14:paraId="7076EFAF" w14:textId="77777777" w:rsidR="00175A2A" w:rsidRPr="00863630" w:rsidRDefault="00175A2A" w:rsidP="00175A2A">
            <w:pPr>
              <w:spacing w:after="160"/>
              <w:rPr>
                <w:b/>
                <w:bCs/>
                <w:noProof w:val="0"/>
                <w:sz w:val="28"/>
                <w:szCs w:val="28"/>
                <w:rtl/>
              </w:rPr>
            </w:pPr>
            <w:r w:rsidRPr="00863630">
              <w:rPr>
                <w:rFonts w:ascii="Arial" w:hAnsi="Arial" w:hint="cs"/>
                <w:b/>
                <w:bCs/>
                <w:noProof w:val="0"/>
                <w:sz w:val="28"/>
                <w:szCs w:val="28"/>
                <w:rtl/>
              </w:rPr>
              <w:t>ה</w:t>
            </w:r>
            <w:r w:rsidRPr="00863630">
              <w:rPr>
                <w:rFonts w:ascii="Arial" w:hAnsi="Arial"/>
                <w:b/>
                <w:bCs/>
                <w:noProof w:val="0"/>
                <w:sz w:val="28"/>
                <w:szCs w:val="28"/>
                <w:rtl/>
              </w:rPr>
              <w:t>נאשמים</w:t>
            </w:r>
          </w:p>
        </w:tc>
      </w:tr>
    </w:tbl>
    <w:p w14:paraId="332BB44A" w14:textId="77777777" w:rsidR="00016965" w:rsidRPr="0017558A" w:rsidRDefault="00016965" w:rsidP="00016965">
      <w:pPr>
        <w:pStyle w:val="ListParagraph"/>
        <w:spacing w:after="120" w:line="240" w:lineRule="exact"/>
        <w:ind w:left="283" w:hanging="283"/>
        <w:contextualSpacing w:val="0"/>
        <w:rPr>
          <w:rFonts w:ascii="FrankRuehl" w:hAnsi="FrankRuehl" w:cs="FrankRuehl"/>
          <w:rtl/>
        </w:rPr>
      </w:pPr>
    </w:p>
    <w:p w14:paraId="2EB0442A" w14:textId="77777777" w:rsidR="00016965" w:rsidRPr="0017558A" w:rsidRDefault="00016965" w:rsidP="00016965">
      <w:pPr>
        <w:pStyle w:val="ListParagraph"/>
        <w:spacing w:after="120" w:line="240" w:lineRule="exact"/>
        <w:ind w:left="283" w:hanging="283"/>
        <w:contextualSpacing w:val="0"/>
        <w:rPr>
          <w:rFonts w:ascii="FrankRuehl" w:hAnsi="FrankRuehl" w:cs="FrankRuehl"/>
          <w:rtl/>
        </w:rPr>
      </w:pPr>
      <w:r w:rsidRPr="0017558A">
        <w:rPr>
          <w:rFonts w:ascii="FrankRuehl" w:hAnsi="FrankRuehl" w:cs="FrankRuehl" w:hint="cs"/>
          <w:rtl/>
        </w:rPr>
        <w:t>חקיקה</w:t>
      </w:r>
      <w:r w:rsidRPr="0017558A">
        <w:rPr>
          <w:rFonts w:ascii="FrankRuehl" w:hAnsi="FrankRuehl" w:cs="FrankRuehl"/>
          <w:rtl/>
        </w:rPr>
        <w:t xml:space="preserve"> </w:t>
      </w:r>
      <w:r w:rsidRPr="0017558A">
        <w:rPr>
          <w:rFonts w:ascii="FrankRuehl" w:hAnsi="FrankRuehl" w:cs="FrankRuehl" w:hint="cs"/>
          <w:rtl/>
        </w:rPr>
        <w:t>שאוזכרה</w:t>
      </w:r>
      <w:r w:rsidRPr="0017558A">
        <w:rPr>
          <w:rFonts w:ascii="FrankRuehl" w:hAnsi="FrankRuehl" w:cs="FrankRuehl"/>
          <w:rtl/>
        </w:rPr>
        <w:t xml:space="preserve">: </w:t>
      </w:r>
    </w:p>
    <w:p w14:paraId="3B33CB76" w14:textId="77777777" w:rsidR="00016965" w:rsidRPr="0017558A" w:rsidRDefault="00016965" w:rsidP="00016965">
      <w:pPr>
        <w:pStyle w:val="ListParagraph"/>
        <w:spacing w:after="120" w:line="240" w:lineRule="exact"/>
        <w:ind w:left="283" w:hanging="283"/>
        <w:contextualSpacing w:val="0"/>
        <w:rPr>
          <w:rFonts w:ascii="FrankRuehl" w:hAnsi="FrankRuehl" w:cs="FrankRuehl"/>
          <w:rtl/>
        </w:rPr>
      </w:pPr>
      <w:hyperlink r:id="rId7" w:history="1">
        <w:r w:rsidRPr="0017558A">
          <w:rPr>
            <w:rFonts w:ascii="FrankRuehl" w:hAnsi="FrankRuehl" w:cs="FrankRuehl" w:hint="cs"/>
            <w:color w:val="0000FF"/>
            <w:u w:val="single"/>
            <w:rtl/>
          </w:rPr>
          <w:t>פקודת</w:t>
        </w:r>
        <w:r w:rsidRPr="0017558A">
          <w:rPr>
            <w:rFonts w:ascii="FrankRuehl" w:hAnsi="FrankRuehl" w:cs="FrankRuehl"/>
            <w:color w:val="0000FF"/>
            <w:u w:val="single"/>
            <w:rtl/>
          </w:rPr>
          <w:t xml:space="preserve"> </w:t>
        </w:r>
        <w:r w:rsidRPr="0017558A">
          <w:rPr>
            <w:rFonts w:ascii="FrankRuehl" w:hAnsi="FrankRuehl" w:cs="FrankRuehl" w:hint="cs"/>
            <w:color w:val="0000FF"/>
            <w:u w:val="single"/>
            <w:rtl/>
          </w:rPr>
          <w:t>הסמים</w:t>
        </w:r>
        <w:r w:rsidRPr="0017558A">
          <w:rPr>
            <w:rFonts w:ascii="FrankRuehl" w:hAnsi="FrankRuehl" w:cs="FrankRuehl"/>
            <w:color w:val="0000FF"/>
            <w:u w:val="single"/>
            <w:rtl/>
          </w:rPr>
          <w:t xml:space="preserve"> </w:t>
        </w:r>
        <w:r w:rsidRPr="0017558A">
          <w:rPr>
            <w:rFonts w:ascii="FrankRuehl" w:hAnsi="FrankRuehl" w:cs="FrankRuehl" w:hint="cs"/>
            <w:color w:val="0000FF"/>
            <w:u w:val="single"/>
            <w:rtl/>
          </w:rPr>
          <w:t>המסוכנים</w:t>
        </w:r>
        <w:r w:rsidRPr="0017558A">
          <w:rPr>
            <w:rFonts w:ascii="FrankRuehl" w:hAnsi="FrankRuehl" w:cs="FrankRuehl"/>
            <w:color w:val="0000FF"/>
            <w:u w:val="single"/>
            <w:rtl/>
          </w:rPr>
          <w:t xml:space="preserve"> [</w:t>
        </w:r>
        <w:r w:rsidRPr="0017558A">
          <w:rPr>
            <w:rFonts w:ascii="FrankRuehl" w:hAnsi="FrankRuehl" w:cs="FrankRuehl" w:hint="cs"/>
            <w:color w:val="0000FF"/>
            <w:u w:val="single"/>
            <w:rtl/>
          </w:rPr>
          <w:t>נוסח</w:t>
        </w:r>
        <w:r w:rsidRPr="0017558A">
          <w:rPr>
            <w:rFonts w:ascii="FrankRuehl" w:hAnsi="FrankRuehl" w:cs="FrankRuehl"/>
            <w:color w:val="0000FF"/>
            <w:u w:val="single"/>
            <w:rtl/>
          </w:rPr>
          <w:t xml:space="preserve"> </w:t>
        </w:r>
        <w:r w:rsidRPr="0017558A">
          <w:rPr>
            <w:rFonts w:ascii="FrankRuehl" w:hAnsi="FrankRuehl" w:cs="FrankRuehl" w:hint="cs"/>
            <w:color w:val="0000FF"/>
            <w:u w:val="single"/>
            <w:rtl/>
          </w:rPr>
          <w:t>חדש</w:t>
        </w:r>
        <w:r w:rsidRPr="0017558A">
          <w:rPr>
            <w:rFonts w:ascii="FrankRuehl" w:hAnsi="FrankRuehl" w:cs="FrankRuehl"/>
            <w:color w:val="0000FF"/>
            <w:u w:val="single"/>
            <w:rtl/>
          </w:rPr>
          <w:t xml:space="preserve">], </w:t>
        </w:r>
        <w:r w:rsidRPr="0017558A">
          <w:rPr>
            <w:rFonts w:ascii="FrankRuehl" w:hAnsi="FrankRuehl" w:cs="FrankRuehl" w:hint="cs"/>
            <w:color w:val="0000FF"/>
            <w:u w:val="single"/>
            <w:rtl/>
          </w:rPr>
          <w:t>תשל</w:t>
        </w:r>
        <w:r w:rsidRPr="0017558A">
          <w:rPr>
            <w:rFonts w:ascii="FrankRuehl" w:hAnsi="FrankRuehl" w:cs="FrankRuehl"/>
            <w:color w:val="0000FF"/>
            <w:u w:val="single"/>
            <w:rtl/>
          </w:rPr>
          <w:t>"</w:t>
        </w:r>
        <w:r w:rsidRPr="0017558A">
          <w:rPr>
            <w:rFonts w:ascii="FrankRuehl" w:hAnsi="FrankRuehl" w:cs="FrankRuehl" w:hint="cs"/>
            <w:color w:val="0000FF"/>
            <w:u w:val="single"/>
            <w:rtl/>
          </w:rPr>
          <w:t>ג</w:t>
        </w:r>
        <w:r w:rsidRPr="0017558A">
          <w:rPr>
            <w:rFonts w:ascii="FrankRuehl" w:hAnsi="FrankRuehl" w:cs="FrankRuehl"/>
            <w:color w:val="0000FF"/>
            <w:u w:val="single"/>
            <w:rtl/>
          </w:rPr>
          <w:t>-1973</w:t>
        </w:r>
      </w:hyperlink>
      <w:r w:rsidRPr="0017558A">
        <w:rPr>
          <w:rFonts w:ascii="FrankRuehl" w:hAnsi="FrankRuehl" w:cs="FrankRuehl"/>
          <w:rtl/>
        </w:rPr>
        <w:t xml:space="preserve">: </w:t>
      </w:r>
      <w:r w:rsidRPr="0017558A">
        <w:rPr>
          <w:rFonts w:ascii="FrankRuehl" w:hAnsi="FrankRuehl" w:cs="FrankRuehl" w:hint="cs"/>
          <w:rtl/>
        </w:rPr>
        <w:t>סע</w:t>
      </w:r>
      <w:r w:rsidRPr="0017558A">
        <w:rPr>
          <w:rFonts w:ascii="FrankRuehl" w:hAnsi="FrankRuehl" w:cs="FrankRuehl"/>
          <w:rtl/>
        </w:rPr>
        <w:t xml:space="preserve">'  </w:t>
      </w:r>
      <w:hyperlink r:id="rId8" w:history="1">
        <w:r w:rsidRPr="0017558A">
          <w:rPr>
            <w:rFonts w:ascii="FrankRuehl" w:hAnsi="FrankRuehl" w:cs="FrankRuehl"/>
            <w:color w:val="0000FF"/>
            <w:u w:val="single"/>
            <w:rtl/>
          </w:rPr>
          <w:t>6</w:t>
        </w:r>
      </w:hyperlink>
    </w:p>
    <w:p w14:paraId="4D113D4A" w14:textId="77777777" w:rsidR="00016965" w:rsidRPr="0017558A" w:rsidRDefault="00016965" w:rsidP="00016965">
      <w:pPr>
        <w:pStyle w:val="ListParagraph"/>
        <w:spacing w:after="120" w:line="240" w:lineRule="exact"/>
        <w:ind w:left="283" w:hanging="283"/>
        <w:contextualSpacing w:val="0"/>
        <w:rPr>
          <w:rFonts w:ascii="FrankRuehl" w:hAnsi="FrankRuehl" w:cs="FrankRuehl"/>
          <w:rtl/>
        </w:rPr>
      </w:pPr>
      <w:hyperlink r:id="rId9" w:history="1">
        <w:r w:rsidRPr="0017558A">
          <w:rPr>
            <w:rFonts w:ascii="FrankRuehl" w:hAnsi="FrankRuehl" w:cs="FrankRuehl" w:hint="cs"/>
            <w:color w:val="0000FF"/>
            <w:u w:val="single"/>
            <w:rtl/>
          </w:rPr>
          <w:t>חוק</w:t>
        </w:r>
        <w:r w:rsidRPr="0017558A">
          <w:rPr>
            <w:rFonts w:ascii="FrankRuehl" w:hAnsi="FrankRuehl" w:cs="FrankRuehl"/>
            <w:color w:val="0000FF"/>
            <w:u w:val="single"/>
            <w:rtl/>
          </w:rPr>
          <w:t xml:space="preserve"> </w:t>
        </w:r>
        <w:r w:rsidRPr="0017558A">
          <w:rPr>
            <w:rFonts w:ascii="FrankRuehl" w:hAnsi="FrankRuehl" w:cs="FrankRuehl" w:hint="cs"/>
            <w:color w:val="0000FF"/>
            <w:u w:val="single"/>
            <w:rtl/>
          </w:rPr>
          <w:t>העונשין</w:t>
        </w:r>
        <w:r w:rsidRPr="0017558A">
          <w:rPr>
            <w:rFonts w:ascii="FrankRuehl" w:hAnsi="FrankRuehl" w:cs="FrankRuehl"/>
            <w:color w:val="0000FF"/>
            <w:u w:val="single"/>
            <w:rtl/>
          </w:rPr>
          <w:t xml:space="preserve">, </w:t>
        </w:r>
        <w:r w:rsidRPr="0017558A">
          <w:rPr>
            <w:rFonts w:ascii="FrankRuehl" w:hAnsi="FrankRuehl" w:cs="FrankRuehl" w:hint="cs"/>
            <w:color w:val="0000FF"/>
            <w:u w:val="single"/>
            <w:rtl/>
          </w:rPr>
          <w:t>תשל</w:t>
        </w:r>
        <w:r w:rsidRPr="0017558A">
          <w:rPr>
            <w:rFonts w:ascii="FrankRuehl" w:hAnsi="FrankRuehl" w:cs="FrankRuehl"/>
            <w:color w:val="0000FF"/>
            <w:u w:val="single"/>
            <w:rtl/>
          </w:rPr>
          <w:t>"</w:t>
        </w:r>
        <w:r w:rsidRPr="0017558A">
          <w:rPr>
            <w:rFonts w:ascii="FrankRuehl" w:hAnsi="FrankRuehl" w:cs="FrankRuehl" w:hint="cs"/>
            <w:color w:val="0000FF"/>
            <w:u w:val="single"/>
            <w:rtl/>
          </w:rPr>
          <w:t>ז</w:t>
        </w:r>
        <w:r w:rsidRPr="0017558A">
          <w:rPr>
            <w:rFonts w:ascii="FrankRuehl" w:hAnsi="FrankRuehl" w:cs="FrankRuehl"/>
            <w:color w:val="0000FF"/>
            <w:u w:val="single"/>
            <w:rtl/>
          </w:rPr>
          <w:t>-1977</w:t>
        </w:r>
      </w:hyperlink>
      <w:r w:rsidRPr="0017558A">
        <w:rPr>
          <w:rFonts w:ascii="FrankRuehl" w:hAnsi="FrankRuehl" w:cs="FrankRuehl"/>
          <w:rtl/>
        </w:rPr>
        <w:t xml:space="preserve">: </w:t>
      </w:r>
      <w:r w:rsidRPr="0017558A">
        <w:rPr>
          <w:rFonts w:ascii="FrankRuehl" w:hAnsi="FrankRuehl" w:cs="FrankRuehl" w:hint="cs"/>
          <w:rtl/>
        </w:rPr>
        <w:t>סע</w:t>
      </w:r>
      <w:r w:rsidRPr="0017558A">
        <w:rPr>
          <w:rFonts w:ascii="FrankRuehl" w:hAnsi="FrankRuehl" w:cs="FrankRuehl"/>
          <w:rtl/>
        </w:rPr>
        <w:t xml:space="preserve">'  </w:t>
      </w:r>
      <w:hyperlink r:id="rId10" w:history="1">
        <w:r w:rsidRPr="0017558A">
          <w:rPr>
            <w:rFonts w:ascii="FrankRuehl" w:hAnsi="FrankRuehl" w:cs="FrankRuehl"/>
            <w:color w:val="0000FF"/>
            <w:u w:val="single"/>
            <w:rtl/>
          </w:rPr>
          <w:t>40</w:t>
        </w:r>
        <w:r w:rsidRPr="0017558A">
          <w:rPr>
            <w:rFonts w:ascii="FrankRuehl" w:hAnsi="FrankRuehl" w:cs="FrankRuehl" w:hint="cs"/>
            <w:color w:val="0000FF"/>
            <w:u w:val="single"/>
            <w:rtl/>
          </w:rPr>
          <w:t>ג</w:t>
        </w:r>
        <w:r w:rsidRPr="0017558A">
          <w:rPr>
            <w:rFonts w:ascii="FrankRuehl" w:hAnsi="FrankRuehl" w:cs="FrankRuehl"/>
            <w:color w:val="0000FF"/>
            <w:u w:val="single"/>
            <w:rtl/>
          </w:rPr>
          <w:t>(</w:t>
        </w:r>
        <w:r w:rsidRPr="0017558A">
          <w:rPr>
            <w:rFonts w:ascii="FrankRuehl" w:hAnsi="FrankRuehl" w:cs="FrankRuehl" w:hint="cs"/>
            <w:color w:val="0000FF"/>
            <w:u w:val="single"/>
            <w:rtl/>
          </w:rPr>
          <w:t>א</w:t>
        </w:r>
        <w:r w:rsidRPr="0017558A">
          <w:rPr>
            <w:rFonts w:ascii="FrankRuehl" w:hAnsi="FrankRuehl" w:cs="FrankRuehl"/>
            <w:color w:val="0000FF"/>
            <w:u w:val="single"/>
            <w:rtl/>
          </w:rPr>
          <w:t>)</w:t>
        </w:r>
      </w:hyperlink>
      <w:r w:rsidRPr="0017558A">
        <w:rPr>
          <w:rFonts w:ascii="FrankRuehl" w:hAnsi="FrankRuehl" w:cs="FrankRuehl"/>
          <w:rtl/>
        </w:rPr>
        <w:t xml:space="preserve">, </w:t>
      </w:r>
      <w:hyperlink r:id="rId11" w:history="1">
        <w:r w:rsidRPr="0017558A">
          <w:rPr>
            <w:rFonts w:ascii="FrankRuehl" w:hAnsi="FrankRuehl" w:cs="FrankRuehl"/>
            <w:color w:val="0000FF"/>
            <w:u w:val="single"/>
            <w:rtl/>
          </w:rPr>
          <w:t>40</w:t>
        </w:r>
        <w:r w:rsidRPr="0017558A">
          <w:rPr>
            <w:rFonts w:ascii="FrankRuehl" w:hAnsi="FrankRuehl" w:cs="FrankRuehl" w:hint="cs"/>
            <w:color w:val="0000FF"/>
            <w:u w:val="single"/>
            <w:rtl/>
          </w:rPr>
          <w:t>ג</w:t>
        </w:r>
        <w:r w:rsidRPr="0017558A">
          <w:rPr>
            <w:rFonts w:ascii="FrankRuehl" w:hAnsi="FrankRuehl" w:cs="FrankRuehl"/>
            <w:color w:val="0000FF"/>
            <w:u w:val="single"/>
            <w:rtl/>
          </w:rPr>
          <w:t>(</w:t>
        </w:r>
        <w:r w:rsidRPr="0017558A">
          <w:rPr>
            <w:rFonts w:ascii="FrankRuehl" w:hAnsi="FrankRuehl" w:cs="FrankRuehl" w:hint="cs"/>
            <w:color w:val="0000FF"/>
            <w:u w:val="single"/>
            <w:rtl/>
          </w:rPr>
          <w:t>ב</w:t>
        </w:r>
        <w:r w:rsidRPr="0017558A">
          <w:rPr>
            <w:rFonts w:ascii="FrankRuehl" w:hAnsi="FrankRuehl" w:cs="FrankRuehl"/>
            <w:color w:val="0000FF"/>
            <w:u w:val="single"/>
            <w:rtl/>
          </w:rPr>
          <w:t>)</w:t>
        </w:r>
      </w:hyperlink>
      <w:r w:rsidRPr="0017558A">
        <w:rPr>
          <w:rFonts w:ascii="FrankRuehl" w:hAnsi="FrankRuehl" w:cs="FrankRuehl"/>
          <w:rtl/>
        </w:rPr>
        <w:t xml:space="preserve">, </w:t>
      </w:r>
      <w:hyperlink r:id="rId12" w:history="1">
        <w:r w:rsidRPr="0017558A">
          <w:rPr>
            <w:rFonts w:ascii="FrankRuehl" w:hAnsi="FrankRuehl" w:cs="FrankRuehl"/>
            <w:color w:val="0000FF"/>
            <w:u w:val="single"/>
            <w:rtl/>
          </w:rPr>
          <w:t>40</w:t>
        </w:r>
        <w:r w:rsidRPr="0017558A">
          <w:rPr>
            <w:rFonts w:ascii="FrankRuehl" w:hAnsi="FrankRuehl" w:cs="FrankRuehl" w:hint="cs"/>
            <w:color w:val="0000FF"/>
            <w:u w:val="single"/>
            <w:rtl/>
          </w:rPr>
          <w:t>ד</w:t>
        </w:r>
        <w:r w:rsidRPr="0017558A">
          <w:rPr>
            <w:rFonts w:ascii="FrankRuehl" w:hAnsi="FrankRuehl" w:cs="FrankRuehl"/>
            <w:color w:val="0000FF"/>
            <w:u w:val="single"/>
            <w:rtl/>
          </w:rPr>
          <w:t>(</w:t>
        </w:r>
        <w:r w:rsidRPr="0017558A">
          <w:rPr>
            <w:rFonts w:ascii="FrankRuehl" w:hAnsi="FrankRuehl" w:cs="FrankRuehl" w:hint="cs"/>
            <w:color w:val="0000FF"/>
            <w:u w:val="single"/>
            <w:rtl/>
          </w:rPr>
          <w:t>א</w:t>
        </w:r>
        <w:r w:rsidRPr="0017558A">
          <w:rPr>
            <w:rFonts w:ascii="FrankRuehl" w:hAnsi="FrankRuehl" w:cs="FrankRuehl"/>
            <w:color w:val="0000FF"/>
            <w:u w:val="single"/>
            <w:rtl/>
          </w:rPr>
          <w:t>)</w:t>
        </w:r>
      </w:hyperlink>
      <w:r w:rsidRPr="0017558A">
        <w:rPr>
          <w:rFonts w:ascii="FrankRuehl" w:hAnsi="FrankRuehl" w:cs="FrankRuehl"/>
          <w:rtl/>
        </w:rPr>
        <w:t xml:space="preserve">, </w:t>
      </w:r>
      <w:hyperlink r:id="rId13" w:history="1">
        <w:r w:rsidRPr="0017558A">
          <w:rPr>
            <w:rFonts w:ascii="FrankRuehl" w:hAnsi="FrankRuehl" w:cs="FrankRuehl"/>
            <w:color w:val="0000FF"/>
            <w:u w:val="single"/>
            <w:rtl/>
          </w:rPr>
          <w:t>40</w:t>
        </w:r>
        <w:r w:rsidRPr="0017558A">
          <w:rPr>
            <w:rFonts w:ascii="FrankRuehl" w:hAnsi="FrankRuehl" w:cs="FrankRuehl" w:hint="cs"/>
            <w:color w:val="0000FF"/>
            <w:u w:val="single"/>
            <w:rtl/>
          </w:rPr>
          <w:t>י</w:t>
        </w:r>
      </w:hyperlink>
      <w:r w:rsidRPr="0017558A">
        <w:rPr>
          <w:rFonts w:ascii="FrankRuehl" w:hAnsi="FrankRuehl" w:cs="FrankRuehl"/>
          <w:rtl/>
        </w:rPr>
        <w:t xml:space="preserve">, </w:t>
      </w:r>
      <w:hyperlink r:id="rId14" w:history="1">
        <w:r w:rsidRPr="0017558A">
          <w:rPr>
            <w:rFonts w:ascii="FrankRuehl" w:hAnsi="FrankRuehl" w:cs="FrankRuehl"/>
            <w:color w:val="0000FF"/>
            <w:u w:val="single"/>
            <w:rtl/>
          </w:rPr>
          <w:t>40</w:t>
        </w:r>
        <w:r w:rsidRPr="0017558A">
          <w:rPr>
            <w:rFonts w:ascii="FrankRuehl" w:hAnsi="FrankRuehl" w:cs="FrankRuehl" w:hint="cs"/>
            <w:color w:val="0000FF"/>
            <w:u w:val="single"/>
            <w:rtl/>
          </w:rPr>
          <w:t>יא</w:t>
        </w:r>
      </w:hyperlink>
      <w:r w:rsidRPr="0017558A">
        <w:rPr>
          <w:rFonts w:ascii="FrankRuehl" w:hAnsi="FrankRuehl" w:cs="FrankRuehl"/>
          <w:rtl/>
        </w:rPr>
        <w:t xml:space="preserve">, </w:t>
      </w:r>
      <w:hyperlink r:id="rId15" w:history="1">
        <w:r w:rsidRPr="0017558A">
          <w:rPr>
            <w:rFonts w:ascii="FrankRuehl" w:hAnsi="FrankRuehl" w:cs="FrankRuehl"/>
            <w:color w:val="0000FF"/>
            <w:u w:val="single"/>
            <w:rtl/>
          </w:rPr>
          <w:t>40</w:t>
        </w:r>
        <w:r w:rsidRPr="0017558A">
          <w:rPr>
            <w:rFonts w:ascii="FrankRuehl" w:hAnsi="FrankRuehl" w:cs="FrankRuehl" w:hint="cs"/>
            <w:color w:val="0000FF"/>
            <w:u w:val="single"/>
            <w:rtl/>
          </w:rPr>
          <w:t>יא</w:t>
        </w:r>
        <w:r w:rsidRPr="0017558A">
          <w:rPr>
            <w:rFonts w:ascii="FrankRuehl" w:hAnsi="FrankRuehl" w:cs="FrankRuehl"/>
            <w:color w:val="0000FF"/>
            <w:u w:val="single"/>
            <w:rtl/>
          </w:rPr>
          <w:t>(3)</w:t>
        </w:r>
      </w:hyperlink>
    </w:p>
    <w:p w14:paraId="29692E67" w14:textId="77777777" w:rsidR="00175A2A" w:rsidRPr="00863630" w:rsidRDefault="00175A2A" w:rsidP="00175A2A">
      <w:pPr>
        <w:spacing w:after="160"/>
      </w:pPr>
    </w:p>
    <w:p w14:paraId="4325FC2F" w14:textId="77777777" w:rsidR="00175A2A" w:rsidRPr="00863630" w:rsidRDefault="00175A2A" w:rsidP="00175A2A">
      <w:pPr>
        <w:spacing w:after="160" w:line="360" w:lineRule="auto"/>
        <w:jc w:val="both"/>
        <w:rPr>
          <w:rFonts w:ascii="Arial" w:hAnsi="Arial"/>
          <w:noProof w:val="0"/>
          <w:rtl/>
        </w:rPr>
      </w:pPr>
    </w:p>
    <w:tbl>
      <w:tblPr>
        <w:bidiVisual/>
        <w:tblW w:w="8820" w:type="dxa"/>
        <w:jc w:val="center"/>
        <w:tblLook w:val="01E0" w:firstRow="1" w:lastRow="1" w:firstColumn="1" w:lastColumn="1" w:noHBand="0" w:noVBand="0"/>
      </w:tblPr>
      <w:tblGrid>
        <w:gridCol w:w="8820"/>
      </w:tblGrid>
      <w:tr w:rsidR="00175A2A" w:rsidRPr="00863630" w14:paraId="18E5CF5C" w14:textId="77777777" w:rsidTr="00175A2A">
        <w:trPr>
          <w:jc w:val="center"/>
        </w:trPr>
        <w:tc>
          <w:tcPr>
            <w:tcW w:w="8820" w:type="dxa"/>
            <w:shd w:val="clear" w:color="auto" w:fill="auto"/>
          </w:tcPr>
          <w:p w14:paraId="23487DF4" w14:textId="77777777" w:rsidR="00175A2A" w:rsidRPr="00863630" w:rsidRDefault="00175A2A" w:rsidP="00863630">
            <w:pPr>
              <w:rPr>
                <w:rtl/>
              </w:rPr>
            </w:pPr>
            <w:bookmarkStart w:id="2" w:name="FirstLawyer"/>
            <w:r w:rsidRPr="00863630">
              <w:rPr>
                <w:rFonts w:hint="cs"/>
                <w:rtl/>
              </w:rPr>
              <w:t>נוכחים:</w:t>
            </w:r>
          </w:p>
          <w:p w14:paraId="2F14BC2E" w14:textId="77777777" w:rsidR="00175A2A" w:rsidRPr="00863630" w:rsidRDefault="00175A2A" w:rsidP="00863630">
            <w:pPr>
              <w:rPr>
                <w:rtl/>
              </w:rPr>
            </w:pPr>
            <w:r w:rsidRPr="00863630">
              <w:rPr>
                <w:rFonts w:hint="cs"/>
                <w:rtl/>
              </w:rPr>
              <w:t>ב"כ המאשימה עו"ד אבי דהן</w:t>
            </w:r>
          </w:p>
          <w:p w14:paraId="4983EF93" w14:textId="77777777" w:rsidR="00175A2A" w:rsidRPr="00863630" w:rsidRDefault="00175A2A" w:rsidP="00863630">
            <w:pPr>
              <w:rPr>
                <w:rtl/>
              </w:rPr>
            </w:pPr>
            <w:r w:rsidRPr="00863630">
              <w:rPr>
                <w:rFonts w:hint="cs"/>
                <w:rtl/>
              </w:rPr>
              <w:t xml:space="preserve">הנאשם </w:t>
            </w:r>
            <w:r w:rsidRPr="00863630">
              <w:rPr>
                <w:rtl/>
              </w:rPr>
              <w:t>–</w:t>
            </w:r>
            <w:r w:rsidRPr="00863630">
              <w:rPr>
                <w:rFonts w:hint="cs"/>
                <w:rtl/>
              </w:rPr>
              <w:t xml:space="preserve"> בעצמו וב"כ עו"ד גנון בשם עו"ד סויסה</w:t>
            </w:r>
          </w:p>
          <w:p w14:paraId="658AC373" w14:textId="77777777" w:rsidR="00175A2A" w:rsidRPr="00863630" w:rsidRDefault="00175A2A" w:rsidP="00863630">
            <w:pPr>
              <w:rPr>
                <w:rtl/>
              </w:rPr>
            </w:pPr>
          </w:p>
          <w:p w14:paraId="177905F2" w14:textId="77777777" w:rsidR="00175A2A" w:rsidRPr="00863630" w:rsidRDefault="00175A2A" w:rsidP="00175A2A">
            <w:pPr>
              <w:bidi w:val="0"/>
              <w:spacing w:after="160"/>
              <w:jc w:val="center"/>
              <w:rPr>
                <w:rFonts w:ascii="Arial" w:hAnsi="Arial"/>
                <w:b/>
                <w:bCs/>
                <w:noProof w:val="0"/>
                <w:sz w:val="32"/>
                <w:szCs w:val="32"/>
              </w:rPr>
            </w:pPr>
            <w:bookmarkStart w:id="3" w:name="PsakDin"/>
            <w:r w:rsidRPr="00863630">
              <w:rPr>
                <w:rFonts w:ascii="Arial" w:hAnsi="Arial" w:hint="cs"/>
                <w:b/>
                <w:bCs/>
                <w:noProof w:val="0"/>
                <w:sz w:val="32"/>
                <w:szCs w:val="32"/>
                <w:rtl/>
              </w:rPr>
              <w:t>גזר דין</w:t>
            </w:r>
            <w:bookmarkEnd w:id="3"/>
          </w:p>
        </w:tc>
      </w:tr>
      <w:bookmarkEnd w:id="2"/>
    </w:tbl>
    <w:p w14:paraId="4350C9F9" w14:textId="77777777" w:rsidR="00175A2A" w:rsidRPr="00863630" w:rsidRDefault="00175A2A" w:rsidP="00175A2A">
      <w:pPr>
        <w:spacing w:after="160" w:line="360" w:lineRule="auto"/>
        <w:jc w:val="both"/>
        <w:rPr>
          <w:rFonts w:ascii="Arial" w:hAnsi="Arial"/>
          <w:noProof w:val="0"/>
          <w:rtl/>
        </w:rPr>
      </w:pPr>
    </w:p>
    <w:p w14:paraId="0D612F39" w14:textId="77777777" w:rsidR="00175A2A" w:rsidRPr="00863630" w:rsidRDefault="00175A2A" w:rsidP="00175A2A">
      <w:pPr>
        <w:pStyle w:val="1"/>
        <w:numPr>
          <w:ilvl w:val="0"/>
          <w:numId w:val="1"/>
        </w:numPr>
        <w:spacing w:after="160" w:line="288" w:lineRule="auto"/>
        <w:jc w:val="both"/>
        <w:rPr>
          <w:rFonts w:cs="David"/>
          <w:rtl/>
        </w:rPr>
      </w:pPr>
      <w:r w:rsidRPr="00863630">
        <w:rPr>
          <w:rFonts w:cs="David" w:hint="cs"/>
          <w:rtl/>
        </w:rPr>
        <w:t>רקע עובדתי</w:t>
      </w:r>
    </w:p>
    <w:p w14:paraId="645D6869" w14:textId="77777777" w:rsidR="00175A2A" w:rsidRPr="00863630" w:rsidRDefault="00175A2A" w:rsidP="00175A2A">
      <w:pPr>
        <w:pStyle w:val="ListParagraph"/>
        <w:numPr>
          <w:ilvl w:val="0"/>
          <w:numId w:val="2"/>
        </w:numPr>
        <w:ind w:left="-58"/>
        <w:contextualSpacing w:val="0"/>
        <w:rPr>
          <w:rtl/>
        </w:rPr>
      </w:pPr>
      <w:bookmarkStart w:id="4" w:name="ABSTRACT_START"/>
      <w:bookmarkEnd w:id="4"/>
      <w:r w:rsidRPr="00863630">
        <w:rPr>
          <w:rFonts w:hint="cs"/>
          <w:rtl/>
        </w:rPr>
        <w:t xml:space="preserve">הנאשם הורשע על יסוד הודאתו בעבירה של גידול סמים מסוכנים, לפי </w:t>
      </w:r>
      <w:hyperlink r:id="rId16" w:history="1">
        <w:r w:rsidR="0017558A" w:rsidRPr="0017558A">
          <w:rPr>
            <w:rFonts w:hint="cs"/>
            <w:color w:val="0000FF"/>
            <w:u w:val="single"/>
            <w:rtl/>
          </w:rPr>
          <w:t>סעיף</w:t>
        </w:r>
        <w:r w:rsidR="0017558A" w:rsidRPr="0017558A">
          <w:rPr>
            <w:color w:val="0000FF"/>
            <w:u w:val="single"/>
            <w:rtl/>
          </w:rPr>
          <w:t xml:space="preserve"> 6</w:t>
        </w:r>
      </w:hyperlink>
      <w:r w:rsidRPr="00863630">
        <w:rPr>
          <w:rFonts w:hint="cs"/>
          <w:rtl/>
        </w:rPr>
        <w:t xml:space="preserve"> ל</w:t>
      </w:r>
      <w:hyperlink r:id="rId17" w:history="1">
        <w:r w:rsidR="00863630" w:rsidRPr="00863630">
          <w:rPr>
            <w:rFonts w:hint="cs"/>
            <w:color w:val="0000FF"/>
            <w:u w:val="single"/>
            <w:rtl/>
          </w:rPr>
          <w:t>פקודת</w:t>
        </w:r>
        <w:r w:rsidR="00863630" w:rsidRPr="00863630">
          <w:rPr>
            <w:color w:val="0000FF"/>
            <w:u w:val="single"/>
            <w:rtl/>
          </w:rPr>
          <w:t xml:space="preserve"> </w:t>
        </w:r>
        <w:r w:rsidR="00863630" w:rsidRPr="00863630">
          <w:rPr>
            <w:rFonts w:hint="cs"/>
            <w:color w:val="0000FF"/>
            <w:u w:val="single"/>
            <w:rtl/>
          </w:rPr>
          <w:t>הסמים</w:t>
        </w:r>
        <w:r w:rsidR="00863630" w:rsidRPr="00863630">
          <w:rPr>
            <w:color w:val="0000FF"/>
            <w:u w:val="single"/>
            <w:rtl/>
          </w:rPr>
          <w:t xml:space="preserve"> </w:t>
        </w:r>
        <w:r w:rsidR="00863630" w:rsidRPr="00863630">
          <w:rPr>
            <w:rFonts w:hint="cs"/>
            <w:color w:val="0000FF"/>
            <w:u w:val="single"/>
            <w:rtl/>
          </w:rPr>
          <w:t>המסוכנים</w:t>
        </w:r>
      </w:hyperlink>
      <w:r w:rsidRPr="00863630">
        <w:rPr>
          <w:rFonts w:hint="cs"/>
          <w:rtl/>
        </w:rPr>
        <w:t xml:space="preserve"> [נוסח חדש], התשל"ג-1973 (להלן: </w:t>
      </w:r>
      <w:r w:rsidRPr="00863630">
        <w:rPr>
          <w:rFonts w:hint="cs"/>
          <w:b/>
          <w:bCs/>
          <w:rtl/>
        </w:rPr>
        <w:t>"הפקודה"</w:t>
      </w:r>
      <w:r w:rsidRPr="00863630">
        <w:rPr>
          <w:rFonts w:hint="cs"/>
          <w:rtl/>
        </w:rPr>
        <w:t>).</w:t>
      </w:r>
    </w:p>
    <w:p w14:paraId="6E7B61A7" w14:textId="77777777" w:rsidR="00175A2A" w:rsidRPr="00863630" w:rsidRDefault="00175A2A" w:rsidP="00175A2A">
      <w:pPr>
        <w:pStyle w:val="ListParagraph"/>
        <w:ind w:left="-58" w:firstLine="0"/>
        <w:contextualSpacing w:val="0"/>
      </w:pPr>
      <w:bookmarkStart w:id="5" w:name="ABSTRACT_END"/>
      <w:bookmarkEnd w:id="5"/>
      <w:r w:rsidRPr="00863630">
        <w:rPr>
          <w:rFonts w:hint="cs"/>
          <w:rtl/>
        </w:rPr>
        <w:t>כפי הנטען בכתב האישום המתוקן, ביום 13.06.2016 גידל הנאשם בתוך אדניות בחצר ביתו 8 שתילים בגדלים שונים, במשקל של 1.65 ק"ג נטו, של סם מסוכן מסוג קנבוס.</w:t>
      </w:r>
    </w:p>
    <w:p w14:paraId="0E5E37E3" w14:textId="77777777" w:rsidR="00175A2A" w:rsidRPr="00863630" w:rsidRDefault="00175A2A" w:rsidP="00175A2A">
      <w:pPr>
        <w:pStyle w:val="ListParagraph"/>
        <w:numPr>
          <w:ilvl w:val="0"/>
          <w:numId w:val="2"/>
        </w:numPr>
        <w:ind w:left="-58"/>
        <w:contextualSpacing w:val="0"/>
        <w:rPr>
          <w:rtl/>
        </w:rPr>
      </w:pPr>
      <w:r w:rsidRPr="00863630">
        <w:rPr>
          <w:rFonts w:hint="cs"/>
          <w:rtl/>
        </w:rPr>
        <w:lastRenderedPageBreak/>
        <w:t>הצדדים לא הגיעו להסכמות עונשיות ביניהם, אך הוסכם כי עובר לשמיעת הטיעונים לעונש הנאשם יופנה לשירות המבחן. כן הוצהר, כי המאשימה תעתור להשית על הנאשם מאסר בפועל, מאסר מותנה, קנס והתחייבות, ואילו ההגנה תוכל לטעון בעניין העונש כראות עיניה, לרבות לביטול הרשעתו של הנאשם.</w:t>
      </w:r>
    </w:p>
    <w:p w14:paraId="4F92A873" w14:textId="77777777" w:rsidR="00175A2A" w:rsidRPr="00863630" w:rsidRDefault="00175A2A" w:rsidP="00175A2A">
      <w:pPr>
        <w:pStyle w:val="ListParagraph"/>
        <w:numPr>
          <w:ilvl w:val="0"/>
          <w:numId w:val="2"/>
        </w:numPr>
        <w:ind w:left="-58"/>
        <w:contextualSpacing w:val="0"/>
      </w:pPr>
      <w:r w:rsidRPr="00863630">
        <w:rPr>
          <w:rFonts w:hint="cs"/>
          <w:b/>
          <w:bCs/>
          <w:rtl/>
        </w:rPr>
        <w:t>תסקיר שירות המבחן</w:t>
      </w:r>
      <w:r w:rsidRPr="00863630">
        <w:rPr>
          <w:rFonts w:hint="cs"/>
          <w:rtl/>
        </w:rPr>
        <w:t xml:space="preserve"> שהתקבל בעניינו של הנאשם נושא אופי חיובי במידה רבה, ובסופו המלצה להשית עליו צו של"צ, צו מבחן והתחייבות.</w:t>
      </w:r>
    </w:p>
    <w:p w14:paraId="48552B54" w14:textId="77777777" w:rsidR="00175A2A" w:rsidRPr="00863630" w:rsidRDefault="00175A2A" w:rsidP="00175A2A">
      <w:pPr>
        <w:pStyle w:val="ListParagraph"/>
        <w:ind w:left="-58" w:firstLine="0"/>
        <w:contextualSpacing w:val="0"/>
      </w:pPr>
      <w:r w:rsidRPr="00863630">
        <w:rPr>
          <w:rFonts w:hint="cs"/>
          <w:rtl/>
        </w:rPr>
        <w:t>מטעמים של צנעת הפרט לא אעלה עלי גזר דין זה את כל המפורט בתסקיר, לבד מלציין כי הנאשם הודה בביצוע העבירה, והסביר כי ביצעהּ על רקע התמכרותו, מתוך רצון להימנע ממגע עם סוחרי סמים וכדי לצמצם בעלויות קניית הסם. לצד אלה, הנאשם טען כי הוא מבין את הבעייתיות שבהתנהגותו ומודע למחיר ששילם בעקבות ביצוע העבירה.</w:t>
      </w:r>
    </w:p>
    <w:p w14:paraId="066C1068" w14:textId="77777777" w:rsidR="00175A2A" w:rsidRPr="00863630" w:rsidRDefault="00175A2A" w:rsidP="00175A2A">
      <w:pPr>
        <w:pStyle w:val="ListParagraph"/>
        <w:ind w:left="-58" w:firstLine="0"/>
        <w:contextualSpacing w:val="0"/>
        <w:rPr>
          <w:rtl/>
        </w:rPr>
      </w:pPr>
      <w:r w:rsidRPr="00863630">
        <w:rPr>
          <w:rFonts w:hint="cs"/>
          <w:rtl/>
        </w:rPr>
        <w:t>עוד נמסר, כי הנאשם החל להשתמש בסמים מסוג קנבואידים בהיותו בן 25, ועם הזמן פיתח תלות בסם והחל לצרוך אותו על בסיס יומי. בהינתן אלה, ולנוכח הרצון שהביע הנאשם, הלה הופנה במסגרת הליך המעצר ליחידה לטיפול בהתמכרויות בעיר קריית גת. גורמי הטיפול ביחידה מסרו כי הנאשם מגיע באופן סדיר ועל בסיס שבועי לטיפול פרטני וקבוצתי וכי הוא השתלב בקבוצה הטיפולית באופן חיובי. אשר לטיפול הפרטני, נמסר כי הנאשם אמנם מגלה קשיים מסוימים, אולם קשיים אלה מותאמים לשלב הראשוני של הטיפול שבו הוא נמצא. כן יש לציין, כי במהלך כל תקופת הקשר הטיפולי, הנאשם מסר בדיקות שתן שנמצאו נקיות משרידי סם.</w:t>
      </w:r>
    </w:p>
    <w:p w14:paraId="7ABE25EB" w14:textId="77777777" w:rsidR="0017558A" w:rsidRDefault="00175A2A" w:rsidP="00175A2A">
      <w:pPr>
        <w:pStyle w:val="ListParagraph"/>
        <w:ind w:left="-58" w:firstLine="0"/>
        <w:contextualSpacing w:val="0"/>
        <w:rPr>
          <w:rtl/>
        </w:rPr>
      </w:pPr>
      <w:r w:rsidRPr="00863630">
        <w:rPr>
          <w:rFonts w:hint="cs"/>
          <w:rtl/>
        </w:rPr>
        <w:t>לבסוף, לאחר ששקל את מכלול הנתונים הרלוונטיים, והעריך כי הסיכון הנשקף מהנאשם להישנות עבירות דומות בעתיד הינו נמוך, בא שירות המבחן בהמלצתו העונשית, כפי שזו פורטה בתחילת הדברים.</w:t>
      </w:r>
      <w:bookmarkStart w:id="6" w:name="LawTable"/>
      <w:bookmarkEnd w:id="6"/>
    </w:p>
    <w:p w14:paraId="6BC194CA" w14:textId="77777777" w:rsidR="00863630" w:rsidRPr="00863630" w:rsidRDefault="00863630" w:rsidP="00863630">
      <w:pPr>
        <w:pStyle w:val="ListParagraph"/>
        <w:ind w:left="-58" w:firstLine="0"/>
        <w:contextualSpacing w:val="0"/>
        <w:jc w:val="center"/>
        <w:rPr>
          <w:bCs/>
          <w:rtl/>
        </w:rPr>
      </w:pPr>
      <w:bookmarkStart w:id="7" w:name="LawTable_End"/>
      <w:bookmarkEnd w:id="0"/>
      <w:bookmarkEnd w:id="7"/>
      <w:r w:rsidRPr="00863630">
        <w:rPr>
          <w:rFonts w:hint="cs"/>
          <w:bCs/>
          <w:rtl/>
        </w:rPr>
        <w:t>עוד</w:t>
      </w:r>
      <w:r w:rsidRPr="00863630">
        <w:rPr>
          <w:bCs/>
          <w:rtl/>
        </w:rPr>
        <w:t xml:space="preserve"> </w:t>
      </w:r>
      <w:r w:rsidRPr="00863630">
        <w:rPr>
          <w:rFonts w:hint="cs"/>
          <w:bCs/>
          <w:rtl/>
        </w:rPr>
        <w:t>ייאמר</w:t>
      </w:r>
      <w:r w:rsidRPr="00863630">
        <w:rPr>
          <w:bCs/>
          <w:rtl/>
        </w:rPr>
        <w:t xml:space="preserve">, </w:t>
      </w:r>
      <w:r w:rsidRPr="00863630">
        <w:rPr>
          <w:rFonts w:hint="cs"/>
          <w:bCs/>
          <w:rtl/>
        </w:rPr>
        <w:t>בבחינת</w:t>
      </w:r>
      <w:r w:rsidRPr="00863630">
        <w:rPr>
          <w:bCs/>
          <w:rtl/>
        </w:rPr>
        <w:t xml:space="preserve"> </w:t>
      </w:r>
      <w:r w:rsidRPr="00863630">
        <w:rPr>
          <w:rFonts w:hint="cs"/>
          <w:bCs/>
          <w:rtl/>
        </w:rPr>
        <w:t>למעלה</w:t>
      </w:r>
      <w:r w:rsidRPr="00863630">
        <w:rPr>
          <w:bCs/>
          <w:rtl/>
        </w:rPr>
        <w:t xml:space="preserve"> </w:t>
      </w:r>
      <w:r w:rsidRPr="00863630">
        <w:rPr>
          <w:rFonts w:hint="cs"/>
          <w:bCs/>
          <w:rtl/>
        </w:rPr>
        <w:t>מן</w:t>
      </w:r>
      <w:r w:rsidRPr="00863630">
        <w:rPr>
          <w:bCs/>
          <w:rtl/>
        </w:rPr>
        <w:t xml:space="preserve"> </w:t>
      </w:r>
      <w:r w:rsidRPr="00863630">
        <w:rPr>
          <w:rFonts w:hint="cs"/>
          <w:bCs/>
          <w:rtl/>
        </w:rPr>
        <w:t>הצורך</w:t>
      </w:r>
      <w:r w:rsidRPr="00863630">
        <w:rPr>
          <w:bCs/>
          <w:rtl/>
        </w:rPr>
        <w:t xml:space="preserve">, </w:t>
      </w:r>
      <w:r w:rsidRPr="00863630">
        <w:rPr>
          <w:rFonts w:hint="cs"/>
          <w:bCs/>
          <w:rtl/>
        </w:rPr>
        <w:t>כי</w:t>
      </w:r>
      <w:r w:rsidRPr="00863630">
        <w:rPr>
          <w:bCs/>
          <w:rtl/>
        </w:rPr>
        <w:t xml:space="preserve"> </w:t>
      </w:r>
      <w:r w:rsidRPr="00863630">
        <w:rPr>
          <w:rFonts w:hint="cs"/>
          <w:bCs/>
          <w:rtl/>
        </w:rPr>
        <w:t>לא</w:t>
      </w:r>
      <w:r w:rsidRPr="00863630">
        <w:rPr>
          <w:bCs/>
          <w:rtl/>
        </w:rPr>
        <w:t xml:space="preserve"> </w:t>
      </w:r>
      <w:r w:rsidRPr="00863630">
        <w:rPr>
          <w:rFonts w:hint="cs"/>
          <w:bCs/>
          <w:rtl/>
        </w:rPr>
        <w:t>נהיר</w:t>
      </w:r>
      <w:r w:rsidRPr="00863630">
        <w:rPr>
          <w:bCs/>
          <w:rtl/>
        </w:rPr>
        <w:t xml:space="preserve"> </w:t>
      </w:r>
      <w:r w:rsidRPr="00863630">
        <w:rPr>
          <w:rFonts w:hint="cs"/>
          <w:bCs/>
          <w:rtl/>
        </w:rPr>
        <w:t>מדוע</w:t>
      </w:r>
      <w:r w:rsidRPr="00863630">
        <w:rPr>
          <w:bCs/>
          <w:rtl/>
        </w:rPr>
        <w:t xml:space="preserve"> </w:t>
      </w:r>
      <w:r w:rsidRPr="00863630">
        <w:rPr>
          <w:rFonts w:hint="cs"/>
          <w:bCs/>
          <w:rtl/>
        </w:rPr>
        <w:t>שירות</w:t>
      </w:r>
      <w:r w:rsidRPr="00863630">
        <w:rPr>
          <w:bCs/>
          <w:rtl/>
        </w:rPr>
        <w:t xml:space="preserve"> </w:t>
      </w:r>
      <w:r w:rsidRPr="00863630">
        <w:rPr>
          <w:rFonts w:hint="cs"/>
          <w:bCs/>
          <w:rtl/>
        </w:rPr>
        <w:t>המבחן</w:t>
      </w:r>
      <w:r w:rsidRPr="00863630">
        <w:rPr>
          <w:bCs/>
          <w:rtl/>
        </w:rPr>
        <w:t xml:space="preserve"> </w:t>
      </w:r>
      <w:r w:rsidRPr="00863630">
        <w:rPr>
          <w:rFonts w:hint="cs"/>
          <w:bCs/>
          <w:rtl/>
        </w:rPr>
        <w:t>ציין</w:t>
      </w:r>
      <w:r w:rsidRPr="00863630">
        <w:rPr>
          <w:bCs/>
          <w:rtl/>
        </w:rPr>
        <w:t xml:space="preserve"> </w:t>
      </w:r>
      <w:r w:rsidRPr="00863630">
        <w:rPr>
          <w:rFonts w:hint="cs"/>
          <w:bCs/>
          <w:rtl/>
        </w:rPr>
        <w:t>שבנוסף</w:t>
      </w:r>
      <w:r w:rsidRPr="00863630">
        <w:rPr>
          <w:bCs/>
          <w:rtl/>
        </w:rPr>
        <w:t xml:space="preserve"> </w:t>
      </w:r>
      <w:r w:rsidRPr="00863630">
        <w:rPr>
          <w:rFonts w:hint="cs"/>
          <w:bCs/>
          <w:rtl/>
        </w:rPr>
        <w:t>לעבירת</w:t>
      </w:r>
      <w:r w:rsidRPr="00863630">
        <w:rPr>
          <w:bCs/>
          <w:rtl/>
        </w:rPr>
        <w:t xml:space="preserve"> </w:t>
      </w:r>
      <w:r w:rsidRPr="00863630">
        <w:rPr>
          <w:rFonts w:hint="cs"/>
          <w:bCs/>
          <w:rtl/>
        </w:rPr>
        <w:t>הגידול</w:t>
      </w:r>
      <w:r w:rsidRPr="00863630">
        <w:rPr>
          <w:bCs/>
          <w:rtl/>
        </w:rPr>
        <w:t>,</w:t>
      </w:r>
    </w:p>
    <w:p w14:paraId="7C76034A" w14:textId="77777777" w:rsidR="00175A2A" w:rsidRDefault="00175A2A" w:rsidP="00175A2A">
      <w:pPr>
        <w:pStyle w:val="ListParagraph"/>
        <w:ind w:left="-58" w:firstLine="0"/>
        <w:contextualSpacing w:val="0"/>
        <w:rPr>
          <w:rtl/>
        </w:rPr>
      </w:pPr>
      <w:r>
        <w:rPr>
          <w:rFonts w:hint="cs"/>
          <w:rtl/>
        </w:rPr>
        <w:t>הורשע הנאשם גם בעבירה של החזקת סם שלא לצריכה עצמית. שכן, כאמור, בכתב האישום המתוקן מיוחסת לנאשם אך ורק עבירה אחת של גידול סם.</w:t>
      </w:r>
    </w:p>
    <w:p w14:paraId="56691C1A" w14:textId="77777777" w:rsidR="00175A2A" w:rsidRDefault="00175A2A" w:rsidP="00175A2A">
      <w:pPr>
        <w:pStyle w:val="ListParagraph"/>
        <w:numPr>
          <w:ilvl w:val="0"/>
          <w:numId w:val="2"/>
        </w:numPr>
        <w:ind w:left="-58"/>
        <w:contextualSpacing w:val="0"/>
      </w:pPr>
      <w:r>
        <w:rPr>
          <w:rFonts w:hint="cs"/>
          <w:b/>
          <w:bCs/>
          <w:rtl/>
        </w:rPr>
        <w:t>מחוות דעת הממונה על עבודות השירות</w:t>
      </w:r>
      <w:r>
        <w:rPr>
          <w:rFonts w:hint="cs"/>
          <w:rtl/>
        </w:rPr>
        <w:t xml:space="preserve">, שהתקבלה ביום 14.06.2017, עולה כי הנאשם כשיר ומתאים לביצוע עבודות שירות. </w:t>
      </w:r>
    </w:p>
    <w:p w14:paraId="1967F2C8" w14:textId="77777777" w:rsidR="00175A2A" w:rsidRDefault="00175A2A" w:rsidP="00175A2A">
      <w:pPr>
        <w:pStyle w:val="1"/>
        <w:numPr>
          <w:ilvl w:val="0"/>
          <w:numId w:val="1"/>
        </w:numPr>
        <w:spacing w:after="160" w:line="288" w:lineRule="auto"/>
        <w:jc w:val="both"/>
      </w:pPr>
      <w:r>
        <w:rPr>
          <w:rFonts w:cs="David" w:hint="cs"/>
          <w:rtl/>
        </w:rPr>
        <w:t>טיעוני הצדדים (עיקרי הדברים)</w:t>
      </w:r>
    </w:p>
    <w:p w14:paraId="43D99442" w14:textId="77777777" w:rsidR="00175A2A" w:rsidRDefault="00175A2A" w:rsidP="00175A2A">
      <w:pPr>
        <w:pStyle w:val="ListParagraph"/>
        <w:numPr>
          <w:ilvl w:val="0"/>
          <w:numId w:val="2"/>
        </w:numPr>
        <w:ind w:left="-58"/>
        <w:contextualSpacing w:val="0"/>
      </w:pPr>
      <w:r>
        <w:rPr>
          <w:rFonts w:hint="cs"/>
          <w:rtl/>
        </w:rPr>
        <w:t xml:space="preserve">בא כוח המאשימה עמד על חומרת המעשה המיוחס לנאשם; על הערכים המוגנים שנפגעו כתוצאה מכך; ועל הנסיבות שנלוו לביצוע העבירה, ובכלל זה למספר השתילים ולמשקל הסם. בהמשך, לאחר שהפנה לפסיקתו של בית משפט זה, עתר בא כוח המאשימה לקבוע מתחם עונש הולם הנע בין מאסר קצר, שניתן לרצותו בעבודות שירות, לבין 8 חודשי מאסר בפועל. בא כוח המאשימה ציין כי לא נעלמה מעיניו העובדה שלנאשם עבר פלילי נקי, שהוא לקח אחריות על מעשיו והשתלב בהליך טיפולי, אולם לטענתו, נתונים אלה צריכים להילקח בגדרי מתחם העונש, ואין בהם כדי להביא לסטייה הימנו. </w:t>
      </w:r>
    </w:p>
    <w:p w14:paraId="0D198B43" w14:textId="77777777" w:rsidR="00175A2A" w:rsidRDefault="00175A2A" w:rsidP="00175A2A">
      <w:pPr>
        <w:pStyle w:val="ListParagraph"/>
        <w:ind w:left="-58" w:firstLine="0"/>
        <w:contextualSpacing w:val="0"/>
      </w:pPr>
      <w:r>
        <w:rPr>
          <w:rFonts w:hint="cs"/>
          <w:rtl/>
        </w:rPr>
        <w:lastRenderedPageBreak/>
        <w:t>אשר לשאלת ההרשעה, נטען כי הנאשם אינו עומד בתנאים שנקבעו בפסיקת בית המשפט העליון בעניין זה, וזאת בשים לב, בין היתר, לחומרת העבירה המיוחסת לו ולכך שהוא לא הוכיח שייגרם לו נזק קונקרטי ככל שהרשעתו תיוותר על כנה.</w:t>
      </w:r>
    </w:p>
    <w:p w14:paraId="2800304E" w14:textId="77777777" w:rsidR="00175A2A" w:rsidRDefault="00175A2A" w:rsidP="00175A2A">
      <w:pPr>
        <w:pStyle w:val="ListParagraph"/>
        <w:numPr>
          <w:ilvl w:val="0"/>
          <w:numId w:val="2"/>
        </w:numPr>
        <w:ind w:left="-58"/>
        <w:contextualSpacing w:val="0"/>
      </w:pPr>
      <w:r>
        <w:rPr>
          <w:rFonts w:hint="cs"/>
          <w:rtl/>
        </w:rPr>
        <w:t>מנגד, בא כוח הנאשם הפנה לתסקיר החיובי שהוגש בעניינו של הנאשם; לכך שהוא עבר הליך טיפולי ונתרם ממנו; לנסיבות חייו; לעברו הפלילי הנקי; לעובדה כי הוא עובד בעבודה מסודרת ומפרנס את משפחתו בכבוד; לכך שהודה בביצוע העבירה והביע חרטה כנה על ביצועה; לכך שבשתילים לא נמצא סם פעיל; ולכך שגידל את הסמים לשימושו העצמי בלבד. לאור אלה, ולאחר שהפנה לפסיקה שונה מטעמו, ועל אף ששירות המבחן לא המליץ על כך, עתר הסנגור להימנע מהרשעתו של הנאשם, או לחילופין לאמץ את המלצתו העונשית של השירות.</w:t>
      </w:r>
    </w:p>
    <w:p w14:paraId="2A49E532" w14:textId="77777777" w:rsidR="00175A2A" w:rsidRDefault="00175A2A" w:rsidP="00175A2A">
      <w:pPr>
        <w:pStyle w:val="ListParagraph"/>
        <w:ind w:left="-58" w:firstLine="0"/>
        <w:contextualSpacing w:val="0"/>
      </w:pPr>
      <w:r>
        <w:rPr>
          <w:rFonts w:hint="cs"/>
          <w:rtl/>
        </w:rPr>
        <w:t>עוד במסגרת זו, הוגשו לעיונו של בית המשפט מכתב מאת מעסיקו של הנאשם, מכתב מאת שירותי הרווחה בעיריית קריית גת בעניינו של הנאשם ומשפחתו, ומסמכים רפואיים הנוגעים לרעייתו של הנאשם, שאת תוכנם לא אפרט כאן, אך אתייחס אליהם בהמשך (סומנו נ/1, נ/2 ו- נ/3, בהתאמה).</w:t>
      </w:r>
    </w:p>
    <w:p w14:paraId="6FEA863A" w14:textId="77777777" w:rsidR="00175A2A" w:rsidRDefault="00175A2A" w:rsidP="00175A2A">
      <w:pPr>
        <w:pStyle w:val="ListParagraph"/>
        <w:numPr>
          <w:ilvl w:val="0"/>
          <w:numId w:val="2"/>
        </w:numPr>
        <w:ind w:left="-58"/>
        <w:contextualSpacing w:val="0"/>
      </w:pPr>
      <w:r>
        <w:rPr>
          <w:rFonts w:hint="cs"/>
          <w:rtl/>
        </w:rPr>
        <w:t xml:space="preserve">הנאשם שקיבל את "זכות המילה האחרונה", מסר כי הוא מצטער על מעשיו והבטיח כי אלו לא יישנו עוד. </w:t>
      </w:r>
    </w:p>
    <w:p w14:paraId="132C61D3" w14:textId="77777777" w:rsidR="00175A2A" w:rsidRDefault="00175A2A" w:rsidP="00175A2A">
      <w:pPr>
        <w:pStyle w:val="1"/>
        <w:spacing w:after="160"/>
        <w:jc w:val="center"/>
      </w:pPr>
      <w:r>
        <w:rPr>
          <w:rFonts w:cs="David" w:hint="cs"/>
          <w:rtl/>
        </w:rPr>
        <w:t>דיון והכרעה</w:t>
      </w:r>
    </w:p>
    <w:p w14:paraId="28B18DC8" w14:textId="77777777" w:rsidR="00175A2A" w:rsidRDefault="00175A2A" w:rsidP="00175A2A">
      <w:pPr>
        <w:pStyle w:val="1"/>
        <w:numPr>
          <w:ilvl w:val="0"/>
          <w:numId w:val="1"/>
        </w:numPr>
        <w:spacing w:after="160" w:line="288" w:lineRule="auto"/>
        <w:jc w:val="both"/>
      </w:pPr>
      <w:r>
        <w:rPr>
          <w:rFonts w:cs="David" w:hint="cs"/>
          <w:rtl/>
        </w:rPr>
        <w:t>הערכים המוגנים שנפגעו, מידת הפגיעה בהם, ונסיבות ביצוע העבירות</w:t>
      </w:r>
    </w:p>
    <w:p w14:paraId="3E98F8FD" w14:textId="77777777" w:rsidR="00175A2A" w:rsidRDefault="00175A2A" w:rsidP="00175A2A">
      <w:pPr>
        <w:pStyle w:val="ListParagraph"/>
        <w:numPr>
          <w:ilvl w:val="0"/>
          <w:numId w:val="2"/>
        </w:numPr>
        <w:ind w:left="-58"/>
        <w:contextualSpacing w:val="0"/>
      </w:pPr>
      <w:r>
        <w:rPr>
          <w:rFonts w:hint="cs"/>
          <w:rtl/>
        </w:rPr>
        <w:t xml:space="preserve">הגם שההגנה לא חלקה בטיעוניה על המתחם שאותו בא כוח המאשימה עתר לקבוע, אדרש ראשית חוכמה לעניין זה. </w:t>
      </w:r>
    </w:p>
    <w:p w14:paraId="0D94D8C1" w14:textId="77777777" w:rsidR="00175A2A" w:rsidRDefault="00175A2A" w:rsidP="00175A2A">
      <w:pPr>
        <w:pStyle w:val="ListParagraph"/>
        <w:numPr>
          <w:ilvl w:val="0"/>
          <w:numId w:val="2"/>
        </w:numPr>
        <w:ind w:left="-58"/>
        <w:contextualSpacing w:val="0"/>
      </w:pPr>
      <w:r>
        <w:rPr>
          <w:rFonts w:hint="cs"/>
          <w:rtl/>
        </w:rPr>
        <w:t xml:space="preserve">כאמור </w:t>
      </w:r>
      <w:hyperlink r:id="rId18" w:history="1">
        <w:r w:rsidR="0017558A" w:rsidRPr="0017558A">
          <w:rPr>
            <w:rFonts w:hint="cs"/>
            <w:color w:val="0000FF"/>
            <w:u w:val="single"/>
            <w:rtl/>
          </w:rPr>
          <w:t>בסעיף</w:t>
        </w:r>
        <w:r w:rsidR="0017558A" w:rsidRPr="0017558A">
          <w:rPr>
            <w:color w:val="0000FF"/>
            <w:u w:val="single"/>
            <w:rtl/>
          </w:rPr>
          <w:t xml:space="preserve"> 40</w:t>
        </w:r>
        <w:r w:rsidR="0017558A" w:rsidRPr="0017558A">
          <w:rPr>
            <w:rFonts w:hint="cs"/>
            <w:color w:val="0000FF"/>
            <w:u w:val="single"/>
            <w:rtl/>
          </w:rPr>
          <w:t>ג</w:t>
        </w:r>
        <w:r w:rsidR="0017558A" w:rsidRPr="0017558A">
          <w:rPr>
            <w:color w:val="0000FF"/>
            <w:u w:val="single"/>
            <w:rtl/>
          </w:rPr>
          <w:t>(</w:t>
        </w:r>
        <w:r w:rsidR="0017558A" w:rsidRPr="0017558A">
          <w:rPr>
            <w:rFonts w:hint="cs"/>
            <w:color w:val="0000FF"/>
            <w:u w:val="single"/>
            <w:rtl/>
          </w:rPr>
          <w:t>א</w:t>
        </w:r>
        <w:r w:rsidR="0017558A" w:rsidRPr="0017558A">
          <w:rPr>
            <w:color w:val="0000FF"/>
            <w:u w:val="single"/>
            <w:rtl/>
          </w:rPr>
          <w:t>)</w:t>
        </w:r>
      </w:hyperlink>
      <w:r>
        <w:rPr>
          <w:rFonts w:hint="cs"/>
          <w:rtl/>
        </w:rPr>
        <w:t xml:space="preserve"> ל</w:t>
      </w:r>
      <w:hyperlink r:id="rId19" w:history="1">
        <w:r w:rsidR="00863630" w:rsidRPr="00863630">
          <w:rPr>
            <w:rFonts w:hint="cs"/>
            <w:color w:val="0000FF"/>
            <w:u w:val="single"/>
            <w:rtl/>
          </w:rPr>
          <w:t>חוק</w:t>
        </w:r>
        <w:r w:rsidR="00863630" w:rsidRPr="00863630">
          <w:rPr>
            <w:color w:val="0000FF"/>
            <w:u w:val="single"/>
            <w:rtl/>
          </w:rPr>
          <w:t xml:space="preserve"> </w:t>
        </w:r>
        <w:r w:rsidR="00863630" w:rsidRPr="00863630">
          <w:rPr>
            <w:rFonts w:hint="cs"/>
            <w:color w:val="0000FF"/>
            <w:u w:val="single"/>
            <w:rtl/>
          </w:rPr>
          <w:t>העונשין</w:t>
        </w:r>
      </w:hyperlink>
      <w:r>
        <w:rPr>
          <w:rFonts w:hint="cs"/>
          <w:rtl/>
        </w:rPr>
        <w:t xml:space="preserve">, התשל"ז-1977 (להלן: </w:t>
      </w:r>
      <w:r>
        <w:rPr>
          <w:rFonts w:hint="cs"/>
          <w:b/>
          <w:bCs/>
          <w:rtl/>
        </w:rPr>
        <w:t>"חוק העונשין"</w:t>
      </w:r>
      <w:r>
        <w:rPr>
          <w:rFonts w:hint="cs"/>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224C2B99" w14:textId="77777777" w:rsidR="00175A2A" w:rsidRDefault="00175A2A" w:rsidP="00175A2A">
      <w:pPr>
        <w:pStyle w:val="ListParagraph"/>
        <w:numPr>
          <w:ilvl w:val="0"/>
          <w:numId w:val="2"/>
        </w:numPr>
        <w:ind w:left="-58"/>
        <w:contextualSpacing w:val="0"/>
      </w:pPr>
      <w:r>
        <w:rPr>
          <w:rFonts w:hint="cs"/>
          <w:rtl/>
        </w:rPr>
        <w:t xml:space="preserve">אשר </w:t>
      </w:r>
      <w:r>
        <w:rPr>
          <w:rFonts w:hint="cs"/>
          <w:b/>
          <w:bCs/>
          <w:rtl/>
        </w:rPr>
        <w:t>לערכים החברתיים המוגנים</w:t>
      </w:r>
      <w:r>
        <w:rPr>
          <w:rFonts w:hint="cs"/>
          <w:rtl/>
        </w:rPr>
        <w:t xml:space="preserve"> שנפגעו כתוצאה ממעשיו של הנאשם, נדמה כי אין צורך להכביר מילים בנוגע לחומרה הרבה הכרוכה בעבירות הסמים, ויעידו על כך עונשי המאסר הארוכים שנקבעו בצדן. </w:t>
      </w:r>
      <w:hyperlink r:id="rId20" w:history="1">
        <w:r w:rsidR="00863630" w:rsidRPr="00863630">
          <w:rPr>
            <w:rFonts w:hint="cs"/>
            <w:color w:val="0000FF"/>
            <w:u w:val="single"/>
            <w:rtl/>
          </w:rPr>
          <w:t>פקודת</w:t>
        </w:r>
        <w:r w:rsidR="00863630" w:rsidRPr="00863630">
          <w:rPr>
            <w:color w:val="0000FF"/>
            <w:u w:val="single"/>
            <w:rtl/>
          </w:rPr>
          <w:t xml:space="preserve"> </w:t>
        </w:r>
        <w:r w:rsidR="00863630" w:rsidRPr="00863630">
          <w:rPr>
            <w:rFonts w:hint="cs"/>
            <w:color w:val="0000FF"/>
            <w:u w:val="single"/>
            <w:rtl/>
          </w:rPr>
          <w:t>הסמים</w:t>
        </w:r>
        <w:r w:rsidR="00863630" w:rsidRPr="00863630">
          <w:rPr>
            <w:color w:val="0000FF"/>
            <w:u w:val="single"/>
            <w:rtl/>
          </w:rPr>
          <w:t xml:space="preserve"> </w:t>
        </w:r>
        <w:r w:rsidR="00863630" w:rsidRPr="00863630">
          <w:rPr>
            <w:rFonts w:hint="cs"/>
            <w:color w:val="0000FF"/>
            <w:u w:val="single"/>
            <w:rtl/>
          </w:rPr>
          <w:t>המסוכנים</w:t>
        </w:r>
      </w:hyperlink>
      <w:r>
        <w:rPr>
          <w:rFonts w:hint="cs"/>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w:t>
      </w:r>
    </w:p>
    <w:p w14:paraId="5F314AFF" w14:textId="77777777" w:rsidR="00175A2A" w:rsidRDefault="00175A2A" w:rsidP="00175A2A">
      <w:pPr>
        <w:pStyle w:val="ListParagraph"/>
        <w:ind w:left="-58" w:firstLine="0"/>
        <w:contextualSpacing w:val="0"/>
      </w:pPr>
      <w:r>
        <w:rPr>
          <w:rFonts w:hint="cs"/>
          <w:rtl/>
        </w:rPr>
        <w:t xml:space="preserve">אשר לעבירות של גידול סמים בפרט, הרי שאלו הפכו ל"מכת מדינה" של ממש, ויש ליתן את הדעת בעניין זה, בין היתר, לקלות שבה מבוצעות עבירות אלו ולקושי הרב בו נתקלות רשויות אכיפת החוק באיתור העבריינים (ראו בעניין זה דבריו של בית המשפט המחוזי בתל אביב יפו </w:t>
      </w:r>
      <w:r>
        <w:rPr>
          <w:rFonts w:hint="cs"/>
          <w:u w:val="single"/>
          <w:rtl/>
        </w:rPr>
        <w:t>ב</w:t>
      </w:r>
      <w:hyperlink r:id="rId21" w:history="1">
        <w:r w:rsidR="00863630" w:rsidRPr="00863630">
          <w:rPr>
            <w:rFonts w:hint="cs"/>
            <w:color w:val="0000FF"/>
            <w:u w:val="single"/>
            <w:rtl/>
          </w:rPr>
          <w:t>עפ</w:t>
        </w:r>
        <w:r w:rsidR="00863630" w:rsidRPr="00863630">
          <w:rPr>
            <w:color w:val="0000FF"/>
            <w:u w:val="single"/>
            <w:rtl/>
          </w:rPr>
          <w:t>"</w:t>
        </w:r>
        <w:r w:rsidR="00863630" w:rsidRPr="00863630">
          <w:rPr>
            <w:rFonts w:hint="cs"/>
            <w:color w:val="0000FF"/>
            <w:u w:val="single"/>
            <w:rtl/>
          </w:rPr>
          <w:t>ג</w:t>
        </w:r>
        <w:r w:rsidR="00863630" w:rsidRPr="00863630">
          <w:rPr>
            <w:color w:val="0000FF"/>
            <w:u w:val="single"/>
            <w:rtl/>
          </w:rPr>
          <w:t xml:space="preserve"> (</w:t>
        </w:r>
        <w:r w:rsidR="00863630" w:rsidRPr="00863630">
          <w:rPr>
            <w:rFonts w:hint="cs"/>
            <w:color w:val="0000FF"/>
            <w:u w:val="single"/>
            <w:rtl/>
          </w:rPr>
          <w:t>מחוזי</w:t>
        </w:r>
        <w:r w:rsidR="00863630" w:rsidRPr="00863630">
          <w:rPr>
            <w:color w:val="0000FF"/>
            <w:u w:val="single"/>
            <w:rtl/>
          </w:rPr>
          <w:t xml:space="preserve"> </w:t>
        </w:r>
        <w:r w:rsidR="00863630" w:rsidRPr="00863630">
          <w:rPr>
            <w:rFonts w:hint="cs"/>
            <w:color w:val="0000FF"/>
            <w:u w:val="single"/>
            <w:rtl/>
          </w:rPr>
          <w:t>תל</w:t>
        </w:r>
        <w:r w:rsidR="00863630" w:rsidRPr="00863630">
          <w:rPr>
            <w:color w:val="0000FF"/>
            <w:u w:val="single"/>
            <w:rtl/>
          </w:rPr>
          <w:t xml:space="preserve"> </w:t>
        </w:r>
        <w:r w:rsidR="00863630" w:rsidRPr="00863630">
          <w:rPr>
            <w:rFonts w:hint="cs"/>
            <w:color w:val="0000FF"/>
            <w:u w:val="single"/>
            <w:rtl/>
          </w:rPr>
          <w:t>אביב</w:t>
        </w:r>
        <w:r w:rsidR="00863630" w:rsidRPr="00863630">
          <w:rPr>
            <w:color w:val="0000FF"/>
            <w:u w:val="single"/>
            <w:rtl/>
          </w:rPr>
          <w:t xml:space="preserve"> </w:t>
        </w:r>
        <w:r w:rsidR="00863630" w:rsidRPr="00863630">
          <w:rPr>
            <w:rFonts w:hint="cs"/>
            <w:color w:val="0000FF"/>
            <w:u w:val="single"/>
            <w:rtl/>
          </w:rPr>
          <w:t>יפו</w:t>
        </w:r>
        <w:r w:rsidR="00863630" w:rsidRPr="00863630">
          <w:rPr>
            <w:color w:val="0000FF"/>
            <w:u w:val="single"/>
            <w:rtl/>
          </w:rPr>
          <w:t>) 42358-10-14</w:t>
        </w:r>
      </w:hyperlink>
      <w:r>
        <w:rPr>
          <w:rFonts w:hint="cs"/>
          <w:rtl/>
        </w:rPr>
        <w:t xml:space="preserve"> </w:t>
      </w:r>
      <w:r>
        <w:rPr>
          <w:rFonts w:hint="cs"/>
          <w:b/>
          <w:bCs/>
          <w:rtl/>
        </w:rPr>
        <w:t>אבי גיא נ' מדינת ישראל</w:t>
      </w:r>
      <w:r>
        <w:rPr>
          <w:rFonts w:hint="cs"/>
          <w:rtl/>
        </w:rPr>
        <w:t xml:space="preserve">, (18.02.2015) (להלן: </w:t>
      </w:r>
      <w:r>
        <w:rPr>
          <w:rFonts w:hint="cs"/>
          <w:b/>
          <w:bCs/>
          <w:rtl/>
        </w:rPr>
        <w:t>"עניין גיא"</w:t>
      </w:r>
      <w:r>
        <w:rPr>
          <w:rFonts w:hint="cs"/>
          <w:rtl/>
        </w:rPr>
        <w:t>)).</w:t>
      </w:r>
    </w:p>
    <w:p w14:paraId="0116FE3E" w14:textId="77777777" w:rsidR="00175A2A" w:rsidRDefault="00175A2A" w:rsidP="00175A2A">
      <w:pPr>
        <w:pStyle w:val="ListParagraph"/>
        <w:numPr>
          <w:ilvl w:val="0"/>
          <w:numId w:val="2"/>
        </w:numPr>
        <w:ind w:left="-58"/>
        <w:contextualSpacing w:val="0"/>
        <w:rPr>
          <w:rtl/>
        </w:rPr>
      </w:pPr>
      <w:r>
        <w:rPr>
          <w:rFonts w:hint="cs"/>
          <w:rtl/>
        </w:rPr>
        <w:t xml:space="preserve">במקרה הנדון, בשים לב מצד אחד, לכמות השתילים ומשקל הסם שגידל הנאשם; ומצד שני, לאור העובדה שהנאשם לא השתמש בציוד רב או מתוחכם לשם ביצוע העבירה; ולנוכח יתר הנסיבות הקשורות בביצוע העבירות, כפי שיפורט להלן, מצאתי כי </w:t>
      </w:r>
      <w:r>
        <w:rPr>
          <w:rFonts w:hint="cs"/>
          <w:b/>
          <w:bCs/>
          <w:rtl/>
        </w:rPr>
        <w:t>מידת הפגיעה בערכים המוגנים</w:t>
      </w:r>
      <w:r>
        <w:rPr>
          <w:rFonts w:hint="cs"/>
          <w:rtl/>
        </w:rPr>
        <w:t xml:space="preserve"> במקרה הנדון מצויה ברף הבינוני.</w:t>
      </w:r>
    </w:p>
    <w:p w14:paraId="6A244FB0" w14:textId="77777777" w:rsidR="00175A2A" w:rsidRDefault="00175A2A" w:rsidP="00175A2A">
      <w:pPr>
        <w:pStyle w:val="ListParagraph"/>
        <w:numPr>
          <w:ilvl w:val="0"/>
          <w:numId w:val="2"/>
        </w:numPr>
        <w:ind w:left="-58"/>
        <w:contextualSpacing w:val="0"/>
      </w:pPr>
      <w:r>
        <w:rPr>
          <w:rFonts w:hint="cs"/>
          <w:rtl/>
        </w:rPr>
        <w:t xml:space="preserve">בבחינת </w:t>
      </w:r>
      <w:r>
        <w:rPr>
          <w:rFonts w:hint="cs"/>
          <w:b/>
          <w:bCs/>
          <w:rtl/>
        </w:rPr>
        <w:t>הנסיבות הקשורות בביצוע העבירות</w:t>
      </w:r>
      <w:r>
        <w:rPr>
          <w:rFonts w:hint="cs"/>
          <w:rtl/>
        </w:rPr>
        <w:t>, נתתי דעתי לסוג הסם שהנאשם גידל והחזיק, כאשר עסקינן בסם הקנבוס שנמנה עם "הסמים הקלים", ואינו מצוי במדרג חומרה גבוה מבין הסמים השונים (והדברים נאמרים מבלי להקל ראש בנזקים שגם סם "קל" זה עלול להסב לנאשם ולסביבתו). עוד יש ליתן את הדעת לכך שנאשם גידל 8 שתילים במשקל של 1.65 ק"ג נטו, משקל שאיננו נמוך כל עיקר.</w:t>
      </w:r>
    </w:p>
    <w:p w14:paraId="0E11F180" w14:textId="77777777" w:rsidR="00175A2A" w:rsidRDefault="00175A2A" w:rsidP="00175A2A">
      <w:pPr>
        <w:pStyle w:val="ListParagraph"/>
        <w:ind w:left="-58" w:firstLine="0"/>
        <w:contextualSpacing w:val="0"/>
      </w:pPr>
      <w:r>
        <w:rPr>
          <w:rFonts w:hint="cs"/>
          <w:rtl/>
        </w:rPr>
        <w:t>מנגד ולקולא, נתתי דעתי לכך שלמעט אדניות, הנאשם לא החזיק בכלים וחומרים מיוחדים המשמשים בדרך כלל את מעבדות הסמים המאולתרות, כגון חומרי דישון, נורות, מאווררים, צינורות נירוסטה, מדחומים דיגיטליים וכיוצא באלה. הגם שבאופן אינהרנטי כמעט, עבירות הגידול דורשות תכנון מוקדם ברמה כזו או אחרת, הרי שבמקרה הנדון, כאמור, אין עסקינן בנאשם שהצטייד מבעוד מועד בציוד מיוחד כזה או אחר לצורך גידול הסמים, לא ייחד חדר מסוים בדירתו כדי שישמש אותו לצורך הגידול, ובוודאי שלא שכר דירה או מקום אחר לשם כך בלבד.</w:t>
      </w:r>
    </w:p>
    <w:p w14:paraId="616A8348" w14:textId="77777777" w:rsidR="00175A2A" w:rsidRDefault="00175A2A" w:rsidP="00175A2A">
      <w:pPr>
        <w:pStyle w:val="ListParagraph"/>
        <w:ind w:left="-58" w:firstLine="0"/>
        <w:contextualSpacing w:val="0"/>
        <w:rPr>
          <w:rtl/>
        </w:rPr>
      </w:pPr>
      <w:r>
        <w:rPr>
          <w:rFonts w:hint="cs"/>
          <w:rtl/>
        </w:rPr>
        <w:t xml:space="preserve">אשר לסיבות שהביאו את הנאשם לבצע את העבירה, הלה טען בשירות המבחן כי זו בוצעה על רקע התמכרותו וכדי להימנע ממגע עם סוחרי סמים ולהקטין את עלויות קניית הסם. ואכן, בכתב האישום המתוקן לא נטען כי הנאשם גידל את הסמים שלא לצריכתו העצמית. משכך, ובהיעדר אינדיקציה אחרת, יש לפרש את מכלול הנסיבות בדרך המקלה עם הנאשם, ולראות בסמים שגידל ככאלו שנועדו לצריכתו העצמית בלבד (ראו והשוו דברים שנאמרו </w:t>
      </w:r>
      <w:r>
        <w:rPr>
          <w:rFonts w:hint="cs"/>
          <w:b/>
          <w:bCs/>
          <w:rtl/>
        </w:rPr>
        <w:t>בפרשת גיא</w:t>
      </w:r>
      <w:r>
        <w:rPr>
          <w:rFonts w:hint="cs"/>
          <w:rtl/>
        </w:rPr>
        <w:t xml:space="preserve"> שהוזכרה לעיל; ו</w:t>
      </w:r>
      <w:r>
        <w:rPr>
          <w:rFonts w:hint="cs"/>
          <w:u w:val="single"/>
          <w:rtl/>
        </w:rPr>
        <w:t>ב</w:t>
      </w:r>
      <w:hyperlink r:id="rId22" w:history="1">
        <w:r w:rsidR="00863630" w:rsidRPr="00863630">
          <w:rPr>
            <w:rFonts w:hint="cs"/>
            <w:color w:val="0000FF"/>
            <w:u w:val="single"/>
            <w:rtl/>
          </w:rPr>
          <w:t>עפ</w:t>
        </w:r>
        <w:r w:rsidR="00863630" w:rsidRPr="00863630">
          <w:rPr>
            <w:color w:val="0000FF"/>
            <w:u w:val="single"/>
            <w:rtl/>
          </w:rPr>
          <w:t>"</w:t>
        </w:r>
        <w:r w:rsidR="00863630" w:rsidRPr="00863630">
          <w:rPr>
            <w:rFonts w:hint="cs"/>
            <w:color w:val="0000FF"/>
            <w:u w:val="single"/>
            <w:rtl/>
          </w:rPr>
          <w:t>ג</w:t>
        </w:r>
        <w:r w:rsidR="00863630" w:rsidRPr="00863630">
          <w:rPr>
            <w:color w:val="0000FF"/>
            <w:u w:val="single"/>
            <w:rtl/>
          </w:rPr>
          <w:t xml:space="preserve"> (</w:t>
        </w:r>
        <w:r w:rsidR="00863630" w:rsidRPr="00863630">
          <w:rPr>
            <w:rFonts w:hint="cs"/>
            <w:color w:val="0000FF"/>
            <w:u w:val="single"/>
            <w:rtl/>
          </w:rPr>
          <w:t>מחוזי</w:t>
        </w:r>
        <w:r w:rsidR="00863630" w:rsidRPr="00863630">
          <w:rPr>
            <w:color w:val="0000FF"/>
            <w:u w:val="single"/>
            <w:rtl/>
          </w:rPr>
          <w:t xml:space="preserve"> </w:t>
        </w:r>
        <w:r w:rsidR="00863630" w:rsidRPr="00863630">
          <w:rPr>
            <w:rFonts w:hint="cs"/>
            <w:color w:val="0000FF"/>
            <w:u w:val="single"/>
            <w:rtl/>
          </w:rPr>
          <w:t>חיפה</w:t>
        </w:r>
        <w:r w:rsidR="00863630" w:rsidRPr="00863630">
          <w:rPr>
            <w:color w:val="0000FF"/>
            <w:u w:val="single"/>
            <w:rtl/>
          </w:rPr>
          <w:t>) 28110-10-15</w:t>
        </w:r>
      </w:hyperlink>
      <w:r>
        <w:rPr>
          <w:rFonts w:hint="cs"/>
          <w:rtl/>
        </w:rPr>
        <w:t xml:space="preserve"> </w:t>
      </w:r>
      <w:r>
        <w:rPr>
          <w:rFonts w:hint="cs"/>
          <w:b/>
          <w:bCs/>
          <w:rtl/>
        </w:rPr>
        <w:t>מדינת ישראל נ' עידן דוד</w:t>
      </w:r>
      <w:r>
        <w:rPr>
          <w:rFonts w:hint="cs"/>
          <w:rtl/>
        </w:rPr>
        <w:t>, (17.12.2015)). אמנם אין בכך כדי להצדיק את ביצוע העבירה, אך ברי כי אין דינו של אדם אשר מגדל סמים כדי למכור אותם לכל המבקש ולהפיצם בציבור כדין אדם שמגדל סמים בביתו אך כדי להימנע ממגע עם סוחרי סמים ועל מנת לחסוך בסכום אותו הוא נדרש לבזבז כדי לספק את התמכרותו.</w:t>
      </w:r>
    </w:p>
    <w:p w14:paraId="4E3B3B72" w14:textId="77777777" w:rsidR="00175A2A" w:rsidRDefault="00175A2A" w:rsidP="00175A2A">
      <w:pPr>
        <w:spacing w:after="160" w:line="360" w:lineRule="auto"/>
        <w:jc w:val="both"/>
        <w:rPr>
          <w:rtl/>
        </w:rPr>
      </w:pPr>
      <w:r>
        <w:rPr>
          <w:rFonts w:hint="cs"/>
          <w:rtl/>
        </w:rPr>
        <w:t>בנוסף, נתתי דעתי לכך שכתוצאה ממעשיו של הנאשם לא נגרם נזק ישיר וממשי כלשהו (בהמשך, אתייחס לטענה בדבר המצב הרפואי שאליו נקלעה רעייתו של הנאשם כתוצאה ממעצרו).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כך,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גם אותו נזק פוטנציאלי הטמון בעבירות הסמים השונות.</w:t>
      </w:r>
    </w:p>
    <w:p w14:paraId="51645988" w14:textId="77777777" w:rsidR="00175A2A" w:rsidRDefault="00175A2A" w:rsidP="00175A2A">
      <w:pPr>
        <w:spacing w:after="160" w:line="360" w:lineRule="auto"/>
        <w:jc w:val="both"/>
        <w:rPr>
          <w:rtl/>
        </w:rPr>
      </w:pPr>
      <w:r>
        <w:rPr>
          <w:rFonts w:hint="cs"/>
          <w:rtl/>
        </w:rPr>
        <w:t xml:space="preserve">בשולי נקודה זו, אציין כי טענת ההגנה לפיה בשתילים שגידל הנאשם לא נמצא סם פעיל, וכי המדובר בענפים וגזעים בלבד (עמ' 8, שורות 15-14 לפרוטוקול) לא הוכחה כדבעי, והיא אף חותרת במידה רבה תחת הודאתו של הנאשם בכתב האישום המתוקן. כפי הידוע, מקום בו נאשם מודה בעובדות כתב האישום, שומה על בית המשפט לגזור את דינו אך ורק על יסוד העובדות והנסיבות המפורטות בו, אלא אם מתקיימים תנאיו של </w:t>
      </w:r>
      <w:hyperlink r:id="rId23" w:history="1">
        <w:r w:rsidR="0017558A" w:rsidRPr="0017558A">
          <w:rPr>
            <w:color w:val="0000FF"/>
            <w:u w:val="single"/>
            <w:rtl/>
          </w:rPr>
          <w:t>סעיף 40י</w:t>
        </w:r>
      </w:hyperlink>
      <w:r>
        <w:rPr>
          <w:rFonts w:hint="cs"/>
          <w:rtl/>
        </w:rPr>
        <w:t xml:space="preserve"> ל</w:t>
      </w:r>
      <w:hyperlink r:id="rId24" w:history="1">
        <w:r w:rsidR="00863630" w:rsidRPr="00863630">
          <w:rPr>
            <w:color w:val="0000FF"/>
            <w:u w:val="single"/>
            <w:rtl/>
          </w:rPr>
          <w:t>חוק העונשין</w:t>
        </w:r>
      </w:hyperlink>
      <w:r>
        <w:rPr>
          <w:rFonts w:hint="cs"/>
          <w:rtl/>
        </w:rPr>
        <w:t xml:space="preserve"> (ראו למשל, </w:t>
      </w:r>
      <w:hyperlink r:id="rId25" w:history="1">
        <w:r w:rsidR="00863630" w:rsidRPr="00863630">
          <w:rPr>
            <w:color w:val="0000FF"/>
            <w:u w:val="single"/>
            <w:rtl/>
          </w:rPr>
          <w:t>ע"פ 677/14</w:t>
        </w:r>
      </w:hyperlink>
      <w:r>
        <w:rPr>
          <w:rFonts w:hint="cs"/>
          <w:rtl/>
        </w:rPr>
        <w:t xml:space="preserve"> </w:t>
      </w:r>
      <w:r>
        <w:rPr>
          <w:rFonts w:hint="cs"/>
          <w:b/>
          <w:bCs/>
          <w:rtl/>
        </w:rPr>
        <w:t>דנקנר נ' מדינת ישראל</w:t>
      </w:r>
      <w:r>
        <w:rPr>
          <w:rFonts w:hint="cs"/>
          <w:rtl/>
        </w:rPr>
        <w:t xml:space="preserve">, (17.07.2014); </w:t>
      </w:r>
      <w:hyperlink r:id="rId26" w:history="1">
        <w:r w:rsidR="00863630" w:rsidRPr="00863630">
          <w:rPr>
            <w:color w:val="0000FF"/>
            <w:u w:val="single"/>
            <w:rtl/>
          </w:rPr>
          <w:t>ע"פ 7349/14</w:t>
        </w:r>
      </w:hyperlink>
      <w:r>
        <w:rPr>
          <w:rFonts w:hint="cs"/>
          <w:rtl/>
        </w:rPr>
        <w:t xml:space="preserve"> </w:t>
      </w:r>
      <w:r>
        <w:rPr>
          <w:rFonts w:hint="cs"/>
          <w:b/>
          <w:bCs/>
          <w:rtl/>
        </w:rPr>
        <w:t>מדינת ישראל נ' פלונית</w:t>
      </w:r>
      <w:r>
        <w:rPr>
          <w:rFonts w:hint="cs"/>
          <w:rtl/>
        </w:rPr>
        <w:t xml:space="preserve">, (14.05.2015)). ואולם כאמור, במקרה הנדון ההגנה לא הביאה ולו בדל ראיה כדי לתמוך בטענה האמורה, ואף אפנה לתוספת הראשונה לפקודה, שם מוגדר ה"קנבוס" </w:t>
      </w:r>
      <w:r>
        <w:rPr>
          <w:rFonts w:hint="cs"/>
          <w:b/>
          <w:bCs/>
          <w:rtl/>
        </w:rPr>
        <w:t>כ"כל צמח מהסוג קנבוס (</w:t>
      </w:r>
      <w:r>
        <w:rPr>
          <w:b/>
          <w:bCs/>
        </w:rPr>
        <w:t>Cannabis</w:t>
      </w:r>
      <w:r>
        <w:rPr>
          <w:rFonts w:hint="cs"/>
          <w:b/>
          <w:bCs/>
          <w:rtl/>
        </w:rPr>
        <w:t xml:space="preserve">) </w:t>
      </w:r>
      <w:r>
        <w:rPr>
          <w:rFonts w:hint="cs"/>
          <w:b/>
          <w:bCs/>
          <w:u w:val="single"/>
          <w:rtl/>
        </w:rPr>
        <w:t>וכל חלק ממנו, לרבות שרשיו</w:t>
      </w:r>
      <w:r>
        <w:rPr>
          <w:rFonts w:hint="cs"/>
          <w:b/>
          <w:bCs/>
          <w:rtl/>
        </w:rPr>
        <w:t xml:space="preserve"> אך למעט שמן המופק מזרעיו"</w:t>
      </w:r>
      <w:r>
        <w:rPr>
          <w:rFonts w:hint="cs"/>
          <w:rtl/>
        </w:rPr>
        <w:t xml:space="preserve">. ככל שהיו לנאשם טענות כאלה או אחרות הנוגעות להיעדרו של סם פעיל בשתילים שגודלו על ידו, כי אז הייתה פתוחה בפניו הדרך לנהל את התיק ולהביא ראיות שיוכיחו טענות אלו. משלא עשה כן, נותר לנגד עיניו של בית המשפט כתב האישום המתוקן בלבד, ולכן לא אייחס משקל לטענה האמורה. </w:t>
      </w:r>
    </w:p>
    <w:p w14:paraId="11CB9D70" w14:textId="77777777" w:rsidR="00175A2A" w:rsidRDefault="00175A2A" w:rsidP="00175A2A">
      <w:pPr>
        <w:pStyle w:val="ListParagraph"/>
        <w:numPr>
          <w:ilvl w:val="0"/>
          <w:numId w:val="2"/>
        </w:numPr>
        <w:ind w:left="-58"/>
        <w:contextualSpacing w:val="0"/>
        <w:rPr>
          <w:rtl/>
        </w:rPr>
      </w:pPr>
      <w:r>
        <w:rPr>
          <w:rFonts w:hint="cs"/>
          <w:b/>
          <w:bCs/>
          <w:rtl/>
        </w:rPr>
        <w:t>מדיניות הענישה</w:t>
      </w:r>
      <w:r>
        <w:rPr>
          <w:rFonts w:hint="cs"/>
          <w:rtl/>
        </w:rPr>
        <w:t xml:space="preserve"> בעבירת הגידול מתחשבת בצורך במאבק בנגע הסמים המסוכנים בכלל, ובתופעת הקמת המעבדות הביתיות ההולכת וצוברת תאוצה בשנים האחרונות בפרט. בחינת מדיניות הענישה הנוהגת, מעלה כי במקרים דומים שבהם דובר בנאשמים שגידלו סם מסוג קנבוס במשקל הנמדד בקילוגרמים בודדים, מושתים </w:t>
      </w:r>
      <w:r>
        <w:rPr>
          <w:rFonts w:hint="cs"/>
          <w:b/>
          <w:bCs/>
          <w:rtl/>
        </w:rPr>
        <w:t>על דרך הכלל</w:t>
      </w:r>
      <w:r>
        <w:rPr>
          <w:rFonts w:hint="cs"/>
          <w:rtl/>
        </w:rPr>
        <w:t xml:space="preserve"> עונשים הנעים על פני מנעד שתחילתו במספר חודשי מאסר, לרוב לריצוי בעבודות שירות, וסופו בתקופות מאסר היכולות להגיע לכדי מספר דו ספרתי של חודשים. </w:t>
      </w:r>
    </w:p>
    <w:p w14:paraId="4B637BCC" w14:textId="77777777" w:rsidR="00175A2A" w:rsidRDefault="00175A2A" w:rsidP="00175A2A">
      <w:pPr>
        <w:pStyle w:val="ListParagraph"/>
        <w:ind w:left="-58" w:firstLine="0"/>
        <w:contextualSpacing w:val="0"/>
      </w:pPr>
      <w:r>
        <w:rPr>
          <w:rFonts w:hint="cs"/>
          <w:rtl/>
        </w:rPr>
        <w:t xml:space="preserve">כך למשל, ראו מתחמי הענישה והעונשים שהושתו </w:t>
      </w:r>
      <w:r>
        <w:rPr>
          <w:rFonts w:hint="cs"/>
          <w:u w:val="single"/>
          <w:rtl/>
        </w:rPr>
        <w:t>ב</w:t>
      </w:r>
      <w:hyperlink r:id="rId27" w:history="1">
        <w:r w:rsidR="00863630" w:rsidRPr="00863630">
          <w:rPr>
            <w:rFonts w:hint="cs"/>
            <w:color w:val="0000FF"/>
            <w:u w:val="single"/>
            <w:rtl/>
          </w:rPr>
          <w:t>רע</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314/16</w:t>
        </w:r>
      </w:hyperlink>
      <w:r>
        <w:rPr>
          <w:rFonts w:hint="cs"/>
          <w:rtl/>
        </w:rPr>
        <w:t xml:space="preserve"> </w:t>
      </w:r>
      <w:r>
        <w:rPr>
          <w:rFonts w:hint="cs"/>
          <w:b/>
          <w:bCs/>
          <w:rtl/>
        </w:rPr>
        <w:t>גיא בן צבי נ' מדינת ישראל</w:t>
      </w:r>
      <w:r>
        <w:rPr>
          <w:rFonts w:hint="cs"/>
          <w:rtl/>
        </w:rPr>
        <w:t xml:space="preserve">, (22.02.2016); </w:t>
      </w:r>
      <w:hyperlink r:id="rId28" w:history="1">
        <w:r w:rsidR="00863630" w:rsidRPr="00863630">
          <w:rPr>
            <w:rFonts w:hint="cs"/>
            <w:color w:val="0000FF"/>
            <w:u w:val="single"/>
            <w:rtl/>
          </w:rPr>
          <w:t>רע</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7005/14</w:t>
        </w:r>
      </w:hyperlink>
      <w:r>
        <w:rPr>
          <w:rFonts w:hint="cs"/>
          <w:rtl/>
        </w:rPr>
        <w:t xml:space="preserve"> ‏</w:t>
      </w:r>
      <w:r>
        <w:rPr>
          <w:rFonts w:hint="cs"/>
          <w:b/>
          <w:bCs/>
          <w:rtl/>
        </w:rPr>
        <w:t>עידן דגן נגד מדינת ישראל</w:t>
      </w:r>
      <w:r>
        <w:rPr>
          <w:rFonts w:hint="cs"/>
          <w:rtl/>
        </w:rPr>
        <w:t xml:space="preserve">, (30.11.2014); </w:t>
      </w:r>
      <w:hyperlink r:id="rId29" w:history="1">
        <w:r w:rsidR="00863630" w:rsidRPr="00863630">
          <w:rPr>
            <w:rFonts w:hint="cs"/>
            <w:color w:val="0000FF"/>
            <w:u w:val="single"/>
            <w:rtl/>
          </w:rPr>
          <w:t>עפ</w:t>
        </w:r>
        <w:r w:rsidR="00863630" w:rsidRPr="00863630">
          <w:rPr>
            <w:color w:val="0000FF"/>
            <w:u w:val="single"/>
            <w:rtl/>
          </w:rPr>
          <w:t>"</w:t>
        </w:r>
        <w:r w:rsidR="00863630" w:rsidRPr="00863630">
          <w:rPr>
            <w:rFonts w:hint="cs"/>
            <w:color w:val="0000FF"/>
            <w:u w:val="single"/>
            <w:rtl/>
          </w:rPr>
          <w:t>ג</w:t>
        </w:r>
        <w:r w:rsidR="00863630" w:rsidRPr="00863630">
          <w:rPr>
            <w:color w:val="0000FF"/>
            <w:u w:val="single"/>
            <w:rtl/>
          </w:rPr>
          <w:t xml:space="preserve"> (</w:t>
        </w:r>
        <w:r w:rsidR="00863630" w:rsidRPr="00863630">
          <w:rPr>
            <w:rFonts w:hint="cs"/>
            <w:color w:val="0000FF"/>
            <w:u w:val="single"/>
            <w:rtl/>
          </w:rPr>
          <w:t>מחוזי</w:t>
        </w:r>
        <w:r w:rsidR="00863630" w:rsidRPr="00863630">
          <w:rPr>
            <w:color w:val="0000FF"/>
            <w:u w:val="single"/>
            <w:rtl/>
          </w:rPr>
          <w:t xml:space="preserve"> </w:t>
        </w:r>
        <w:r w:rsidR="00863630" w:rsidRPr="00863630">
          <w:rPr>
            <w:rFonts w:hint="cs"/>
            <w:color w:val="0000FF"/>
            <w:u w:val="single"/>
            <w:rtl/>
          </w:rPr>
          <w:t>ירושלים</w:t>
        </w:r>
        <w:r w:rsidR="00863630" w:rsidRPr="00863630">
          <w:rPr>
            <w:color w:val="0000FF"/>
            <w:u w:val="single"/>
            <w:rtl/>
          </w:rPr>
          <w:t>) 56662-05-16</w:t>
        </w:r>
      </w:hyperlink>
      <w:r>
        <w:rPr>
          <w:rFonts w:hint="cs"/>
          <w:rtl/>
        </w:rPr>
        <w:t xml:space="preserve"> </w:t>
      </w:r>
      <w:r>
        <w:rPr>
          <w:rFonts w:hint="cs"/>
          <w:b/>
          <w:bCs/>
          <w:rtl/>
        </w:rPr>
        <w:t>ישראל מאיר ששון בוקעי נ' מדינת ישראל</w:t>
      </w:r>
      <w:r>
        <w:rPr>
          <w:rFonts w:hint="cs"/>
          <w:rtl/>
        </w:rPr>
        <w:t xml:space="preserve">, (09.05.2017); </w:t>
      </w:r>
      <w:hyperlink r:id="rId30" w:history="1">
        <w:r w:rsidR="00863630" w:rsidRPr="00863630">
          <w:rPr>
            <w:rFonts w:hint="cs"/>
            <w:color w:val="0000FF"/>
            <w:u w:val="single"/>
            <w:rtl/>
          </w:rPr>
          <w:t>עפ</w:t>
        </w:r>
        <w:r w:rsidR="00863630" w:rsidRPr="00863630">
          <w:rPr>
            <w:color w:val="0000FF"/>
            <w:u w:val="single"/>
            <w:rtl/>
          </w:rPr>
          <w:t>"</w:t>
        </w:r>
        <w:r w:rsidR="00863630" w:rsidRPr="00863630">
          <w:rPr>
            <w:rFonts w:hint="cs"/>
            <w:color w:val="0000FF"/>
            <w:u w:val="single"/>
            <w:rtl/>
          </w:rPr>
          <w:t>ג</w:t>
        </w:r>
        <w:r w:rsidR="00863630" w:rsidRPr="00863630">
          <w:rPr>
            <w:color w:val="0000FF"/>
            <w:u w:val="single"/>
            <w:rtl/>
          </w:rPr>
          <w:t xml:space="preserve"> (</w:t>
        </w:r>
        <w:r w:rsidR="00863630" w:rsidRPr="00863630">
          <w:rPr>
            <w:rFonts w:hint="cs"/>
            <w:color w:val="0000FF"/>
            <w:u w:val="single"/>
            <w:rtl/>
          </w:rPr>
          <w:t>מחוזי</w:t>
        </w:r>
        <w:r w:rsidR="00863630" w:rsidRPr="00863630">
          <w:rPr>
            <w:color w:val="0000FF"/>
            <w:u w:val="single"/>
            <w:rtl/>
          </w:rPr>
          <w:t xml:space="preserve"> </w:t>
        </w:r>
        <w:r w:rsidR="00863630" w:rsidRPr="00863630">
          <w:rPr>
            <w:rFonts w:hint="cs"/>
            <w:color w:val="0000FF"/>
            <w:u w:val="single"/>
            <w:rtl/>
          </w:rPr>
          <w:t>מרכז</w:t>
        </w:r>
        <w:r w:rsidR="00863630" w:rsidRPr="00863630">
          <w:rPr>
            <w:color w:val="0000FF"/>
            <w:u w:val="single"/>
            <w:rtl/>
          </w:rPr>
          <w:t>) 8650-04-15</w:t>
        </w:r>
      </w:hyperlink>
      <w:r>
        <w:rPr>
          <w:rFonts w:hint="cs"/>
          <w:rtl/>
        </w:rPr>
        <w:t xml:space="preserve"> </w:t>
      </w:r>
      <w:r>
        <w:rPr>
          <w:rFonts w:hint="cs"/>
          <w:b/>
          <w:bCs/>
          <w:rtl/>
        </w:rPr>
        <w:t>שמעון שורץ נגד מדינת ישראל</w:t>
      </w:r>
      <w:r>
        <w:rPr>
          <w:rFonts w:hint="cs"/>
          <w:rtl/>
        </w:rPr>
        <w:t xml:space="preserve">, (22.12.2015); </w:t>
      </w:r>
      <w:hyperlink r:id="rId31" w:history="1">
        <w:r w:rsidR="00863630" w:rsidRPr="00863630">
          <w:rPr>
            <w:rFonts w:hint="cs"/>
            <w:color w:val="0000FF"/>
            <w:u w:val="single"/>
            <w:rtl/>
          </w:rPr>
          <w:t>עפ</w:t>
        </w:r>
        <w:r w:rsidR="00863630" w:rsidRPr="00863630">
          <w:rPr>
            <w:color w:val="0000FF"/>
            <w:u w:val="single"/>
            <w:rtl/>
          </w:rPr>
          <w:t>"</w:t>
        </w:r>
        <w:r w:rsidR="00863630" w:rsidRPr="00863630">
          <w:rPr>
            <w:rFonts w:hint="cs"/>
            <w:color w:val="0000FF"/>
            <w:u w:val="single"/>
            <w:rtl/>
          </w:rPr>
          <w:t>ג</w:t>
        </w:r>
        <w:r w:rsidR="00863630" w:rsidRPr="00863630">
          <w:rPr>
            <w:color w:val="0000FF"/>
            <w:u w:val="single"/>
            <w:rtl/>
          </w:rPr>
          <w:t xml:space="preserve"> (</w:t>
        </w:r>
        <w:r w:rsidR="00863630" w:rsidRPr="00863630">
          <w:rPr>
            <w:rFonts w:hint="cs"/>
            <w:color w:val="0000FF"/>
            <w:u w:val="single"/>
            <w:rtl/>
          </w:rPr>
          <w:t>מחוזי</w:t>
        </w:r>
        <w:r w:rsidR="00863630" w:rsidRPr="00863630">
          <w:rPr>
            <w:color w:val="0000FF"/>
            <w:u w:val="single"/>
            <w:rtl/>
          </w:rPr>
          <w:t xml:space="preserve"> </w:t>
        </w:r>
        <w:r w:rsidR="00863630" w:rsidRPr="00863630">
          <w:rPr>
            <w:rFonts w:hint="cs"/>
            <w:color w:val="0000FF"/>
            <w:u w:val="single"/>
            <w:rtl/>
          </w:rPr>
          <w:t>באר</w:t>
        </w:r>
        <w:r w:rsidR="00863630" w:rsidRPr="00863630">
          <w:rPr>
            <w:color w:val="0000FF"/>
            <w:u w:val="single"/>
            <w:rtl/>
          </w:rPr>
          <w:t xml:space="preserve"> </w:t>
        </w:r>
        <w:r w:rsidR="00863630" w:rsidRPr="00863630">
          <w:rPr>
            <w:rFonts w:hint="cs"/>
            <w:color w:val="0000FF"/>
            <w:u w:val="single"/>
            <w:rtl/>
          </w:rPr>
          <w:t>שבע</w:t>
        </w:r>
        <w:r w:rsidR="00863630" w:rsidRPr="00863630">
          <w:rPr>
            <w:color w:val="0000FF"/>
            <w:u w:val="single"/>
            <w:rtl/>
          </w:rPr>
          <w:t>) 13901-11-15</w:t>
        </w:r>
      </w:hyperlink>
      <w:r>
        <w:rPr>
          <w:rFonts w:hint="cs"/>
          <w:rtl/>
        </w:rPr>
        <w:t xml:space="preserve"> </w:t>
      </w:r>
      <w:r>
        <w:rPr>
          <w:rFonts w:hint="cs"/>
          <w:b/>
          <w:bCs/>
          <w:rtl/>
        </w:rPr>
        <w:t>עזרא נ' מדינת ישראל</w:t>
      </w:r>
      <w:r>
        <w:rPr>
          <w:rFonts w:hint="cs"/>
          <w:rtl/>
        </w:rPr>
        <w:t xml:space="preserve">, (09.12.2015); </w:t>
      </w:r>
      <w:hyperlink r:id="rId32" w:history="1">
        <w:r w:rsidR="00863630" w:rsidRPr="00863630">
          <w:rPr>
            <w:rFonts w:hint="cs"/>
            <w:color w:val="0000FF"/>
            <w:u w:val="single"/>
            <w:rtl/>
          </w:rPr>
          <w:t>ת</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w:t>
        </w:r>
        <w:r w:rsidR="00863630" w:rsidRPr="00863630">
          <w:rPr>
            <w:rFonts w:hint="cs"/>
            <w:color w:val="0000FF"/>
            <w:u w:val="single"/>
            <w:rtl/>
          </w:rPr>
          <w:t>שלום</w:t>
        </w:r>
        <w:r w:rsidR="00863630" w:rsidRPr="00863630">
          <w:rPr>
            <w:color w:val="0000FF"/>
            <w:u w:val="single"/>
            <w:rtl/>
          </w:rPr>
          <w:t xml:space="preserve"> </w:t>
        </w:r>
        <w:r w:rsidR="00863630" w:rsidRPr="00863630">
          <w:rPr>
            <w:rFonts w:hint="cs"/>
            <w:color w:val="0000FF"/>
            <w:u w:val="single"/>
            <w:rtl/>
          </w:rPr>
          <w:t>ירושלים</w:t>
        </w:r>
        <w:r w:rsidR="00863630" w:rsidRPr="00863630">
          <w:rPr>
            <w:color w:val="0000FF"/>
            <w:u w:val="single"/>
            <w:rtl/>
          </w:rPr>
          <w:t>) 116-07-16</w:t>
        </w:r>
      </w:hyperlink>
      <w:r>
        <w:rPr>
          <w:rFonts w:hint="cs"/>
          <w:rtl/>
        </w:rPr>
        <w:t xml:space="preserve"> </w:t>
      </w:r>
      <w:r>
        <w:rPr>
          <w:rFonts w:hint="cs"/>
          <w:b/>
          <w:bCs/>
          <w:rtl/>
        </w:rPr>
        <w:t>מדינת ישראל נ' דוד אמויאל</w:t>
      </w:r>
      <w:r>
        <w:rPr>
          <w:rFonts w:hint="cs"/>
          <w:rtl/>
        </w:rPr>
        <w:t>, (23.04.2017).</w:t>
      </w:r>
    </w:p>
    <w:p w14:paraId="42911E18" w14:textId="77777777" w:rsidR="00175A2A" w:rsidRDefault="00175A2A" w:rsidP="00175A2A">
      <w:pPr>
        <w:pStyle w:val="ListParagraph"/>
        <w:ind w:left="-58" w:firstLine="0"/>
        <w:contextualSpacing w:val="0"/>
      </w:pPr>
      <w:r>
        <w:rPr>
          <w:rFonts w:hint="cs"/>
          <w:rtl/>
        </w:rPr>
        <w:t xml:space="preserve">כאן יצוין, כי בפסיקה שאוזכרה הושתו עונשים המצויים על המנעד שעליו עמדתי לעיל, אך ברי כי קיימים גם מקרים בעלי נסיבות חריגות, לכאן או לכאן, שבהם נגזרו עונשים חמורים או קלים יותר. מה גם, וזאת חשוב לזכור, כי גם לאחר תיקון 113 הענישה היא לעולם אינדיווידואלית וכל מקרה צריך להיבחן לגופו, תוך שהבחינה כאמור תמיד צריכה להיעשות לגופן של העבירות והנסיבות הנלוות להן ולגופם של נאשמים, על כל מאפייניהם האישיים ונסיבותיהם הייחודיות (ראו והשוו </w:t>
      </w:r>
      <w:hyperlink r:id="rId33" w:history="1">
        <w:r w:rsidR="00863630" w:rsidRPr="00863630">
          <w:rPr>
            <w:rFonts w:hint="cs"/>
            <w:color w:val="0000FF"/>
            <w:u w:val="single"/>
            <w:rtl/>
          </w:rPr>
          <w:t>ע</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433/89 </w:t>
        </w:r>
        <w:r w:rsidR="00863630" w:rsidRPr="00863630">
          <w:rPr>
            <w:rFonts w:hint="cs"/>
            <w:color w:val="0000FF"/>
            <w:u w:val="single"/>
            <w:rtl/>
          </w:rPr>
          <w:t>ג</w:t>
        </w:r>
        <w:r w:rsidR="00863630" w:rsidRPr="00863630">
          <w:rPr>
            <w:color w:val="0000FF"/>
            <w:u w:val="single"/>
            <w:rtl/>
          </w:rPr>
          <w:t>'</w:t>
        </w:r>
        <w:r w:rsidR="00863630" w:rsidRPr="00863630">
          <w:rPr>
            <w:rFonts w:hint="cs"/>
            <w:color w:val="0000FF"/>
            <w:u w:val="single"/>
            <w:rtl/>
          </w:rPr>
          <w:t>ורג</w:t>
        </w:r>
        <w:r w:rsidR="00863630" w:rsidRPr="00863630">
          <w:rPr>
            <w:color w:val="0000FF"/>
            <w:u w:val="single"/>
            <w:rtl/>
          </w:rPr>
          <w:t xml:space="preserve">' </w:t>
        </w:r>
        <w:r w:rsidR="00863630" w:rsidRPr="00863630">
          <w:rPr>
            <w:rFonts w:hint="cs"/>
            <w:color w:val="0000FF"/>
            <w:u w:val="single"/>
            <w:rtl/>
          </w:rPr>
          <w:t>אטיאס</w:t>
        </w:r>
        <w:r w:rsidR="00863630" w:rsidRPr="00863630">
          <w:rPr>
            <w:color w:val="0000FF"/>
            <w:u w:val="single"/>
            <w:rtl/>
          </w:rPr>
          <w:t xml:space="preserve"> </w:t>
        </w:r>
        <w:r w:rsidR="00863630" w:rsidRPr="00863630">
          <w:rPr>
            <w:rFonts w:hint="cs"/>
            <w:color w:val="0000FF"/>
            <w:u w:val="single"/>
            <w:rtl/>
          </w:rPr>
          <w:t>נ</w:t>
        </w:r>
        <w:r w:rsidR="00863630" w:rsidRPr="00863630">
          <w:rPr>
            <w:color w:val="0000FF"/>
            <w:u w:val="single"/>
            <w:rtl/>
          </w:rPr>
          <w:t xml:space="preserve">' </w:t>
        </w:r>
        <w:r w:rsidR="00863630" w:rsidRPr="00863630">
          <w:rPr>
            <w:rFonts w:hint="cs"/>
            <w:color w:val="0000FF"/>
            <w:u w:val="single"/>
            <w:rtl/>
          </w:rPr>
          <w:t>מדינת</w:t>
        </w:r>
        <w:r w:rsidR="00863630" w:rsidRPr="00863630">
          <w:rPr>
            <w:color w:val="0000FF"/>
            <w:u w:val="single"/>
            <w:rtl/>
          </w:rPr>
          <w:t xml:space="preserve"> </w:t>
        </w:r>
        <w:r w:rsidR="00863630" w:rsidRPr="00863630">
          <w:rPr>
            <w:rFonts w:hint="cs"/>
            <w:color w:val="0000FF"/>
            <w:u w:val="single"/>
            <w:rtl/>
          </w:rPr>
          <w:t>ישראל</w:t>
        </w:r>
        <w:r w:rsidR="00863630" w:rsidRPr="00863630">
          <w:rPr>
            <w:color w:val="0000FF"/>
            <w:u w:val="single"/>
            <w:rtl/>
          </w:rPr>
          <w:t xml:space="preserve">, </w:t>
        </w:r>
        <w:r w:rsidR="00863630" w:rsidRPr="00863630">
          <w:rPr>
            <w:rFonts w:hint="cs"/>
            <w:color w:val="0000FF"/>
            <w:u w:val="single"/>
            <w:rtl/>
          </w:rPr>
          <w:t>פ</w:t>
        </w:r>
        <w:r w:rsidR="00863630" w:rsidRPr="00863630">
          <w:rPr>
            <w:color w:val="0000FF"/>
            <w:u w:val="single"/>
            <w:rtl/>
          </w:rPr>
          <w:t>"</w:t>
        </w:r>
        <w:r w:rsidR="00863630" w:rsidRPr="00863630">
          <w:rPr>
            <w:rFonts w:hint="cs"/>
            <w:color w:val="0000FF"/>
            <w:u w:val="single"/>
            <w:rtl/>
          </w:rPr>
          <w:t>ד</w:t>
        </w:r>
        <w:r w:rsidR="00863630" w:rsidRPr="00863630">
          <w:rPr>
            <w:color w:val="0000FF"/>
            <w:u w:val="single"/>
            <w:rtl/>
          </w:rPr>
          <w:t xml:space="preserve"> </w:t>
        </w:r>
        <w:r w:rsidR="00863630" w:rsidRPr="00863630">
          <w:rPr>
            <w:rFonts w:hint="cs"/>
            <w:color w:val="0000FF"/>
            <w:u w:val="single"/>
            <w:rtl/>
          </w:rPr>
          <w:t>מג</w:t>
        </w:r>
      </w:hyperlink>
      <w:r>
        <w:rPr>
          <w:rFonts w:hint="cs"/>
          <w:rtl/>
        </w:rPr>
        <w:t xml:space="preserve">(4) 170, (1989); </w:t>
      </w:r>
      <w:r>
        <w:rPr>
          <w:rFonts w:hint="cs"/>
          <w:u w:val="single"/>
          <w:rtl/>
        </w:rPr>
        <w:t>ו</w:t>
      </w:r>
      <w:hyperlink r:id="rId34" w:history="1">
        <w:r w:rsidR="00863630" w:rsidRPr="00863630">
          <w:rPr>
            <w:rFonts w:hint="cs"/>
            <w:color w:val="0000FF"/>
            <w:u w:val="single"/>
            <w:rtl/>
          </w:rPr>
          <w:t>רע</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3173/09</w:t>
        </w:r>
      </w:hyperlink>
      <w:r>
        <w:rPr>
          <w:rFonts w:hint="cs"/>
          <w:rtl/>
        </w:rPr>
        <w:t xml:space="preserve"> </w:t>
      </w:r>
      <w:r>
        <w:rPr>
          <w:rFonts w:hint="cs"/>
          <w:b/>
          <w:bCs/>
          <w:rtl/>
        </w:rPr>
        <w:t>פראגין נ' מדינת ישראל</w:t>
      </w:r>
      <w:r>
        <w:rPr>
          <w:rFonts w:hint="cs"/>
          <w:rtl/>
        </w:rPr>
        <w:t xml:space="preserve">, (05.05.2009)). קביעת מתחמי הענישה והשתת העונשים בגדריהם לעולם לא יכולים להיעשות על סמך הכותרות של העבירות (ראו והשוו </w:t>
      </w:r>
      <w:r>
        <w:rPr>
          <w:rFonts w:hint="cs"/>
          <w:u w:val="single"/>
          <w:rtl/>
        </w:rPr>
        <w:t>ע"פ 1323/13</w:t>
      </w:r>
      <w:r>
        <w:rPr>
          <w:rFonts w:hint="cs"/>
          <w:rtl/>
        </w:rPr>
        <w:t xml:space="preserve">‏ </w:t>
      </w:r>
      <w:r>
        <w:rPr>
          <w:rFonts w:hint="cs"/>
          <w:b/>
          <w:bCs/>
          <w:rtl/>
        </w:rPr>
        <w:t>רך חסן נ' מדינת ישראל</w:t>
      </w:r>
      <w:r>
        <w:rPr>
          <w:rFonts w:hint="cs"/>
          <w:rtl/>
        </w:rPr>
        <w:t>, (05.06.2013); ו</w:t>
      </w:r>
      <w:hyperlink r:id="rId35" w:history="1">
        <w:r w:rsidR="00863630" w:rsidRPr="00863630">
          <w:rPr>
            <w:rFonts w:hint="cs"/>
            <w:color w:val="0000FF"/>
            <w:u w:val="single"/>
            <w:rtl/>
          </w:rPr>
          <w:t>רע</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4088/13</w:t>
        </w:r>
      </w:hyperlink>
      <w:r>
        <w:rPr>
          <w:rFonts w:hint="cs"/>
          <w:rtl/>
        </w:rPr>
        <w:t xml:space="preserve"> </w:t>
      </w:r>
      <w:r>
        <w:rPr>
          <w:rFonts w:hint="cs"/>
          <w:b/>
          <w:bCs/>
          <w:rtl/>
        </w:rPr>
        <w:t>אחמד בן שחדה הדרי נ' מדינת ישראל</w:t>
      </w:r>
      <w:r>
        <w:rPr>
          <w:rFonts w:hint="cs"/>
          <w:rtl/>
        </w:rPr>
        <w:t xml:space="preserve">, (11.06.2013)), ובכל מקרה השיקול של "מדיניות הענישה" הינו אך שיקול אחד מבין מכלול השיקולים אותם ישקול בית המשפט בטרם קביעת מתחם העונש ההולם וגזירת הדין (ראו בעניין זה </w:t>
      </w:r>
      <w:hyperlink r:id="rId36" w:history="1">
        <w:r w:rsidR="00863630" w:rsidRPr="00863630">
          <w:rPr>
            <w:rFonts w:hint="cs"/>
            <w:color w:val="0000FF"/>
            <w:u w:val="single"/>
            <w:rtl/>
          </w:rPr>
          <w:t>ע</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1903/13</w:t>
        </w:r>
      </w:hyperlink>
      <w:r>
        <w:rPr>
          <w:rFonts w:hint="cs"/>
          <w:rtl/>
        </w:rPr>
        <w:t xml:space="preserve"> </w:t>
      </w:r>
      <w:r>
        <w:rPr>
          <w:rFonts w:hint="cs"/>
          <w:b/>
          <w:bCs/>
          <w:rtl/>
        </w:rPr>
        <w:t>חמודה עיאשה נ' מדינת ישראל</w:t>
      </w:r>
      <w:r>
        <w:rPr>
          <w:rFonts w:hint="cs"/>
          <w:rtl/>
        </w:rPr>
        <w:t>, (25.06.2013)).</w:t>
      </w:r>
    </w:p>
    <w:p w14:paraId="543C6884" w14:textId="77777777" w:rsidR="00175A2A" w:rsidRDefault="00175A2A" w:rsidP="00175A2A">
      <w:pPr>
        <w:pStyle w:val="ListParagraph"/>
        <w:ind w:left="-58" w:firstLine="0"/>
        <w:contextualSpacing w:val="0"/>
        <w:rPr>
          <w:rtl/>
        </w:rPr>
      </w:pPr>
      <w:r>
        <w:rPr>
          <w:rFonts w:hint="cs"/>
          <w:rtl/>
        </w:rPr>
        <w:t>עוד ייאמר, כי לא נעלמה מעיניי העובדה שבמרבית פסקי הדין שאוזכרו, דובר בנאשמים שלצד עבירת הגידול הורשעו גם בעבירות נוספות, כגון החזקת סם לצריכה עצמית, החזקת סם שלא לצריכה עצמית, החזקת כלים להכנת סם, וכיוצא באלה, ואילו הנאשם שבפניי הורשע אך ורק בעבירה אחת של גידול סם.</w:t>
      </w:r>
    </w:p>
    <w:p w14:paraId="2C827C13" w14:textId="77777777" w:rsidR="00175A2A" w:rsidRDefault="00175A2A" w:rsidP="00175A2A">
      <w:pPr>
        <w:pStyle w:val="ListParagraph"/>
        <w:numPr>
          <w:ilvl w:val="0"/>
          <w:numId w:val="2"/>
        </w:numPr>
        <w:ind w:left="-58"/>
        <w:contextualSpacing w:val="0"/>
        <w:rPr>
          <w:rtl/>
        </w:rPr>
      </w:pPr>
      <w:r>
        <w:rPr>
          <w:rFonts w:hint="cs"/>
          <w:rtl/>
        </w:rPr>
        <w:t>לאור כל האמור, ובשים לב לעיקרון המנחה בענישה, לערכים המוגנים שנפגעו ולמידת הפגיעה בהם, למדיניות הענישה הנוהגת ולנסיבות הקשורות בביצוע העבירה, סבורתני כי מתחם העונש ההולם שאותו ביקשה המאשימה לקבוע (ושההגנה לא חלקה עליו) אמנם מקל במידת מה אך עודנו מצוי במתחם הסבירות, ולכן אכבדו.</w:t>
      </w:r>
    </w:p>
    <w:p w14:paraId="24DEC2DD" w14:textId="77777777" w:rsidR="00175A2A" w:rsidRDefault="00175A2A" w:rsidP="00175A2A">
      <w:pPr>
        <w:pStyle w:val="ListParagraph"/>
        <w:ind w:left="-58" w:firstLine="0"/>
        <w:contextualSpacing w:val="0"/>
      </w:pPr>
      <w:r>
        <w:rPr>
          <w:rFonts w:hint="cs"/>
          <w:b/>
          <w:bCs/>
          <w:rtl/>
        </w:rPr>
        <w:t>אשר על כן, הריני לקבוע כי מתחם העונש ההולם במקרה הנדון ינוע בין מאסר קצר, שניתן לרצותו בעבודות שירות, לבין 8 חודשי מאסר בפועל</w:t>
      </w:r>
      <w:r>
        <w:rPr>
          <w:rFonts w:hint="cs"/>
          <w:rtl/>
        </w:rPr>
        <w:t>.</w:t>
      </w:r>
    </w:p>
    <w:p w14:paraId="10E66996" w14:textId="77777777" w:rsidR="00175A2A" w:rsidRDefault="00175A2A" w:rsidP="00175A2A">
      <w:pPr>
        <w:pStyle w:val="1"/>
        <w:numPr>
          <w:ilvl w:val="0"/>
          <w:numId w:val="1"/>
        </w:numPr>
        <w:spacing w:after="160" w:line="288" w:lineRule="auto"/>
        <w:jc w:val="both"/>
      </w:pPr>
      <w:r>
        <w:rPr>
          <w:rFonts w:cs="David" w:hint="cs"/>
          <w:rtl/>
        </w:rPr>
        <w:t>שאלת ההרשעה</w:t>
      </w:r>
    </w:p>
    <w:p w14:paraId="726D560A" w14:textId="77777777" w:rsidR="00175A2A" w:rsidRDefault="00175A2A" w:rsidP="00175A2A">
      <w:pPr>
        <w:pStyle w:val="ListParagraph"/>
        <w:numPr>
          <w:ilvl w:val="0"/>
          <w:numId w:val="2"/>
        </w:numPr>
        <w:ind w:left="-58"/>
        <w:contextualSpacing w:val="0"/>
      </w:pPr>
      <w:r>
        <w:rPr>
          <w:rFonts w:eastAsia="Times New Roman" w:hint="cs"/>
          <w:rtl/>
        </w:rPr>
        <w:t>על פי ההלכה הפסוקה, אשר לא שונתה בעקבות תיקון 113 ל</w:t>
      </w:r>
      <w:hyperlink r:id="rId37" w:history="1">
        <w:r w:rsidR="00863630" w:rsidRPr="00863630">
          <w:rPr>
            <w:rFonts w:eastAsia="Times New Roman" w:hint="eastAsia"/>
            <w:color w:val="0000FF"/>
            <w:u w:val="single"/>
            <w:rtl/>
          </w:rPr>
          <w:t>חוק</w:t>
        </w:r>
        <w:r w:rsidR="00863630" w:rsidRPr="00863630">
          <w:rPr>
            <w:rFonts w:eastAsia="Times New Roman"/>
            <w:color w:val="0000FF"/>
            <w:u w:val="single"/>
            <w:rtl/>
          </w:rPr>
          <w:t xml:space="preserve"> </w:t>
        </w:r>
        <w:r w:rsidR="00863630" w:rsidRPr="00863630">
          <w:rPr>
            <w:rFonts w:eastAsia="Times New Roman" w:hint="eastAsia"/>
            <w:color w:val="0000FF"/>
            <w:u w:val="single"/>
            <w:rtl/>
          </w:rPr>
          <w:t>העונשין</w:t>
        </w:r>
      </w:hyperlink>
      <w:r>
        <w:rPr>
          <w:rFonts w:eastAsia="Times New Roman" w:hint="cs"/>
          <w:rtl/>
        </w:rPr>
        <w:t xml:space="preserve">, התשל"ז-1977 (להלן: </w:t>
      </w:r>
      <w:r>
        <w:rPr>
          <w:rFonts w:eastAsia="Times New Roman" w:hint="cs"/>
          <w:b/>
          <w:bCs/>
          <w:rtl/>
        </w:rPr>
        <w:t>"חוק העונשין"</w:t>
      </w:r>
      <w:r>
        <w:rPr>
          <w:rFonts w:eastAsia="Times New Roman" w:hint="cs"/>
          <w:rtl/>
        </w:rPr>
        <w:t xml:space="preserve">), משהוכח ביצועה של עבירה יש להרשיע את הנאשם, וסיום ההליך המשפטי ללא הרשעה ייעשה </w:t>
      </w:r>
      <w:r>
        <w:rPr>
          <w:rFonts w:eastAsia="Times New Roman" w:hint="cs"/>
          <w:b/>
          <w:bCs/>
          <w:rtl/>
        </w:rPr>
        <w:t>רק במקרים חריגים שבחריגים</w:t>
      </w:r>
      <w:r>
        <w:rPr>
          <w:rFonts w:eastAsia="Times New Roman" w:hint="cs"/>
          <w:rtl/>
        </w:rPr>
        <w:t xml:space="preserve">, בהם היחס שבין חומרת העבירה לבין הנזק הצפוי לנאשם מן ההרשעה, אינו סביר (ראו בעניין זה, למשל, </w:t>
      </w:r>
      <w:hyperlink r:id="rId38" w:history="1">
        <w:r w:rsidR="00863630" w:rsidRPr="00863630">
          <w:rPr>
            <w:rFonts w:eastAsia="Times New Roman" w:hint="eastAsia"/>
            <w:color w:val="0000FF"/>
            <w:u w:val="single"/>
            <w:rtl/>
          </w:rPr>
          <w:t>רע</w:t>
        </w:r>
        <w:r w:rsidR="00863630" w:rsidRPr="00863630">
          <w:rPr>
            <w:rFonts w:eastAsia="Times New Roman"/>
            <w:color w:val="0000FF"/>
            <w:u w:val="single"/>
            <w:rtl/>
          </w:rPr>
          <w:t>"</w:t>
        </w:r>
        <w:r w:rsidR="00863630" w:rsidRPr="00863630">
          <w:rPr>
            <w:rFonts w:eastAsia="Times New Roman" w:hint="eastAsia"/>
            <w:color w:val="0000FF"/>
            <w:u w:val="single"/>
            <w:rtl/>
          </w:rPr>
          <w:t>פ</w:t>
        </w:r>
        <w:r w:rsidR="00863630" w:rsidRPr="00863630">
          <w:rPr>
            <w:rFonts w:eastAsia="Times New Roman"/>
            <w:color w:val="0000FF"/>
            <w:u w:val="single"/>
            <w:rtl/>
          </w:rPr>
          <w:t xml:space="preserve"> 11476/04</w:t>
        </w:r>
      </w:hyperlink>
      <w:r>
        <w:rPr>
          <w:rFonts w:eastAsia="Times New Roman" w:hint="cs"/>
          <w:rtl/>
        </w:rPr>
        <w:t xml:space="preserve"> </w:t>
      </w:r>
      <w:r>
        <w:rPr>
          <w:rFonts w:eastAsia="Times New Roman" w:hint="cs"/>
          <w:b/>
          <w:bCs/>
          <w:rtl/>
        </w:rPr>
        <w:t>מדינת ישראל נ' חברת השקעות דיסקונט בע"מ</w:t>
      </w:r>
      <w:r>
        <w:rPr>
          <w:rFonts w:eastAsia="Times New Roman" w:hint="cs"/>
          <w:rtl/>
        </w:rPr>
        <w:t xml:space="preserve">, (14.04.2010); </w:t>
      </w:r>
      <w:hyperlink r:id="rId39" w:history="1">
        <w:r w:rsidR="00863630" w:rsidRPr="00863630">
          <w:rPr>
            <w:rFonts w:eastAsia="Times New Roman" w:hint="eastAsia"/>
            <w:color w:val="0000FF"/>
            <w:u w:val="single"/>
            <w:rtl/>
          </w:rPr>
          <w:t>רע</w:t>
        </w:r>
        <w:r w:rsidR="00863630" w:rsidRPr="00863630">
          <w:rPr>
            <w:rFonts w:eastAsia="Times New Roman"/>
            <w:color w:val="0000FF"/>
            <w:u w:val="single"/>
            <w:rtl/>
          </w:rPr>
          <w:t>"</w:t>
        </w:r>
        <w:r w:rsidR="00863630" w:rsidRPr="00863630">
          <w:rPr>
            <w:rFonts w:eastAsia="Times New Roman" w:hint="eastAsia"/>
            <w:color w:val="0000FF"/>
            <w:u w:val="single"/>
            <w:rtl/>
          </w:rPr>
          <w:t>פ</w:t>
        </w:r>
        <w:r w:rsidR="00863630" w:rsidRPr="00863630">
          <w:rPr>
            <w:rFonts w:eastAsia="Times New Roman"/>
            <w:color w:val="0000FF"/>
            <w:u w:val="single"/>
            <w:rtl/>
          </w:rPr>
          <w:t xml:space="preserve"> 5100/14</w:t>
        </w:r>
      </w:hyperlink>
      <w:r>
        <w:rPr>
          <w:rFonts w:eastAsia="Times New Roman" w:hint="cs"/>
          <w:rtl/>
        </w:rPr>
        <w:t xml:space="preserve"> </w:t>
      </w:r>
      <w:r>
        <w:rPr>
          <w:rFonts w:eastAsia="Times New Roman" w:hint="cs"/>
          <w:b/>
          <w:bCs/>
          <w:rtl/>
        </w:rPr>
        <w:t>מסארווה נ' מדינת ישראל</w:t>
      </w:r>
      <w:r>
        <w:rPr>
          <w:rFonts w:eastAsia="Times New Roman" w:hint="cs"/>
          <w:rtl/>
        </w:rPr>
        <w:t xml:space="preserve">, (28.07.2014); </w:t>
      </w:r>
      <w:r>
        <w:rPr>
          <w:rFonts w:eastAsia="Times New Roman" w:hint="cs"/>
          <w:u w:val="single"/>
          <w:rtl/>
        </w:rPr>
        <w:t>ו</w:t>
      </w:r>
      <w:hyperlink r:id="rId40" w:history="1">
        <w:r w:rsidR="00863630" w:rsidRPr="00863630">
          <w:rPr>
            <w:rFonts w:eastAsia="Times New Roman" w:hint="eastAsia"/>
            <w:color w:val="0000FF"/>
            <w:u w:val="single"/>
            <w:rtl/>
          </w:rPr>
          <w:t>רע</w:t>
        </w:r>
        <w:r w:rsidR="00863630" w:rsidRPr="00863630">
          <w:rPr>
            <w:rFonts w:eastAsia="Times New Roman"/>
            <w:color w:val="0000FF"/>
            <w:u w:val="single"/>
            <w:rtl/>
          </w:rPr>
          <w:t>"</w:t>
        </w:r>
        <w:r w:rsidR="00863630" w:rsidRPr="00863630">
          <w:rPr>
            <w:rFonts w:eastAsia="Times New Roman" w:hint="eastAsia"/>
            <w:color w:val="0000FF"/>
            <w:u w:val="single"/>
            <w:rtl/>
          </w:rPr>
          <w:t>פ</w:t>
        </w:r>
        <w:r w:rsidR="00863630" w:rsidRPr="00863630">
          <w:rPr>
            <w:rFonts w:eastAsia="Times New Roman"/>
            <w:color w:val="0000FF"/>
            <w:u w:val="single"/>
            <w:rtl/>
          </w:rPr>
          <w:t xml:space="preserve"> 7224/14</w:t>
        </w:r>
      </w:hyperlink>
      <w:r>
        <w:rPr>
          <w:rFonts w:eastAsia="Times New Roman" w:hint="cs"/>
          <w:rtl/>
        </w:rPr>
        <w:t xml:space="preserve"> </w:t>
      </w:r>
      <w:r>
        <w:rPr>
          <w:rFonts w:eastAsia="Times New Roman" w:hint="cs"/>
          <w:b/>
          <w:bCs/>
          <w:rtl/>
        </w:rPr>
        <w:t>פרנסקי נ' מדינת ישראל</w:t>
      </w:r>
      <w:r>
        <w:rPr>
          <w:rFonts w:eastAsia="Times New Roman" w:hint="cs"/>
          <w:rtl/>
        </w:rPr>
        <w:t>, (10.11.2014))</w:t>
      </w:r>
      <w:r>
        <w:rPr>
          <w:rFonts w:hint="cs"/>
          <w:rtl/>
        </w:rPr>
        <w:t>.</w:t>
      </w:r>
      <w:r>
        <w:rPr>
          <w:rFonts w:eastAsia="Times New Roman" w:hint="cs"/>
          <w:rtl/>
        </w:rPr>
        <w:t xml:space="preserve">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(לעניין זה ראו: </w:t>
      </w:r>
      <w:hyperlink r:id="rId41" w:history="1">
        <w:r w:rsidR="00863630" w:rsidRPr="00863630">
          <w:rPr>
            <w:rFonts w:eastAsia="Times New Roman" w:hint="eastAsia"/>
            <w:color w:val="0000FF"/>
            <w:u w:val="single"/>
            <w:rtl/>
          </w:rPr>
          <w:t>ע</w:t>
        </w:r>
        <w:r w:rsidR="00863630" w:rsidRPr="00863630">
          <w:rPr>
            <w:rFonts w:eastAsia="Times New Roman"/>
            <w:color w:val="0000FF"/>
            <w:u w:val="single"/>
            <w:rtl/>
          </w:rPr>
          <w:t>"</w:t>
        </w:r>
        <w:r w:rsidR="00863630" w:rsidRPr="00863630">
          <w:rPr>
            <w:rFonts w:eastAsia="Times New Roman" w:hint="eastAsia"/>
            <w:color w:val="0000FF"/>
            <w:u w:val="single"/>
            <w:rtl/>
          </w:rPr>
          <w:t>פ</w:t>
        </w:r>
        <w:r w:rsidR="00863630" w:rsidRPr="00863630">
          <w:rPr>
            <w:rFonts w:eastAsia="Times New Roman"/>
            <w:color w:val="0000FF"/>
            <w:u w:val="single"/>
            <w:rtl/>
          </w:rPr>
          <w:t xml:space="preserve"> 2083/96 </w:t>
        </w:r>
        <w:r w:rsidR="00863630" w:rsidRPr="00863630">
          <w:rPr>
            <w:rFonts w:eastAsia="Times New Roman" w:hint="eastAsia"/>
            <w:color w:val="0000FF"/>
            <w:u w:val="single"/>
            <w:rtl/>
          </w:rPr>
          <w:t>תמר</w:t>
        </w:r>
        <w:r w:rsidR="00863630" w:rsidRPr="00863630">
          <w:rPr>
            <w:rFonts w:eastAsia="Times New Roman"/>
            <w:color w:val="0000FF"/>
            <w:u w:val="single"/>
            <w:rtl/>
          </w:rPr>
          <w:t xml:space="preserve"> </w:t>
        </w:r>
        <w:r w:rsidR="00863630" w:rsidRPr="00863630">
          <w:rPr>
            <w:rFonts w:eastAsia="Times New Roman" w:hint="eastAsia"/>
            <w:color w:val="0000FF"/>
            <w:u w:val="single"/>
            <w:rtl/>
          </w:rPr>
          <w:t>כתב</w:t>
        </w:r>
        <w:r w:rsidR="00863630" w:rsidRPr="00863630">
          <w:rPr>
            <w:rFonts w:eastAsia="Times New Roman"/>
            <w:color w:val="0000FF"/>
            <w:u w:val="single"/>
            <w:rtl/>
          </w:rPr>
          <w:t xml:space="preserve"> </w:t>
        </w:r>
        <w:r w:rsidR="00863630" w:rsidRPr="00863630">
          <w:rPr>
            <w:rFonts w:eastAsia="Times New Roman" w:hint="eastAsia"/>
            <w:color w:val="0000FF"/>
            <w:u w:val="single"/>
            <w:rtl/>
          </w:rPr>
          <w:t>נ</w:t>
        </w:r>
        <w:r w:rsidR="00863630" w:rsidRPr="00863630">
          <w:rPr>
            <w:rFonts w:eastAsia="Times New Roman"/>
            <w:color w:val="0000FF"/>
            <w:u w:val="single"/>
            <w:rtl/>
          </w:rPr>
          <w:t xml:space="preserve">' </w:t>
        </w:r>
        <w:r w:rsidR="00863630" w:rsidRPr="00863630">
          <w:rPr>
            <w:rFonts w:eastAsia="Times New Roman" w:hint="eastAsia"/>
            <w:color w:val="0000FF"/>
            <w:u w:val="single"/>
            <w:rtl/>
          </w:rPr>
          <w:t>מדינת</w:t>
        </w:r>
        <w:r w:rsidR="00863630" w:rsidRPr="00863630">
          <w:rPr>
            <w:rFonts w:eastAsia="Times New Roman"/>
            <w:color w:val="0000FF"/>
            <w:u w:val="single"/>
            <w:rtl/>
          </w:rPr>
          <w:t xml:space="preserve"> </w:t>
        </w:r>
        <w:r w:rsidR="00863630" w:rsidRPr="00863630">
          <w:rPr>
            <w:rFonts w:eastAsia="Times New Roman" w:hint="eastAsia"/>
            <w:color w:val="0000FF"/>
            <w:u w:val="single"/>
            <w:rtl/>
          </w:rPr>
          <w:t>ישראל</w:t>
        </w:r>
        <w:r w:rsidR="00863630" w:rsidRPr="00863630">
          <w:rPr>
            <w:rFonts w:eastAsia="Times New Roman"/>
            <w:color w:val="0000FF"/>
            <w:u w:val="single"/>
            <w:rtl/>
          </w:rPr>
          <w:t xml:space="preserve">, </w:t>
        </w:r>
        <w:r w:rsidR="00863630" w:rsidRPr="00863630">
          <w:rPr>
            <w:rFonts w:eastAsia="Times New Roman" w:hint="eastAsia"/>
            <w:color w:val="0000FF"/>
            <w:u w:val="single"/>
            <w:rtl/>
          </w:rPr>
          <w:t>פ</w:t>
        </w:r>
        <w:r w:rsidR="00863630" w:rsidRPr="00863630">
          <w:rPr>
            <w:rFonts w:eastAsia="Times New Roman"/>
            <w:color w:val="0000FF"/>
            <w:u w:val="single"/>
            <w:rtl/>
          </w:rPr>
          <w:t>"</w:t>
        </w:r>
        <w:r w:rsidR="00863630" w:rsidRPr="00863630">
          <w:rPr>
            <w:rFonts w:eastAsia="Times New Roman" w:hint="eastAsia"/>
            <w:color w:val="0000FF"/>
            <w:u w:val="single"/>
            <w:rtl/>
          </w:rPr>
          <w:t>ד</w:t>
        </w:r>
        <w:r w:rsidR="00863630" w:rsidRPr="00863630">
          <w:rPr>
            <w:rFonts w:eastAsia="Times New Roman"/>
            <w:color w:val="0000FF"/>
            <w:u w:val="single"/>
            <w:rtl/>
          </w:rPr>
          <w:t xml:space="preserve"> </w:t>
        </w:r>
        <w:r w:rsidR="00863630" w:rsidRPr="00863630">
          <w:rPr>
            <w:rFonts w:eastAsia="Times New Roman" w:hint="eastAsia"/>
            <w:color w:val="0000FF"/>
            <w:u w:val="single"/>
            <w:rtl/>
          </w:rPr>
          <w:t>נב</w:t>
        </w:r>
      </w:hyperlink>
      <w:r>
        <w:rPr>
          <w:rFonts w:eastAsia="Times New Roman" w:hint="cs"/>
          <w:rtl/>
        </w:rPr>
        <w:t xml:space="preserve">(3) 337 (1997) (להלן: </w:t>
      </w:r>
      <w:r>
        <w:rPr>
          <w:rFonts w:eastAsia="Times New Roman" w:hint="cs"/>
          <w:b/>
          <w:bCs/>
          <w:rtl/>
        </w:rPr>
        <w:t>"פרשת כתב"</w:t>
      </w:r>
      <w:r>
        <w:rPr>
          <w:rFonts w:eastAsia="Times New Roman" w:hint="cs"/>
          <w:rtl/>
        </w:rPr>
        <w:t xml:space="preserve">); </w:t>
      </w:r>
      <w:hyperlink r:id="rId42" w:history="1">
        <w:r w:rsidR="00863630" w:rsidRPr="00863630">
          <w:rPr>
            <w:rFonts w:eastAsia="Times New Roman" w:hint="eastAsia"/>
            <w:color w:val="0000FF"/>
            <w:u w:val="single"/>
            <w:rtl/>
          </w:rPr>
          <w:t>ע</w:t>
        </w:r>
        <w:r w:rsidR="00863630" w:rsidRPr="00863630">
          <w:rPr>
            <w:rFonts w:eastAsia="Times New Roman"/>
            <w:color w:val="0000FF"/>
            <w:u w:val="single"/>
            <w:rtl/>
          </w:rPr>
          <w:t>"</w:t>
        </w:r>
        <w:r w:rsidR="00863630" w:rsidRPr="00863630">
          <w:rPr>
            <w:rFonts w:eastAsia="Times New Roman" w:hint="eastAsia"/>
            <w:color w:val="0000FF"/>
            <w:u w:val="single"/>
            <w:rtl/>
          </w:rPr>
          <w:t>פ</w:t>
        </w:r>
        <w:r w:rsidR="00863630" w:rsidRPr="00863630">
          <w:rPr>
            <w:rFonts w:eastAsia="Times New Roman"/>
            <w:color w:val="0000FF"/>
            <w:u w:val="single"/>
            <w:rtl/>
          </w:rPr>
          <w:t xml:space="preserve"> 2513/96 </w:t>
        </w:r>
        <w:r w:rsidR="00863630" w:rsidRPr="00863630">
          <w:rPr>
            <w:rFonts w:eastAsia="Times New Roman" w:hint="eastAsia"/>
            <w:color w:val="0000FF"/>
            <w:u w:val="single"/>
            <w:rtl/>
          </w:rPr>
          <w:t>מדינת</w:t>
        </w:r>
        <w:r w:rsidR="00863630" w:rsidRPr="00863630">
          <w:rPr>
            <w:rFonts w:eastAsia="Times New Roman"/>
            <w:color w:val="0000FF"/>
            <w:u w:val="single"/>
            <w:rtl/>
          </w:rPr>
          <w:t xml:space="preserve"> </w:t>
        </w:r>
        <w:r w:rsidR="00863630" w:rsidRPr="00863630">
          <w:rPr>
            <w:rFonts w:eastAsia="Times New Roman" w:hint="eastAsia"/>
            <w:color w:val="0000FF"/>
            <w:u w:val="single"/>
            <w:rtl/>
          </w:rPr>
          <w:t>ישראל</w:t>
        </w:r>
        <w:r w:rsidR="00863630" w:rsidRPr="00863630">
          <w:rPr>
            <w:rFonts w:eastAsia="Times New Roman"/>
            <w:color w:val="0000FF"/>
            <w:u w:val="single"/>
            <w:rtl/>
          </w:rPr>
          <w:t xml:space="preserve"> </w:t>
        </w:r>
        <w:r w:rsidR="00863630" w:rsidRPr="00863630">
          <w:rPr>
            <w:rFonts w:eastAsia="Times New Roman" w:hint="eastAsia"/>
            <w:color w:val="0000FF"/>
            <w:u w:val="single"/>
            <w:rtl/>
          </w:rPr>
          <w:t>נ</w:t>
        </w:r>
        <w:r w:rsidR="00863630" w:rsidRPr="00863630">
          <w:rPr>
            <w:rFonts w:eastAsia="Times New Roman"/>
            <w:color w:val="0000FF"/>
            <w:u w:val="single"/>
            <w:rtl/>
          </w:rPr>
          <w:t xml:space="preserve">' </w:t>
        </w:r>
        <w:r w:rsidR="00863630" w:rsidRPr="00863630">
          <w:rPr>
            <w:rFonts w:eastAsia="Times New Roman" w:hint="eastAsia"/>
            <w:color w:val="0000FF"/>
            <w:u w:val="single"/>
            <w:rtl/>
          </w:rPr>
          <w:t>ויקטור</w:t>
        </w:r>
        <w:r w:rsidR="00863630" w:rsidRPr="00863630">
          <w:rPr>
            <w:rFonts w:eastAsia="Times New Roman"/>
            <w:color w:val="0000FF"/>
            <w:u w:val="single"/>
            <w:rtl/>
          </w:rPr>
          <w:t xml:space="preserve"> </w:t>
        </w:r>
        <w:r w:rsidR="00863630" w:rsidRPr="00863630">
          <w:rPr>
            <w:rFonts w:eastAsia="Times New Roman" w:hint="eastAsia"/>
            <w:color w:val="0000FF"/>
            <w:u w:val="single"/>
            <w:rtl/>
          </w:rPr>
          <w:t>שמש</w:t>
        </w:r>
        <w:r w:rsidR="00863630" w:rsidRPr="00863630">
          <w:rPr>
            <w:rFonts w:eastAsia="Times New Roman"/>
            <w:color w:val="0000FF"/>
            <w:u w:val="single"/>
            <w:rtl/>
          </w:rPr>
          <w:t xml:space="preserve">, </w:t>
        </w:r>
        <w:r w:rsidR="00863630" w:rsidRPr="00863630">
          <w:rPr>
            <w:rFonts w:eastAsia="Times New Roman" w:hint="eastAsia"/>
            <w:color w:val="0000FF"/>
            <w:u w:val="single"/>
            <w:rtl/>
          </w:rPr>
          <w:t>פ</w:t>
        </w:r>
        <w:r w:rsidR="00863630" w:rsidRPr="00863630">
          <w:rPr>
            <w:rFonts w:eastAsia="Times New Roman"/>
            <w:color w:val="0000FF"/>
            <w:u w:val="single"/>
            <w:rtl/>
          </w:rPr>
          <w:t>"</w:t>
        </w:r>
        <w:r w:rsidR="00863630" w:rsidRPr="00863630">
          <w:rPr>
            <w:rFonts w:eastAsia="Times New Roman" w:hint="eastAsia"/>
            <w:color w:val="0000FF"/>
            <w:u w:val="single"/>
            <w:rtl/>
          </w:rPr>
          <w:t>ד</w:t>
        </w:r>
        <w:r w:rsidR="00863630" w:rsidRPr="00863630">
          <w:rPr>
            <w:rFonts w:eastAsia="Times New Roman"/>
            <w:color w:val="0000FF"/>
            <w:u w:val="single"/>
            <w:rtl/>
          </w:rPr>
          <w:t xml:space="preserve"> </w:t>
        </w:r>
        <w:r w:rsidR="00863630" w:rsidRPr="00863630">
          <w:rPr>
            <w:rFonts w:eastAsia="Times New Roman" w:hint="eastAsia"/>
            <w:color w:val="0000FF"/>
            <w:u w:val="single"/>
            <w:rtl/>
          </w:rPr>
          <w:t>נ</w:t>
        </w:r>
      </w:hyperlink>
      <w:r>
        <w:rPr>
          <w:rFonts w:eastAsia="Times New Roman" w:hint="cs"/>
          <w:rtl/>
        </w:rPr>
        <w:t xml:space="preserve">(3) 682 (1996); </w:t>
      </w:r>
      <w:r>
        <w:rPr>
          <w:rFonts w:eastAsia="Times New Roman" w:hint="cs"/>
          <w:u w:val="single"/>
          <w:rtl/>
        </w:rPr>
        <w:t>ו</w:t>
      </w:r>
      <w:hyperlink r:id="rId43" w:history="1">
        <w:r w:rsidR="00863630" w:rsidRPr="00863630">
          <w:rPr>
            <w:rFonts w:eastAsia="Times New Roman" w:hint="eastAsia"/>
            <w:color w:val="0000FF"/>
            <w:u w:val="single"/>
            <w:rtl/>
          </w:rPr>
          <w:t>ע</w:t>
        </w:r>
        <w:r w:rsidR="00863630" w:rsidRPr="00863630">
          <w:rPr>
            <w:rFonts w:eastAsia="Times New Roman"/>
            <w:color w:val="0000FF"/>
            <w:u w:val="single"/>
            <w:rtl/>
          </w:rPr>
          <w:t>"</w:t>
        </w:r>
        <w:r w:rsidR="00863630" w:rsidRPr="00863630">
          <w:rPr>
            <w:rFonts w:eastAsia="Times New Roman" w:hint="eastAsia"/>
            <w:color w:val="0000FF"/>
            <w:u w:val="single"/>
            <w:rtl/>
          </w:rPr>
          <w:t>פ</w:t>
        </w:r>
        <w:r w:rsidR="00863630" w:rsidRPr="00863630">
          <w:rPr>
            <w:rFonts w:eastAsia="Times New Roman"/>
            <w:color w:val="0000FF"/>
            <w:u w:val="single"/>
            <w:rtl/>
          </w:rPr>
          <w:t xml:space="preserve"> 2669/00 </w:t>
        </w:r>
        <w:r w:rsidR="00863630" w:rsidRPr="00863630">
          <w:rPr>
            <w:rFonts w:eastAsia="Times New Roman" w:hint="eastAsia"/>
            <w:color w:val="0000FF"/>
            <w:u w:val="single"/>
            <w:rtl/>
          </w:rPr>
          <w:t>מדינת</w:t>
        </w:r>
        <w:r w:rsidR="00863630" w:rsidRPr="00863630">
          <w:rPr>
            <w:rFonts w:eastAsia="Times New Roman"/>
            <w:color w:val="0000FF"/>
            <w:u w:val="single"/>
            <w:rtl/>
          </w:rPr>
          <w:t xml:space="preserve"> </w:t>
        </w:r>
        <w:r w:rsidR="00863630" w:rsidRPr="00863630">
          <w:rPr>
            <w:rFonts w:eastAsia="Times New Roman" w:hint="eastAsia"/>
            <w:color w:val="0000FF"/>
            <w:u w:val="single"/>
            <w:rtl/>
          </w:rPr>
          <w:t>ישראל</w:t>
        </w:r>
        <w:r w:rsidR="00863630" w:rsidRPr="00863630">
          <w:rPr>
            <w:rFonts w:eastAsia="Times New Roman"/>
            <w:color w:val="0000FF"/>
            <w:u w:val="single"/>
            <w:rtl/>
          </w:rPr>
          <w:t xml:space="preserve"> </w:t>
        </w:r>
        <w:r w:rsidR="00863630" w:rsidRPr="00863630">
          <w:rPr>
            <w:rFonts w:eastAsia="Times New Roman" w:hint="eastAsia"/>
            <w:color w:val="0000FF"/>
            <w:u w:val="single"/>
            <w:rtl/>
          </w:rPr>
          <w:t>נ</w:t>
        </w:r>
        <w:r w:rsidR="00863630" w:rsidRPr="00863630">
          <w:rPr>
            <w:rFonts w:eastAsia="Times New Roman"/>
            <w:color w:val="0000FF"/>
            <w:u w:val="single"/>
            <w:rtl/>
          </w:rPr>
          <w:t xml:space="preserve">' </w:t>
        </w:r>
        <w:r w:rsidR="00863630" w:rsidRPr="00863630">
          <w:rPr>
            <w:rFonts w:eastAsia="Times New Roman" w:hint="eastAsia"/>
            <w:color w:val="0000FF"/>
            <w:u w:val="single"/>
            <w:rtl/>
          </w:rPr>
          <w:t>פלוני</w:t>
        </w:r>
        <w:r w:rsidR="00863630" w:rsidRPr="00863630">
          <w:rPr>
            <w:rFonts w:eastAsia="Times New Roman"/>
            <w:color w:val="0000FF"/>
            <w:u w:val="single"/>
            <w:rtl/>
          </w:rPr>
          <w:t xml:space="preserve">, </w:t>
        </w:r>
        <w:r w:rsidR="00863630" w:rsidRPr="00863630">
          <w:rPr>
            <w:rFonts w:eastAsia="Times New Roman" w:hint="eastAsia"/>
            <w:color w:val="0000FF"/>
            <w:u w:val="single"/>
            <w:rtl/>
          </w:rPr>
          <w:t>פ</w:t>
        </w:r>
        <w:r w:rsidR="00863630" w:rsidRPr="00863630">
          <w:rPr>
            <w:rFonts w:eastAsia="Times New Roman"/>
            <w:color w:val="0000FF"/>
            <w:u w:val="single"/>
            <w:rtl/>
          </w:rPr>
          <w:t>"</w:t>
        </w:r>
        <w:r w:rsidR="00863630" w:rsidRPr="00863630">
          <w:rPr>
            <w:rFonts w:eastAsia="Times New Roman" w:hint="eastAsia"/>
            <w:color w:val="0000FF"/>
            <w:u w:val="single"/>
            <w:rtl/>
          </w:rPr>
          <w:t>ד</w:t>
        </w:r>
        <w:r w:rsidR="00863630" w:rsidRPr="00863630">
          <w:rPr>
            <w:rFonts w:eastAsia="Times New Roman"/>
            <w:color w:val="0000FF"/>
            <w:u w:val="single"/>
            <w:rtl/>
          </w:rPr>
          <w:t xml:space="preserve"> </w:t>
        </w:r>
        <w:r w:rsidR="00863630" w:rsidRPr="00863630">
          <w:rPr>
            <w:rFonts w:eastAsia="Times New Roman" w:hint="eastAsia"/>
            <w:color w:val="0000FF"/>
            <w:u w:val="single"/>
            <w:rtl/>
          </w:rPr>
          <w:t>נד</w:t>
        </w:r>
      </w:hyperlink>
      <w:r>
        <w:rPr>
          <w:rFonts w:eastAsia="Times New Roman" w:hint="cs"/>
          <w:rtl/>
        </w:rPr>
        <w:t>(3) 685, 690 (2000))</w:t>
      </w:r>
      <w:r>
        <w:rPr>
          <w:rFonts w:hint="cs"/>
          <w:rtl/>
        </w:rPr>
        <w:t xml:space="preserve">. </w:t>
      </w:r>
    </w:p>
    <w:p w14:paraId="678AA076" w14:textId="77777777" w:rsidR="00175A2A" w:rsidRDefault="00175A2A" w:rsidP="00175A2A">
      <w:pPr>
        <w:pStyle w:val="ListParagraph"/>
        <w:ind w:left="-58" w:firstLine="0"/>
        <w:contextualSpacing w:val="0"/>
      </w:pPr>
      <w:r>
        <w:rPr>
          <w:rFonts w:hint="cs"/>
          <w:rtl/>
        </w:rPr>
        <w:t xml:space="preserve">כן ראו את מבחני העזר בעניין זה, כפי שאלו פורטו </w:t>
      </w:r>
      <w:r>
        <w:rPr>
          <w:rFonts w:hint="cs"/>
          <w:b/>
          <w:bCs/>
          <w:rtl/>
        </w:rPr>
        <w:t>בפרשת כתב</w:t>
      </w:r>
      <w:r>
        <w:rPr>
          <w:rFonts w:hint="cs"/>
          <w:rtl/>
        </w:rPr>
        <w:t xml:space="preserve"> (בפסק דינו של כב' השופט ש' לוין) </w:t>
      </w:r>
      <w:r>
        <w:rPr>
          <w:rFonts w:hint="cs"/>
          <w:u w:val="single"/>
          <w:rtl/>
        </w:rPr>
        <w:t>וב</w:t>
      </w:r>
      <w:hyperlink r:id="rId44" w:history="1">
        <w:r w:rsidR="00863630" w:rsidRPr="00863630">
          <w:rPr>
            <w:rFonts w:hint="cs"/>
            <w:color w:val="0000FF"/>
            <w:u w:val="single"/>
            <w:rtl/>
          </w:rPr>
          <w:t>ע</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2669/00 </w:t>
        </w:r>
        <w:r w:rsidR="00863630" w:rsidRPr="00863630">
          <w:rPr>
            <w:rFonts w:hint="cs"/>
            <w:color w:val="0000FF"/>
            <w:u w:val="single"/>
            <w:rtl/>
          </w:rPr>
          <w:t>מדינת</w:t>
        </w:r>
        <w:r w:rsidR="00863630" w:rsidRPr="00863630">
          <w:rPr>
            <w:color w:val="0000FF"/>
            <w:u w:val="single"/>
            <w:rtl/>
          </w:rPr>
          <w:t xml:space="preserve"> </w:t>
        </w:r>
        <w:r w:rsidR="00863630" w:rsidRPr="00863630">
          <w:rPr>
            <w:rFonts w:hint="cs"/>
            <w:color w:val="0000FF"/>
            <w:u w:val="single"/>
            <w:rtl/>
          </w:rPr>
          <w:t>ישראל</w:t>
        </w:r>
        <w:r w:rsidR="00863630" w:rsidRPr="00863630">
          <w:rPr>
            <w:color w:val="0000FF"/>
            <w:u w:val="single"/>
            <w:rtl/>
          </w:rPr>
          <w:t xml:space="preserve"> </w:t>
        </w:r>
        <w:r w:rsidR="00863630" w:rsidRPr="00863630">
          <w:rPr>
            <w:rFonts w:hint="cs"/>
            <w:color w:val="0000FF"/>
            <w:u w:val="single"/>
            <w:rtl/>
          </w:rPr>
          <w:t>נ</w:t>
        </w:r>
        <w:r w:rsidR="00863630" w:rsidRPr="00863630">
          <w:rPr>
            <w:color w:val="0000FF"/>
            <w:u w:val="single"/>
            <w:rtl/>
          </w:rPr>
          <w:t xml:space="preserve">' </w:t>
        </w:r>
        <w:r w:rsidR="00863630" w:rsidRPr="00863630">
          <w:rPr>
            <w:rFonts w:hint="cs"/>
            <w:color w:val="0000FF"/>
            <w:u w:val="single"/>
            <w:rtl/>
          </w:rPr>
          <w:t>פלוני</w:t>
        </w:r>
        <w:r w:rsidR="00863630" w:rsidRPr="00863630">
          <w:rPr>
            <w:color w:val="0000FF"/>
            <w:u w:val="single"/>
            <w:rtl/>
          </w:rPr>
          <w:t xml:space="preserve">, </w:t>
        </w:r>
        <w:r w:rsidR="00863630" w:rsidRPr="00863630">
          <w:rPr>
            <w:rFonts w:hint="cs"/>
            <w:color w:val="0000FF"/>
            <w:u w:val="single"/>
            <w:rtl/>
          </w:rPr>
          <w:t>פ</w:t>
        </w:r>
        <w:r w:rsidR="00863630" w:rsidRPr="00863630">
          <w:rPr>
            <w:color w:val="0000FF"/>
            <w:u w:val="single"/>
            <w:rtl/>
          </w:rPr>
          <w:t>"</w:t>
        </w:r>
        <w:r w:rsidR="00863630" w:rsidRPr="00863630">
          <w:rPr>
            <w:rFonts w:hint="cs"/>
            <w:color w:val="0000FF"/>
            <w:u w:val="single"/>
            <w:rtl/>
          </w:rPr>
          <w:t>ד</w:t>
        </w:r>
        <w:r w:rsidR="00863630" w:rsidRPr="00863630">
          <w:rPr>
            <w:color w:val="0000FF"/>
            <w:u w:val="single"/>
            <w:rtl/>
          </w:rPr>
          <w:t xml:space="preserve"> </w:t>
        </w:r>
        <w:r w:rsidR="00863630" w:rsidRPr="00863630">
          <w:rPr>
            <w:rFonts w:hint="cs"/>
            <w:color w:val="0000FF"/>
            <w:u w:val="single"/>
            <w:rtl/>
          </w:rPr>
          <w:t>נד</w:t>
        </w:r>
      </w:hyperlink>
      <w:r>
        <w:rPr>
          <w:rFonts w:hint="cs"/>
          <w:rtl/>
        </w:rPr>
        <w:t>(3) 685, 690 (2000).</w:t>
      </w:r>
    </w:p>
    <w:p w14:paraId="4C3ABF2F" w14:textId="77777777" w:rsidR="00175A2A" w:rsidRDefault="00175A2A" w:rsidP="00175A2A">
      <w:pPr>
        <w:pStyle w:val="ListParagraph"/>
        <w:numPr>
          <w:ilvl w:val="0"/>
          <w:numId w:val="2"/>
        </w:numPr>
        <w:ind w:left="-58"/>
        <w:contextualSpacing w:val="0"/>
      </w:pPr>
      <w:r>
        <w:rPr>
          <w:rFonts w:hint="cs"/>
          <w:rtl/>
        </w:rPr>
        <w:t xml:space="preserve">לאחר ששמעתי את טיעוני הצדדים ועיינתי בתסקיר שירות המבחן אשר הוגש בעניינו של הנאשם, שוכנעתי כי מקרה זה </w:t>
      </w:r>
      <w:r>
        <w:rPr>
          <w:rFonts w:hint="cs"/>
          <w:b/>
          <w:bCs/>
          <w:rtl/>
        </w:rPr>
        <w:t>אינו</w:t>
      </w:r>
      <w:r>
        <w:rPr>
          <w:rFonts w:hint="cs"/>
          <w:rtl/>
        </w:rPr>
        <w:t xml:space="preserve"> נמנה בגדר אותם מקרים חריגים עליהם מדברת </w:t>
      </w:r>
      <w:r>
        <w:rPr>
          <w:rFonts w:hint="cs"/>
          <w:b/>
          <w:bCs/>
          <w:rtl/>
        </w:rPr>
        <w:t>הלכת כתב</w:t>
      </w:r>
      <w:r>
        <w:rPr>
          <w:rFonts w:hint="cs"/>
          <w:rtl/>
        </w:rPr>
        <w:t xml:space="preserve"> כמצדיקים סטייה מן הכלל, לפיו נאשם שעבר עבירה יורשע בדינו. </w:t>
      </w:r>
      <w:r>
        <w:rPr>
          <w:rFonts w:hint="cs"/>
          <w:b/>
          <w:bCs/>
          <w:rtl/>
        </w:rPr>
        <w:t>לא</w:t>
      </w:r>
      <w:r>
        <w:rPr>
          <w:rFonts w:hint="cs"/>
          <w:rtl/>
        </w:rPr>
        <w:t xml:space="preserve"> מצאתי כי עניינו של הנאשם נופל לגדר אותם "חריגים שבחריגים" וכי מתקיימות בו אותן נסיבות מיוחדות המצדיקות הימנעות מהרשעתו. ובמה דברים אמורים?</w:t>
      </w:r>
    </w:p>
    <w:p w14:paraId="04C552A2" w14:textId="77777777" w:rsidR="00175A2A" w:rsidRDefault="00175A2A" w:rsidP="00175A2A">
      <w:pPr>
        <w:pStyle w:val="ListParagraph"/>
        <w:numPr>
          <w:ilvl w:val="0"/>
          <w:numId w:val="2"/>
        </w:numPr>
        <w:ind w:left="-58"/>
        <w:contextualSpacing w:val="0"/>
      </w:pPr>
      <w:r>
        <w:rPr>
          <w:rFonts w:hint="cs"/>
          <w:rtl/>
        </w:rPr>
        <w:t xml:space="preserve">ראשית, ההגנה לא טענה, בוודאי לא בפה מלא, וממילא גם </w:t>
      </w:r>
      <w:r>
        <w:rPr>
          <w:rFonts w:hint="cs"/>
          <w:b/>
          <w:bCs/>
          <w:rtl/>
        </w:rPr>
        <w:t>לא שוכנעתי כי הרשעתו של הנאשם תביא לפגיעה קונקרטית וממשית בתעסוקתו</w:t>
      </w:r>
      <w:r>
        <w:rPr>
          <w:rFonts w:hint="cs"/>
          <w:rtl/>
        </w:rPr>
        <w:t>. בעניין זה, הוצג לעיוני מכתב מאת החברה המעסיקה את הנאשם (נ/1), ובו נמסר כי הנאשם נאלץ לעיתים להשתמש ברכב החברה, כי הוא מבצע את עבודתו לשביעות רצון המעסיקים, וכי בחברה "מקווים להמשך העסקתו". מהמכתב האמור לא עולה כי הנאשם עלול להיות מפוטר ממקום עבודתו ככל שהרשעתו תיוותר על כנה.</w:t>
      </w:r>
    </w:p>
    <w:p w14:paraId="20FFBB30" w14:textId="77777777" w:rsidR="00175A2A" w:rsidRDefault="00175A2A" w:rsidP="00175A2A">
      <w:pPr>
        <w:pStyle w:val="ListParagraph"/>
        <w:ind w:left="-58" w:firstLine="0"/>
        <w:contextualSpacing w:val="0"/>
      </w:pPr>
      <w:r>
        <w:rPr>
          <w:rFonts w:eastAsia="Times New Roman" w:hint="cs"/>
          <w:rtl/>
        </w:rPr>
        <w:t xml:space="preserve">בהינתן האמור, ומשלא הוכח כי הרשעתו של הנאשם עלולה לגרום לו נזק קונקרטי וממשי, אין מנוס מלקבוע כי הנאשם לא עמד בתנאי הראשון שנקבע בפסיקה, ואשר התקיימותו נדרשת על מנת שבית המשפט ישקול לסטות מהכלל לפיו מי שנמצא אשם בביצוע עבירה יורשע בדינו (ראו למשל </w:t>
      </w:r>
      <w:r>
        <w:rPr>
          <w:rFonts w:eastAsia="Times New Roman" w:hint="cs"/>
          <w:b/>
          <w:bCs/>
          <w:rtl/>
        </w:rPr>
        <w:t>פרשת</w:t>
      </w:r>
      <w:r>
        <w:rPr>
          <w:rFonts w:eastAsia="Times New Roman" w:hint="cs"/>
          <w:rtl/>
        </w:rPr>
        <w:t xml:space="preserve"> </w:t>
      </w:r>
      <w:r>
        <w:rPr>
          <w:rFonts w:eastAsia="Times New Roman" w:hint="cs"/>
          <w:b/>
          <w:bCs/>
          <w:rtl/>
        </w:rPr>
        <w:t>פרנסקי</w:t>
      </w:r>
      <w:r>
        <w:rPr>
          <w:rFonts w:eastAsia="Times New Roman" w:hint="cs"/>
          <w:rtl/>
        </w:rPr>
        <w:t>)</w:t>
      </w:r>
      <w:r>
        <w:rPr>
          <w:rFonts w:hint="cs"/>
          <w:rtl/>
        </w:rPr>
        <w:t>.</w:t>
      </w:r>
    </w:p>
    <w:p w14:paraId="0DBCEBF8" w14:textId="77777777" w:rsidR="00175A2A" w:rsidRDefault="00175A2A" w:rsidP="00175A2A">
      <w:pPr>
        <w:pStyle w:val="ListParagraph"/>
        <w:numPr>
          <w:ilvl w:val="0"/>
          <w:numId w:val="2"/>
        </w:numPr>
        <w:ind w:left="-58"/>
        <w:contextualSpacing w:val="0"/>
      </w:pPr>
      <w:r>
        <w:rPr>
          <w:rFonts w:hint="cs"/>
          <w:rtl/>
        </w:rPr>
        <w:t xml:space="preserve">אף שדי היה באמור עד כה כדי לדחות את בקשתו של הנאשם לבטל את הרשעתו, אציין, ולו למעלה מהצורך, כי אף באתי לכלל מסקנה לפיה גם התנאי השני שנקבע בהלכת כתב אינו מתקיים במקרה הנדון. לשון אחר, סבורתני כי </w:t>
      </w:r>
      <w:r>
        <w:rPr>
          <w:rFonts w:eastAsia="Times New Roman" w:hint="cs"/>
          <w:rtl/>
        </w:rPr>
        <w:t>לא ניתן במקרה זה להימנע מהרשעתו של הנאשם מבלי לפגוע באופן מהותי בשיקולי ענישה אחרים.</w:t>
      </w:r>
      <w:r>
        <w:rPr>
          <w:rFonts w:hint="cs"/>
          <w:rtl/>
        </w:rPr>
        <w:t xml:space="preserve"> הנאשם הורשע בעבירת סמים שבצידה עונש מרבי של 20 שנות מאסר, וחומרת העבירות אף מתעצמת לנוכח כמות השתילים והמשקל של הסם שגידל הנאשם, שאך לשם השוואה ייאמר שהוא גבוה פי 110 מחזקת ה"צריכה עצמית" של סם הקנבוס שנקבעה בפקודה.</w:t>
      </w:r>
    </w:p>
    <w:p w14:paraId="23B5402B" w14:textId="77777777" w:rsidR="00175A2A" w:rsidRDefault="00175A2A" w:rsidP="00175A2A">
      <w:pPr>
        <w:pStyle w:val="ListParagraph"/>
        <w:ind w:left="-58" w:firstLine="0"/>
        <w:contextualSpacing w:val="0"/>
      </w:pPr>
      <w:r>
        <w:rPr>
          <w:rFonts w:hint="cs"/>
          <w:rtl/>
        </w:rPr>
        <w:t xml:space="preserve">זאת ועוד, כפי שצוין קודם לכן עבירות גידול הסמים הפכו זה מכבר ל"מכת מדינה" של ממש, מה שמחייב את בתי המשפט להעלות תרומתם לשירוש התופעה, וזאת בין היתר באמצעות אי גילוי סובלנות כלפי המורשעים בעבירות אלו. כלשונו של בית המשפט המחוזי </w:t>
      </w:r>
      <w:r>
        <w:rPr>
          <w:rFonts w:hint="cs"/>
          <w:b/>
          <w:bCs/>
          <w:rtl/>
        </w:rPr>
        <w:t>בעניין גיא</w:t>
      </w:r>
      <w:r>
        <w:rPr>
          <w:rFonts w:hint="cs"/>
          <w:rtl/>
        </w:rPr>
        <w:t>:</w:t>
      </w:r>
    </w:p>
    <w:p w14:paraId="7B6B7880" w14:textId="77777777" w:rsidR="00175A2A" w:rsidRDefault="00175A2A" w:rsidP="00175A2A">
      <w:pPr>
        <w:pStyle w:val="ListParagraph"/>
        <w:ind w:left="-58" w:firstLine="0"/>
        <w:contextualSpacing w:val="0"/>
        <w:rPr>
          <w:b/>
          <w:bCs/>
          <w:rtl/>
        </w:rPr>
      </w:pPr>
      <w:r>
        <w:rPr>
          <w:rFonts w:hint="cs"/>
          <w:b/>
          <w:bCs/>
          <w:rt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64FAC042" w14:textId="77777777" w:rsidR="00175A2A" w:rsidRDefault="00175A2A" w:rsidP="00175A2A">
      <w:pPr>
        <w:pStyle w:val="ListParagraph"/>
        <w:ind w:left="-58" w:firstLine="0"/>
        <w:contextualSpacing w:val="0"/>
      </w:pPr>
      <w:r>
        <w:rPr>
          <w:rFonts w:hint="cs"/>
          <w:rtl/>
        </w:rPr>
        <w:t xml:space="preserve">כן ראו הדברים שנאמרו </w:t>
      </w:r>
      <w:r>
        <w:rPr>
          <w:rFonts w:hint="cs"/>
          <w:u w:val="single"/>
          <w:rtl/>
        </w:rPr>
        <w:t>ב</w:t>
      </w:r>
      <w:hyperlink r:id="rId45" w:history="1">
        <w:r w:rsidR="00863630" w:rsidRPr="00863630">
          <w:rPr>
            <w:rFonts w:hint="cs"/>
            <w:color w:val="0000FF"/>
            <w:u w:val="single"/>
            <w:rtl/>
          </w:rPr>
          <w:t>עפ</w:t>
        </w:r>
        <w:r w:rsidR="00863630" w:rsidRPr="00863630">
          <w:rPr>
            <w:color w:val="0000FF"/>
            <w:u w:val="single"/>
            <w:rtl/>
          </w:rPr>
          <w:t>"</w:t>
        </w:r>
        <w:r w:rsidR="00863630" w:rsidRPr="00863630">
          <w:rPr>
            <w:rFonts w:hint="cs"/>
            <w:color w:val="0000FF"/>
            <w:u w:val="single"/>
            <w:rtl/>
          </w:rPr>
          <w:t>ג</w:t>
        </w:r>
        <w:r w:rsidR="00863630" w:rsidRPr="00863630">
          <w:rPr>
            <w:color w:val="0000FF"/>
            <w:u w:val="single"/>
            <w:rtl/>
          </w:rPr>
          <w:t xml:space="preserve"> (</w:t>
        </w:r>
        <w:r w:rsidR="00863630" w:rsidRPr="00863630">
          <w:rPr>
            <w:rFonts w:hint="cs"/>
            <w:color w:val="0000FF"/>
            <w:u w:val="single"/>
            <w:rtl/>
          </w:rPr>
          <w:t>מחוזי</w:t>
        </w:r>
        <w:r w:rsidR="00863630" w:rsidRPr="00863630">
          <w:rPr>
            <w:color w:val="0000FF"/>
            <w:u w:val="single"/>
            <w:rtl/>
          </w:rPr>
          <w:t xml:space="preserve"> </w:t>
        </w:r>
        <w:r w:rsidR="00863630" w:rsidRPr="00863630">
          <w:rPr>
            <w:rFonts w:hint="cs"/>
            <w:color w:val="0000FF"/>
            <w:u w:val="single"/>
            <w:rtl/>
          </w:rPr>
          <w:t>תל</w:t>
        </w:r>
        <w:r w:rsidR="00863630" w:rsidRPr="00863630">
          <w:rPr>
            <w:color w:val="0000FF"/>
            <w:u w:val="single"/>
            <w:rtl/>
          </w:rPr>
          <w:t xml:space="preserve"> </w:t>
        </w:r>
        <w:r w:rsidR="00863630" w:rsidRPr="00863630">
          <w:rPr>
            <w:rFonts w:hint="cs"/>
            <w:color w:val="0000FF"/>
            <w:u w:val="single"/>
            <w:rtl/>
          </w:rPr>
          <w:t>אביב</w:t>
        </w:r>
        <w:r w:rsidR="00863630" w:rsidRPr="00863630">
          <w:rPr>
            <w:color w:val="0000FF"/>
            <w:u w:val="single"/>
            <w:rtl/>
          </w:rPr>
          <w:t xml:space="preserve"> </w:t>
        </w:r>
        <w:r w:rsidR="00863630" w:rsidRPr="00863630">
          <w:rPr>
            <w:rFonts w:hint="cs"/>
            <w:color w:val="0000FF"/>
            <w:u w:val="single"/>
            <w:rtl/>
          </w:rPr>
          <w:t>יפו</w:t>
        </w:r>
        <w:r w:rsidR="00863630" w:rsidRPr="00863630">
          <w:rPr>
            <w:color w:val="0000FF"/>
            <w:u w:val="single"/>
            <w:rtl/>
          </w:rPr>
          <w:t>) 4706-10-15</w:t>
        </w:r>
      </w:hyperlink>
      <w:r>
        <w:rPr>
          <w:rFonts w:hint="cs"/>
          <w:rtl/>
        </w:rPr>
        <w:t xml:space="preserve"> </w:t>
      </w:r>
      <w:r>
        <w:rPr>
          <w:rFonts w:hint="cs"/>
          <w:b/>
          <w:bCs/>
          <w:rtl/>
        </w:rPr>
        <w:t>מדינת ישראל נ' עמרי מסרי</w:t>
      </w:r>
      <w:r>
        <w:rPr>
          <w:rFonts w:hint="cs"/>
          <w:rtl/>
        </w:rPr>
        <w:t>, (23.11.2015), שם הודגש באופן שאינו משתמע לשני פנים, כי הימנעות מהרשעה בעניינם של נאשמים אשר הורשעו בעבירות של גידול סם תיתכן אך במקרים חריגים שבחריגים:</w:t>
      </w:r>
    </w:p>
    <w:p w14:paraId="02AE8443" w14:textId="77777777" w:rsidR="00175A2A" w:rsidRDefault="00175A2A" w:rsidP="00175A2A">
      <w:pPr>
        <w:pStyle w:val="ListParagraph"/>
        <w:ind w:left="-58" w:firstLine="0"/>
        <w:contextualSpacing w:val="0"/>
        <w:rPr>
          <w:b/>
          <w:bCs/>
          <w:rtl/>
        </w:rPr>
      </w:pPr>
      <w:r>
        <w:rPr>
          <w:rFonts w:hint="cs"/>
          <w:b/>
          <w:bCs/>
          <w:rtl/>
        </w:rPr>
        <w:t>"כמותב שהעיסוק בתחום הפלילי הוא לחם חוקו ושומע לא מעט ערעורים פליליים נוכל לומר כי, אין כמעט שבוע דיונים שבו איננו מוצאים עצמנו דנים במספר תיקים שעניינם מעבדות סמים. תופעת מעבדות הסמים הפכה להיות נפוצה ושכיחה ביותר שעל כן אין מנוס אלא להילחם בה בחורמה... דברים דומים נאמרו ב</w:t>
      </w:r>
      <w:hyperlink r:id="rId46" w:history="1">
        <w:r w:rsidR="00863630" w:rsidRPr="00863630">
          <w:rPr>
            <w:rFonts w:hint="cs"/>
            <w:b/>
            <w:bCs/>
            <w:color w:val="0000FF"/>
            <w:u w:val="single"/>
            <w:rtl/>
          </w:rPr>
          <w:t>עפ</w:t>
        </w:r>
        <w:r w:rsidR="00863630" w:rsidRPr="00863630">
          <w:rPr>
            <w:b/>
            <w:bCs/>
            <w:color w:val="0000FF"/>
            <w:u w:val="single"/>
            <w:rtl/>
          </w:rPr>
          <w:t>"</w:t>
        </w:r>
        <w:r w:rsidR="00863630" w:rsidRPr="00863630">
          <w:rPr>
            <w:rFonts w:hint="cs"/>
            <w:b/>
            <w:bCs/>
            <w:color w:val="0000FF"/>
            <w:u w:val="single"/>
            <w:rtl/>
          </w:rPr>
          <w:t>ג</w:t>
        </w:r>
        <w:r w:rsidR="00863630" w:rsidRPr="00863630">
          <w:rPr>
            <w:b/>
            <w:bCs/>
            <w:color w:val="0000FF"/>
            <w:u w:val="single"/>
            <w:rtl/>
          </w:rPr>
          <w:t xml:space="preserve"> 17796-10-14</w:t>
        </w:r>
      </w:hyperlink>
      <w:r>
        <w:rPr>
          <w:rFonts w:hint="cs"/>
          <w:b/>
          <w:bCs/>
          <w:rtl/>
        </w:rPr>
        <w:t xml:space="preserve"> מדינת ישראל נ' דדון שם הפנינו לערעור אחר </w:t>
      </w:r>
      <w:hyperlink r:id="rId47" w:history="1">
        <w:r w:rsidR="00863630" w:rsidRPr="00863630">
          <w:rPr>
            <w:rFonts w:hint="cs"/>
            <w:b/>
            <w:bCs/>
            <w:color w:val="0000FF"/>
            <w:u w:val="single"/>
            <w:rtl/>
          </w:rPr>
          <w:t>עפ</w:t>
        </w:r>
        <w:r w:rsidR="00863630" w:rsidRPr="00863630">
          <w:rPr>
            <w:b/>
            <w:bCs/>
            <w:color w:val="0000FF"/>
            <w:u w:val="single"/>
            <w:rtl/>
          </w:rPr>
          <w:t>"</w:t>
        </w:r>
        <w:r w:rsidR="00863630" w:rsidRPr="00863630">
          <w:rPr>
            <w:rFonts w:hint="cs"/>
            <w:b/>
            <w:bCs/>
            <w:color w:val="0000FF"/>
            <w:u w:val="single"/>
            <w:rtl/>
          </w:rPr>
          <w:t>ג</w:t>
        </w:r>
        <w:r w:rsidR="00863630" w:rsidRPr="00863630">
          <w:rPr>
            <w:b/>
            <w:bCs/>
            <w:color w:val="0000FF"/>
            <w:u w:val="single"/>
            <w:rtl/>
          </w:rPr>
          <w:t xml:space="preserve"> 46738-09-14</w:t>
        </w:r>
      </w:hyperlink>
      <w:r>
        <w:rPr>
          <w:rFonts w:hint="cs"/>
          <w:b/>
          <w:bCs/>
          <w:rtl/>
        </w:rPr>
        <w:t xml:space="preserve"> מדינת ישראל נ' צ'קבאשווילי ואח', הדברים חוזרים על עצמם שעל כן לא נוסיף בציטוטים, כאמור מדובר בתופעה נפוצה ביותר וככל הנראה קלה לביצוע. אמרנו באותו ענין כי: 'הרושם הוא שהקלות הבלתי נסבלת של הקמת מעבדת סמים מעודדת אנשים רבים לעסוק בתחום 'חקלאי' זה... מעבדה אחת משחררת כמות סם מאסיבית לשוק הסמים הרווי גם כך...'... </w:t>
      </w:r>
      <w:r>
        <w:rPr>
          <w:rFonts w:hint="cs"/>
          <w:b/>
          <w:bCs/>
          <w:u w:val="single"/>
          <w:rtl/>
        </w:rPr>
        <w:t>האמור לעיל מביא למסקנה חד משמעית כי סיום הליך בדרך של אי הרשעה כאשר מדובר במעבדת סמים יהיה חריג שבחריגים</w:t>
      </w:r>
      <w:r>
        <w:rPr>
          <w:rFonts w:hint="cs"/>
          <w:b/>
          <w:bCs/>
          <w:rtl/>
        </w:rPr>
        <w:t xml:space="preserve"> [ההדגשה איננה במקור – נ.ש.מ]".</w:t>
      </w:r>
    </w:p>
    <w:p w14:paraId="7C14C179" w14:textId="77777777" w:rsidR="00175A2A" w:rsidRDefault="00175A2A" w:rsidP="00175A2A">
      <w:pPr>
        <w:pStyle w:val="ListParagraph"/>
        <w:ind w:left="-58" w:firstLine="0"/>
        <w:contextualSpacing w:val="0"/>
        <w:rPr>
          <w:rFonts w:eastAsia="Times New Roman"/>
        </w:rPr>
      </w:pPr>
      <w:r>
        <w:rPr>
          <w:rFonts w:eastAsia="Times New Roman" w:hint="cs"/>
          <w:rtl/>
        </w:rPr>
        <w:t xml:space="preserve">אכן ברי, כי כל מקרה צריך להיבחן לגופו, ובהחלט ייתכן כי יהיו מקרים בהם יהיה זה מוצדק להימנע מהרשעתו של מאן דהוא שהואשם בעבירה זהה לזו שביצע הנאשם (וראו </w:t>
      </w:r>
      <w:hyperlink r:id="rId48" w:history="1">
        <w:r w:rsidR="00863630" w:rsidRPr="00863630">
          <w:rPr>
            <w:rFonts w:eastAsia="Times New Roman" w:hint="eastAsia"/>
            <w:color w:val="0000FF"/>
            <w:u w:val="single"/>
            <w:rtl/>
          </w:rPr>
          <w:t>ת</w:t>
        </w:r>
        <w:r w:rsidR="00863630" w:rsidRPr="00863630">
          <w:rPr>
            <w:rFonts w:eastAsia="Times New Roman"/>
            <w:color w:val="0000FF"/>
            <w:u w:val="single"/>
            <w:rtl/>
          </w:rPr>
          <w:t>"</w:t>
        </w:r>
        <w:r w:rsidR="00863630" w:rsidRPr="00863630">
          <w:rPr>
            <w:rFonts w:eastAsia="Times New Roman" w:hint="eastAsia"/>
            <w:color w:val="0000FF"/>
            <w:u w:val="single"/>
            <w:rtl/>
          </w:rPr>
          <w:t>פ</w:t>
        </w:r>
        <w:r w:rsidR="00863630" w:rsidRPr="00863630">
          <w:rPr>
            <w:rFonts w:eastAsia="Times New Roman"/>
            <w:color w:val="0000FF"/>
            <w:u w:val="single"/>
            <w:rtl/>
          </w:rPr>
          <w:t xml:space="preserve"> (</w:t>
        </w:r>
        <w:r w:rsidR="00863630" w:rsidRPr="00863630">
          <w:rPr>
            <w:rFonts w:eastAsia="Times New Roman" w:hint="eastAsia"/>
            <w:color w:val="0000FF"/>
            <w:u w:val="single"/>
            <w:rtl/>
          </w:rPr>
          <w:t>שלום</w:t>
        </w:r>
        <w:r w:rsidR="00863630" w:rsidRPr="00863630">
          <w:rPr>
            <w:rFonts w:eastAsia="Times New Roman"/>
            <w:color w:val="0000FF"/>
            <w:u w:val="single"/>
            <w:rtl/>
          </w:rPr>
          <w:t xml:space="preserve"> </w:t>
        </w:r>
        <w:r w:rsidR="00863630" w:rsidRPr="00863630">
          <w:rPr>
            <w:rFonts w:eastAsia="Times New Roman" w:hint="eastAsia"/>
            <w:color w:val="0000FF"/>
            <w:u w:val="single"/>
            <w:rtl/>
          </w:rPr>
          <w:t>קריית</w:t>
        </w:r>
        <w:r w:rsidR="00863630" w:rsidRPr="00863630">
          <w:rPr>
            <w:rFonts w:eastAsia="Times New Roman"/>
            <w:color w:val="0000FF"/>
            <w:u w:val="single"/>
            <w:rtl/>
          </w:rPr>
          <w:t xml:space="preserve"> </w:t>
        </w:r>
        <w:r w:rsidR="00863630" w:rsidRPr="00863630">
          <w:rPr>
            <w:rFonts w:eastAsia="Times New Roman" w:hint="eastAsia"/>
            <w:color w:val="0000FF"/>
            <w:u w:val="single"/>
            <w:rtl/>
          </w:rPr>
          <w:t>גת</w:t>
        </w:r>
        <w:r w:rsidR="00863630" w:rsidRPr="00863630">
          <w:rPr>
            <w:rFonts w:eastAsia="Times New Roman"/>
            <w:color w:val="0000FF"/>
            <w:u w:val="single"/>
            <w:rtl/>
          </w:rPr>
          <w:t>) 53716-03-15</w:t>
        </w:r>
      </w:hyperlink>
      <w:r>
        <w:rPr>
          <w:rFonts w:eastAsia="Times New Roman" w:hint="cs"/>
          <w:rtl/>
        </w:rPr>
        <w:t xml:space="preserve"> </w:t>
      </w:r>
      <w:r>
        <w:rPr>
          <w:rFonts w:eastAsia="Times New Roman" w:hint="cs"/>
          <w:b/>
          <w:bCs/>
          <w:rtl/>
        </w:rPr>
        <w:t>מדינת ישראל נ' זגורי</w:t>
      </w:r>
      <w:r>
        <w:rPr>
          <w:rFonts w:eastAsia="Times New Roman" w:hint="cs"/>
          <w:rtl/>
        </w:rPr>
        <w:t>, (05.04.2016), אשר ניתן על ידי מותב זה). אולם לדידי, עניינו של הנאשם שבפניי איננו אותו מקרה חריג שבחריגים, וביטול ההרשעה במקרה הנדון עלול לשגר מסר מטעה לציבור של סלחנות וסובלנות כלפי מגדלי סמים בביתם.</w:t>
      </w:r>
    </w:p>
    <w:p w14:paraId="434F3592" w14:textId="77777777" w:rsidR="00175A2A" w:rsidRDefault="00175A2A" w:rsidP="00175A2A">
      <w:pPr>
        <w:pStyle w:val="ListParagraph"/>
        <w:ind w:left="-58" w:firstLine="0"/>
        <w:contextualSpacing w:val="0"/>
        <w:rPr>
          <w:rFonts w:eastAsia="Times New Roman"/>
          <w:rtl/>
        </w:rPr>
      </w:pPr>
      <w:r>
        <w:rPr>
          <w:rFonts w:eastAsia="Times New Roman" w:hint="cs"/>
          <w:rtl/>
        </w:rPr>
        <w:t xml:space="preserve">לאור אלה, כאמור, שוכנעתי כי לא ניתן במקרה זה להימנע מהרשעתו של הנאשם מבלי לפגוע באופן מהותי בשיקולי ענישה אחרים. </w:t>
      </w:r>
    </w:p>
    <w:p w14:paraId="50C7011F" w14:textId="77777777" w:rsidR="00175A2A" w:rsidRDefault="00175A2A" w:rsidP="00175A2A">
      <w:pPr>
        <w:pStyle w:val="ListParagraph"/>
        <w:numPr>
          <w:ilvl w:val="0"/>
          <w:numId w:val="2"/>
        </w:numPr>
        <w:ind w:left="-58"/>
        <w:contextualSpacing w:val="0"/>
        <w:rPr>
          <w:rtl/>
        </w:rPr>
      </w:pPr>
      <w:r>
        <w:rPr>
          <w:rFonts w:hint="cs"/>
          <w:rtl/>
        </w:rPr>
        <w:t xml:space="preserve">כללם של דברים, מקום בו לא הוכח כי הרשעתו של הנאשם בדין עלולה לגרום לו נזק ממשי וקונקרטי, ומששוכנעתי כי לא ניתן במקרה הנדון להימנע מהרשעתו של הנאשם מבלי לפגוע בשיקולי ענישה אחרים, </w:t>
      </w:r>
      <w:r>
        <w:rPr>
          <w:rFonts w:hint="cs"/>
          <w:b/>
          <w:bCs/>
          <w:rtl/>
        </w:rPr>
        <w:t>הריני מורה כי הרשעתו של הנאשם תיוותר על כנה</w:t>
      </w:r>
      <w:r>
        <w:rPr>
          <w:rFonts w:hint="cs"/>
          <w:rtl/>
        </w:rPr>
        <w:t>.</w:t>
      </w:r>
    </w:p>
    <w:p w14:paraId="7D82EF5B" w14:textId="77777777" w:rsidR="00175A2A" w:rsidRDefault="00175A2A" w:rsidP="00175A2A">
      <w:pPr>
        <w:pStyle w:val="ListParagraph"/>
        <w:ind w:left="-58" w:firstLine="0"/>
        <w:contextualSpacing w:val="0"/>
      </w:pPr>
      <w:r>
        <w:rPr>
          <w:rFonts w:hint="cs"/>
          <w:rtl/>
        </w:rPr>
        <w:t>בשולי הדברים אף אציין, כי בשים לב לכל האמור, נדמה שלא בכדי גם שירות המבחן לא בא בהמלצה להורות על ביטול הרשעתו של הנאשם.</w:t>
      </w:r>
    </w:p>
    <w:p w14:paraId="232561E2" w14:textId="77777777" w:rsidR="00175A2A" w:rsidRDefault="00175A2A" w:rsidP="00175A2A">
      <w:pPr>
        <w:pStyle w:val="1"/>
        <w:numPr>
          <w:ilvl w:val="0"/>
          <w:numId w:val="1"/>
        </w:numPr>
        <w:spacing w:after="160" w:line="288" w:lineRule="auto"/>
        <w:jc w:val="both"/>
        <w:rPr>
          <w:rFonts w:cs="David"/>
        </w:rPr>
      </w:pPr>
      <w:r>
        <w:rPr>
          <w:rFonts w:cs="David" w:hint="cs"/>
          <w:rtl/>
        </w:rPr>
        <w:t>גזירת העונש המתאים לנאשם</w:t>
      </w:r>
    </w:p>
    <w:p w14:paraId="6C28DD43" w14:textId="77777777" w:rsidR="00175A2A" w:rsidRDefault="00175A2A" w:rsidP="00175A2A">
      <w:pPr>
        <w:pStyle w:val="ListParagraph"/>
        <w:numPr>
          <w:ilvl w:val="0"/>
          <w:numId w:val="2"/>
        </w:numPr>
        <w:ind w:left="-58"/>
        <w:contextualSpacing w:val="0"/>
        <w:rPr>
          <w:rtl/>
        </w:rPr>
      </w:pPr>
      <w:r>
        <w:rPr>
          <w:rFonts w:hint="cs"/>
          <w:rtl/>
        </w:rPr>
        <w:t xml:space="preserve">אשר לגזירת עונשו של הנאשם בגדרי מתחם העונש ההולם, כאמור </w:t>
      </w:r>
      <w:hyperlink r:id="rId49" w:history="1">
        <w:r w:rsidR="0017558A" w:rsidRPr="0017558A">
          <w:rPr>
            <w:rFonts w:hint="cs"/>
            <w:color w:val="0000FF"/>
            <w:u w:val="single"/>
            <w:rtl/>
          </w:rPr>
          <w:t>בסעיף</w:t>
        </w:r>
        <w:r w:rsidR="0017558A" w:rsidRPr="0017558A">
          <w:rPr>
            <w:color w:val="0000FF"/>
            <w:u w:val="single"/>
            <w:rtl/>
          </w:rPr>
          <w:t xml:space="preserve"> 40</w:t>
        </w:r>
        <w:r w:rsidR="0017558A" w:rsidRPr="0017558A">
          <w:rPr>
            <w:rFonts w:hint="cs"/>
            <w:color w:val="0000FF"/>
            <w:u w:val="single"/>
            <w:rtl/>
          </w:rPr>
          <w:t>ג</w:t>
        </w:r>
        <w:r w:rsidR="0017558A" w:rsidRPr="0017558A">
          <w:rPr>
            <w:color w:val="0000FF"/>
            <w:u w:val="single"/>
            <w:rtl/>
          </w:rPr>
          <w:t>(</w:t>
        </w:r>
        <w:r w:rsidR="0017558A" w:rsidRPr="0017558A">
          <w:rPr>
            <w:rFonts w:hint="cs"/>
            <w:color w:val="0000FF"/>
            <w:u w:val="single"/>
            <w:rtl/>
          </w:rPr>
          <w:t>ב</w:t>
        </w:r>
        <w:r w:rsidR="0017558A" w:rsidRPr="0017558A">
          <w:rPr>
            <w:color w:val="0000FF"/>
            <w:u w:val="single"/>
            <w:rtl/>
          </w:rPr>
          <w:t>)</w:t>
        </w:r>
      </w:hyperlink>
      <w:r>
        <w:rPr>
          <w:rFonts w:hint="cs"/>
          <w:rtl/>
        </w:rPr>
        <w:t xml:space="preserve"> ל</w:t>
      </w:r>
      <w:hyperlink r:id="rId50" w:history="1">
        <w:r w:rsidR="00863630" w:rsidRPr="00863630">
          <w:rPr>
            <w:rFonts w:hint="cs"/>
            <w:color w:val="0000FF"/>
            <w:u w:val="single"/>
            <w:rtl/>
          </w:rPr>
          <w:t>חוק</w:t>
        </w:r>
        <w:r w:rsidR="00863630" w:rsidRPr="00863630">
          <w:rPr>
            <w:color w:val="0000FF"/>
            <w:u w:val="single"/>
            <w:rtl/>
          </w:rPr>
          <w:t xml:space="preserve"> </w:t>
        </w:r>
        <w:r w:rsidR="00863630" w:rsidRPr="00863630">
          <w:rPr>
            <w:rFonts w:hint="cs"/>
            <w:color w:val="0000FF"/>
            <w:u w:val="single"/>
            <w:rtl/>
          </w:rPr>
          <w:t>העונשין</w:t>
        </w:r>
      </w:hyperlink>
      <w:r>
        <w:rPr>
          <w:rFonts w:hint="cs"/>
          <w:rtl/>
        </w:rPr>
        <w:t xml:space="preserve">, על בית המשפט לשקול בעניין זה את הנסיבות שאינן קשורות בביצוע העבירה, כפי שאלו מפורטות </w:t>
      </w:r>
      <w:hyperlink r:id="rId51" w:history="1">
        <w:r w:rsidR="0017558A" w:rsidRPr="0017558A">
          <w:rPr>
            <w:rFonts w:hint="cs"/>
            <w:color w:val="0000FF"/>
            <w:u w:val="single"/>
            <w:rtl/>
          </w:rPr>
          <w:t>בסעיף</w:t>
        </w:r>
        <w:r w:rsidR="0017558A" w:rsidRPr="0017558A">
          <w:rPr>
            <w:color w:val="0000FF"/>
            <w:u w:val="single"/>
            <w:rtl/>
          </w:rPr>
          <w:t xml:space="preserve"> 40</w:t>
        </w:r>
        <w:r w:rsidR="0017558A" w:rsidRPr="0017558A">
          <w:rPr>
            <w:rFonts w:hint="cs"/>
            <w:color w:val="0000FF"/>
            <w:u w:val="single"/>
            <w:rtl/>
          </w:rPr>
          <w:t>יא</w:t>
        </w:r>
      </w:hyperlink>
      <w:r>
        <w:rPr>
          <w:rFonts w:hint="cs"/>
          <w:rtl/>
        </w:rPr>
        <w:t xml:space="preserve"> לחוק העונשין.</w:t>
      </w:r>
    </w:p>
    <w:p w14:paraId="76BD3C16" w14:textId="77777777" w:rsidR="00175A2A" w:rsidRDefault="00175A2A" w:rsidP="00175A2A">
      <w:pPr>
        <w:pStyle w:val="ListParagraph"/>
        <w:numPr>
          <w:ilvl w:val="0"/>
          <w:numId w:val="2"/>
        </w:numPr>
        <w:ind w:left="-58"/>
        <w:contextualSpacing w:val="0"/>
      </w:pPr>
      <w:r>
        <w:rPr>
          <w:rFonts w:hint="cs"/>
          <w:rtl/>
        </w:rPr>
        <w:t>בעניין זה, נתתי דעתי לעברו הפלילי הנקי של הנאשם ולעובדה כי זו הסתבכותו הראשונה בפלילים. כן נתתי דעתי לפגיעה שעלולה להיגרם לנאשם ולמשפחתו אם יושת עליו עונש מאסר, ולו לריצוי בעבודות שירות, וזאת בשים לב לעובדה כי טרם ריצה עונשי מאסר בעברו; ולכך שהלה אב לארבעה ילדים שכלכלתם תיפגע אם כאמור, יושת עליו רכיב של מאסר בפועל (ואף אפנה בעניין זה למסמך נ/2 שהוגש לעיוני מטעם ההגנה).</w:t>
      </w:r>
    </w:p>
    <w:p w14:paraId="54B715CC" w14:textId="77777777" w:rsidR="00175A2A" w:rsidRDefault="00175A2A" w:rsidP="00175A2A">
      <w:pPr>
        <w:pStyle w:val="ListParagraph"/>
        <w:ind w:left="-58" w:firstLine="0"/>
        <w:contextualSpacing w:val="0"/>
      </w:pPr>
      <w:r>
        <w:rPr>
          <w:rFonts w:hint="cs"/>
          <w:rtl/>
        </w:rPr>
        <w:t>עוד ולקולא, יש לשקול את העובדה כי הנאשם הודה במיוחס לו. וכאן ייאמר, כי את מירב המשקל בעניין זה יש להעניק לא בהכרח להודאה כשלעצמה ולחיסכון בזמן שיפוטי שהיא מביאה עמה, כי אם לעובדה שהנאשם הצטער והתחרט בצורה כנה על מעשיו, הביע מוטיבציה לשנות מדרכיו, השתלב בהליך טיפולי (שאודותיו ארחיב בהמשך) ואף חדל מלהשתמש בסמים. בכל אלה, יש כדי להעיד על כך שהנאשם הפנים את חומרת מעשיו ואת השלכותיהם. עוד לדידי, יש בדברים אלו כדי ללמד, ואף שירות המבחן סבור כך, שהסיכון הנשקף מהנאשם להישנות עבירות דומות בעתיד הצטמצם בצורה ניכרת.</w:t>
      </w:r>
    </w:p>
    <w:p w14:paraId="0ECC0C0D" w14:textId="77777777" w:rsidR="00175A2A" w:rsidRDefault="00175A2A" w:rsidP="00175A2A">
      <w:pPr>
        <w:pStyle w:val="ListParagraph"/>
        <w:ind w:left="-58" w:firstLine="0"/>
        <w:contextualSpacing w:val="0"/>
        <w:rPr>
          <w:rtl/>
        </w:rPr>
      </w:pPr>
      <w:r>
        <w:rPr>
          <w:rFonts w:hint="cs"/>
          <w:rtl/>
        </w:rPr>
        <w:t xml:space="preserve">בנוסף, נתתי דעתי להמלצתו של שירות המבחן, ולנסיבות חייו המורכבות במידה רבה של הנאשם, כפי שאלה פורטו בתסקיר ואף נלמדות מהמסמך נ/2 שהוגש לעיוני, ושייתכן כי הייתה להן השפעה על הנאשם עת ביצע את העבירה שבמוקד כתב האישום המתוקן. גם חוות דעתו החיובית של מעסיקו של הנאשם, המלמדת על כך שהנאשם מנהל אורח חיים יצרני ותקין, לא נעלמה מעיניי. אשר למסמך הרפואי שהוגש לעיוני מטעם ההגנה (נ/3), יצוין כי לא הוכח לבית המשפט כי ישנו קשר סיבתי בין מעצרו של הנאשם לבין מה שאירע לרעייתו בפרט ולמשפחתו בכלל. אולם, אף אם לא ניתן לייחס לכך משקל במסגרת הנסיבה הקבועה </w:t>
      </w:r>
      <w:hyperlink r:id="rId52" w:history="1">
        <w:r w:rsidR="0017558A" w:rsidRPr="0017558A">
          <w:rPr>
            <w:rFonts w:hint="cs"/>
            <w:color w:val="0000FF"/>
            <w:u w:val="single"/>
            <w:rtl/>
          </w:rPr>
          <w:t>בסעיף</w:t>
        </w:r>
        <w:r w:rsidR="0017558A" w:rsidRPr="0017558A">
          <w:rPr>
            <w:color w:val="0000FF"/>
            <w:u w:val="single"/>
            <w:rtl/>
          </w:rPr>
          <w:t xml:space="preserve"> 40</w:t>
        </w:r>
        <w:r w:rsidR="0017558A" w:rsidRPr="0017558A">
          <w:rPr>
            <w:rFonts w:hint="cs"/>
            <w:color w:val="0000FF"/>
            <w:u w:val="single"/>
            <w:rtl/>
          </w:rPr>
          <w:t>יא</w:t>
        </w:r>
        <w:r w:rsidR="0017558A" w:rsidRPr="0017558A">
          <w:rPr>
            <w:color w:val="0000FF"/>
            <w:u w:val="single"/>
            <w:rtl/>
          </w:rPr>
          <w:t>(3)</w:t>
        </w:r>
      </w:hyperlink>
      <w:r>
        <w:rPr>
          <w:rFonts w:hint="cs"/>
          <w:rtl/>
        </w:rPr>
        <w:t xml:space="preserve"> ל</w:t>
      </w:r>
      <w:hyperlink r:id="rId53" w:history="1">
        <w:r w:rsidR="00863630" w:rsidRPr="00863630">
          <w:rPr>
            <w:rFonts w:hint="cs"/>
            <w:color w:val="0000FF"/>
            <w:u w:val="single"/>
            <w:rtl/>
          </w:rPr>
          <w:t>חוק</w:t>
        </w:r>
        <w:r w:rsidR="00863630" w:rsidRPr="00863630">
          <w:rPr>
            <w:color w:val="0000FF"/>
            <w:u w:val="single"/>
            <w:rtl/>
          </w:rPr>
          <w:t xml:space="preserve"> </w:t>
        </w:r>
        <w:r w:rsidR="00863630" w:rsidRPr="00863630">
          <w:rPr>
            <w:rFonts w:hint="cs"/>
            <w:color w:val="0000FF"/>
            <w:u w:val="single"/>
            <w:rtl/>
          </w:rPr>
          <w:t>העונשין</w:t>
        </w:r>
      </w:hyperlink>
      <w:r>
        <w:rPr>
          <w:rFonts w:hint="cs"/>
          <w:rtl/>
        </w:rPr>
        <w:t>, עדיין נדמה שניתן להעניק משקל מסוים למה שאירע, וזאת כחלק מהשיקול הנוגע לנסיבות חייו של הנאשם.</w:t>
      </w:r>
    </w:p>
    <w:p w14:paraId="44F71980" w14:textId="77777777" w:rsidR="00175A2A" w:rsidRDefault="00175A2A" w:rsidP="00175A2A">
      <w:pPr>
        <w:pStyle w:val="ListParagraph"/>
        <w:numPr>
          <w:ilvl w:val="0"/>
          <w:numId w:val="2"/>
        </w:numPr>
        <w:ind w:left="-58"/>
        <w:contextualSpacing w:val="0"/>
        <w:rPr>
          <w:rtl/>
        </w:rPr>
      </w:pPr>
      <w:r>
        <w:rPr>
          <w:rFonts w:hint="cs"/>
          <w:rtl/>
        </w:rPr>
        <w:t xml:space="preserve">כל אלה, על פניו, היו צריכים להביא את בית המשפט למסקנה כי יש לגזור את עונשו של הנאשם ברף התחתון של מתחם העונש ההולם. אולם, בשים לב לאמור </w:t>
      </w:r>
      <w:hyperlink r:id="rId54" w:history="1">
        <w:r w:rsidR="0017558A" w:rsidRPr="0017558A">
          <w:rPr>
            <w:rFonts w:hint="cs"/>
            <w:color w:val="0000FF"/>
            <w:u w:val="single"/>
            <w:rtl/>
          </w:rPr>
          <w:t>בסעיף</w:t>
        </w:r>
        <w:r w:rsidR="0017558A" w:rsidRPr="0017558A">
          <w:rPr>
            <w:color w:val="0000FF"/>
            <w:u w:val="single"/>
            <w:rtl/>
          </w:rPr>
          <w:t xml:space="preserve"> 40</w:t>
        </w:r>
        <w:r w:rsidR="0017558A" w:rsidRPr="0017558A">
          <w:rPr>
            <w:rFonts w:hint="cs"/>
            <w:color w:val="0000FF"/>
            <w:u w:val="single"/>
            <w:rtl/>
          </w:rPr>
          <w:t>ד</w:t>
        </w:r>
        <w:r w:rsidR="0017558A" w:rsidRPr="0017558A">
          <w:rPr>
            <w:color w:val="0000FF"/>
            <w:u w:val="single"/>
            <w:rtl/>
          </w:rPr>
          <w:t>(</w:t>
        </w:r>
        <w:r w:rsidR="0017558A" w:rsidRPr="0017558A">
          <w:rPr>
            <w:rFonts w:hint="cs"/>
            <w:color w:val="0000FF"/>
            <w:u w:val="single"/>
            <w:rtl/>
          </w:rPr>
          <w:t>א</w:t>
        </w:r>
        <w:r w:rsidR="0017558A" w:rsidRPr="0017558A">
          <w:rPr>
            <w:color w:val="0000FF"/>
            <w:u w:val="single"/>
            <w:rtl/>
          </w:rPr>
          <w:t>)</w:t>
        </w:r>
      </w:hyperlink>
      <w:r>
        <w:rPr>
          <w:rFonts w:hint="cs"/>
          <w:rtl/>
        </w:rPr>
        <w:t xml:space="preserve"> ל</w:t>
      </w:r>
      <w:hyperlink r:id="rId55" w:history="1">
        <w:r w:rsidR="00863630" w:rsidRPr="00863630">
          <w:rPr>
            <w:rFonts w:hint="cs"/>
            <w:color w:val="0000FF"/>
            <w:u w:val="single"/>
            <w:rtl/>
          </w:rPr>
          <w:t>חוק</w:t>
        </w:r>
        <w:r w:rsidR="00863630" w:rsidRPr="00863630">
          <w:rPr>
            <w:color w:val="0000FF"/>
            <w:u w:val="single"/>
            <w:rtl/>
          </w:rPr>
          <w:t xml:space="preserve"> </w:t>
        </w:r>
        <w:r w:rsidR="00863630" w:rsidRPr="00863630">
          <w:rPr>
            <w:rFonts w:hint="cs"/>
            <w:color w:val="0000FF"/>
            <w:u w:val="single"/>
            <w:rtl/>
          </w:rPr>
          <w:t>העונשין</w:t>
        </w:r>
      </w:hyperlink>
      <w:r>
        <w:rPr>
          <w:rFonts w:hint="cs"/>
          <w:rtl/>
        </w:rPr>
        <w:t>, שוכנעתי כי יש מקום במקרה הנדון לסטות לקולא מהמתחם האמור, וזאת לנוכח ההליך השיקומי שאותו עבר הנאשם ואשר יש בו כדי להעיד כי הוא השתקם או למצער כי יש סיכוי של ממש שישתקם", ואפרט.</w:t>
      </w:r>
    </w:p>
    <w:p w14:paraId="569A27FA" w14:textId="77777777" w:rsidR="00175A2A" w:rsidRDefault="00175A2A" w:rsidP="00175A2A">
      <w:pPr>
        <w:pStyle w:val="ListParagraph"/>
        <w:ind w:left="-58" w:firstLine="0"/>
        <w:contextualSpacing w:val="0"/>
      </w:pPr>
      <w:r>
        <w:rPr>
          <w:rFonts w:hint="cs"/>
          <w:rtl/>
        </w:rPr>
        <w:t>מתסקיר שירות המבחן עולה כי במסגרת הליך המעצר הועמד הנאשם בצו פיקוח מעצר והופנה ליחידה לטיפול בהתמכרויות. במסגרת זו, הנאשם השתתף בשיחות פרטניות ובקבוצה טיפולית על בסיס שבועי, ומסר בדיקות שתן שנמצאו נקיות משרידי סם. הנאשם השתלב בקבוצה הטיפולית בצורה חיובית, הקפיד להגיע למפגשים באופן סדיר ושיתף בעולמו הפנימי. שירות המבחן אף התרשם כי הנאשם מקבל אחריות על ביצוע העבירה, מביע רצון לחדול משימוש בסמים ולהתמודד עם הקשיים שהחיים מזמנים לו באופן אדפטיבי, וכי הוא יכול להמשיך להיתרם מההליך הטיפולי.</w:t>
      </w:r>
    </w:p>
    <w:p w14:paraId="72FC91E9" w14:textId="77777777" w:rsidR="00175A2A" w:rsidRDefault="00175A2A" w:rsidP="00175A2A">
      <w:pPr>
        <w:pStyle w:val="ListParagraph"/>
        <w:ind w:left="-58" w:firstLine="0"/>
        <w:contextualSpacing w:val="0"/>
        <w:rPr>
          <w:rtl/>
        </w:rPr>
      </w:pPr>
      <w:r>
        <w:rPr>
          <w:rFonts w:hint="cs"/>
          <w:rtl/>
        </w:rPr>
        <w:t xml:space="preserve">בנסיבות אלה, </w:t>
      </w:r>
      <w:r>
        <w:rPr>
          <w:rFonts w:eastAsia="Times New Roman" w:hint="cs"/>
          <w:rtl/>
        </w:rPr>
        <w:t xml:space="preserve">לנוכח הליך השיקום שאיננו קצר שעבר הנאשם, תוך שהוא נגמל משימוש בסמים, מה שמלמד במידה רבה על איונו של </w:t>
      </w:r>
      <w:r>
        <w:rPr>
          <w:rFonts w:hint="cs"/>
          <w:rtl/>
        </w:rPr>
        <w:t>המוקד הבעייתי שעמד ברקע לביצוע העבירה כך שהסיכון להישנותה הצטמצם עד דק (כפי שגם שירות המבחן העריך), סבורתני שניתן לומר כבר עתה שהוא השתקם או למצער קיים סיכוי של ממש שהוא ישתקם בצורה מלאה בעתיד. משכך, כאמור, מצאתי לסטות לקולא ממתחם העונש ההולם אשר קבעתי</w:t>
      </w:r>
      <w:r>
        <w:rPr>
          <w:rFonts w:eastAsia="Times New Roman" w:hint="cs"/>
          <w:rtl/>
        </w:rPr>
        <w:t>, ולהימנע מהשתת רכיב של מאסר</w:t>
      </w:r>
      <w:r>
        <w:rPr>
          <w:rFonts w:hint="cs"/>
          <w:rtl/>
        </w:rPr>
        <w:t>.</w:t>
      </w:r>
    </w:p>
    <w:p w14:paraId="5E768DA8" w14:textId="77777777" w:rsidR="00175A2A" w:rsidRDefault="00175A2A" w:rsidP="00175A2A">
      <w:pPr>
        <w:pStyle w:val="ListParagraph"/>
        <w:ind w:left="-58" w:firstLine="0"/>
        <w:contextualSpacing w:val="0"/>
      </w:pPr>
      <w:r>
        <w:rPr>
          <w:rFonts w:hint="cs"/>
          <w:rtl/>
        </w:rPr>
        <w:t>אכן, מלאכת גזירת הדין איננה קלה כלל ועיקר, ובית המשפט אינו מקל ראש בחומרת מעשיו של הנאשם, ומביע מהם סלידה רבתי</w:t>
      </w:r>
      <w:r>
        <w:rPr>
          <w:rFonts w:eastAsia="Times New Roman" w:hint="cs"/>
          <w:rtl/>
        </w:rPr>
        <w:t>. אולם, לאור כל האמור לעיל, מצאתי לבכר במקרה הנדון את הליך השיקום ולהסתפק בענישה מתונה יותר, ענישה שאינה מקימה חשש לפגיעה בהליך השיקום החיובי שאותו עובר הנאשם. כאן אף אזכיר, כי</w:t>
      </w:r>
      <w:r>
        <w:rPr>
          <w:rFonts w:hint="cs"/>
          <w:rtl/>
        </w:rPr>
        <w:t xml:space="preserve"> בשלב זה, כאשר יש סיכוי לא מבוטל שהנאשם ייגמל באופן סופי מהשימוש בסמים, הרי שאינטרס השיקום איננו האינטרס שלו בלבד, כי אם של החברה כולה. שכן, ככל שהנאשם ישתקם, היא תקבל בחזרה לשורותיה אזרח נורמטיבי, פרודוקטיבי, שומר חוק ונקי מסמים. דומני כי השתה של עונש הכולל רכיב של מאסר בפועל, עונש שכאמור ייתכן שיהיה בו כדי לקטוע את ההליך השיקומי שאותו עובר הנאשם, עלולה לפגוע הן באינטרס הפרטי שלו והן באינטרס של החברה כולה.</w:t>
      </w:r>
    </w:p>
    <w:p w14:paraId="0525432C" w14:textId="77777777" w:rsidR="00175A2A" w:rsidRDefault="00175A2A" w:rsidP="00175A2A">
      <w:pPr>
        <w:pStyle w:val="ListParagraph"/>
        <w:numPr>
          <w:ilvl w:val="0"/>
          <w:numId w:val="2"/>
        </w:numPr>
        <w:ind w:left="-57"/>
        <w:contextualSpacing w:val="0"/>
        <w:rPr>
          <w:rtl/>
        </w:rPr>
      </w:pPr>
      <w:r>
        <w:rPr>
          <w:rFonts w:hint="cs"/>
          <w:rtl/>
        </w:rPr>
        <w:t xml:space="preserve">כאן גם יוער, כי דווקא בעבירות מהסוג של העבירה שבה הורשע הנאשם מתעצמת חשיבותו של הליך השיקום. שכן, גלוי וידוע שכמו במקרה הנדון, כך גם במקרים רבים אחרים מבוצעות עבירות הסמים על רקע התמכרותם של הנאשמים לסמים, ומתוך רצון לממן ולספק התמכרות זו. במצב דברים זה, וכפי שכבר צוין לעיל, ככל שהנאשם יצא ממעגל הסמים וייגמל מהשימוש בהם, כי אז גם תתאיין הסיבה העיקרית שהביאה לביצוע העבירות. על כן, נדמה שלא בכדי לצד הפסיקה לפיה בעבירות סמים יש להעניק עדיפות לשיקולי הגמול על פני האינטרס האישי של הנאשם, מצאו לא אחת בתי המשפט השונים, במקרים המתאימים, לבכר דווקא את שיקול השיקום בעניינם של נאשמים שעברו הליך טיפולי משמעותי ונגמלו משימוש בסמים. וראו בעניין זה את הפסיקה שהוגשה לעיוני מטעם הצדדים, הן מצד המאשימה והן מצד ההגנה. כן ראו, לדוגמא, מקרים נוספים שבהם בתי המשפט נמנעו מהשתת רכיב של מאסר בפועל על נאשמים שהורשעו בעבירה של גידול סם (גם כאשר דובר במשקלים דומים לזה שבפניי ולעיתים אף כשדובר בהרשעה בעבירות נוספות): </w:t>
      </w:r>
      <w:hyperlink r:id="rId56" w:history="1">
        <w:r w:rsidR="00863630" w:rsidRPr="00863630">
          <w:rPr>
            <w:rFonts w:hint="cs"/>
            <w:color w:val="0000FF"/>
            <w:u w:val="single"/>
            <w:rtl/>
          </w:rPr>
          <w:t>עפ</w:t>
        </w:r>
        <w:r w:rsidR="00863630" w:rsidRPr="00863630">
          <w:rPr>
            <w:color w:val="0000FF"/>
            <w:u w:val="single"/>
            <w:rtl/>
          </w:rPr>
          <w:t>"</w:t>
        </w:r>
        <w:r w:rsidR="00863630" w:rsidRPr="00863630">
          <w:rPr>
            <w:rFonts w:hint="cs"/>
            <w:color w:val="0000FF"/>
            <w:u w:val="single"/>
            <w:rtl/>
          </w:rPr>
          <w:t>ג</w:t>
        </w:r>
        <w:r w:rsidR="00863630" w:rsidRPr="00863630">
          <w:rPr>
            <w:color w:val="0000FF"/>
            <w:u w:val="single"/>
            <w:rtl/>
          </w:rPr>
          <w:t xml:space="preserve"> (</w:t>
        </w:r>
        <w:r w:rsidR="00863630" w:rsidRPr="00863630">
          <w:rPr>
            <w:rFonts w:hint="cs"/>
            <w:color w:val="0000FF"/>
            <w:u w:val="single"/>
            <w:rtl/>
          </w:rPr>
          <w:t>מחוזי</w:t>
        </w:r>
        <w:r w:rsidR="00863630" w:rsidRPr="00863630">
          <w:rPr>
            <w:color w:val="0000FF"/>
            <w:u w:val="single"/>
            <w:rtl/>
          </w:rPr>
          <w:t xml:space="preserve"> </w:t>
        </w:r>
        <w:r w:rsidR="00863630" w:rsidRPr="00863630">
          <w:rPr>
            <w:rFonts w:hint="cs"/>
            <w:color w:val="0000FF"/>
            <w:u w:val="single"/>
            <w:rtl/>
          </w:rPr>
          <w:t>תל</w:t>
        </w:r>
        <w:r w:rsidR="00863630" w:rsidRPr="00863630">
          <w:rPr>
            <w:color w:val="0000FF"/>
            <w:u w:val="single"/>
            <w:rtl/>
          </w:rPr>
          <w:t xml:space="preserve"> </w:t>
        </w:r>
        <w:r w:rsidR="00863630" w:rsidRPr="00863630">
          <w:rPr>
            <w:rFonts w:hint="cs"/>
            <w:color w:val="0000FF"/>
            <w:u w:val="single"/>
            <w:rtl/>
          </w:rPr>
          <w:t>אביב</w:t>
        </w:r>
        <w:r w:rsidR="00863630" w:rsidRPr="00863630">
          <w:rPr>
            <w:color w:val="0000FF"/>
            <w:u w:val="single"/>
            <w:rtl/>
          </w:rPr>
          <w:t xml:space="preserve"> </w:t>
        </w:r>
        <w:r w:rsidR="00863630" w:rsidRPr="00863630">
          <w:rPr>
            <w:rFonts w:hint="cs"/>
            <w:color w:val="0000FF"/>
            <w:u w:val="single"/>
            <w:rtl/>
          </w:rPr>
          <w:t>יפו</w:t>
        </w:r>
        <w:r w:rsidR="00863630" w:rsidRPr="00863630">
          <w:rPr>
            <w:color w:val="0000FF"/>
            <w:u w:val="single"/>
            <w:rtl/>
          </w:rPr>
          <w:t>) 4706-10-15</w:t>
        </w:r>
      </w:hyperlink>
      <w:r>
        <w:rPr>
          <w:rFonts w:hint="cs"/>
          <w:rtl/>
        </w:rPr>
        <w:t xml:space="preserve"> </w:t>
      </w:r>
      <w:r>
        <w:rPr>
          <w:rFonts w:hint="cs"/>
          <w:b/>
          <w:bCs/>
          <w:rtl/>
        </w:rPr>
        <w:t>מדינת ישראל נ' עמרי מסרי</w:t>
      </w:r>
      <w:r>
        <w:rPr>
          <w:rFonts w:hint="cs"/>
          <w:rtl/>
        </w:rPr>
        <w:t xml:space="preserve">, (23.11.2015); </w:t>
      </w:r>
      <w:hyperlink r:id="rId57" w:history="1">
        <w:r w:rsidR="00863630" w:rsidRPr="00863630">
          <w:rPr>
            <w:rFonts w:hint="cs"/>
            <w:color w:val="0000FF"/>
            <w:u w:val="single"/>
            <w:rtl/>
          </w:rPr>
          <w:t>ת</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w:t>
        </w:r>
        <w:r w:rsidR="00863630" w:rsidRPr="00863630">
          <w:rPr>
            <w:rFonts w:hint="cs"/>
            <w:color w:val="0000FF"/>
            <w:u w:val="single"/>
            <w:rtl/>
          </w:rPr>
          <w:t>שלום</w:t>
        </w:r>
        <w:r w:rsidR="00863630" w:rsidRPr="00863630">
          <w:rPr>
            <w:color w:val="0000FF"/>
            <w:u w:val="single"/>
            <w:rtl/>
          </w:rPr>
          <w:t xml:space="preserve"> </w:t>
        </w:r>
        <w:r w:rsidR="00863630" w:rsidRPr="00863630">
          <w:rPr>
            <w:rFonts w:hint="cs"/>
            <w:color w:val="0000FF"/>
            <w:u w:val="single"/>
            <w:rtl/>
          </w:rPr>
          <w:t>ירושלים</w:t>
        </w:r>
        <w:r w:rsidR="00863630" w:rsidRPr="00863630">
          <w:rPr>
            <w:color w:val="0000FF"/>
            <w:u w:val="single"/>
            <w:rtl/>
          </w:rPr>
          <w:t>) 8483-03-16</w:t>
        </w:r>
      </w:hyperlink>
      <w:r>
        <w:rPr>
          <w:rFonts w:hint="cs"/>
          <w:rtl/>
        </w:rPr>
        <w:t xml:space="preserve"> </w:t>
      </w:r>
      <w:r>
        <w:rPr>
          <w:rFonts w:hint="cs"/>
          <w:b/>
          <w:bCs/>
          <w:rtl/>
        </w:rPr>
        <w:t>מדינת ישראל נ' יניב אפרתי</w:t>
      </w:r>
      <w:r>
        <w:rPr>
          <w:rFonts w:hint="cs"/>
          <w:rtl/>
        </w:rPr>
        <w:t xml:space="preserve">, (01.12.2016); </w:t>
      </w:r>
      <w:hyperlink r:id="rId58" w:history="1">
        <w:r w:rsidR="00863630" w:rsidRPr="00863630">
          <w:rPr>
            <w:rFonts w:hint="cs"/>
            <w:color w:val="0000FF"/>
            <w:u w:val="single"/>
            <w:rtl/>
          </w:rPr>
          <w:t>ת</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w:t>
        </w:r>
        <w:r w:rsidR="00863630" w:rsidRPr="00863630">
          <w:rPr>
            <w:rFonts w:hint="cs"/>
            <w:color w:val="0000FF"/>
            <w:u w:val="single"/>
            <w:rtl/>
          </w:rPr>
          <w:t>שלום</w:t>
        </w:r>
        <w:r w:rsidR="00863630" w:rsidRPr="00863630">
          <w:rPr>
            <w:color w:val="0000FF"/>
            <w:u w:val="single"/>
            <w:rtl/>
          </w:rPr>
          <w:t xml:space="preserve"> </w:t>
        </w:r>
        <w:r w:rsidR="00863630" w:rsidRPr="00863630">
          <w:rPr>
            <w:rFonts w:hint="cs"/>
            <w:color w:val="0000FF"/>
            <w:u w:val="single"/>
            <w:rtl/>
          </w:rPr>
          <w:t>קריות</w:t>
        </w:r>
        <w:r w:rsidR="00863630" w:rsidRPr="00863630">
          <w:rPr>
            <w:color w:val="0000FF"/>
            <w:u w:val="single"/>
            <w:rtl/>
          </w:rPr>
          <w:t>) 33947-10-15</w:t>
        </w:r>
      </w:hyperlink>
      <w:r>
        <w:rPr>
          <w:rFonts w:hint="cs"/>
          <w:rtl/>
        </w:rPr>
        <w:t xml:space="preserve"> </w:t>
      </w:r>
      <w:r>
        <w:rPr>
          <w:rFonts w:hint="cs"/>
          <w:b/>
          <w:bCs/>
          <w:rtl/>
        </w:rPr>
        <w:t>מדינת ישראל נ' שמעון סבג</w:t>
      </w:r>
      <w:r>
        <w:rPr>
          <w:rFonts w:hint="cs"/>
          <w:rtl/>
        </w:rPr>
        <w:t xml:space="preserve">, (14.06.2016); </w:t>
      </w:r>
      <w:hyperlink r:id="rId59" w:history="1">
        <w:r w:rsidR="00863630" w:rsidRPr="00863630">
          <w:rPr>
            <w:rFonts w:hint="cs"/>
            <w:color w:val="0000FF"/>
            <w:u w:val="single"/>
            <w:rtl/>
          </w:rPr>
          <w:t>ת</w:t>
        </w:r>
        <w:r w:rsidR="00863630" w:rsidRPr="00863630">
          <w:rPr>
            <w:color w:val="0000FF"/>
            <w:u w:val="single"/>
            <w:rtl/>
          </w:rPr>
          <w:t>"</w:t>
        </w:r>
        <w:r w:rsidR="00863630" w:rsidRPr="00863630">
          <w:rPr>
            <w:rFonts w:hint="cs"/>
            <w:color w:val="0000FF"/>
            <w:u w:val="single"/>
            <w:rtl/>
          </w:rPr>
          <w:t>פ</w:t>
        </w:r>
        <w:r w:rsidR="00863630" w:rsidRPr="00863630">
          <w:rPr>
            <w:color w:val="0000FF"/>
            <w:u w:val="single"/>
            <w:rtl/>
          </w:rPr>
          <w:t xml:space="preserve"> (</w:t>
        </w:r>
        <w:r w:rsidR="00863630" w:rsidRPr="00863630">
          <w:rPr>
            <w:rFonts w:hint="cs"/>
            <w:color w:val="0000FF"/>
            <w:u w:val="single"/>
            <w:rtl/>
          </w:rPr>
          <w:t>שלום</w:t>
        </w:r>
        <w:r w:rsidR="00863630" w:rsidRPr="00863630">
          <w:rPr>
            <w:color w:val="0000FF"/>
            <w:u w:val="single"/>
            <w:rtl/>
          </w:rPr>
          <w:t xml:space="preserve"> </w:t>
        </w:r>
        <w:r w:rsidR="00863630" w:rsidRPr="00863630">
          <w:rPr>
            <w:rFonts w:hint="cs"/>
            <w:color w:val="0000FF"/>
            <w:u w:val="single"/>
            <w:rtl/>
          </w:rPr>
          <w:t>ירושלים</w:t>
        </w:r>
        <w:r w:rsidR="00863630" w:rsidRPr="00863630">
          <w:rPr>
            <w:color w:val="0000FF"/>
            <w:u w:val="single"/>
            <w:rtl/>
          </w:rPr>
          <w:t>) 17917-05-14</w:t>
        </w:r>
      </w:hyperlink>
      <w:r>
        <w:rPr>
          <w:rFonts w:hint="cs"/>
          <w:rtl/>
        </w:rPr>
        <w:t xml:space="preserve"> </w:t>
      </w:r>
      <w:r>
        <w:rPr>
          <w:rFonts w:hint="cs"/>
          <w:b/>
          <w:bCs/>
          <w:rtl/>
        </w:rPr>
        <w:t>מדינת ישראל נ' דן מדינה</w:t>
      </w:r>
      <w:r>
        <w:rPr>
          <w:rFonts w:hint="cs"/>
          <w:rtl/>
        </w:rPr>
        <w:t>, (02.12.2015).</w:t>
      </w:r>
    </w:p>
    <w:p w14:paraId="018E99FF" w14:textId="77777777" w:rsidR="00175A2A" w:rsidRDefault="00175A2A" w:rsidP="00175A2A">
      <w:pPr>
        <w:pStyle w:val="ListParagraph"/>
        <w:numPr>
          <w:ilvl w:val="0"/>
          <w:numId w:val="2"/>
        </w:numPr>
        <w:ind w:left="-57"/>
        <w:contextualSpacing w:val="0"/>
      </w:pPr>
      <w:r>
        <w:rPr>
          <w:rFonts w:hint="cs"/>
          <w:rtl/>
        </w:rPr>
        <w:t>לאור כל האמור, מצאתי לאמץ את המלצתו העונשית של שירות המבחן, ואמנע מהשתת רכיב של מאסר בפועל. אולם, על מנת שחומרת מעשיו של הנאשם תמצא ביטויה בענישה שתושת עליו, אגזור עליו גם עונשי מאסר מותנים וקנס. מנגד, בשים לב לכך שהנאשם נגמל משימוש בסמים, ולאור הודעת מעסיקו לפיה הוא נדרש במסגרת עבודתו לנהוג ברכב, אסתפק בפסילת רישיון מותנית בלבד (מה גם, שהמאשימה לא עתרה לפסול את רישיונו של הנאשם).</w:t>
      </w:r>
    </w:p>
    <w:p w14:paraId="56B68927" w14:textId="77777777" w:rsidR="00175A2A" w:rsidRDefault="00175A2A" w:rsidP="00175A2A">
      <w:pPr>
        <w:pStyle w:val="ListParagraph"/>
        <w:numPr>
          <w:ilvl w:val="0"/>
          <w:numId w:val="2"/>
        </w:numPr>
        <w:ind w:left="-58"/>
        <w:contextualSpacing w:val="0"/>
        <w:rPr>
          <w:b/>
          <w:bCs/>
        </w:rPr>
      </w:pPr>
      <w:r>
        <w:rPr>
          <w:rFonts w:hint="cs"/>
          <w:b/>
          <w:bCs/>
          <w:rtl/>
        </w:rPr>
        <w:t xml:space="preserve">מכל המקובץ לעיל, </w:t>
      </w:r>
      <w:r>
        <w:rPr>
          <w:rFonts w:hint="cs"/>
          <w:b/>
          <w:bCs/>
          <w:sz w:val="28"/>
          <w:szCs w:val="28"/>
          <w:u w:val="single"/>
          <w:rtl/>
        </w:rPr>
        <w:t>הריני מורה כי הרשעתו של הנאשם תיוותר על כנה</w:t>
      </w:r>
      <w:r>
        <w:rPr>
          <w:rFonts w:hint="cs"/>
          <w:b/>
          <w:bCs/>
          <w:rtl/>
        </w:rPr>
        <w:t>, וגוזרת עליו את העונשים הבאים:</w:t>
      </w:r>
    </w:p>
    <w:p w14:paraId="33B87BE1" w14:textId="77777777" w:rsidR="00175A2A" w:rsidRDefault="00175A2A" w:rsidP="00175A2A">
      <w:pPr>
        <w:pStyle w:val="ListParagraph"/>
        <w:numPr>
          <w:ilvl w:val="0"/>
          <w:numId w:val="3"/>
        </w:numPr>
        <w:contextualSpacing w:val="0"/>
        <w:rPr>
          <w:b/>
          <w:bCs/>
        </w:rPr>
      </w:pPr>
      <w:r>
        <w:rPr>
          <w:rFonts w:hint="cs"/>
          <w:b/>
          <w:bCs/>
          <w:rtl/>
        </w:rPr>
        <w:t>צו של"צ בהיקף של 300 שעות.</w:t>
      </w:r>
    </w:p>
    <w:p w14:paraId="47753C75" w14:textId="77777777" w:rsidR="00175A2A" w:rsidRDefault="00175A2A" w:rsidP="00175A2A">
      <w:pPr>
        <w:pStyle w:val="ListParagraph"/>
        <w:ind w:firstLine="0"/>
        <w:contextualSpacing w:val="0"/>
      </w:pPr>
      <w:r>
        <w:rPr>
          <w:rFonts w:hint="cs"/>
          <w:rtl/>
        </w:rPr>
        <w:t>בהתאם לאמור בתסקיר שירות המבחן, הנאשם יבצע את עבודות השל"צ במסגרת האצטדיון העירוני בקריית גת, בתפקיד עבודות כלליות.</w:t>
      </w:r>
    </w:p>
    <w:p w14:paraId="779D268C" w14:textId="77777777" w:rsidR="00175A2A" w:rsidRDefault="00175A2A" w:rsidP="00175A2A">
      <w:pPr>
        <w:pStyle w:val="ListParagraph"/>
        <w:ind w:firstLine="0"/>
        <w:contextualSpacing w:val="0"/>
        <w:rPr>
          <w:rtl/>
        </w:rPr>
      </w:pPr>
      <w:r>
        <w:rPr>
          <w:rFonts w:hint="cs"/>
          <w:rtl/>
        </w:rPr>
        <w:t>הובהרה לנאשם חשיבות שיתוף הפעולה עם שירות המבחן בביצוע עבודות השל"צ ומשמעות היעדר שיתוף הפעולה.</w:t>
      </w:r>
    </w:p>
    <w:p w14:paraId="62DCC517" w14:textId="77777777" w:rsidR="00175A2A" w:rsidRDefault="00175A2A" w:rsidP="00175A2A">
      <w:pPr>
        <w:pStyle w:val="ListParagraph"/>
        <w:ind w:firstLine="0"/>
        <w:contextualSpacing w:val="0"/>
        <w:rPr>
          <w:rtl/>
        </w:rPr>
      </w:pPr>
      <w:r>
        <w:rPr>
          <w:rFonts w:hint="cs"/>
          <w:b/>
          <w:bCs/>
          <w:u w:val="single"/>
          <w:rtl/>
        </w:rPr>
        <w:t>העתק ההחלטה בדחיפות לשירות המבחן</w:t>
      </w:r>
      <w:r>
        <w:rPr>
          <w:rFonts w:hint="cs"/>
          <w:rtl/>
        </w:rPr>
        <w:t>.</w:t>
      </w:r>
    </w:p>
    <w:p w14:paraId="4A81E37D" w14:textId="77777777" w:rsidR="00175A2A" w:rsidRDefault="00175A2A" w:rsidP="00175A2A">
      <w:pPr>
        <w:pStyle w:val="ListParagraph"/>
        <w:numPr>
          <w:ilvl w:val="0"/>
          <w:numId w:val="3"/>
        </w:numPr>
        <w:contextualSpacing w:val="0"/>
        <w:rPr>
          <w:b/>
          <w:bCs/>
          <w:rtl/>
        </w:rPr>
      </w:pPr>
      <w:r>
        <w:rPr>
          <w:rFonts w:hint="cs"/>
          <w:b/>
          <w:bCs/>
          <w:rtl/>
        </w:rPr>
        <w:t>צו מבחן של שירות המבחן למשך שנה מהיום.</w:t>
      </w:r>
    </w:p>
    <w:p w14:paraId="74010DF8" w14:textId="77777777" w:rsidR="00175A2A" w:rsidRDefault="00175A2A" w:rsidP="00175A2A">
      <w:pPr>
        <w:pStyle w:val="ListParagraph"/>
        <w:numPr>
          <w:ilvl w:val="0"/>
          <w:numId w:val="3"/>
        </w:numPr>
        <w:contextualSpacing w:val="0"/>
        <w:rPr>
          <w:b/>
          <w:bCs/>
        </w:rPr>
      </w:pPr>
      <w:r>
        <w:rPr>
          <w:rFonts w:hint="cs"/>
          <w:b/>
          <w:bCs/>
          <w:rtl/>
        </w:rPr>
        <w:t>מאסר מותנה למשך 4 חודשים, אשר יופעל אם תוך תקופה של 3 שנים מהיום הנאשם יעבור עבירה לפי פקודת הסמים, מסוג עוון.</w:t>
      </w:r>
    </w:p>
    <w:p w14:paraId="6781E1F2" w14:textId="77777777" w:rsidR="00175A2A" w:rsidRDefault="00175A2A" w:rsidP="00175A2A">
      <w:pPr>
        <w:pStyle w:val="ListParagraph"/>
        <w:numPr>
          <w:ilvl w:val="0"/>
          <w:numId w:val="3"/>
        </w:numPr>
        <w:contextualSpacing w:val="0"/>
        <w:rPr>
          <w:b/>
          <w:bCs/>
        </w:rPr>
      </w:pPr>
      <w:r>
        <w:rPr>
          <w:rFonts w:hint="cs"/>
          <w:b/>
          <w:bCs/>
          <w:rtl/>
        </w:rPr>
        <w:t>מאסר מותנה למשך 6 חודשים, אשר יופעל אם תוך תקופה של 3 שנים מהיום הנאשם יעבור עבירה לפי פקודת הסמים, מסוג פשע.</w:t>
      </w:r>
    </w:p>
    <w:p w14:paraId="7CC5EEAE" w14:textId="77777777" w:rsidR="00175A2A" w:rsidRDefault="00175A2A" w:rsidP="00175A2A">
      <w:pPr>
        <w:pStyle w:val="ListParagraph"/>
        <w:numPr>
          <w:ilvl w:val="0"/>
          <w:numId w:val="3"/>
        </w:numPr>
        <w:contextualSpacing w:val="0"/>
        <w:rPr>
          <w:b/>
          <w:bCs/>
        </w:rPr>
      </w:pPr>
      <w:r w:rsidRPr="00175A2A">
        <w:rPr>
          <w:rFonts w:ascii="Times New Roman" w:eastAsia="Times New Roman" w:hAnsi="Times New Roman" w:hint="cs"/>
          <w:b/>
          <w:bCs/>
          <w:color w:val="000000"/>
          <w:rtl/>
        </w:rPr>
        <w:t xml:space="preserve">פסילת רישיון נהיגה למשך שנתיים, וזאת על תנאי. הפסילה תופעל אם תוך 3 שנים מהיום יעבור הנאשם </w:t>
      </w:r>
      <w:r>
        <w:rPr>
          <w:rFonts w:hint="cs"/>
          <w:b/>
          <w:bCs/>
          <w:rtl/>
        </w:rPr>
        <w:t>כל עבירה בניגוד לפקודת הסמים.</w:t>
      </w:r>
    </w:p>
    <w:p w14:paraId="50628D62" w14:textId="77777777" w:rsidR="00175A2A" w:rsidRDefault="00175A2A" w:rsidP="00175A2A">
      <w:pPr>
        <w:pStyle w:val="ListParagraph"/>
        <w:numPr>
          <w:ilvl w:val="0"/>
          <w:numId w:val="3"/>
        </w:numPr>
        <w:contextualSpacing w:val="0"/>
        <w:rPr>
          <w:b/>
          <w:bCs/>
        </w:rPr>
      </w:pPr>
      <w:r>
        <w:rPr>
          <w:rFonts w:eastAsia="Times New Roman" w:hint="cs"/>
          <w:b/>
          <w:bCs/>
          <w:rtl/>
        </w:rPr>
        <w:t xml:space="preserve">הנאשם יחתום על התחייבות כספית על סך 10,000 ₪ שלא לעבור כל עבירת בניגוד לפקודת הסמים, וזאת לתקופה של שלוש שנים מהיום. </w:t>
      </w:r>
    </w:p>
    <w:p w14:paraId="6FD6D253" w14:textId="77777777" w:rsidR="00175A2A" w:rsidRDefault="00175A2A" w:rsidP="00175A2A">
      <w:pPr>
        <w:pStyle w:val="ListParagraph"/>
        <w:ind w:firstLine="0"/>
        <w:contextualSpacing w:val="0"/>
      </w:pPr>
      <w:r>
        <w:rPr>
          <w:rFonts w:eastAsia="Times New Roman" w:hint="cs"/>
          <w:rtl/>
        </w:rPr>
        <w:t>ככל שלא תיחתם ההתחייבות תוך 7 ימים, ייאסר הנאשם למשך 10 ימים.</w:t>
      </w:r>
    </w:p>
    <w:p w14:paraId="1F4F9F4F" w14:textId="77777777" w:rsidR="00175A2A" w:rsidRPr="00D82C1E" w:rsidRDefault="00175A2A" w:rsidP="00175A2A">
      <w:pPr>
        <w:pStyle w:val="ListParagraph"/>
        <w:numPr>
          <w:ilvl w:val="0"/>
          <w:numId w:val="3"/>
        </w:numPr>
        <w:contextualSpacing w:val="0"/>
      </w:pPr>
      <w:r w:rsidRPr="00D82C1E">
        <w:rPr>
          <w:rFonts w:hint="cs"/>
          <w:rtl/>
        </w:rPr>
        <w:t>קנס כספי בסך 2,000 ₪ או 15 ימי מאסר תמורתו. הקנס יקוזז מסכום הפקדה שהפקיד הנאשם בקופת ביתה משפט במסגרת הליך המעצר מושא תיק זה, וזאת ככל שלא קיים עיקול על כספים אלו.  היתרה תושב לנאשם.</w:t>
      </w:r>
    </w:p>
    <w:p w14:paraId="4C9F5591" w14:textId="77777777" w:rsidR="00175A2A" w:rsidRDefault="00175A2A" w:rsidP="00175A2A">
      <w:pPr>
        <w:spacing w:after="160"/>
        <w:rPr>
          <w:rtl/>
        </w:rPr>
      </w:pPr>
    </w:p>
    <w:p w14:paraId="17A27A8A" w14:textId="77777777" w:rsidR="00175A2A" w:rsidRDefault="00175A2A" w:rsidP="00175A2A">
      <w:pPr>
        <w:spacing w:after="160"/>
        <w:rPr>
          <w:rtl/>
        </w:rPr>
      </w:pPr>
      <w:r>
        <w:rPr>
          <w:rFonts w:hint="cs"/>
          <w:rtl/>
        </w:rPr>
        <w:t>הריני מורה על השמדת המוצגים בתיק – סמים,  שקיות, שתילים,בכפוף לחלוף תקופת הערעור.</w:t>
      </w:r>
    </w:p>
    <w:p w14:paraId="4F43B1F6" w14:textId="77777777" w:rsidR="00175A2A" w:rsidRDefault="00175A2A" w:rsidP="00175A2A">
      <w:pPr>
        <w:spacing w:after="160"/>
        <w:rPr>
          <w:b/>
          <w:bCs/>
          <w:rtl/>
        </w:rPr>
      </w:pPr>
    </w:p>
    <w:p w14:paraId="730EFC30" w14:textId="77777777" w:rsidR="00175A2A" w:rsidRDefault="00175A2A" w:rsidP="00175A2A">
      <w:pPr>
        <w:spacing w:after="160"/>
        <w:rPr>
          <w:b/>
          <w:bCs/>
          <w:rtl/>
        </w:rPr>
      </w:pPr>
      <w:r>
        <w:rPr>
          <w:rFonts w:hint="cs"/>
          <w:b/>
          <w:bCs/>
          <w:rtl/>
        </w:rPr>
        <w:t>זכות ערעור כחוק.</w:t>
      </w:r>
    </w:p>
    <w:p w14:paraId="20EDA4C4" w14:textId="77777777" w:rsidR="00175A2A" w:rsidRDefault="00863630" w:rsidP="00175A2A">
      <w:pPr>
        <w:spacing w:after="160" w:line="360" w:lineRule="auto"/>
        <w:jc w:val="both"/>
        <w:rPr>
          <w:rFonts w:ascii="Arial" w:hAnsi="Arial"/>
          <w:noProof w:val="0"/>
          <w:rtl/>
        </w:rPr>
      </w:pPr>
      <w:r>
        <w:rPr>
          <w:rFonts w:ascii="Arial" w:hAnsi="Arial"/>
          <w:b/>
          <w:bCs/>
          <w:noProof w:val="0"/>
          <w:rtl/>
        </w:rPr>
        <w:t xml:space="preserve">ניתנה היום,  כ"ו סיוון תשע"ז, 20 יוני 2017, בהעדר הצדדים. </w:t>
      </w:r>
    </w:p>
    <w:p w14:paraId="57D6B943" w14:textId="77777777" w:rsidR="00175A2A" w:rsidRDefault="00175A2A" w:rsidP="00175A2A">
      <w:pPr>
        <w:spacing w:after="160" w:line="360" w:lineRule="auto"/>
        <w:ind w:left="3600" w:firstLine="720"/>
        <w:jc w:val="both"/>
      </w:pPr>
      <w:r>
        <w:rPr>
          <w:rtl/>
        </w:rPr>
        <w:t xml:space="preserve">     </w:t>
      </w:r>
    </w:p>
    <w:p w14:paraId="638E12CF" w14:textId="77777777" w:rsidR="00175A2A" w:rsidRPr="00863630" w:rsidRDefault="00863630" w:rsidP="00175A2A">
      <w:pPr>
        <w:spacing w:after="160" w:line="360" w:lineRule="auto"/>
        <w:ind w:left="3600" w:firstLine="720"/>
        <w:jc w:val="both"/>
        <w:rPr>
          <w:rFonts w:ascii="Arial" w:hAnsi="Arial"/>
          <w:noProof w:val="0"/>
          <w:color w:val="FFFFFF"/>
          <w:sz w:val="2"/>
          <w:szCs w:val="2"/>
          <w:rtl/>
        </w:rPr>
      </w:pPr>
      <w:r w:rsidRPr="00863630">
        <w:rPr>
          <w:rFonts w:ascii="Arial" w:hAnsi="Arial"/>
          <w:noProof w:val="0"/>
          <w:color w:val="FFFFFF"/>
          <w:sz w:val="2"/>
          <w:szCs w:val="2"/>
          <w:rtl/>
        </w:rPr>
        <w:t>5129371</w:t>
      </w:r>
    </w:p>
    <w:p w14:paraId="5C747660" w14:textId="77777777" w:rsidR="00175A2A" w:rsidRPr="00863630" w:rsidRDefault="00863630" w:rsidP="00175A2A">
      <w:pPr>
        <w:spacing w:after="160" w:line="360" w:lineRule="auto"/>
        <w:jc w:val="both"/>
        <w:rPr>
          <w:rFonts w:ascii="Arial" w:hAnsi="Arial"/>
          <w:noProof w:val="0"/>
          <w:color w:val="FFFFFF"/>
          <w:sz w:val="2"/>
          <w:szCs w:val="2"/>
          <w:rtl/>
        </w:rPr>
      </w:pPr>
      <w:r w:rsidRPr="00863630">
        <w:rPr>
          <w:rFonts w:ascii="Arial" w:hAnsi="Arial"/>
          <w:noProof w:val="0"/>
          <w:color w:val="FFFFFF"/>
          <w:sz w:val="2"/>
          <w:szCs w:val="2"/>
          <w:rtl/>
        </w:rPr>
        <w:t>54678313</w:t>
      </w:r>
    </w:p>
    <w:p w14:paraId="7AEE1F48" w14:textId="77777777" w:rsidR="00175A2A" w:rsidRDefault="00175A2A" w:rsidP="00175A2A">
      <w:pPr>
        <w:spacing w:after="160" w:line="360" w:lineRule="auto"/>
        <w:jc w:val="both"/>
        <w:rPr>
          <w:rFonts w:ascii="Arial" w:hAnsi="Arial"/>
          <w:noProof w:val="0"/>
          <w:rtl/>
        </w:rPr>
      </w:pPr>
    </w:p>
    <w:p w14:paraId="1C330844" w14:textId="77777777" w:rsidR="00175A2A" w:rsidRDefault="00175A2A" w:rsidP="00175A2A">
      <w:pPr>
        <w:spacing w:after="160" w:line="360" w:lineRule="auto"/>
        <w:jc w:val="both"/>
        <w:rPr>
          <w:rFonts w:ascii="Arial" w:hAnsi="Arial"/>
          <w:noProof w:val="0"/>
          <w:rtl/>
        </w:rPr>
      </w:pPr>
    </w:p>
    <w:p w14:paraId="6CD0DCF6" w14:textId="77777777" w:rsidR="00175A2A" w:rsidRDefault="00175A2A" w:rsidP="00175A2A">
      <w:pPr>
        <w:spacing w:after="160" w:line="360" w:lineRule="auto"/>
        <w:jc w:val="both"/>
        <w:rPr>
          <w:rFonts w:ascii="Arial" w:hAnsi="Arial"/>
          <w:noProof w:val="0"/>
          <w:rtl/>
        </w:rPr>
      </w:pPr>
    </w:p>
    <w:p w14:paraId="23B9B56A" w14:textId="77777777" w:rsidR="00175A2A" w:rsidRDefault="00175A2A" w:rsidP="00175A2A">
      <w:pPr>
        <w:spacing w:after="160" w:line="360" w:lineRule="auto"/>
        <w:jc w:val="both"/>
        <w:rPr>
          <w:rFonts w:ascii="Arial" w:hAnsi="Arial"/>
          <w:noProof w:val="0"/>
          <w:rtl/>
        </w:rPr>
      </w:pPr>
    </w:p>
    <w:p w14:paraId="26717AA7" w14:textId="77777777" w:rsidR="00863630" w:rsidRPr="00863630" w:rsidRDefault="00863630" w:rsidP="00863630">
      <w:pPr>
        <w:keepNext/>
        <w:rPr>
          <w:rFonts w:ascii="David" w:hAnsi="David"/>
          <w:color w:val="000000"/>
          <w:sz w:val="22"/>
          <w:szCs w:val="22"/>
          <w:rtl/>
        </w:rPr>
      </w:pPr>
    </w:p>
    <w:p w14:paraId="6A7B15A8" w14:textId="77777777" w:rsidR="00863630" w:rsidRPr="00863630" w:rsidRDefault="00863630" w:rsidP="00863630">
      <w:pPr>
        <w:keepNext/>
        <w:rPr>
          <w:rFonts w:ascii="David" w:hAnsi="David"/>
          <w:color w:val="000000"/>
          <w:sz w:val="22"/>
          <w:szCs w:val="22"/>
          <w:rtl/>
        </w:rPr>
      </w:pPr>
      <w:r w:rsidRPr="00863630">
        <w:rPr>
          <w:rFonts w:ascii="David" w:hAnsi="David"/>
          <w:color w:val="000000"/>
          <w:sz w:val="22"/>
          <w:szCs w:val="22"/>
          <w:rtl/>
        </w:rPr>
        <w:t>הה ד''ר נגה שמואלי מאייר 54678313</w:t>
      </w:r>
    </w:p>
    <w:p w14:paraId="0EFAC8B1" w14:textId="77777777" w:rsidR="00863630" w:rsidRDefault="00863630" w:rsidP="00863630">
      <w:r w:rsidRPr="00863630">
        <w:rPr>
          <w:color w:val="000000"/>
          <w:rtl/>
        </w:rPr>
        <w:t>נוסח מסמך זה כפוף לשינויי ניסוח ועריכה</w:t>
      </w:r>
    </w:p>
    <w:p w14:paraId="45F1EF0A" w14:textId="77777777" w:rsidR="00863630" w:rsidRDefault="00863630" w:rsidP="00863630">
      <w:pPr>
        <w:rPr>
          <w:rtl/>
        </w:rPr>
      </w:pPr>
    </w:p>
    <w:p w14:paraId="6D6C2A12" w14:textId="77777777" w:rsidR="00863630" w:rsidRDefault="00863630" w:rsidP="00863630">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6996F3C4" w14:textId="77777777" w:rsidR="002D7B2F" w:rsidRPr="00863630" w:rsidRDefault="002D7B2F" w:rsidP="00863630">
      <w:pPr>
        <w:jc w:val="center"/>
        <w:rPr>
          <w:color w:val="0000FF"/>
          <w:u w:val="single"/>
        </w:rPr>
      </w:pPr>
    </w:p>
    <w:sectPr w:rsidR="002D7B2F" w:rsidRPr="00863630" w:rsidSect="00863630">
      <w:headerReference w:type="even" r:id="rId61"/>
      <w:headerReference w:type="default" r:id="rId62"/>
      <w:footerReference w:type="even" r:id="rId63"/>
      <w:footerReference w:type="default" r:id="rId64"/>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0129C" w14:textId="77777777" w:rsidR="00CF52B3" w:rsidRDefault="00CF52B3">
      <w:r>
        <w:separator/>
      </w:r>
    </w:p>
  </w:endnote>
  <w:endnote w:type="continuationSeparator" w:id="0">
    <w:p w14:paraId="25F66E23" w14:textId="77777777" w:rsidR="00CF52B3" w:rsidRDefault="00CF5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AB01F" w14:textId="77777777" w:rsidR="00C35AC7" w:rsidRDefault="00C35AC7" w:rsidP="008636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4235553" w14:textId="77777777" w:rsidR="00C35AC7" w:rsidRPr="00863630" w:rsidRDefault="00C35AC7" w:rsidP="00863630">
    <w:pPr>
      <w:pStyle w:val="a5"/>
      <w:pBdr>
        <w:top w:val="single" w:sz="4" w:space="1" w:color="auto"/>
        <w:between w:val="single" w:sz="4" w:space="0" w:color="auto"/>
      </w:pBdr>
      <w:spacing w:after="60"/>
      <w:jc w:val="center"/>
      <w:rPr>
        <w:rFonts w:ascii="FrankRuehl" w:hAnsi="FrankRuehl" w:cs="FrankRuehl"/>
        <w:color w:val="000000"/>
      </w:rPr>
    </w:pPr>
    <w:r w:rsidRPr="008636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4AFE6" w14:textId="77777777" w:rsidR="00C35AC7" w:rsidRDefault="00C35AC7" w:rsidP="00863630">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60B62">
      <w:rPr>
        <w:rStyle w:val="a8"/>
        <w:rFonts w:ascii="FrankRuehl" w:hAnsi="FrankRuehl" w:cs="FrankRuehl"/>
        <w:rtl/>
      </w:rPr>
      <w:t>1</w:t>
    </w:r>
    <w:r>
      <w:rPr>
        <w:rStyle w:val="a8"/>
        <w:rFonts w:ascii="FrankRuehl" w:hAnsi="FrankRuehl" w:cs="FrankRuehl"/>
        <w:rtl/>
      </w:rPr>
      <w:fldChar w:fldCharType="end"/>
    </w:r>
  </w:p>
  <w:p w14:paraId="058CF15C" w14:textId="77777777" w:rsidR="00C35AC7" w:rsidRPr="00863630" w:rsidRDefault="00C35AC7" w:rsidP="00863630">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863630">
      <w:rPr>
        <w:rStyle w:val="a8"/>
        <w:rFonts w:ascii="FrankRuehl" w:hAnsi="FrankRuehl" w:cs="FrankRuehl" w:hint="cs"/>
        <w:color w:val="000000"/>
      </w:rPr>
      <w:pict w14:anchorId="3A2DC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F5B37" w14:textId="77777777" w:rsidR="00CF52B3" w:rsidRDefault="00CF52B3">
      <w:r>
        <w:separator/>
      </w:r>
    </w:p>
  </w:footnote>
  <w:footnote w:type="continuationSeparator" w:id="0">
    <w:p w14:paraId="0838406D" w14:textId="77777777" w:rsidR="00CF52B3" w:rsidRDefault="00CF5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4D75D" w14:textId="77777777" w:rsidR="00C35AC7" w:rsidRPr="00863630" w:rsidRDefault="00C35AC7" w:rsidP="008636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35639-06-16</w:t>
    </w:r>
    <w:r>
      <w:rPr>
        <w:rFonts w:ascii="David" w:hAnsi="David"/>
        <w:color w:val="000000"/>
        <w:sz w:val="22"/>
        <w:szCs w:val="22"/>
        <w:rtl/>
      </w:rPr>
      <w:tab/>
      <w:t xml:space="preserve"> מדינת ישראל נ' יורם בידוש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BF05" w14:textId="77777777" w:rsidR="00C35AC7" w:rsidRPr="00863630" w:rsidRDefault="00C35AC7" w:rsidP="008636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35639-06-16</w:t>
    </w:r>
    <w:r>
      <w:rPr>
        <w:rFonts w:ascii="David" w:hAnsi="David"/>
        <w:color w:val="000000"/>
        <w:sz w:val="22"/>
        <w:szCs w:val="22"/>
        <w:rtl/>
      </w:rPr>
      <w:tab/>
      <w:t xml:space="preserve"> מדינת ישראל נ' יורם בידוש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56522"/>
    <w:multiLevelType w:val="hybridMultilevel"/>
    <w:tmpl w:val="8DE64BAC"/>
    <w:lvl w:ilvl="0" w:tplc="91B4371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124E5A"/>
    <w:multiLevelType w:val="hybridMultilevel"/>
    <w:tmpl w:val="ABAC6172"/>
    <w:lvl w:ilvl="0" w:tplc="D70C7376">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3E1DE5"/>
    <w:multiLevelType w:val="hybridMultilevel"/>
    <w:tmpl w:val="8FF04BD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217345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4442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94271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5A2A"/>
    <w:rsid w:val="00016965"/>
    <w:rsid w:val="0017558A"/>
    <w:rsid w:val="00175A2A"/>
    <w:rsid w:val="002D7B2F"/>
    <w:rsid w:val="00333D32"/>
    <w:rsid w:val="004A0950"/>
    <w:rsid w:val="004A21B1"/>
    <w:rsid w:val="00560B62"/>
    <w:rsid w:val="00863630"/>
    <w:rsid w:val="00A4368C"/>
    <w:rsid w:val="00BA16A0"/>
    <w:rsid w:val="00C03830"/>
    <w:rsid w:val="00C35AC7"/>
    <w:rsid w:val="00C4334B"/>
    <w:rsid w:val="00CF52B3"/>
    <w:rsid w:val="00D8502F"/>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4746C953"/>
  <w15:chartTrackingRefBased/>
  <w15:docId w15:val="{873E2803-3534-4F1F-A9E8-06A65F77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A2A"/>
    <w:pPr>
      <w:bidi/>
    </w:pPr>
    <w:rPr>
      <w:rFonts w:ascii="Times New Roman" w:eastAsia="Times New Roman" w:hAnsi="Times New Roman" w:cs="David"/>
      <w:noProof/>
      <w:sz w:val="24"/>
      <w:szCs w:val="24"/>
    </w:rPr>
  </w:style>
  <w:style w:type="paragraph" w:styleId="1">
    <w:name w:val="heading 1"/>
    <w:basedOn w:val="a"/>
    <w:next w:val="a"/>
    <w:link w:val="10"/>
    <w:qFormat/>
    <w:rsid w:val="00175A2A"/>
    <w:pPr>
      <w:keepNext/>
      <w:keepLines/>
      <w:spacing w:before="240"/>
      <w:outlineLvl w:val="0"/>
    </w:pPr>
    <w:rPr>
      <w:rFonts w:ascii="Cambria" w:hAnsi="Cambria" w:cs="Times New Roman"/>
      <w:color w:val="365F91"/>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175A2A"/>
    <w:rPr>
      <w:rFonts w:ascii="Cambria" w:eastAsia="Times New Roman" w:hAnsi="Cambria" w:cs="Times New Roman"/>
      <w:noProof/>
      <w:color w:val="365F91"/>
      <w:sz w:val="32"/>
      <w:szCs w:val="32"/>
    </w:rPr>
  </w:style>
  <w:style w:type="paragraph" w:styleId="a3">
    <w:name w:val="header"/>
    <w:basedOn w:val="a"/>
    <w:link w:val="a4"/>
    <w:rsid w:val="00175A2A"/>
    <w:pPr>
      <w:tabs>
        <w:tab w:val="center" w:pos="4153"/>
        <w:tab w:val="right" w:pos="8306"/>
      </w:tabs>
    </w:pPr>
  </w:style>
  <w:style w:type="character" w:customStyle="1" w:styleId="a4">
    <w:name w:val="כותרת עליונה תו"/>
    <w:link w:val="a3"/>
    <w:rsid w:val="00175A2A"/>
    <w:rPr>
      <w:rFonts w:ascii="Times New Roman" w:eastAsia="Times New Roman" w:hAnsi="Times New Roman" w:cs="David"/>
      <w:noProof/>
      <w:sz w:val="24"/>
      <w:szCs w:val="24"/>
    </w:rPr>
  </w:style>
  <w:style w:type="paragraph" w:styleId="a5">
    <w:name w:val="footer"/>
    <w:basedOn w:val="a"/>
    <w:link w:val="a6"/>
    <w:rsid w:val="00175A2A"/>
    <w:pPr>
      <w:tabs>
        <w:tab w:val="center" w:pos="4153"/>
        <w:tab w:val="right" w:pos="8306"/>
      </w:tabs>
    </w:pPr>
  </w:style>
  <w:style w:type="character" w:customStyle="1" w:styleId="a6">
    <w:name w:val="כותרת תחתונה תו"/>
    <w:link w:val="a5"/>
    <w:rsid w:val="00175A2A"/>
    <w:rPr>
      <w:rFonts w:ascii="Times New Roman" w:eastAsia="Times New Roman" w:hAnsi="Times New Roman" w:cs="David"/>
      <w:noProof/>
      <w:sz w:val="24"/>
      <w:szCs w:val="24"/>
    </w:rPr>
  </w:style>
  <w:style w:type="table" w:styleId="a7">
    <w:name w:val="Table Grid"/>
    <w:basedOn w:val="a1"/>
    <w:rsid w:val="00175A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5A2A"/>
  </w:style>
  <w:style w:type="paragraph" w:customStyle="1" w:styleId="ListParagraph">
    <w:name w:val="List Paragraph"/>
    <w:basedOn w:val="a"/>
    <w:rsid w:val="00175A2A"/>
    <w:pPr>
      <w:spacing w:after="160" w:line="360" w:lineRule="auto"/>
      <w:ind w:left="720" w:hanging="357"/>
      <w:contextualSpacing/>
      <w:jc w:val="both"/>
    </w:pPr>
    <w:rPr>
      <w:rFonts w:ascii="Calibri" w:eastAsia="Calibri" w:hAnsi="Calibri"/>
      <w:noProof w:val="0"/>
    </w:rPr>
  </w:style>
  <w:style w:type="character" w:styleId="Hyperlink">
    <w:name w:val="Hyperlink"/>
    <w:basedOn w:val="a0"/>
    <w:rsid w:val="008636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8131336" TargetMode="External"/><Relationship Id="rId21" Type="http://schemas.openxmlformats.org/officeDocument/2006/relationships/hyperlink" Target="http://www.nevo.co.il/case/18119161" TargetMode="External"/><Relationship Id="rId34" Type="http://schemas.openxmlformats.org/officeDocument/2006/relationships/hyperlink" Target="http://www.nevo.co.il/case/5880417" TargetMode="External"/><Relationship Id="rId42" Type="http://schemas.openxmlformats.org/officeDocument/2006/relationships/hyperlink" Target="http://www.nevo.co.il/case/17916229" TargetMode="External"/><Relationship Id="rId47" Type="http://schemas.openxmlformats.org/officeDocument/2006/relationships/hyperlink" Target="http://www.nevo.co.il/case/18045843"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1887974" TargetMode="External"/><Relationship Id="rId11" Type="http://schemas.openxmlformats.org/officeDocument/2006/relationships/hyperlink" Target="http://www.nevo.co.il/law/70301/40c.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1662402"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18118854" TargetMode="External"/><Relationship Id="rId45" Type="http://schemas.openxmlformats.org/officeDocument/2006/relationships/hyperlink" Target="http://www.nevo.co.il/case/20604405"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0639293"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0632055" TargetMode="External"/><Relationship Id="rId27" Type="http://schemas.openxmlformats.org/officeDocument/2006/relationships/hyperlink" Target="http://www.nevo.co.il/case/20881083" TargetMode="External"/><Relationship Id="rId30" Type="http://schemas.openxmlformats.org/officeDocument/2006/relationships/hyperlink" Target="http://www.nevo.co.il/case/20159091" TargetMode="External"/><Relationship Id="rId35" Type="http://schemas.openxmlformats.org/officeDocument/2006/relationships/hyperlink" Target="http://www.nevo.co.il/case/7667123" TargetMode="External"/><Relationship Id="rId43" Type="http://schemas.openxmlformats.org/officeDocument/2006/relationships/hyperlink" Target="http://www.nevo.co.il/case/5849797" TargetMode="External"/><Relationship Id="rId48" Type="http://schemas.openxmlformats.org/officeDocument/2006/relationships/hyperlink" Target="http://www.nevo.co.il/case/20145219" TargetMode="External"/><Relationship Id="rId56" Type="http://schemas.openxmlformats.org/officeDocument/2006/relationships/hyperlink" Target="http://www.nevo.co.il/case/20604405" TargetMode="External"/><Relationship Id="rId64" Type="http://schemas.openxmlformats.org/officeDocument/2006/relationships/footer" Target="footer2.xml"/><Relationship Id="rId8" Type="http://schemas.openxmlformats.org/officeDocument/2006/relationships/hyperlink" Target="http://www.nevo.co.il/law/4216/6" TargetMode="External"/><Relationship Id="rId51" Type="http://schemas.openxmlformats.org/officeDocument/2006/relationships/hyperlink" Target="http://www.nevo.co.il/law/70301/40ja"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1273152" TargetMode="External"/><Relationship Id="rId33" Type="http://schemas.openxmlformats.org/officeDocument/2006/relationships/hyperlink" Target="http://www.nevo.co.il/case/17941073" TargetMode="External"/><Relationship Id="rId38" Type="http://schemas.openxmlformats.org/officeDocument/2006/relationships/hyperlink" Target="http://www.nevo.co.il/case/6180864" TargetMode="External"/><Relationship Id="rId46" Type="http://schemas.openxmlformats.org/officeDocument/2006/relationships/hyperlink" Target="http://www.nevo.co.il/case/18090154" TargetMode="External"/><Relationship Id="rId59" Type="http://schemas.openxmlformats.org/officeDocument/2006/relationships/hyperlink" Target="http://www.nevo.co.il/case/16922781" TargetMode="External"/><Relationship Id="rId20" Type="http://schemas.openxmlformats.org/officeDocument/2006/relationships/hyperlink" Target="http://www.nevo.co.il/law/4216" TargetMode="External"/><Relationship Id="rId41" Type="http://schemas.openxmlformats.org/officeDocument/2006/relationships/hyperlink" Target="http://www.nevo.co.il/case/5810781" TargetMode="External"/><Relationship Id="rId54" Type="http://schemas.openxmlformats.org/officeDocument/2006/relationships/hyperlink" Target="http://www.nevo.co.il/law/70301/40d.a"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3" TargetMode="External"/><Relationship Id="rId23" Type="http://schemas.openxmlformats.org/officeDocument/2006/relationships/hyperlink" Target="http://www.nevo.co.il/law/70301/40j" TargetMode="External"/><Relationship Id="rId28" Type="http://schemas.openxmlformats.org/officeDocument/2006/relationships/hyperlink" Target="http://www.nevo.co.il/case/18107527" TargetMode="External"/><Relationship Id="rId36" Type="http://schemas.openxmlformats.org/officeDocument/2006/relationships/hyperlink" Target="http://www.nevo.co.il/case/6824952" TargetMode="External"/><Relationship Id="rId49" Type="http://schemas.openxmlformats.org/officeDocument/2006/relationships/hyperlink" Target="http://www.nevo.co.il/law/70301/40c.b" TargetMode="External"/><Relationship Id="rId57" Type="http://schemas.openxmlformats.org/officeDocument/2006/relationships/hyperlink" Target="http://www.nevo.co.il/case/22116728"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case/20707362" TargetMode="External"/><Relationship Id="rId44" Type="http://schemas.openxmlformats.org/officeDocument/2006/relationships/hyperlink" Target="http://www.nevo.co.il/case/5849797" TargetMode="External"/><Relationship Id="rId52" Type="http://schemas.openxmlformats.org/officeDocument/2006/relationships/hyperlink" Target="http://www.nevo.co.il/law/70301/40ja.3"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40j" TargetMode="External"/><Relationship Id="rId18" Type="http://schemas.openxmlformats.org/officeDocument/2006/relationships/hyperlink" Target="http://www.nevo.co.il/law/70301/40c.a" TargetMode="External"/><Relationship Id="rId39" Type="http://schemas.openxmlformats.org/officeDocument/2006/relationships/hyperlink" Target="http://www.nevo.co.il/case/1707562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4318</Words>
  <Characters>21590</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25857</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3276919</vt:i4>
      </vt:variant>
      <vt:variant>
        <vt:i4>156</vt:i4>
      </vt:variant>
      <vt:variant>
        <vt:i4>0</vt:i4>
      </vt:variant>
      <vt:variant>
        <vt:i4>5</vt:i4>
      </vt:variant>
      <vt:variant>
        <vt:lpwstr>http://www.nevo.co.il/case/16922781</vt:lpwstr>
      </vt:variant>
      <vt:variant>
        <vt:lpwstr/>
      </vt:variant>
      <vt:variant>
        <vt:i4>3407989</vt:i4>
      </vt:variant>
      <vt:variant>
        <vt:i4>153</vt:i4>
      </vt:variant>
      <vt:variant>
        <vt:i4>0</vt:i4>
      </vt:variant>
      <vt:variant>
        <vt:i4>5</vt:i4>
      </vt:variant>
      <vt:variant>
        <vt:lpwstr>http://www.nevo.co.il/case/20639293</vt:lpwstr>
      </vt:variant>
      <vt:variant>
        <vt:lpwstr/>
      </vt:variant>
      <vt:variant>
        <vt:i4>3604592</vt:i4>
      </vt:variant>
      <vt:variant>
        <vt:i4>150</vt:i4>
      </vt:variant>
      <vt:variant>
        <vt:i4>0</vt:i4>
      </vt:variant>
      <vt:variant>
        <vt:i4>5</vt:i4>
      </vt:variant>
      <vt:variant>
        <vt:lpwstr>http://www.nevo.co.il/case/22116728</vt:lpwstr>
      </vt:variant>
      <vt:variant>
        <vt:lpwstr/>
      </vt:variant>
      <vt:variant>
        <vt:i4>3145840</vt:i4>
      </vt:variant>
      <vt:variant>
        <vt:i4>147</vt:i4>
      </vt:variant>
      <vt:variant>
        <vt:i4>0</vt:i4>
      </vt:variant>
      <vt:variant>
        <vt:i4>5</vt:i4>
      </vt:variant>
      <vt:variant>
        <vt:lpwstr>http://www.nevo.co.il/case/20604405</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4915205</vt:i4>
      </vt:variant>
      <vt:variant>
        <vt:i4>141</vt:i4>
      </vt:variant>
      <vt:variant>
        <vt:i4>0</vt:i4>
      </vt:variant>
      <vt:variant>
        <vt:i4>5</vt:i4>
      </vt:variant>
      <vt:variant>
        <vt:lpwstr>http://www.nevo.co.il/law/70301/40d.a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3604517</vt:i4>
      </vt:variant>
      <vt:variant>
        <vt:i4>135</vt:i4>
      </vt:variant>
      <vt:variant>
        <vt:i4>0</vt:i4>
      </vt:variant>
      <vt:variant>
        <vt:i4>5</vt:i4>
      </vt:variant>
      <vt:variant>
        <vt:lpwstr>http://www.nevo.co.il/law/70301/40ja.3</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4915202</vt:i4>
      </vt:variant>
      <vt:variant>
        <vt:i4>126</vt:i4>
      </vt:variant>
      <vt:variant>
        <vt:i4>0</vt:i4>
      </vt:variant>
      <vt:variant>
        <vt:i4>5</vt:i4>
      </vt:variant>
      <vt:variant>
        <vt:lpwstr>http://www.nevo.co.il/law/70301/40c.b</vt:lpwstr>
      </vt:variant>
      <vt:variant>
        <vt:lpwstr/>
      </vt:variant>
      <vt:variant>
        <vt:i4>3604594</vt:i4>
      </vt:variant>
      <vt:variant>
        <vt:i4>123</vt:i4>
      </vt:variant>
      <vt:variant>
        <vt:i4>0</vt:i4>
      </vt:variant>
      <vt:variant>
        <vt:i4>5</vt:i4>
      </vt:variant>
      <vt:variant>
        <vt:lpwstr>http://www.nevo.co.il/case/20145219</vt:lpwstr>
      </vt:variant>
      <vt:variant>
        <vt:lpwstr/>
      </vt:variant>
      <vt:variant>
        <vt:i4>3145840</vt:i4>
      </vt:variant>
      <vt:variant>
        <vt:i4>120</vt:i4>
      </vt:variant>
      <vt:variant>
        <vt:i4>0</vt:i4>
      </vt:variant>
      <vt:variant>
        <vt:i4>5</vt:i4>
      </vt:variant>
      <vt:variant>
        <vt:lpwstr>http://www.nevo.co.il/case/18045843</vt:lpwstr>
      </vt:variant>
      <vt:variant>
        <vt:lpwstr/>
      </vt:variant>
      <vt:variant>
        <vt:i4>3407988</vt:i4>
      </vt:variant>
      <vt:variant>
        <vt:i4>117</vt:i4>
      </vt:variant>
      <vt:variant>
        <vt:i4>0</vt:i4>
      </vt:variant>
      <vt:variant>
        <vt:i4>5</vt:i4>
      </vt:variant>
      <vt:variant>
        <vt:lpwstr>http://www.nevo.co.il/case/18090154</vt:lpwstr>
      </vt:variant>
      <vt:variant>
        <vt:lpwstr/>
      </vt:variant>
      <vt:variant>
        <vt:i4>3145840</vt:i4>
      </vt:variant>
      <vt:variant>
        <vt:i4>114</vt:i4>
      </vt:variant>
      <vt:variant>
        <vt:i4>0</vt:i4>
      </vt:variant>
      <vt:variant>
        <vt:i4>5</vt:i4>
      </vt:variant>
      <vt:variant>
        <vt:lpwstr>http://www.nevo.co.il/case/20604405</vt:lpwstr>
      </vt:variant>
      <vt:variant>
        <vt:lpwstr/>
      </vt:variant>
      <vt:variant>
        <vt:i4>3211388</vt:i4>
      </vt:variant>
      <vt:variant>
        <vt:i4>111</vt:i4>
      </vt:variant>
      <vt:variant>
        <vt:i4>0</vt:i4>
      </vt:variant>
      <vt:variant>
        <vt:i4>5</vt:i4>
      </vt:variant>
      <vt:variant>
        <vt:lpwstr>http://www.nevo.co.il/case/5849797</vt:lpwstr>
      </vt:variant>
      <vt:variant>
        <vt:lpwstr/>
      </vt:variant>
      <vt:variant>
        <vt:i4>3211388</vt:i4>
      </vt:variant>
      <vt:variant>
        <vt:i4>108</vt:i4>
      </vt:variant>
      <vt:variant>
        <vt:i4>0</vt:i4>
      </vt:variant>
      <vt:variant>
        <vt:i4>5</vt:i4>
      </vt:variant>
      <vt:variant>
        <vt:lpwstr>http://www.nevo.co.il/case/5849797</vt:lpwstr>
      </vt:variant>
      <vt:variant>
        <vt:lpwstr/>
      </vt:variant>
      <vt:variant>
        <vt:i4>3932272</vt:i4>
      </vt:variant>
      <vt:variant>
        <vt:i4>105</vt:i4>
      </vt:variant>
      <vt:variant>
        <vt:i4>0</vt:i4>
      </vt:variant>
      <vt:variant>
        <vt:i4>5</vt:i4>
      </vt:variant>
      <vt:variant>
        <vt:lpwstr>http://www.nevo.co.il/case/17916229</vt:lpwstr>
      </vt:variant>
      <vt:variant>
        <vt:lpwstr/>
      </vt:variant>
      <vt:variant>
        <vt:i4>3276916</vt:i4>
      </vt:variant>
      <vt:variant>
        <vt:i4>102</vt:i4>
      </vt:variant>
      <vt:variant>
        <vt:i4>0</vt:i4>
      </vt:variant>
      <vt:variant>
        <vt:i4>5</vt:i4>
      </vt:variant>
      <vt:variant>
        <vt:lpwstr>http://www.nevo.co.il/case/5810781</vt:lpwstr>
      </vt:variant>
      <vt:variant>
        <vt:lpwstr/>
      </vt:variant>
      <vt:variant>
        <vt:i4>3997813</vt:i4>
      </vt:variant>
      <vt:variant>
        <vt:i4>99</vt:i4>
      </vt:variant>
      <vt:variant>
        <vt:i4>0</vt:i4>
      </vt:variant>
      <vt:variant>
        <vt:i4>5</vt:i4>
      </vt:variant>
      <vt:variant>
        <vt:lpwstr>http://www.nevo.co.il/case/18118854</vt:lpwstr>
      </vt:variant>
      <vt:variant>
        <vt:lpwstr/>
      </vt:variant>
      <vt:variant>
        <vt:i4>3539058</vt:i4>
      </vt:variant>
      <vt:variant>
        <vt:i4>96</vt:i4>
      </vt:variant>
      <vt:variant>
        <vt:i4>0</vt:i4>
      </vt:variant>
      <vt:variant>
        <vt:i4>5</vt:i4>
      </vt:variant>
      <vt:variant>
        <vt:lpwstr>http://www.nevo.co.il/case/17075628</vt:lpwstr>
      </vt:variant>
      <vt:variant>
        <vt:lpwstr/>
      </vt:variant>
      <vt:variant>
        <vt:i4>3276915</vt:i4>
      </vt:variant>
      <vt:variant>
        <vt:i4>93</vt:i4>
      </vt:variant>
      <vt:variant>
        <vt:i4>0</vt:i4>
      </vt:variant>
      <vt:variant>
        <vt:i4>5</vt:i4>
      </vt:variant>
      <vt:variant>
        <vt:lpwstr>http://www.nevo.co.il/case/6180864</vt:lpwstr>
      </vt:variant>
      <vt:variant>
        <vt:lpwstr/>
      </vt:variant>
      <vt:variant>
        <vt:i4>7995492</vt:i4>
      </vt:variant>
      <vt:variant>
        <vt:i4>90</vt:i4>
      </vt:variant>
      <vt:variant>
        <vt:i4>0</vt:i4>
      </vt:variant>
      <vt:variant>
        <vt:i4>5</vt:i4>
      </vt:variant>
      <vt:variant>
        <vt:lpwstr>http://www.nevo.co.il/law/70301</vt:lpwstr>
      </vt:variant>
      <vt:variant>
        <vt:lpwstr/>
      </vt:variant>
      <vt:variant>
        <vt:i4>4128893</vt:i4>
      </vt:variant>
      <vt:variant>
        <vt:i4>87</vt:i4>
      </vt:variant>
      <vt:variant>
        <vt:i4>0</vt:i4>
      </vt:variant>
      <vt:variant>
        <vt:i4>5</vt:i4>
      </vt:variant>
      <vt:variant>
        <vt:lpwstr>http://www.nevo.co.il/case/6824952</vt:lpwstr>
      </vt:variant>
      <vt:variant>
        <vt:lpwstr/>
      </vt:variant>
      <vt:variant>
        <vt:i4>3342455</vt:i4>
      </vt:variant>
      <vt:variant>
        <vt:i4>84</vt:i4>
      </vt:variant>
      <vt:variant>
        <vt:i4>0</vt:i4>
      </vt:variant>
      <vt:variant>
        <vt:i4>5</vt:i4>
      </vt:variant>
      <vt:variant>
        <vt:lpwstr>http://www.nevo.co.il/case/7667123</vt:lpwstr>
      </vt:variant>
      <vt:variant>
        <vt:lpwstr/>
      </vt:variant>
      <vt:variant>
        <vt:i4>4063357</vt:i4>
      </vt:variant>
      <vt:variant>
        <vt:i4>81</vt:i4>
      </vt:variant>
      <vt:variant>
        <vt:i4>0</vt:i4>
      </vt:variant>
      <vt:variant>
        <vt:i4>5</vt:i4>
      </vt:variant>
      <vt:variant>
        <vt:lpwstr>http://www.nevo.co.il/case/5880417</vt:lpwstr>
      </vt:variant>
      <vt:variant>
        <vt:lpwstr/>
      </vt:variant>
      <vt:variant>
        <vt:i4>4063351</vt:i4>
      </vt:variant>
      <vt:variant>
        <vt:i4>78</vt:i4>
      </vt:variant>
      <vt:variant>
        <vt:i4>0</vt:i4>
      </vt:variant>
      <vt:variant>
        <vt:i4>5</vt:i4>
      </vt:variant>
      <vt:variant>
        <vt:lpwstr>http://www.nevo.co.il/case/17941073</vt:lpwstr>
      </vt:variant>
      <vt:variant>
        <vt:lpwstr/>
      </vt:variant>
      <vt:variant>
        <vt:i4>3539063</vt:i4>
      </vt:variant>
      <vt:variant>
        <vt:i4>75</vt:i4>
      </vt:variant>
      <vt:variant>
        <vt:i4>0</vt:i4>
      </vt:variant>
      <vt:variant>
        <vt:i4>5</vt:i4>
      </vt:variant>
      <vt:variant>
        <vt:lpwstr>http://www.nevo.co.il/case/21662402</vt:lpwstr>
      </vt:variant>
      <vt:variant>
        <vt:lpwstr/>
      </vt:variant>
      <vt:variant>
        <vt:i4>3407991</vt:i4>
      </vt:variant>
      <vt:variant>
        <vt:i4>72</vt:i4>
      </vt:variant>
      <vt:variant>
        <vt:i4>0</vt:i4>
      </vt:variant>
      <vt:variant>
        <vt:i4>5</vt:i4>
      </vt:variant>
      <vt:variant>
        <vt:lpwstr>http://www.nevo.co.il/case/20707362</vt:lpwstr>
      </vt:variant>
      <vt:variant>
        <vt:lpwstr/>
      </vt:variant>
      <vt:variant>
        <vt:i4>3342449</vt:i4>
      </vt:variant>
      <vt:variant>
        <vt:i4>69</vt:i4>
      </vt:variant>
      <vt:variant>
        <vt:i4>0</vt:i4>
      </vt:variant>
      <vt:variant>
        <vt:i4>5</vt:i4>
      </vt:variant>
      <vt:variant>
        <vt:lpwstr>http://www.nevo.co.il/case/20159091</vt:lpwstr>
      </vt:variant>
      <vt:variant>
        <vt:lpwstr/>
      </vt:variant>
      <vt:variant>
        <vt:i4>3801204</vt:i4>
      </vt:variant>
      <vt:variant>
        <vt:i4>66</vt:i4>
      </vt:variant>
      <vt:variant>
        <vt:i4>0</vt:i4>
      </vt:variant>
      <vt:variant>
        <vt:i4>5</vt:i4>
      </vt:variant>
      <vt:variant>
        <vt:lpwstr>http://www.nevo.co.il/case/21887974</vt:lpwstr>
      </vt:variant>
      <vt:variant>
        <vt:lpwstr/>
      </vt:variant>
      <vt:variant>
        <vt:i4>3473529</vt:i4>
      </vt:variant>
      <vt:variant>
        <vt:i4>63</vt:i4>
      </vt:variant>
      <vt:variant>
        <vt:i4>0</vt:i4>
      </vt:variant>
      <vt:variant>
        <vt:i4>5</vt:i4>
      </vt:variant>
      <vt:variant>
        <vt:lpwstr>http://www.nevo.co.il/case/18107527</vt:lpwstr>
      </vt:variant>
      <vt:variant>
        <vt:lpwstr/>
      </vt:variant>
      <vt:variant>
        <vt:i4>3342460</vt:i4>
      </vt:variant>
      <vt:variant>
        <vt:i4>60</vt:i4>
      </vt:variant>
      <vt:variant>
        <vt:i4>0</vt:i4>
      </vt:variant>
      <vt:variant>
        <vt:i4>5</vt:i4>
      </vt:variant>
      <vt:variant>
        <vt:lpwstr>http://www.nevo.co.il/case/20881083</vt:lpwstr>
      </vt:variant>
      <vt:variant>
        <vt:lpwstr/>
      </vt:variant>
      <vt:variant>
        <vt:i4>3276924</vt:i4>
      </vt:variant>
      <vt:variant>
        <vt:i4>57</vt:i4>
      </vt:variant>
      <vt:variant>
        <vt:i4>0</vt:i4>
      </vt:variant>
      <vt:variant>
        <vt:i4>5</vt:i4>
      </vt:variant>
      <vt:variant>
        <vt:lpwstr>http://www.nevo.co.il/case/18131336</vt:lpwstr>
      </vt:variant>
      <vt:variant>
        <vt:lpwstr/>
      </vt:variant>
      <vt:variant>
        <vt:i4>3473523</vt:i4>
      </vt:variant>
      <vt:variant>
        <vt:i4>54</vt:i4>
      </vt:variant>
      <vt:variant>
        <vt:i4>0</vt:i4>
      </vt:variant>
      <vt:variant>
        <vt:i4>5</vt:i4>
      </vt:variant>
      <vt:variant>
        <vt:lpwstr>http://www.nevo.co.il/case/11273152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http://www.nevo.co.il/law/70301/40j</vt:lpwstr>
      </vt:variant>
      <vt:variant>
        <vt:lpwstr/>
      </vt:variant>
      <vt:variant>
        <vt:i4>3342455</vt:i4>
      </vt:variant>
      <vt:variant>
        <vt:i4>45</vt:i4>
      </vt:variant>
      <vt:variant>
        <vt:i4>0</vt:i4>
      </vt:variant>
      <vt:variant>
        <vt:i4>5</vt:i4>
      </vt:variant>
      <vt:variant>
        <vt:lpwstr>http://www.nevo.co.il/case/20632055</vt:lpwstr>
      </vt:variant>
      <vt:variant>
        <vt:lpwstr/>
      </vt:variant>
      <vt:variant>
        <vt:i4>4128892</vt:i4>
      </vt:variant>
      <vt:variant>
        <vt:i4>42</vt:i4>
      </vt:variant>
      <vt:variant>
        <vt:i4>0</vt:i4>
      </vt:variant>
      <vt:variant>
        <vt:i4>5</vt:i4>
      </vt:variant>
      <vt:variant>
        <vt:lpwstr>http://www.nevo.co.il/case/18119161</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3604517</vt:i4>
      </vt:variant>
      <vt:variant>
        <vt:i4>24</vt:i4>
      </vt:variant>
      <vt:variant>
        <vt:i4>0</vt:i4>
      </vt:variant>
      <vt:variant>
        <vt:i4>5</vt:i4>
      </vt:variant>
      <vt:variant>
        <vt:lpwstr>http://www.nevo.co.il/law/70301/40ja.3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http://www.nevo.co.il/law/70301/40j</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2025-04-22T23:05:00Z</dcterms:created>
  <dcterms:modified xsi:type="dcterms:W3CDTF">2025-04-22T23:05:00Z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35639</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יורם בידוש</vt:lpwstr>
  </property>
  <property fmtid="{D5CDD505-2E9C-101B-9397-08002B2CF9AE}" pid="10" name="LAWYER">
    <vt:lpwstr>אבי דהן ;גנון;סויסה</vt:lpwstr>
  </property>
  <property fmtid="{D5CDD505-2E9C-101B-9397-08002B2CF9AE}" pid="11" name="JUDGE">
    <vt:lpwstr>ד''ר נגה שמואלי מאייר</vt:lpwstr>
  </property>
  <property fmtid="{D5CDD505-2E9C-101B-9397-08002B2CF9AE}" pid="12" name="CITY">
    <vt:lpwstr>ק"ג</vt:lpwstr>
  </property>
  <property fmtid="{D5CDD505-2E9C-101B-9397-08002B2CF9AE}" pid="13" name="DATE">
    <vt:lpwstr>20170620</vt:lpwstr>
  </property>
  <property fmtid="{D5CDD505-2E9C-101B-9397-08002B2CF9AE}" pid="14" name="TYPE_N_DATE">
    <vt:lpwstr>38020170620</vt:lpwstr>
  </property>
  <property fmtid="{D5CDD505-2E9C-101B-9397-08002B2CF9AE}" pid="15" name="CASESLISTTMP1">
    <vt:lpwstr>18119161;20632055;11273152;18131336;20881083;18107527;21887974;20159091;20707362;21662402;17941073;5880417;7667123;6824952;6180864;17075628;18118854;5810781;17916229;5849797:2;20604405:2;18090154;18045843;20145219;22116728;20639293;16922781</vt:lpwstr>
  </property>
  <property fmtid="{D5CDD505-2E9C-101B-9397-08002B2CF9AE}" pid="16" name="CASENOTES1">
    <vt:lpwstr>ProcID=213&amp;PartA=15&amp;PartC=14</vt:lpwstr>
  </property>
  <property fmtid="{D5CDD505-2E9C-101B-9397-08002B2CF9AE}" pid="17" name="WORDNUMPAGES">
    <vt:lpwstr>11</vt:lpwstr>
  </property>
  <property fmtid="{D5CDD505-2E9C-101B-9397-08002B2CF9AE}" pid="18" name="TYPE_ABS_DATE">
    <vt:lpwstr>380020170620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vt:lpwstr>
  </property>
  <property fmtid="{D5CDD505-2E9C-101B-9397-08002B2CF9AE}" pid="38" name="LAWLISTTMP2">
    <vt:lpwstr>70301/040c.a;040j;040c.b;40ja;40ja.3;040d.a</vt:lpwstr>
  </property>
</Properties>
</file>