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547DF" w:rsidRPr="00495DED" w14:paraId="3211D802" w14:textId="77777777">
        <w:trPr>
          <w:trHeight w:hRule="exact" w:val="418"/>
          <w:jc w:val="center"/>
        </w:trPr>
        <w:tc>
          <w:tcPr>
            <w:tcW w:w="8721" w:type="dxa"/>
            <w:gridSpan w:val="2"/>
          </w:tcPr>
          <w:p w14:paraId="03676EC9" w14:textId="77777777" w:rsidR="00F547DF" w:rsidRPr="00495DED" w:rsidRDefault="00F547DF" w:rsidP="006E3388">
            <w:pPr>
              <w:pStyle w:val="a3"/>
              <w:jc w:val="center"/>
              <w:rPr>
                <w:rFonts w:ascii="Tahoma" w:hAnsi="Tahoma" w:cs="Tahoma"/>
                <w:color w:val="000080"/>
                <w:rtl/>
              </w:rPr>
            </w:pPr>
            <w:bookmarkStart w:id="0" w:name="LastJudge"/>
            <w:r w:rsidRPr="00495DED">
              <w:rPr>
                <w:rFonts w:ascii="Tahoma" w:hAnsi="Tahoma" w:cs="Tahoma"/>
                <w:b/>
                <w:bCs/>
                <w:color w:val="000080"/>
                <w:rtl/>
              </w:rPr>
              <w:t>בית משפט השלום ברמלה</w:t>
            </w:r>
          </w:p>
        </w:tc>
      </w:tr>
      <w:tr w:rsidR="00F547DF" w:rsidRPr="00495DED" w14:paraId="3BF23CC4" w14:textId="77777777">
        <w:trPr>
          <w:trHeight w:val="337"/>
          <w:jc w:val="center"/>
        </w:trPr>
        <w:tc>
          <w:tcPr>
            <w:tcW w:w="5057" w:type="dxa"/>
          </w:tcPr>
          <w:p w14:paraId="71988709" w14:textId="77777777" w:rsidR="00F547DF" w:rsidRPr="00495DED" w:rsidRDefault="00F547DF" w:rsidP="006E3388">
            <w:pPr>
              <w:rPr>
                <w:rFonts w:cs="FrankRuehl"/>
                <w:sz w:val="28"/>
                <w:szCs w:val="28"/>
                <w:rtl/>
              </w:rPr>
            </w:pPr>
            <w:r w:rsidRPr="00495DED">
              <w:rPr>
                <w:rFonts w:cs="FrankRuehl"/>
                <w:sz w:val="28"/>
                <w:szCs w:val="28"/>
                <w:rtl/>
              </w:rPr>
              <w:t>ת"פ</w:t>
            </w:r>
            <w:r w:rsidRPr="00495DED">
              <w:rPr>
                <w:rFonts w:cs="FrankRuehl" w:hint="cs"/>
                <w:sz w:val="28"/>
                <w:szCs w:val="28"/>
                <w:rtl/>
              </w:rPr>
              <w:t xml:space="preserve"> </w:t>
            </w:r>
            <w:r w:rsidRPr="00495DED">
              <w:rPr>
                <w:rFonts w:cs="FrankRuehl"/>
                <w:sz w:val="28"/>
                <w:szCs w:val="28"/>
                <w:rtl/>
              </w:rPr>
              <w:t>47357-06-16</w:t>
            </w:r>
            <w:r w:rsidRPr="00495DED">
              <w:rPr>
                <w:rFonts w:cs="FrankRuehl" w:hint="cs"/>
                <w:sz w:val="28"/>
                <w:szCs w:val="28"/>
                <w:rtl/>
              </w:rPr>
              <w:t xml:space="preserve"> מדינת ישראל - </w:t>
            </w:r>
            <w:r w:rsidRPr="00495DED">
              <w:rPr>
                <w:rFonts w:cs="FrankRuehl"/>
                <w:sz w:val="28"/>
                <w:szCs w:val="28"/>
                <w:rtl/>
              </w:rPr>
              <w:t>פרקליטות מחוז מרכז נ' אבו דקה(עציר)</w:t>
            </w:r>
          </w:p>
          <w:p w14:paraId="03815AF6" w14:textId="77777777" w:rsidR="00F547DF" w:rsidRPr="00495DED" w:rsidRDefault="00F547DF" w:rsidP="006E3388">
            <w:pPr>
              <w:pStyle w:val="a3"/>
              <w:rPr>
                <w:rFonts w:cs="FrankRuehl"/>
                <w:sz w:val="28"/>
                <w:szCs w:val="28"/>
                <w:rtl/>
              </w:rPr>
            </w:pPr>
          </w:p>
        </w:tc>
        <w:tc>
          <w:tcPr>
            <w:tcW w:w="3664" w:type="dxa"/>
          </w:tcPr>
          <w:p w14:paraId="148B380E" w14:textId="77777777" w:rsidR="00F547DF" w:rsidRPr="00495DED" w:rsidRDefault="00F547DF" w:rsidP="006E3388">
            <w:pPr>
              <w:pStyle w:val="a3"/>
              <w:jc w:val="right"/>
              <w:rPr>
                <w:rFonts w:cs="FrankRuehl"/>
                <w:sz w:val="28"/>
                <w:szCs w:val="28"/>
                <w:rtl/>
              </w:rPr>
            </w:pPr>
          </w:p>
        </w:tc>
      </w:tr>
    </w:tbl>
    <w:p w14:paraId="5711F036" w14:textId="77777777" w:rsidR="00F547DF" w:rsidRPr="00495DED" w:rsidRDefault="00F547DF" w:rsidP="00F547DF">
      <w:pPr>
        <w:pStyle w:val="a3"/>
        <w:rPr>
          <w:rtl/>
        </w:rPr>
      </w:pPr>
      <w:r w:rsidRPr="00495DED">
        <w:rPr>
          <w:rFonts w:hint="cs"/>
          <w:rtl/>
        </w:rPr>
        <w:t xml:space="preserve"> </w:t>
      </w:r>
    </w:p>
    <w:p w14:paraId="66392C9E" w14:textId="77777777" w:rsidR="00F547DF" w:rsidRPr="00495DED" w:rsidRDefault="00F547DF" w:rsidP="00F547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E3388" w:rsidRPr="00495DED" w14:paraId="0ADCCB62" w14:textId="77777777">
        <w:trPr>
          <w:trHeight w:val="295"/>
          <w:jc w:val="center"/>
        </w:trPr>
        <w:tc>
          <w:tcPr>
            <w:tcW w:w="945" w:type="dxa"/>
            <w:tcBorders>
              <w:top w:val="nil"/>
              <w:left w:val="nil"/>
              <w:bottom w:val="nil"/>
              <w:right w:val="nil"/>
            </w:tcBorders>
            <w:shd w:val="clear" w:color="auto" w:fill="auto"/>
          </w:tcPr>
          <w:p w14:paraId="3A71A3E8" w14:textId="77777777" w:rsidR="00F547DF" w:rsidRPr="00495DED" w:rsidRDefault="00F547DF" w:rsidP="00F547DF">
            <w:pPr>
              <w:jc w:val="both"/>
              <w:rPr>
                <w:rFonts w:ascii="Arial" w:hAnsi="Arial"/>
                <w:b/>
                <w:bCs/>
                <w:sz w:val="28"/>
                <w:szCs w:val="28"/>
              </w:rPr>
            </w:pPr>
            <w:r w:rsidRPr="00495DED">
              <w:rPr>
                <w:rFonts w:ascii="Arial" w:hAnsi="Arial" w:hint="cs"/>
                <w:b/>
                <w:bCs/>
                <w:sz w:val="28"/>
                <w:szCs w:val="28"/>
                <w:rtl/>
              </w:rPr>
              <w:t>ב</w:t>
            </w:r>
            <w:r w:rsidRPr="00495DED">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34A9D472" w14:textId="77777777" w:rsidR="00F547DF" w:rsidRPr="00495DED" w:rsidRDefault="00F547DF" w:rsidP="006E3388">
            <w:pPr>
              <w:rPr>
                <w:rFonts w:ascii="Arial" w:hAnsi="Arial"/>
                <w:b/>
                <w:bCs/>
                <w:sz w:val="28"/>
                <w:szCs w:val="28"/>
                <w:rtl/>
              </w:rPr>
            </w:pPr>
            <w:r w:rsidRPr="00495DED">
              <w:rPr>
                <w:rFonts w:ascii="Arial" w:hAnsi="Arial" w:hint="cs"/>
                <w:b/>
                <w:bCs/>
                <w:sz w:val="28"/>
                <w:szCs w:val="28"/>
                <w:rtl/>
              </w:rPr>
              <w:t>כבוד ה</w:t>
            </w:r>
            <w:r w:rsidRPr="00495DED">
              <w:rPr>
                <w:rFonts w:ascii="Arial" w:hAnsi="Arial"/>
                <w:b/>
                <w:bCs/>
                <w:sz w:val="28"/>
                <w:szCs w:val="28"/>
                <w:rtl/>
              </w:rPr>
              <w:t>שופט</w:t>
            </w:r>
            <w:r w:rsidRPr="00495DED">
              <w:rPr>
                <w:rFonts w:ascii="Arial" w:hAnsi="Arial" w:hint="cs"/>
                <w:b/>
                <w:bCs/>
                <w:sz w:val="28"/>
                <w:szCs w:val="28"/>
                <w:rtl/>
              </w:rPr>
              <w:t xml:space="preserve">  </w:t>
            </w:r>
            <w:r w:rsidRPr="00495DED">
              <w:rPr>
                <w:rFonts w:ascii="Arial" w:hAnsi="Arial"/>
                <w:b/>
                <w:bCs/>
                <w:sz w:val="28"/>
                <w:szCs w:val="28"/>
                <w:rtl/>
              </w:rPr>
              <w:t>הישאם  אבו שחאדה</w:t>
            </w:r>
          </w:p>
          <w:p w14:paraId="7247F918" w14:textId="77777777" w:rsidR="00F547DF" w:rsidRPr="00495DED" w:rsidRDefault="00F547DF" w:rsidP="006E3388">
            <w:pPr>
              <w:rPr>
                <w:b/>
                <w:bCs/>
                <w:sz w:val="28"/>
                <w:szCs w:val="28"/>
                <w:rtl/>
              </w:rPr>
            </w:pPr>
          </w:p>
          <w:p w14:paraId="4E2C0C32" w14:textId="77777777" w:rsidR="00F547DF" w:rsidRPr="00495DED" w:rsidRDefault="00F547DF" w:rsidP="00F547DF">
            <w:pPr>
              <w:jc w:val="both"/>
              <w:rPr>
                <w:rFonts w:ascii="Arial" w:hAnsi="Arial"/>
                <w:b/>
                <w:bCs/>
                <w:sz w:val="28"/>
                <w:szCs w:val="28"/>
              </w:rPr>
            </w:pPr>
          </w:p>
        </w:tc>
      </w:tr>
      <w:tr w:rsidR="006E3388" w:rsidRPr="00495DED" w14:paraId="562EE0BD" w14:textId="77777777">
        <w:trPr>
          <w:trHeight w:val="355"/>
          <w:jc w:val="center"/>
        </w:trPr>
        <w:tc>
          <w:tcPr>
            <w:tcW w:w="945" w:type="dxa"/>
            <w:tcBorders>
              <w:top w:val="nil"/>
              <w:left w:val="nil"/>
              <w:bottom w:val="nil"/>
              <w:right w:val="nil"/>
            </w:tcBorders>
            <w:shd w:val="clear" w:color="auto" w:fill="auto"/>
          </w:tcPr>
          <w:p w14:paraId="537333AF" w14:textId="77777777" w:rsidR="00F547DF" w:rsidRPr="00495DED" w:rsidRDefault="00F547DF" w:rsidP="00F547DF">
            <w:pPr>
              <w:jc w:val="both"/>
              <w:rPr>
                <w:rFonts w:ascii="Arial" w:hAnsi="Arial"/>
                <w:b/>
                <w:bCs/>
                <w:sz w:val="28"/>
                <w:szCs w:val="28"/>
              </w:rPr>
            </w:pPr>
            <w:bookmarkStart w:id="1" w:name="FirstAppellant"/>
            <w:bookmarkStart w:id="2" w:name="FirstLawyer"/>
            <w:r w:rsidRPr="00495DED">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0592AC8D" w14:textId="77777777" w:rsidR="00F547DF" w:rsidRPr="00495DED" w:rsidRDefault="00F547DF" w:rsidP="006E3388">
            <w:pPr>
              <w:rPr>
                <w:b/>
                <w:bCs/>
                <w:sz w:val="28"/>
                <w:szCs w:val="28"/>
                <w:rtl/>
              </w:rPr>
            </w:pPr>
            <w:r w:rsidRPr="00495DED">
              <w:rPr>
                <w:rFonts w:ascii="Arial" w:hAnsi="Arial"/>
                <w:b/>
                <w:bCs/>
                <w:sz w:val="28"/>
                <w:szCs w:val="28"/>
                <w:rtl/>
              </w:rPr>
              <w:t xml:space="preserve">מדינת ישראל – </w:t>
            </w:r>
            <w:r w:rsidRPr="00495DED">
              <w:rPr>
                <w:rFonts w:ascii="Arial" w:hAnsi="Arial" w:hint="cs"/>
                <w:b/>
                <w:bCs/>
                <w:sz w:val="28"/>
                <w:szCs w:val="28"/>
                <w:rtl/>
              </w:rPr>
              <w:t xml:space="preserve">באמצעות </w:t>
            </w:r>
            <w:r w:rsidRPr="00495DED">
              <w:rPr>
                <w:rFonts w:ascii="Arial" w:hAnsi="Arial"/>
                <w:b/>
                <w:bCs/>
                <w:sz w:val="28"/>
                <w:szCs w:val="28"/>
                <w:rtl/>
              </w:rPr>
              <w:t>פרקליטות מחוז מרכז</w:t>
            </w:r>
          </w:p>
          <w:p w14:paraId="66F246E1" w14:textId="77777777" w:rsidR="00F547DF" w:rsidRPr="00495DED" w:rsidRDefault="00F547DF" w:rsidP="006E3388">
            <w:pPr>
              <w:rPr>
                <w:b/>
                <w:bCs/>
                <w:sz w:val="28"/>
                <w:szCs w:val="28"/>
              </w:rPr>
            </w:pPr>
            <w:r w:rsidRPr="00495DED">
              <w:rPr>
                <w:rFonts w:hint="cs"/>
                <w:b/>
                <w:bCs/>
                <w:sz w:val="28"/>
                <w:szCs w:val="28"/>
                <w:rtl/>
              </w:rPr>
              <w:t>ע"י המתמחה הגב' הילה לוגסי</w:t>
            </w:r>
          </w:p>
        </w:tc>
        <w:tc>
          <w:tcPr>
            <w:tcW w:w="3761" w:type="dxa"/>
            <w:tcBorders>
              <w:top w:val="nil"/>
              <w:left w:val="nil"/>
              <w:bottom w:val="nil"/>
              <w:right w:val="nil"/>
            </w:tcBorders>
            <w:shd w:val="clear" w:color="auto" w:fill="auto"/>
          </w:tcPr>
          <w:p w14:paraId="779625A3" w14:textId="77777777" w:rsidR="00F547DF" w:rsidRPr="00495DED" w:rsidRDefault="00F547DF" w:rsidP="00F547DF">
            <w:pPr>
              <w:jc w:val="both"/>
              <w:rPr>
                <w:rFonts w:ascii="Arial" w:hAnsi="Arial"/>
                <w:b/>
                <w:bCs/>
                <w:sz w:val="28"/>
                <w:szCs w:val="28"/>
              </w:rPr>
            </w:pPr>
          </w:p>
        </w:tc>
      </w:tr>
      <w:bookmarkEnd w:id="1"/>
      <w:bookmarkEnd w:id="2"/>
      <w:tr w:rsidR="006E3388" w:rsidRPr="00495DED" w14:paraId="7E37C03C" w14:textId="77777777">
        <w:trPr>
          <w:gridAfter w:val="2"/>
          <w:wAfter w:w="7875" w:type="dxa"/>
          <w:trHeight w:val="355"/>
          <w:jc w:val="center"/>
        </w:trPr>
        <w:tc>
          <w:tcPr>
            <w:tcW w:w="945" w:type="dxa"/>
            <w:tcBorders>
              <w:top w:val="nil"/>
              <w:left w:val="nil"/>
              <w:bottom w:val="nil"/>
              <w:right w:val="nil"/>
            </w:tcBorders>
            <w:shd w:val="clear" w:color="auto" w:fill="auto"/>
          </w:tcPr>
          <w:p w14:paraId="5F709CAF" w14:textId="77777777" w:rsidR="00F547DF" w:rsidRPr="00495DED" w:rsidRDefault="00F547DF" w:rsidP="00F547DF">
            <w:pPr>
              <w:jc w:val="both"/>
              <w:rPr>
                <w:rFonts w:ascii="Arial" w:hAnsi="Arial"/>
                <w:b/>
                <w:bCs/>
                <w:sz w:val="28"/>
                <w:szCs w:val="28"/>
                <w:rtl/>
              </w:rPr>
            </w:pPr>
          </w:p>
        </w:tc>
      </w:tr>
      <w:tr w:rsidR="006E3388" w:rsidRPr="00495DED" w14:paraId="4B473250" w14:textId="77777777">
        <w:trPr>
          <w:trHeight w:val="355"/>
          <w:jc w:val="center"/>
        </w:trPr>
        <w:tc>
          <w:tcPr>
            <w:tcW w:w="945" w:type="dxa"/>
            <w:tcBorders>
              <w:top w:val="nil"/>
              <w:left w:val="nil"/>
              <w:bottom w:val="nil"/>
              <w:right w:val="nil"/>
            </w:tcBorders>
            <w:shd w:val="clear" w:color="auto" w:fill="auto"/>
          </w:tcPr>
          <w:p w14:paraId="3BD6B5C2" w14:textId="77777777" w:rsidR="00F547DF" w:rsidRPr="00495DED" w:rsidRDefault="00F547DF" w:rsidP="00F547DF">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3707A5F9" w14:textId="77777777" w:rsidR="00F547DF" w:rsidRPr="00495DED" w:rsidRDefault="00F547DF" w:rsidP="00F547DF">
            <w:pPr>
              <w:jc w:val="center"/>
              <w:rPr>
                <w:rFonts w:ascii="Arial" w:hAnsi="Arial"/>
                <w:b/>
                <w:bCs/>
                <w:sz w:val="28"/>
                <w:szCs w:val="28"/>
                <w:rtl/>
              </w:rPr>
            </w:pPr>
          </w:p>
          <w:p w14:paraId="3B771AC6" w14:textId="77777777" w:rsidR="00F547DF" w:rsidRPr="00495DED" w:rsidRDefault="00F547DF" w:rsidP="00F547DF">
            <w:pPr>
              <w:jc w:val="center"/>
              <w:rPr>
                <w:rFonts w:ascii="Arial" w:hAnsi="Arial"/>
                <w:b/>
                <w:bCs/>
                <w:sz w:val="28"/>
                <w:szCs w:val="28"/>
                <w:rtl/>
              </w:rPr>
            </w:pPr>
            <w:r w:rsidRPr="00495DED">
              <w:rPr>
                <w:rFonts w:ascii="Arial" w:hAnsi="Arial"/>
                <w:b/>
                <w:bCs/>
                <w:sz w:val="28"/>
                <w:szCs w:val="28"/>
                <w:rtl/>
              </w:rPr>
              <w:t>נגד</w:t>
            </w:r>
          </w:p>
          <w:p w14:paraId="634AE52F" w14:textId="77777777" w:rsidR="00F547DF" w:rsidRPr="00495DED" w:rsidRDefault="00F547DF" w:rsidP="00F547DF">
            <w:pPr>
              <w:jc w:val="both"/>
              <w:rPr>
                <w:rFonts w:ascii="Arial" w:hAnsi="Arial"/>
                <w:b/>
                <w:bCs/>
                <w:sz w:val="28"/>
                <w:szCs w:val="28"/>
              </w:rPr>
            </w:pPr>
          </w:p>
        </w:tc>
      </w:tr>
      <w:tr w:rsidR="006E3388" w:rsidRPr="00495DED" w14:paraId="218D3197" w14:textId="77777777">
        <w:trPr>
          <w:trHeight w:val="355"/>
          <w:jc w:val="center"/>
        </w:trPr>
        <w:tc>
          <w:tcPr>
            <w:tcW w:w="945" w:type="dxa"/>
            <w:tcBorders>
              <w:top w:val="nil"/>
              <w:left w:val="nil"/>
              <w:bottom w:val="nil"/>
              <w:right w:val="nil"/>
            </w:tcBorders>
            <w:shd w:val="clear" w:color="auto" w:fill="auto"/>
          </w:tcPr>
          <w:p w14:paraId="0561F2AB" w14:textId="77777777" w:rsidR="00F547DF" w:rsidRPr="00495DED" w:rsidRDefault="00F547DF" w:rsidP="006E3388">
            <w:pPr>
              <w:rPr>
                <w:rFonts w:ascii="Arial" w:hAnsi="Arial"/>
                <w:b/>
                <w:bCs/>
                <w:sz w:val="28"/>
                <w:szCs w:val="28"/>
                <w:rtl/>
              </w:rPr>
            </w:pPr>
          </w:p>
        </w:tc>
        <w:tc>
          <w:tcPr>
            <w:tcW w:w="4114" w:type="dxa"/>
            <w:tcBorders>
              <w:top w:val="nil"/>
              <w:left w:val="nil"/>
              <w:bottom w:val="nil"/>
              <w:right w:val="nil"/>
            </w:tcBorders>
            <w:shd w:val="clear" w:color="auto" w:fill="auto"/>
          </w:tcPr>
          <w:p w14:paraId="19A7482A" w14:textId="77777777" w:rsidR="00F547DF" w:rsidRPr="00495DED" w:rsidRDefault="00F547DF" w:rsidP="006E3388">
            <w:pPr>
              <w:rPr>
                <w:b/>
                <w:bCs/>
                <w:sz w:val="28"/>
                <w:szCs w:val="28"/>
                <w:rtl/>
              </w:rPr>
            </w:pPr>
            <w:r w:rsidRPr="00495DED">
              <w:rPr>
                <w:rFonts w:ascii="Arial" w:hAnsi="Arial"/>
                <w:b/>
                <w:bCs/>
                <w:sz w:val="28"/>
                <w:szCs w:val="28"/>
                <w:rtl/>
              </w:rPr>
              <w:t xml:space="preserve">מחמד אבו דקה </w:t>
            </w:r>
          </w:p>
        </w:tc>
        <w:tc>
          <w:tcPr>
            <w:tcW w:w="3761" w:type="dxa"/>
            <w:tcBorders>
              <w:top w:val="nil"/>
              <w:left w:val="nil"/>
              <w:bottom w:val="nil"/>
              <w:right w:val="nil"/>
            </w:tcBorders>
            <w:shd w:val="clear" w:color="auto" w:fill="auto"/>
          </w:tcPr>
          <w:p w14:paraId="41883605" w14:textId="77777777" w:rsidR="00F547DF" w:rsidRPr="00495DED" w:rsidRDefault="00F547DF" w:rsidP="00F547DF">
            <w:pPr>
              <w:jc w:val="right"/>
              <w:rPr>
                <w:rFonts w:ascii="Arial" w:hAnsi="Arial"/>
                <w:b/>
                <w:bCs/>
                <w:sz w:val="28"/>
                <w:szCs w:val="28"/>
              </w:rPr>
            </w:pPr>
          </w:p>
        </w:tc>
      </w:tr>
      <w:tr w:rsidR="006E3388" w:rsidRPr="00495DED" w14:paraId="461F31F7" w14:textId="77777777">
        <w:trPr>
          <w:trHeight w:val="355"/>
          <w:jc w:val="center"/>
        </w:trPr>
        <w:tc>
          <w:tcPr>
            <w:tcW w:w="945" w:type="dxa"/>
            <w:tcBorders>
              <w:top w:val="nil"/>
              <w:left w:val="nil"/>
              <w:bottom w:val="nil"/>
              <w:right w:val="nil"/>
            </w:tcBorders>
            <w:shd w:val="clear" w:color="auto" w:fill="auto"/>
          </w:tcPr>
          <w:p w14:paraId="40B4242E" w14:textId="77777777" w:rsidR="00F547DF" w:rsidRPr="00495DED" w:rsidRDefault="00F547DF" w:rsidP="00F547DF">
            <w:pPr>
              <w:jc w:val="both"/>
              <w:rPr>
                <w:rFonts w:ascii="Arial" w:hAnsi="Arial"/>
                <w:b/>
                <w:bCs/>
                <w:sz w:val="28"/>
                <w:szCs w:val="28"/>
                <w:rtl/>
              </w:rPr>
            </w:pPr>
          </w:p>
        </w:tc>
        <w:tc>
          <w:tcPr>
            <w:tcW w:w="4114" w:type="dxa"/>
            <w:tcBorders>
              <w:top w:val="nil"/>
              <w:left w:val="nil"/>
              <w:bottom w:val="nil"/>
              <w:right w:val="nil"/>
            </w:tcBorders>
            <w:shd w:val="clear" w:color="auto" w:fill="auto"/>
          </w:tcPr>
          <w:p w14:paraId="59DCC6A3" w14:textId="77777777" w:rsidR="00F547DF" w:rsidRPr="00495DED" w:rsidRDefault="00F547DF" w:rsidP="00F547DF">
            <w:pPr>
              <w:jc w:val="both"/>
              <w:rPr>
                <w:b/>
                <w:bCs/>
                <w:sz w:val="28"/>
                <w:szCs w:val="28"/>
                <w:rtl/>
              </w:rPr>
            </w:pPr>
            <w:r w:rsidRPr="00495DED">
              <w:rPr>
                <w:rFonts w:hint="cs"/>
                <w:b/>
                <w:bCs/>
                <w:sz w:val="28"/>
                <w:szCs w:val="28"/>
                <w:rtl/>
              </w:rPr>
              <w:t>ע"י עוה"ד ליה זר</w:t>
            </w:r>
          </w:p>
        </w:tc>
        <w:tc>
          <w:tcPr>
            <w:tcW w:w="3761" w:type="dxa"/>
            <w:tcBorders>
              <w:top w:val="nil"/>
              <w:left w:val="nil"/>
              <w:bottom w:val="nil"/>
              <w:right w:val="nil"/>
            </w:tcBorders>
            <w:shd w:val="clear" w:color="auto" w:fill="auto"/>
          </w:tcPr>
          <w:p w14:paraId="05BD3176" w14:textId="77777777" w:rsidR="00F547DF" w:rsidRPr="00495DED" w:rsidRDefault="00F547DF" w:rsidP="00F547DF">
            <w:pPr>
              <w:jc w:val="right"/>
              <w:rPr>
                <w:rFonts w:ascii="Arial" w:hAnsi="Arial"/>
                <w:b/>
                <w:bCs/>
                <w:sz w:val="28"/>
                <w:szCs w:val="28"/>
              </w:rPr>
            </w:pPr>
          </w:p>
        </w:tc>
      </w:tr>
    </w:tbl>
    <w:p w14:paraId="35CCB01D" w14:textId="77777777" w:rsidR="00495DED" w:rsidRDefault="00495DED" w:rsidP="00F547DF">
      <w:pPr>
        <w:rPr>
          <w:sz w:val="28"/>
          <w:szCs w:val="28"/>
          <w:rtl/>
        </w:rPr>
      </w:pPr>
      <w:bookmarkStart w:id="3" w:name="LawTable"/>
      <w:bookmarkEnd w:id="3"/>
    </w:p>
    <w:p w14:paraId="088D2B25" w14:textId="77777777" w:rsidR="00495DED" w:rsidRPr="00495DED" w:rsidRDefault="00495DED" w:rsidP="00495DED">
      <w:pPr>
        <w:spacing w:after="120" w:line="240" w:lineRule="exact"/>
        <w:ind w:left="283" w:hanging="283"/>
        <w:jc w:val="both"/>
        <w:rPr>
          <w:rFonts w:ascii="FrankRuehl" w:hAnsi="FrankRuehl" w:cs="FrankRuehl"/>
          <w:rtl/>
        </w:rPr>
      </w:pPr>
    </w:p>
    <w:p w14:paraId="2ABCDF6B" w14:textId="77777777" w:rsidR="00495DED" w:rsidRPr="00495DED" w:rsidRDefault="00495DED" w:rsidP="00495DED">
      <w:pPr>
        <w:spacing w:after="120" w:line="240" w:lineRule="exact"/>
        <w:ind w:left="283" w:hanging="283"/>
        <w:jc w:val="both"/>
        <w:rPr>
          <w:rFonts w:ascii="FrankRuehl" w:hAnsi="FrankRuehl" w:cs="FrankRuehl"/>
          <w:rtl/>
        </w:rPr>
      </w:pPr>
      <w:r w:rsidRPr="00495DED">
        <w:rPr>
          <w:rFonts w:ascii="FrankRuehl" w:hAnsi="FrankRuehl" w:cs="FrankRuehl"/>
          <w:rtl/>
        </w:rPr>
        <w:t xml:space="preserve">חקיקה שאוזכרה: </w:t>
      </w:r>
    </w:p>
    <w:p w14:paraId="2AD3CF75" w14:textId="77777777" w:rsidR="00495DED" w:rsidRPr="00495DED" w:rsidRDefault="00495DED" w:rsidP="00495DED">
      <w:pPr>
        <w:spacing w:after="120" w:line="240" w:lineRule="exact"/>
        <w:ind w:left="283" w:hanging="283"/>
        <w:jc w:val="both"/>
        <w:rPr>
          <w:rFonts w:ascii="FrankRuehl" w:hAnsi="FrankRuehl" w:cs="FrankRuehl"/>
          <w:rtl/>
        </w:rPr>
      </w:pPr>
      <w:hyperlink r:id="rId6" w:history="1">
        <w:r w:rsidRPr="00495DED">
          <w:rPr>
            <w:rFonts w:ascii="FrankRuehl" w:hAnsi="FrankRuehl" w:cs="FrankRuehl"/>
            <w:color w:val="0000FF"/>
            <w:u w:val="single"/>
            <w:rtl/>
          </w:rPr>
          <w:t>פקודת הסמים המסוכנים [נוסח חדש], תשל"ג-1973</w:t>
        </w:r>
      </w:hyperlink>
    </w:p>
    <w:p w14:paraId="1ACA8F34" w14:textId="77777777" w:rsidR="00495DED" w:rsidRPr="00495DED" w:rsidRDefault="00495DED" w:rsidP="00495DED">
      <w:pPr>
        <w:spacing w:after="120" w:line="240" w:lineRule="exact"/>
        <w:ind w:left="283" w:hanging="283"/>
        <w:jc w:val="both"/>
        <w:rPr>
          <w:rFonts w:ascii="FrankRuehl" w:hAnsi="FrankRuehl" w:cs="FrankRuehl"/>
          <w:rtl/>
        </w:rPr>
      </w:pPr>
    </w:p>
    <w:p w14:paraId="67E46D3E" w14:textId="77777777" w:rsidR="00495DED" w:rsidRPr="00495DED" w:rsidRDefault="00495DED" w:rsidP="00F547DF">
      <w:pPr>
        <w:rPr>
          <w:sz w:val="28"/>
          <w:szCs w:val="28"/>
          <w:rtl/>
        </w:rPr>
      </w:pPr>
      <w:bookmarkStart w:id="4" w:name="LawTable_End"/>
      <w:bookmarkEnd w:id="4"/>
    </w:p>
    <w:p w14:paraId="413FDBEF" w14:textId="77777777" w:rsidR="00495DED" w:rsidRPr="00495DED" w:rsidRDefault="00495DED" w:rsidP="00F547DF">
      <w:pPr>
        <w:rPr>
          <w:b/>
          <w:bCs/>
          <w:sz w:val="28"/>
          <w:szCs w:val="28"/>
          <w:rtl/>
        </w:rPr>
      </w:pPr>
    </w:p>
    <w:p w14:paraId="49E535B1" w14:textId="77777777" w:rsidR="00F547DF" w:rsidRPr="00495DED" w:rsidRDefault="00F547DF" w:rsidP="00F547DF">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3388" w:rsidRPr="00995739" w14:paraId="2D05912D" w14:textId="77777777">
        <w:trPr>
          <w:trHeight w:val="355"/>
          <w:jc w:val="center"/>
        </w:trPr>
        <w:tc>
          <w:tcPr>
            <w:tcW w:w="8820" w:type="dxa"/>
            <w:tcBorders>
              <w:top w:val="nil"/>
              <w:left w:val="nil"/>
              <w:bottom w:val="nil"/>
              <w:right w:val="nil"/>
            </w:tcBorders>
            <w:shd w:val="clear" w:color="auto" w:fill="auto"/>
          </w:tcPr>
          <w:p w14:paraId="7949A748" w14:textId="77777777" w:rsidR="00495DED" w:rsidRPr="00495DED" w:rsidRDefault="00495DED" w:rsidP="00495DED">
            <w:pPr>
              <w:jc w:val="center"/>
              <w:rPr>
                <w:rFonts w:ascii="Arial" w:hAnsi="Arial"/>
                <w:b/>
                <w:bCs/>
                <w:sz w:val="28"/>
                <w:szCs w:val="28"/>
                <w:u w:val="single"/>
                <w:rtl/>
              </w:rPr>
            </w:pPr>
            <w:bookmarkStart w:id="5" w:name="PsakDin" w:colFirst="0" w:colLast="0"/>
            <w:bookmarkEnd w:id="0"/>
            <w:r w:rsidRPr="00495DED">
              <w:rPr>
                <w:rFonts w:ascii="Arial" w:hAnsi="Arial"/>
                <w:b/>
                <w:bCs/>
                <w:sz w:val="28"/>
                <w:szCs w:val="28"/>
                <w:u w:val="single"/>
                <w:rtl/>
              </w:rPr>
              <w:t>גזר דין</w:t>
            </w:r>
          </w:p>
          <w:p w14:paraId="19A36926" w14:textId="77777777" w:rsidR="00F547DF" w:rsidRPr="00495DED" w:rsidRDefault="00F547DF" w:rsidP="00495DED">
            <w:pPr>
              <w:jc w:val="center"/>
              <w:rPr>
                <w:rFonts w:ascii="Arial" w:hAnsi="Arial"/>
                <w:b/>
                <w:bCs/>
                <w:sz w:val="28"/>
                <w:szCs w:val="28"/>
                <w:u w:val="single"/>
                <w:rtl/>
              </w:rPr>
            </w:pPr>
          </w:p>
        </w:tc>
      </w:tr>
      <w:bookmarkEnd w:id="5"/>
    </w:tbl>
    <w:p w14:paraId="499F31EE" w14:textId="77777777" w:rsidR="00F547DF" w:rsidRPr="00B05847" w:rsidRDefault="00F547DF" w:rsidP="00F547DF">
      <w:pPr>
        <w:spacing w:line="360" w:lineRule="auto"/>
        <w:jc w:val="both"/>
        <w:rPr>
          <w:rFonts w:ascii="Arial" w:hAnsi="Arial"/>
          <w:rtl/>
        </w:rPr>
      </w:pPr>
    </w:p>
    <w:p w14:paraId="7B4B5558" w14:textId="77777777" w:rsidR="00F547DF" w:rsidRDefault="00F547DF" w:rsidP="00F547DF">
      <w:pPr>
        <w:spacing w:line="360" w:lineRule="auto"/>
        <w:ind w:left="720" w:hanging="720"/>
        <w:jc w:val="both"/>
        <w:rPr>
          <w:rtl/>
        </w:rPr>
      </w:pPr>
      <w:r>
        <w:rPr>
          <w:rFonts w:hint="cs"/>
          <w:rtl/>
        </w:rPr>
        <w:t>1.</w:t>
      </w:r>
      <w:r>
        <w:rPr>
          <w:rFonts w:hint="cs"/>
          <w:rtl/>
        </w:rPr>
        <w:tab/>
      </w:r>
      <w:bookmarkStart w:id="6" w:name="ABSTRACT_START"/>
      <w:bookmarkEnd w:id="6"/>
      <w:r>
        <w:rPr>
          <w:rFonts w:hint="cs"/>
          <w:rtl/>
        </w:rPr>
        <w:t>הנאשם הורשע על פי הודאתו בעובדות כתב האישום המתוקן בעבירה של החזקת סם שלא לצריכה עצמית לפי סעיף 7(א) ו-7(ג) רישא ל</w:t>
      </w:r>
      <w:hyperlink r:id="rId7" w:history="1">
        <w:r w:rsidR="00495DED" w:rsidRPr="00495DED">
          <w:rPr>
            <w:color w:val="0000FF"/>
            <w:u w:val="single"/>
            <w:rtl/>
          </w:rPr>
          <w:t>פקודת הסמים המסוכנים</w:t>
        </w:r>
      </w:hyperlink>
      <w:r>
        <w:rPr>
          <w:rFonts w:hint="cs"/>
          <w:rtl/>
        </w:rPr>
        <w:t xml:space="preserve"> התשל"ג </w:t>
      </w:r>
      <w:r>
        <w:rPr>
          <w:rtl/>
        </w:rPr>
        <w:t>–</w:t>
      </w:r>
      <w:r>
        <w:rPr>
          <w:rFonts w:hint="cs"/>
          <w:rtl/>
        </w:rPr>
        <w:t xml:space="preserve"> 1973. על פי עובדות כתב האישום, ביום 18.6.16 בשעה 21:15 או בסמוך לכך, החזיק הנאשם בתחומי העיר לוד, 29.95 גרם נטו של סם מסוכן מסוג קוקאין שמחולקים למנות. </w:t>
      </w:r>
    </w:p>
    <w:p w14:paraId="141601AA" w14:textId="77777777" w:rsidR="00F547DF" w:rsidRDefault="00F547DF" w:rsidP="00F547DF">
      <w:pPr>
        <w:spacing w:line="360" w:lineRule="auto"/>
        <w:jc w:val="both"/>
        <w:rPr>
          <w:rtl/>
        </w:rPr>
      </w:pPr>
    </w:p>
    <w:p w14:paraId="2B4A916E" w14:textId="77777777" w:rsidR="00F547DF" w:rsidRDefault="00F547DF" w:rsidP="00F547DF">
      <w:pPr>
        <w:spacing w:line="360" w:lineRule="auto"/>
        <w:ind w:left="720" w:hanging="720"/>
        <w:jc w:val="both"/>
        <w:rPr>
          <w:rtl/>
        </w:rPr>
      </w:pPr>
      <w:bookmarkStart w:id="7" w:name="ABSTRACT_END"/>
      <w:bookmarkEnd w:id="7"/>
      <w:r>
        <w:rPr>
          <w:rFonts w:hint="cs"/>
          <w:rtl/>
        </w:rPr>
        <w:t>2.</w:t>
      </w:r>
      <w:r>
        <w:rPr>
          <w:rFonts w:hint="cs"/>
          <w:rtl/>
        </w:rPr>
        <w:tab/>
        <w:t xml:space="preserve">הצדדים הגיעו </w:t>
      </w:r>
      <w:r w:rsidRPr="009A4C34">
        <w:rPr>
          <w:rFonts w:hint="cs"/>
          <w:u w:val="single"/>
          <w:rtl/>
        </w:rPr>
        <w:t>להסדר טיעון</w:t>
      </w:r>
      <w:r>
        <w:rPr>
          <w:rFonts w:hint="cs"/>
          <w:rtl/>
        </w:rPr>
        <w:t xml:space="preserve"> ואשר לפיו המאשימה תגביל את עצמה לתקופת מאסר של 18 חודשי מאסר בפועל ורכיבי ענישה נוספים בעוד שההגנה תהיה רשאית לטעון לעונש באופן פתוח.  </w:t>
      </w:r>
    </w:p>
    <w:p w14:paraId="66B9E50D" w14:textId="77777777" w:rsidR="00F547DF" w:rsidRDefault="00F547DF" w:rsidP="00F547DF">
      <w:pPr>
        <w:spacing w:line="360" w:lineRule="auto"/>
        <w:jc w:val="both"/>
        <w:rPr>
          <w:rtl/>
        </w:rPr>
      </w:pPr>
    </w:p>
    <w:p w14:paraId="0495177E" w14:textId="77777777" w:rsidR="00F547DF" w:rsidRDefault="00F547DF" w:rsidP="00F547DF">
      <w:pPr>
        <w:spacing w:line="360" w:lineRule="auto"/>
        <w:ind w:left="720" w:hanging="720"/>
        <w:jc w:val="both"/>
        <w:rPr>
          <w:rtl/>
        </w:rPr>
      </w:pPr>
      <w:r>
        <w:rPr>
          <w:rFonts w:hint="cs"/>
          <w:rtl/>
        </w:rPr>
        <w:lastRenderedPageBreak/>
        <w:t>3.</w:t>
      </w:r>
      <w:r>
        <w:rPr>
          <w:rFonts w:hint="cs"/>
          <w:rtl/>
        </w:rPr>
        <w:tab/>
        <w:t xml:space="preserve">התקבל </w:t>
      </w:r>
      <w:r w:rsidRPr="009A4C34">
        <w:rPr>
          <w:rFonts w:hint="cs"/>
          <w:u w:val="single"/>
          <w:rtl/>
        </w:rPr>
        <w:t>תסקיר</w:t>
      </w:r>
      <w:r>
        <w:rPr>
          <w:rFonts w:hint="cs"/>
          <w:rtl/>
        </w:rPr>
        <w:t xml:space="preserve"> אודות הנאשם מטעם שירות המבחן, אשר להלן עיקריו, בתמצית: הנאשם יליד 1992; התסקיר מפרט את הרקע המשפחתי שממנו הגיע; לפי התרשמות שירות המבחן הנאשם נמצא בתהליך הידרדרות וקיים סיכון להישנות התנהגות בעייתית בעתיד וזאת במיוחד לאור העובדה שהנאשם מביע הסתייגות מהשתלבות בהליך טיפולי; על כן, שירות המבחן לא בא בהמלצה טיפולית בעניינו. </w:t>
      </w:r>
    </w:p>
    <w:p w14:paraId="66B2E23C" w14:textId="77777777" w:rsidR="00F547DF" w:rsidRDefault="00F547DF" w:rsidP="00F547DF">
      <w:pPr>
        <w:spacing w:line="360" w:lineRule="auto"/>
        <w:jc w:val="both"/>
        <w:rPr>
          <w:rtl/>
        </w:rPr>
      </w:pPr>
      <w:r>
        <w:rPr>
          <w:rFonts w:hint="cs"/>
          <w:rtl/>
        </w:rPr>
        <w:br/>
        <w:t>4.</w:t>
      </w:r>
      <w:r>
        <w:rPr>
          <w:rFonts w:hint="cs"/>
          <w:rtl/>
        </w:rPr>
        <w:tab/>
        <w:t xml:space="preserve">לגבי </w:t>
      </w:r>
      <w:r w:rsidRPr="009A4C34">
        <w:rPr>
          <w:rFonts w:hint="cs"/>
          <w:u w:val="single"/>
          <w:rtl/>
        </w:rPr>
        <w:t>מתחם העונש ההולם</w:t>
      </w:r>
      <w:r>
        <w:rPr>
          <w:rFonts w:hint="cs"/>
          <w:rtl/>
        </w:rPr>
        <w:t xml:space="preserve"> אפנה ל</w:t>
      </w:r>
      <w:hyperlink r:id="rId8" w:history="1">
        <w:r w:rsidR="00495DED" w:rsidRPr="00495DED">
          <w:rPr>
            <w:color w:val="0000FF"/>
            <w:u w:val="single"/>
            <w:rtl/>
          </w:rPr>
          <w:t>רע"פ 894/16</w:t>
        </w:r>
      </w:hyperlink>
      <w:r>
        <w:rPr>
          <w:rFonts w:hint="cs"/>
          <w:rtl/>
        </w:rPr>
        <w:t xml:space="preserve"> </w:t>
      </w:r>
      <w:r w:rsidRPr="009A4C34">
        <w:rPr>
          <w:rFonts w:hint="cs"/>
          <w:b/>
          <w:bCs/>
          <w:rtl/>
        </w:rPr>
        <w:t>פרץ נ' מדינת ישראל</w:t>
      </w:r>
      <w:r>
        <w:rPr>
          <w:rFonts w:hint="cs"/>
          <w:rtl/>
        </w:rPr>
        <w:t xml:space="preserve"> [פורסם בנבו] (10.2.16). </w:t>
      </w:r>
    </w:p>
    <w:p w14:paraId="779E111A" w14:textId="77777777" w:rsidR="00F547DF" w:rsidRDefault="00F547DF" w:rsidP="00F547DF">
      <w:pPr>
        <w:spacing w:line="360" w:lineRule="auto"/>
        <w:ind w:left="720"/>
        <w:jc w:val="both"/>
      </w:pPr>
      <w:r>
        <w:rPr>
          <w:rFonts w:hint="cs"/>
          <w:rtl/>
        </w:rPr>
        <w:t xml:space="preserve">באותו עניין, המבקש הורשע בביצוע עבירה של החזקת סם שלא לצריכה עצמית בעקבות כך שהחזיק בדירתו 31.05 גרם נטו של סם מסוכן מסוג קוקאין. בית משפט השלום בתל אביב קבע שמתחם העונש ההולם נע בין 15 ל-36 חודשי מאסר בפועל. בסופו של יום, הושתו עליו 15 חודשי מאסר בפועל ועונשים נלווים של מאסר על תנאי, קנס ופסילת רישיון נהיגה. המבקש הגיש ערעור על חומרת העונש לבית משפט המחוזי בתל אביב. הערעור נדחה וגם נקבע </w:t>
      </w:r>
      <w:r w:rsidRPr="00952F5F">
        <w:rPr>
          <w:rFonts w:hint="cs"/>
          <w:u w:val="single"/>
          <w:rtl/>
        </w:rPr>
        <w:t>כי מתחם העונש שנקבע על דיי בית משפט השלום משקף נכונה את מתחם העונש בעבירות דומות</w:t>
      </w:r>
      <w:r>
        <w:rPr>
          <w:rFonts w:hint="cs"/>
          <w:rtl/>
        </w:rPr>
        <w:t xml:space="preserve"> . המבקש הגיש בקשת רשות ערעור לבית המשפט העליון והבקשה נדחתה. </w:t>
      </w:r>
    </w:p>
    <w:p w14:paraId="06031593" w14:textId="77777777" w:rsidR="00F547DF" w:rsidRDefault="00F547DF" w:rsidP="00F547DF">
      <w:pPr>
        <w:spacing w:line="360" w:lineRule="auto"/>
        <w:jc w:val="both"/>
        <w:rPr>
          <w:rtl/>
        </w:rPr>
      </w:pPr>
    </w:p>
    <w:p w14:paraId="3F5F5715" w14:textId="77777777" w:rsidR="00F547DF" w:rsidRDefault="00F547DF" w:rsidP="00F547DF">
      <w:pPr>
        <w:spacing w:line="360" w:lineRule="auto"/>
        <w:ind w:left="720" w:hanging="720"/>
        <w:jc w:val="both"/>
        <w:rPr>
          <w:rtl/>
        </w:rPr>
      </w:pPr>
      <w:r>
        <w:rPr>
          <w:rFonts w:hint="cs"/>
          <w:rtl/>
        </w:rPr>
        <w:t>5.</w:t>
      </w:r>
      <w:r>
        <w:rPr>
          <w:rFonts w:hint="cs"/>
          <w:rtl/>
        </w:rPr>
        <w:tab/>
        <w:t xml:space="preserve">במקרה שבפני, מדובר בכמות סם מסוג קוקאין במשקל 29.95 גרם, היינו כמות וסוג סם שהינם דומים לכמות וסוג הסם שהוחזקו בפסק דין </w:t>
      </w:r>
      <w:r w:rsidRPr="00972339">
        <w:rPr>
          <w:rFonts w:hint="cs"/>
          <w:b/>
          <w:bCs/>
          <w:rtl/>
        </w:rPr>
        <w:t>פרץ</w:t>
      </w:r>
      <w:r>
        <w:rPr>
          <w:rFonts w:hint="cs"/>
          <w:rtl/>
        </w:rPr>
        <w:t xml:space="preserve"> שהובא לעיל. בנסיבות אלה, אאמץ את מתחם העונש ההולם כפי שנקבע בפסק דין </w:t>
      </w:r>
      <w:r w:rsidRPr="00972339">
        <w:rPr>
          <w:rFonts w:hint="cs"/>
          <w:b/>
          <w:bCs/>
          <w:rtl/>
        </w:rPr>
        <w:t>פרץ</w:t>
      </w:r>
      <w:r>
        <w:rPr>
          <w:rFonts w:hint="cs"/>
          <w:rtl/>
        </w:rPr>
        <w:t xml:space="preserve"> כמתחם מתאים לאירוע נשוא כתב האישום שבפני. </w:t>
      </w:r>
    </w:p>
    <w:p w14:paraId="479CA0B0" w14:textId="77777777" w:rsidR="00F547DF" w:rsidRDefault="00F547DF" w:rsidP="00F547DF">
      <w:pPr>
        <w:spacing w:line="360" w:lineRule="auto"/>
        <w:ind w:left="720" w:hanging="720"/>
        <w:jc w:val="both"/>
        <w:rPr>
          <w:rtl/>
        </w:rPr>
      </w:pPr>
    </w:p>
    <w:p w14:paraId="5ECD5488" w14:textId="77777777" w:rsidR="00F547DF" w:rsidRDefault="00F547DF" w:rsidP="00F547DF">
      <w:pPr>
        <w:spacing w:line="360" w:lineRule="auto"/>
        <w:ind w:left="720" w:hanging="720"/>
        <w:jc w:val="both"/>
        <w:rPr>
          <w:rtl/>
        </w:rPr>
      </w:pPr>
      <w:r>
        <w:rPr>
          <w:rFonts w:hint="cs"/>
          <w:rtl/>
        </w:rPr>
        <w:t>6.</w:t>
      </w:r>
      <w:r>
        <w:rPr>
          <w:rFonts w:hint="cs"/>
          <w:rtl/>
        </w:rPr>
        <w:tab/>
        <w:t xml:space="preserve">בעת קביעת </w:t>
      </w:r>
      <w:r w:rsidRPr="00972339">
        <w:rPr>
          <w:rFonts w:hint="cs"/>
          <w:u w:val="single"/>
          <w:rtl/>
        </w:rPr>
        <w:t>העונש המתאים</w:t>
      </w:r>
      <w:r>
        <w:rPr>
          <w:rFonts w:hint="cs"/>
          <w:rtl/>
        </w:rPr>
        <w:t xml:space="preserve"> בתוך מתחם העונש ההולם, לקחתי בחשבון את כל הנתונים שלהלן: לחומרא, עברו הפלילי של הנאשם שכולל הרשעה אחת משנת 2015 בעבירות של פגיעה בפרטיות ותקיפת קטין וגרימת חבלה של ממש, כאשר אני לוקח בחשבון שאין לחובתו הרשעות קודמות בעבירות סמים; לקולא, לקחתי בחשבון את גילו הצעיר של הנאשם והרקע המשפחתי שבו גדל כפי שהדברים עולים מתוך תסקיר שירות המבחן.</w:t>
      </w:r>
    </w:p>
    <w:p w14:paraId="0630C205" w14:textId="77777777" w:rsidR="00F547DF" w:rsidRDefault="00F547DF" w:rsidP="00F547DF">
      <w:pPr>
        <w:spacing w:line="360" w:lineRule="auto"/>
        <w:ind w:left="720" w:hanging="720"/>
        <w:jc w:val="both"/>
        <w:rPr>
          <w:rtl/>
        </w:rPr>
      </w:pPr>
    </w:p>
    <w:p w14:paraId="179000C7" w14:textId="77777777" w:rsidR="00F547DF" w:rsidRDefault="00F547DF" w:rsidP="00F547DF">
      <w:pPr>
        <w:spacing w:line="360" w:lineRule="auto"/>
        <w:ind w:left="720" w:hanging="720"/>
        <w:jc w:val="both"/>
        <w:rPr>
          <w:rtl/>
        </w:rPr>
      </w:pPr>
      <w:r>
        <w:rPr>
          <w:rFonts w:hint="cs"/>
          <w:rtl/>
        </w:rPr>
        <w:t>7.</w:t>
      </w:r>
      <w:r>
        <w:rPr>
          <w:rFonts w:hint="cs"/>
          <w:rtl/>
        </w:rPr>
        <w:tab/>
        <w:t xml:space="preserve">לאור כל האמור לעיל, הנני משית על הנאשם את העונשים הבאים: </w:t>
      </w:r>
    </w:p>
    <w:p w14:paraId="0A7A864C" w14:textId="77777777" w:rsidR="00F547DF" w:rsidRDefault="00F547DF" w:rsidP="00F547DF">
      <w:pPr>
        <w:spacing w:line="360" w:lineRule="auto"/>
        <w:ind w:left="720" w:hanging="720"/>
        <w:jc w:val="both"/>
        <w:rPr>
          <w:rtl/>
        </w:rPr>
      </w:pPr>
    </w:p>
    <w:p w14:paraId="197EC756" w14:textId="77777777" w:rsidR="00F547DF" w:rsidRDefault="00F547DF" w:rsidP="00F547DF">
      <w:pPr>
        <w:spacing w:line="360" w:lineRule="auto"/>
        <w:ind w:left="720" w:hanging="720"/>
        <w:jc w:val="both"/>
        <w:rPr>
          <w:rtl/>
        </w:rPr>
      </w:pPr>
      <w:r>
        <w:rPr>
          <w:rtl/>
        </w:rPr>
        <w:tab/>
      </w:r>
      <w:r>
        <w:rPr>
          <w:rFonts w:hint="cs"/>
          <w:rtl/>
        </w:rPr>
        <w:t>א.</w:t>
      </w:r>
      <w:r>
        <w:rPr>
          <w:rFonts w:hint="cs"/>
          <w:rtl/>
        </w:rPr>
        <w:tab/>
        <w:t xml:space="preserve">15 חודשי מאסר בפועל, בניכוי ימי מעצרו מיום 18.6.16 ועד ליום 19.7.16. </w:t>
      </w:r>
    </w:p>
    <w:p w14:paraId="2FB1EAC9" w14:textId="77777777" w:rsidR="00F547DF" w:rsidRDefault="00F547DF" w:rsidP="00F547DF">
      <w:pPr>
        <w:spacing w:line="360" w:lineRule="auto"/>
        <w:ind w:left="720" w:hanging="720"/>
        <w:jc w:val="both"/>
        <w:rPr>
          <w:rtl/>
        </w:rPr>
      </w:pPr>
    </w:p>
    <w:p w14:paraId="5788F1DE" w14:textId="77777777" w:rsidR="00F547DF" w:rsidRDefault="00F547DF" w:rsidP="00F547DF">
      <w:pPr>
        <w:spacing w:line="360" w:lineRule="auto"/>
        <w:ind w:left="1440" w:hanging="720"/>
        <w:jc w:val="both"/>
        <w:rPr>
          <w:rtl/>
        </w:rPr>
      </w:pPr>
      <w:r>
        <w:rPr>
          <w:rFonts w:hint="cs"/>
          <w:rtl/>
        </w:rPr>
        <w:t>ב.</w:t>
      </w:r>
      <w:r>
        <w:rPr>
          <w:rFonts w:hint="cs"/>
          <w:rtl/>
        </w:rPr>
        <w:tab/>
        <w:t xml:space="preserve">10 חודשי מאסר על תנאי והתנאי הוא שבמשך 3 שנים מיום שחרורו לא יבצע עבירת סמים מסוג פשע. </w:t>
      </w:r>
    </w:p>
    <w:p w14:paraId="3BB3AB1D" w14:textId="77777777" w:rsidR="00F547DF" w:rsidRDefault="00F547DF" w:rsidP="00F547DF">
      <w:pPr>
        <w:spacing w:line="360" w:lineRule="auto"/>
        <w:ind w:left="720" w:hanging="720"/>
        <w:jc w:val="both"/>
        <w:rPr>
          <w:rtl/>
        </w:rPr>
      </w:pPr>
    </w:p>
    <w:p w14:paraId="76B84CBA" w14:textId="77777777" w:rsidR="00F547DF" w:rsidRDefault="00F547DF" w:rsidP="00F547DF">
      <w:pPr>
        <w:spacing w:line="360" w:lineRule="auto"/>
        <w:ind w:left="1440" w:hanging="720"/>
        <w:jc w:val="both"/>
        <w:rPr>
          <w:rtl/>
        </w:rPr>
      </w:pPr>
      <w:r>
        <w:rPr>
          <w:rFonts w:hint="cs"/>
          <w:rtl/>
        </w:rPr>
        <w:lastRenderedPageBreak/>
        <w:t>ג.</w:t>
      </w:r>
      <w:r>
        <w:rPr>
          <w:rFonts w:hint="cs"/>
          <w:rtl/>
        </w:rPr>
        <w:tab/>
        <w:t xml:space="preserve">3 חודשי מאסר על תנאי והתנאי הוא שבמשך 3 שנים מיום שחרורו לא יבצע עבירת סמים מסוג עוון. </w:t>
      </w:r>
    </w:p>
    <w:p w14:paraId="17646991" w14:textId="77777777" w:rsidR="00F547DF" w:rsidRDefault="00F547DF" w:rsidP="00F547DF">
      <w:pPr>
        <w:spacing w:line="360" w:lineRule="auto"/>
        <w:jc w:val="both"/>
        <w:rPr>
          <w:rtl/>
        </w:rPr>
      </w:pPr>
    </w:p>
    <w:p w14:paraId="0232AC08" w14:textId="77777777" w:rsidR="00F547DF" w:rsidRPr="005C4D2F" w:rsidRDefault="00F547DF" w:rsidP="00F547DF">
      <w:pPr>
        <w:spacing w:line="360" w:lineRule="auto"/>
        <w:rPr>
          <w:rtl/>
        </w:rPr>
      </w:pPr>
      <w:r>
        <w:rPr>
          <w:rtl/>
        </w:rPr>
        <w:tab/>
      </w:r>
      <w:r>
        <w:rPr>
          <w:rFonts w:hint="cs"/>
          <w:rtl/>
        </w:rPr>
        <w:t>ד.</w:t>
      </w:r>
      <w:r>
        <w:rPr>
          <w:rtl/>
        </w:rPr>
        <w:tab/>
      </w:r>
      <w:r w:rsidRPr="005C4D2F">
        <w:rPr>
          <w:rFonts w:hint="cs"/>
          <w:rtl/>
        </w:rPr>
        <w:t xml:space="preserve">הנאשם ישלם קנס בסך  </w:t>
      </w:r>
      <w:r>
        <w:rPr>
          <w:rFonts w:hint="cs"/>
          <w:rtl/>
        </w:rPr>
        <w:t>4,000</w:t>
      </w:r>
      <w:r w:rsidRPr="005C4D2F">
        <w:rPr>
          <w:rFonts w:hint="cs"/>
          <w:rtl/>
        </w:rPr>
        <w:t xml:space="preserve"> ₪ , או   </w:t>
      </w:r>
      <w:r>
        <w:rPr>
          <w:rFonts w:hint="cs"/>
          <w:rtl/>
        </w:rPr>
        <w:t xml:space="preserve">20 </w:t>
      </w:r>
      <w:r w:rsidRPr="005C4D2F">
        <w:rPr>
          <w:rFonts w:hint="cs"/>
          <w:rtl/>
        </w:rPr>
        <w:t xml:space="preserve"> ימי מאסר תמורתו. </w:t>
      </w:r>
    </w:p>
    <w:p w14:paraId="6CFE65E7" w14:textId="77777777" w:rsidR="00F547DF" w:rsidRPr="005C4D2F" w:rsidRDefault="00F547DF" w:rsidP="00F547DF">
      <w:pPr>
        <w:spacing w:line="360" w:lineRule="auto"/>
        <w:ind w:left="1440"/>
      </w:pPr>
      <w:r w:rsidRPr="005C4D2F">
        <w:rPr>
          <w:rFonts w:hint="cs"/>
          <w:rtl/>
        </w:rPr>
        <w:t xml:space="preserve">הקנס ישולם ב- </w:t>
      </w:r>
      <w:r>
        <w:rPr>
          <w:rFonts w:hint="cs"/>
          <w:rtl/>
        </w:rPr>
        <w:t>5</w:t>
      </w:r>
      <w:r w:rsidRPr="005C4D2F">
        <w:rPr>
          <w:rFonts w:hint="cs"/>
          <w:rtl/>
        </w:rPr>
        <w:t xml:space="preserve"> תשלומים חודשים שווים ורצופים כאשר הראשון שבהם עד ליום   </w:t>
      </w:r>
      <w:r>
        <w:rPr>
          <w:rFonts w:hint="cs"/>
          <w:rtl/>
        </w:rPr>
        <w:t xml:space="preserve">1.8.17 </w:t>
      </w:r>
      <w:r w:rsidRPr="005C4D2F">
        <w:rPr>
          <w:rFonts w:hint="cs"/>
          <w:rtl/>
        </w:rPr>
        <w:t>והיתרה ב- 1 לכל חודש שלאחריו. היה ואחד התשלומים לא ישולם במועד, אזי יעמוד מלוא סכום הקנס לפ</w:t>
      </w:r>
      <w:r>
        <w:rPr>
          <w:rFonts w:hint="cs"/>
          <w:rtl/>
        </w:rPr>
        <w:t>י</w:t>
      </w:r>
      <w:r w:rsidRPr="005C4D2F">
        <w:rPr>
          <w:rFonts w:hint="cs"/>
          <w:rtl/>
        </w:rPr>
        <w:t xml:space="preserve">רעון מידי. </w:t>
      </w:r>
    </w:p>
    <w:p w14:paraId="76983532" w14:textId="77777777" w:rsidR="00F547DF" w:rsidRDefault="00F547DF" w:rsidP="00F547DF">
      <w:pPr>
        <w:spacing w:line="360" w:lineRule="auto"/>
        <w:jc w:val="both"/>
        <w:rPr>
          <w:rtl/>
        </w:rPr>
      </w:pPr>
    </w:p>
    <w:p w14:paraId="483DADAF" w14:textId="77777777" w:rsidR="00F547DF" w:rsidRDefault="00F547DF" w:rsidP="00F547DF">
      <w:pPr>
        <w:spacing w:line="360" w:lineRule="auto"/>
        <w:ind w:left="1440" w:hanging="720"/>
        <w:jc w:val="both"/>
      </w:pPr>
      <w:r>
        <w:rPr>
          <w:rFonts w:hint="cs"/>
          <w:rtl/>
        </w:rPr>
        <w:t>ה.</w:t>
      </w:r>
      <w:r>
        <w:rPr>
          <w:rFonts w:hint="cs"/>
          <w:rtl/>
        </w:rPr>
        <w:tab/>
        <w:t xml:space="preserve">הנני פוסל את הנאשם מלקבל או להחזיק רישיון נהיגה למשך 12 חודשים, וזאת במצטבר לכל תקופת פסילה אחרת שקיימת כנגדו. </w:t>
      </w:r>
    </w:p>
    <w:p w14:paraId="013CE96C" w14:textId="77777777" w:rsidR="00F547DF" w:rsidRPr="00D45B64" w:rsidRDefault="00F547DF" w:rsidP="00F547DF">
      <w:pPr>
        <w:spacing w:line="360" w:lineRule="auto"/>
        <w:jc w:val="both"/>
        <w:rPr>
          <w:rtl/>
        </w:rPr>
      </w:pPr>
    </w:p>
    <w:p w14:paraId="18D3755B" w14:textId="77777777" w:rsidR="00F547DF" w:rsidRPr="00B05847" w:rsidRDefault="00F547DF" w:rsidP="00F547DF">
      <w:pPr>
        <w:spacing w:line="360" w:lineRule="auto"/>
        <w:ind w:left="1440" w:hanging="720"/>
        <w:jc w:val="both"/>
        <w:rPr>
          <w:rtl/>
        </w:rPr>
      </w:pPr>
      <w:r>
        <w:rPr>
          <w:rFonts w:hint="cs"/>
          <w:rtl/>
        </w:rPr>
        <w:t>ו.</w:t>
      </w:r>
      <w:r>
        <w:rPr>
          <w:rFonts w:hint="cs"/>
          <w:rtl/>
        </w:rPr>
        <w:tab/>
        <w:t xml:space="preserve">הנני פוסל את הנאשם מלקבל או להחזיק רישיון נהיגה למשך 10 חודשים וזאת על תנאי למשך 3 שנים מיום שחרורו ממאסרו, והתנאי הוא שלא יבצע עבירת סמים מסוג פשע. </w:t>
      </w:r>
    </w:p>
    <w:p w14:paraId="0349E27B" w14:textId="77777777" w:rsidR="00F547DF" w:rsidRPr="00B05847" w:rsidRDefault="00F547DF" w:rsidP="00F547DF">
      <w:pPr>
        <w:rPr>
          <w:rtl/>
        </w:rPr>
      </w:pPr>
    </w:p>
    <w:p w14:paraId="44822D10" w14:textId="77777777" w:rsidR="00F547DF" w:rsidRPr="00B05847" w:rsidRDefault="00F547DF" w:rsidP="00F547DF">
      <w:pPr>
        <w:rPr>
          <w:rtl/>
        </w:rPr>
      </w:pPr>
      <w:r>
        <w:rPr>
          <w:rFonts w:hint="cs"/>
          <w:rtl/>
        </w:rPr>
        <w:t xml:space="preserve">זכות ערעור תוך 45 יום. </w:t>
      </w:r>
    </w:p>
    <w:p w14:paraId="51078CA1" w14:textId="77777777" w:rsidR="00F547DF" w:rsidRPr="00B05847" w:rsidRDefault="00F547DF" w:rsidP="00F547DF">
      <w:pPr>
        <w:rPr>
          <w:rtl/>
        </w:rPr>
      </w:pPr>
    </w:p>
    <w:p w14:paraId="29AACC10" w14:textId="77777777" w:rsidR="00F547DF" w:rsidRPr="00B05847" w:rsidRDefault="00F547DF" w:rsidP="00F547DF">
      <w:pPr>
        <w:rPr>
          <w:rtl/>
        </w:rPr>
      </w:pPr>
    </w:p>
    <w:p w14:paraId="186357E8" w14:textId="77777777" w:rsidR="00F547DF" w:rsidRPr="00495DED" w:rsidRDefault="00495DED" w:rsidP="00F547DF">
      <w:pPr>
        <w:rPr>
          <w:color w:val="FFFFFF"/>
          <w:sz w:val="2"/>
          <w:szCs w:val="2"/>
          <w:rtl/>
        </w:rPr>
      </w:pPr>
      <w:r w:rsidRPr="00495DED">
        <w:rPr>
          <w:color w:val="FFFFFF"/>
          <w:sz w:val="2"/>
          <w:szCs w:val="2"/>
          <w:rtl/>
        </w:rPr>
        <w:t>5129371</w:t>
      </w:r>
    </w:p>
    <w:p w14:paraId="36302DCF" w14:textId="77777777" w:rsidR="00F547DF" w:rsidRDefault="00495DED" w:rsidP="00F547DF">
      <w:pPr>
        <w:rPr>
          <w:rFonts w:cs="FrankRuehl"/>
          <w:sz w:val="28"/>
          <w:szCs w:val="28"/>
          <w:rtl/>
        </w:rPr>
      </w:pPr>
      <w:r w:rsidRPr="00495DED">
        <w:rPr>
          <w:rFonts w:ascii="Arial" w:hAnsi="Arial"/>
          <w:color w:val="FFFFFF"/>
          <w:sz w:val="2"/>
          <w:szCs w:val="2"/>
          <w:rtl/>
        </w:rPr>
        <w:t>54678313</w:t>
      </w:r>
      <w:r>
        <w:rPr>
          <w:rFonts w:ascii="Arial" w:hAnsi="Arial"/>
          <w:rtl/>
        </w:rPr>
        <w:t xml:space="preserve">ניתן היום,  י"ז סיוון תשע"ז, 11 יוני 2017, במעמד הצדדים. </w:t>
      </w:r>
    </w:p>
    <w:p w14:paraId="715A1F76" w14:textId="77777777" w:rsidR="00F547DF" w:rsidRDefault="00F547DF" w:rsidP="00F547D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975D3BA" w14:textId="77777777" w:rsidR="00F547DF" w:rsidRDefault="00F547DF" w:rsidP="00F547DF">
      <w:pPr>
        <w:jc w:val="center"/>
        <w:rPr>
          <w:rFonts w:ascii="Arial" w:hAnsi="Arial" w:cs="FrankRuehl"/>
          <w:sz w:val="28"/>
          <w:szCs w:val="28"/>
          <w:rtl/>
        </w:rPr>
      </w:pPr>
    </w:p>
    <w:p w14:paraId="284842BD" w14:textId="77777777" w:rsidR="00F547DF" w:rsidRDefault="00F547DF" w:rsidP="00F547DF">
      <w:pPr>
        <w:rPr>
          <w:rFonts w:cs="FrankRuehl"/>
          <w:sz w:val="28"/>
          <w:szCs w:val="28"/>
          <w:rtl/>
        </w:rPr>
      </w:pPr>
    </w:p>
    <w:p w14:paraId="77352107" w14:textId="77777777" w:rsidR="00F547DF" w:rsidRPr="004A63C9" w:rsidRDefault="004A63C9" w:rsidP="00F547DF">
      <w:pPr>
        <w:pStyle w:val="a3"/>
        <w:jc w:val="center"/>
        <w:rPr>
          <w:color w:val="FFFFFF"/>
          <w:sz w:val="2"/>
          <w:szCs w:val="2"/>
          <w:rtl/>
        </w:rPr>
      </w:pPr>
      <w:r w:rsidRPr="004A63C9">
        <w:rPr>
          <w:color w:val="FFFFFF"/>
          <w:sz w:val="2"/>
          <w:szCs w:val="2"/>
          <w:rtl/>
        </w:rPr>
        <w:t>5129371</w:t>
      </w:r>
    </w:p>
    <w:p w14:paraId="4C40F79D" w14:textId="77777777" w:rsidR="002D7B2F" w:rsidRPr="004A63C9" w:rsidRDefault="004A63C9" w:rsidP="00495DED">
      <w:pPr>
        <w:keepNext/>
        <w:rPr>
          <w:rFonts w:ascii="David" w:hAnsi="David"/>
          <w:color w:val="FFFFFF"/>
          <w:sz w:val="2"/>
          <w:szCs w:val="2"/>
          <w:rtl/>
        </w:rPr>
      </w:pPr>
      <w:r w:rsidRPr="004A63C9">
        <w:rPr>
          <w:rFonts w:ascii="David" w:hAnsi="David"/>
          <w:color w:val="FFFFFF"/>
          <w:sz w:val="2"/>
          <w:szCs w:val="2"/>
          <w:rtl/>
        </w:rPr>
        <w:t>54678313</w:t>
      </w:r>
    </w:p>
    <w:p w14:paraId="7368156D" w14:textId="77777777" w:rsidR="00495DED" w:rsidRPr="00495DED" w:rsidRDefault="00495DED" w:rsidP="00495DED">
      <w:pPr>
        <w:keepNext/>
        <w:rPr>
          <w:rFonts w:ascii="David" w:hAnsi="David"/>
          <w:color w:val="000000"/>
          <w:sz w:val="22"/>
          <w:szCs w:val="22"/>
          <w:rtl/>
        </w:rPr>
      </w:pPr>
      <w:r w:rsidRPr="00495DED">
        <w:rPr>
          <w:rFonts w:ascii="David" w:hAnsi="David"/>
          <w:color w:val="000000"/>
          <w:sz w:val="22"/>
          <w:szCs w:val="22"/>
          <w:rtl/>
        </w:rPr>
        <w:t>הישאם אבו שחאדה 54678313</w:t>
      </w:r>
    </w:p>
    <w:p w14:paraId="7B0AFD2A" w14:textId="77777777" w:rsidR="00495DED" w:rsidRDefault="00495DED" w:rsidP="00495DED">
      <w:r w:rsidRPr="00495DED">
        <w:rPr>
          <w:color w:val="000000"/>
          <w:rtl/>
        </w:rPr>
        <w:t>נוסח מסמך זה כפוף לשינויי ניסוח ועריכה</w:t>
      </w:r>
    </w:p>
    <w:p w14:paraId="6F9F3D26" w14:textId="77777777" w:rsidR="00495DED" w:rsidRDefault="00495DED" w:rsidP="00495DED">
      <w:pPr>
        <w:rPr>
          <w:rtl/>
        </w:rPr>
      </w:pPr>
    </w:p>
    <w:p w14:paraId="4AF9D59D" w14:textId="77777777" w:rsidR="00495DED" w:rsidRDefault="00495DED" w:rsidP="00495DED">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sectPr w:rsidR="00495DED" w:rsidSect="004A63C9">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DE3A3" w14:textId="77777777" w:rsidR="00F37926" w:rsidRDefault="00F37926" w:rsidP="00F8537A">
      <w:r>
        <w:separator/>
      </w:r>
    </w:p>
  </w:endnote>
  <w:endnote w:type="continuationSeparator" w:id="0">
    <w:p w14:paraId="4964C1F9" w14:textId="77777777" w:rsidR="00F37926" w:rsidRDefault="00F37926" w:rsidP="00F8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24CBD" w14:textId="77777777" w:rsidR="004A63C9" w:rsidRDefault="004A63C9" w:rsidP="004A63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456B265" w14:textId="77777777" w:rsidR="006E3388" w:rsidRPr="004A63C9" w:rsidRDefault="004A63C9" w:rsidP="004A63C9">
    <w:pPr>
      <w:pStyle w:val="a5"/>
      <w:pBdr>
        <w:top w:val="single" w:sz="4" w:space="1" w:color="auto"/>
        <w:between w:val="single" w:sz="4" w:space="0" w:color="auto"/>
      </w:pBdr>
      <w:spacing w:after="60"/>
      <w:jc w:val="center"/>
      <w:rPr>
        <w:rFonts w:ascii="FrankRuehl" w:hAnsi="FrankRuehl" w:cs="FrankRuehl"/>
        <w:color w:val="000000"/>
      </w:rPr>
    </w:pPr>
    <w:r w:rsidRPr="004A63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A73A1" w14:textId="77777777" w:rsidR="004A63C9" w:rsidRDefault="004A63C9" w:rsidP="004A63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5C09">
      <w:rPr>
        <w:rFonts w:ascii="FrankRuehl" w:hAnsi="FrankRuehl" w:cs="FrankRuehl"/>
        <w:noProof/>
        <w:rtl/>
      </w:rPr>
      <w:t>1</w:t>
    </w:r>
    <w:r>
      <w:rPr>
        <w:rFonts w:ascii="FrankRuehl" w:hAnsi="FrankRuehl" w:cs="FrankRuehl"/>
        <w:rtl/>
      </w:rPr>
      <w:fldChar w:fldCharType="end"/>
    </w:r>
  </w:p>
  <w:p w14:paraId="3D12BA49" w14:textId="77777777" w:rsidR="006E3388" w:rsidRPr="004A63C9" w:rsidRDefault="004A63C9" w:rsidP="004A63C9">
    <w:pPr>
      <w:pStyle w:val="a5"/>
      <w:pBdr>
        <w:top w:val="single" w:sz="4" w:space="1" w:color="auto"/>
        <w:between w:val="single" w:sz="4" w:space="0" w:color="auto"/>
      </w:pBdr>
      <w:spacing w:after="60"/>
      <w:jc w:val="center"/>
      <w:rPr>
        <w:rFonts w:ascii="FrankRuehl" w:hAnsi="FrankRuehl" w:cs="FrankRuehl"/>
        <w:color w:val="000000"/>
      </w:rPr>
    </w:pPr>
    <w:r w:rsidRPr="004A63C9">
      <w:rPr>
        <w:rFonts w:ascii="FrankRuehl" w:hAnsi="FrankRuehl" w:cs="FrankRuehl"/>
        <w:color w:val="000000"/>
      </w:rPr>
      <w:pict w14:anchorId="40CB2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51331" w14:textId="77777777" w:rsidR="00F37926" w:rsidRDefault="00F37926" w:rsidP="00F8537A">
      <w:r>
        <w:separator/>
      </w:r>
    </w:p>
  </w:footnote>
  <w:footnote w:type="continuationSeparator" w:id="0">
    <w:p w14:paraId="14C366B6" w14:textId="77777777" w:rsidR="00F37926" w:rsidRDefault="00F37926" w:rsidP="00F85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B2289" w14:textId="77777777" w:rsidR="00495DED" w:rsidRPr="004A63C9" w:rsidRDefault="004A63C9" w:rsidP="004A63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47357-06-16</w:t>
    </w:r>
    <w:r>
      <w:rPr>
        <w:rFonts w:ascii="David" w:hAnsi="David"/>
        <w:color w:val="000000"/>
        <w:sz w:val="22"/>
        <w:szCs w:val="22"/>
        <w:rtl/>
      </w:rPr>
      <w:tab/>
      <w:t xml:space="preserve"> מדינת ישראל  נ' מחמד אבו דקה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00ECD" w14:textId="77777777" w:rsidR="00495DED" w:rsidRPr="004A63C9" w:rsidRDefault="004A63C9" w:rsidP="004A63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47357-06-16</w:t>
    </w:r>
    <w:r>
      <w:rPr>
        <w:rFonts w:ascii="David" w:hAnsi="David"/>
        <w:color w:val="000000"/>
        <w:sz w:val="22"/>
        <w:szCs w:val="22"/>
        <w:rtl/>
      </w:rPr>
      <w:tab/>
      <w:t xml:space="preserve"> מדינת ישראל  נ' מחמד אבו דקה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47DF"/>
    <w:rsid w:val="002D472C"/>
    <w:rsid w:val="002D7B2F"/>
    <w:rsid w:val="00495DED"/>
    <w:rsid w:val="004A63C9"/>
    <w:rsid w:val="006E3388"/>
    <w:rsid w:val="00BA16A0"/>
    <w:rsid w:val="00D05C09"/>
    <w:rsid w:val="00E43904"/>
    <w:rsid w:val="00F37926"/>
    <w:rsid w:val="00F547DF"/>
    <w:rsid w:val="00F85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3E0E90"/>
  <w15:chartTrackingRefBased/>
  <w15:docId w15:val="{E22F3391-727D-4D16-9B4D-F101BBC2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47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47DF"/>
    <w:pPr>
      <w:tabs>
        <w:tab w:val="center" w:pos="4153"/>
        <w:tab w:val="right" w:pos="8306"/>
      </w:tabs>
    </w:pPr>
  </w:style>
  <w:style w:type="character" w:customStyle="1" w:styleId="a4">
    <w:name w:val="כותרת עליונה תו"/>
    <w:link w:val="a3"/>
    <w:rsid w:val="00F547DF"/>
    <w:rPr>
      <w:rFonts w:ascii="Times New Roman" w:eastAsia="Times New Roman" w:hAnsi="Times New Roman" w:cs="David"/>
      <w:sz w:val="24"/>
      <w:szCs w:val="24"/>
    </w:rPr>
  </w:style>
  <w:style w:type="paragraph" w:styleId="a5">
    <w:name w:val="footer"/>
    <w:basedOn w:val="a"/>
    <w:link w:val="a6"/>
    <w:rsid w:val="00F547DF"/>
    <w:pPr>
      <w:tabs>
        <w:tab w:val="center" w:pos="4153"/>
        <w:tab w:val="right" w:pos="8306"/>
      </w:tabs>
    </w:pPr>
  </w:style>
  <w:style w:type="character" w:customStyle="1" w:styleId="a6">
    <w:name w:val="כותרת תחתונה תו"/>
    <w:link w:val="a5"/>
    <w:rsid w:val="00F547DF"/>
    <w:rPr>
      <w:rFonts w:ascii="Times New Roman" w:eastAsia="Times New Roman" w:hAnsi="Times New Roman" w:cs="David"/>
      <w:sz w:val="24"/>
      <w:szCs w:val="24"/>
    </w:rPr>
  </w:style>
  <w:style w:type="table" w:styleId="a7">
    <w:name w:val="Table Grid"/>
    <w:basedOn w:val="a1"/>
    <w:rsid w:val="00F547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47DF"/>
  </w:style>
  <w:style w:type="character" w:styleId="Hyperlink">
    <w:name w:val="Hyperlink"/>
    <w:rsid w:val="00495DED"/>
    <w:rPr>
      <w:color w:val="0563C1"/>
      <w:u w:val="single"/>
    </w:rPr>
  </w:style>
  <w:style w:type="character" w:styleId="a9">
    <w:name w:val="Unresolved Mention"/>
    <w:rsid w:val="00495D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956295"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3678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3407987</vt:i4>
      </vt:variant>
      <vt:variant>
        <vt:i4>6</vt:i4>
      </vt:variant>
      <vt:variant>
        <vt:i4>0</vt:i4>
      </vt:variant>
      <vt:variant>
        <vt:i4>5</vt:i4>
      </vt:variant>
      <vt:variant>
        <vt:lpwstr>http://www.nevo.co.il/case/20956295</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47357</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מחמד אבו דקה</vt:lpwstr>
  </property>
  <property fmtid="{D5CDD505-2E9C-101B-9397-08002B2CF9AE}" pid="10" name="LAWYER">
    <vt:lpwstr>ליה זר</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20170611</vt:lpwstr>
  </property>
  <property fmtid="{D5CDD505-2E9C-101B-9397-08002B2CF9AE}" pid="14" name="TYPE_N_DATE">
    <vt:lpwstr>38020170611</vt:lpwstr>
  </property>
  <property fmtid="{D5CDD505-2E9C-101B-9397-08002B2CF9AE}" pid="15" name="CASESLISTTMP1">
    <vt:lpwstr>20956295</vt:lpwstr>
  </property>
  <property fmtid="{D5CDD505-2E9C-101B-9397-08002B2CF9AE}" pid="16" name="LAWLISTTMP1">
    <vt:lpwstr>4216</vt:lpwstr>
  </property>
  <property fmtid="{D5CDD505-2E9C-101B-9397-08002B2CF9AE}" pid="17" name="WORDNUMPAGES">
    <vt:lpwstr>3</vt:lpwstr>
  </property>
  <property fmtid="{D5CDD505-2E9C-101B-9397-08002B2CF9AE}" pid="18" name="TYPE_ABS_DATE">
    <vt:lpwstr>380020170611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