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00000" w14:paraId="0CC3E2D7" w14:textId="77777777">
        <w:trPr>
          <w:trHeight w:hRule="exact" w:val="418"/>
          <w:jc w:val="center"/>
        </w:trPr>
        <w:tc>
          <w:tcPr>
            <w:tcW w:w="8721" w:type="dxa"/>
            <w:gridSpan w:val="2"/>
          </w:tcPr>
          <w:p w14:paraId="131AF8B5" w14:textId="77777777" w:rsidR="007339F0" w:rsidRDefault="007339F0">
            <w:pPr>
              <w:pStyle w:val="a3"/>
              <w:jc w:val="center"/>
              <w:rPr>
                <w:rFonts w:ascii="Tahoma" w:hAnsi="Tahoma" w:cs="Tahoma"/>
                <w:noProof w:val="0"/>
                <w:color w:val="000080"/>
                <w:rtl/>
              </w:rPr>
            </w:pPr>
            <w:bookmarkStart w:id="0" w:name="LastJudge"/>
            <w:r>
              <w:rPr>
                <w:rFonts w:ascii="Tahoma" w:hAnsi="Tahoma" w:cs="Tahoma"/>
                <w:b/>
                <w:bCs/>
                <w:noProof w:val="0"/>
                <w:color w:val="000080"/>
                <w:rtl/>
              </w:rPr>
              <w:t>בית משפט השלום בקריית גת</w:t>
            </w:r>
          </w:p>
        </w:tc>
      </w:tr>
      <w:tr w:rsidR="00000000" w14:paraId="5A04D50B" w14:textId="77777777">
        <w:trPr>
          <w:trHeight w:val="337"/>
          <w:jc w:val="center"/>
        </w:trPr>
        <w:tc>
          <w:tcPr>
            <w:tcW w:w="5047" w:type="dxa"/>
          </w:tcPr>
          <w:p w14:paraId="51E21697" w14:textId="77777777" w:rsidR="007339F0" w:rsidRDefault="007339F0">
            <w:pPr>
              <w:rPr>
                <w:b/>
                <w:bCs/>
                <w:noProof w:val="0"/>
                <w:sz w:val="26"/>
                <w:szCs w:val="26"/>
                <w:rtl/>
              </w:rPr>
            </w:pPr>
          </w:p>
        </w:tc>
        <w:tc>
          <w:tcPr>
            <w:tcW w:w="3674" w:type="dxa"/>
          </w:tcPr>
          <w:p w14:paraId="69897971" w14:textId="77777777" w:rsidR="007339F0" w:rsidRDefault="007339F0">
            <w:pPr>
              <w:pStyle w:val="a3"/>
              <w:jc w:val="right"/>
              <w:rPr>
                <w:b/>
                <w:bCs/>
                <w:noProof w:val="0"/>
                <w:sz w:val="26"/>
                <w:szCs w:val="26"/>
                <w:rtl/>
              </w:rPr>
            </w:pPr>
            <w:r>
              <w:rPr>
                <w:b/>
                <w:bCs/>
                <w:noProof w:val="0"/>
                <w:sz w:val="26"/>
                <w:szCs w:val="26"/>
                <w:rtl/>
              </w:rPr>
              <w:t>22 נובמבר 2017</w:t>
            </w:r>
          </w:p>
        </w:tc>
      </w:tr>
      <w:tr w:rsidR="00000000" w14:paraId="7AA7DFB4" w14:textId="77777777">
        <w:trPr>
          <w:trHeight w:val="337"/>
          <w:jc w:val="center"/>
        </w:trPr>
        <w:tc>
          <w:tcPr>
            <w:tcW w:w="8721" w:type="dxa"/>
            <w:gridSpan w:val="2"/>
          </w:tcPr>
          <w:p w14:paraId="066DDD8B" w14:textId="77777777" w:rsidR="007339F0" w:rsidRDefault="007339F0">
            <w:pPr>
              <w:rPr>
                <w:b/>
                <w:bCs/>
                <w:noProof w:val="0"/>
                <w:sz w:val="26"/>
                <w:szCs w:val="26"/>
                <w:rtl/>
              </w:rPr>
            </w:pPr>
            <w:r>
              <w:rPr>
                <w:b/>
                <w:bCs/>
                <w:noProof w:val="0"/>
                <w:sz w:val="26"/>
                <w:szCs w:val="26"/>
                <w:rtl/>
              </w:rPr>
              <w:t>ת"פ 49808-06-16 מדינת ישראל נ' קירייב</w:t>
            </w:r>
          </w:p>
          <w:p w14:paraId="3FD8C91B" w14:textId="77777777" w:rsidR="007339F0" w:rsidRDefault="007339F0">
            <w:pPr>
              <w:rPr>
                <w:rtl/>
              </w:rPr>
            </w:pPr>
          </w:p>
        </w:tc>
      </w:tr>
    </w:tbl>
    <w:p w14:paraId="153E06DC" w14:textId="77777777" w:rsidR="007339F0" w:rsidRDefault="007339F0"/>
    <w:tbl>
      <w:tblPr>
        <w:bidiVisual/>
        <w:tblW w:w="0" w:type="auto"/>
        <w:jc w:val="center"/>
        <w:tblLook w:val="0000" w:firstRow="0" w:lastRow="0" w:firstColumn="0" w:lastColumn="0" w:noHBand="0" w:noVBand="0"/>
      </w:tblPr>
      <w:tblGrid>
        <w:gridCol w:w="873"/>
        <w:gridCol w:w="7848"/>
      </w:tblGrid>
      <w:tr w:rsidR="00000000" w14:paraId="13A3F059" w14:textId="77777777">
        <w:trPr>
          <w:trHeight w:val="337"/>
          <w:jc w:val="center"/>
        </w:trPr>
        <w:tc>
          <w:tcPr>
            <w:tcW w:w="873" w:type="dxa"/>
          </w:tcPr>
          <w:p w14:paraId="0799F32D" w14:textId="77777777" w:rsidR="007339F0" w:rsidRDefault="007339F0">
            <w:pPr>
              <w:tabs>
                <w:tab w:val="left" w:pos="1710"/>
              </w:tabs>
              <w:rPr>
                <w:b/>
                <w:bCs/>
                <w:sz w:val="26"/>
                <w:szCs w:val="26"/>
                <w:rtl/>
              </w:rPr>
            </w:pPr>
            <w:r>
              <w:rPr>
                <w:rFonts w:hint="cs"/>
                <w:b/>
                <w:bCs/>
                <w:sz w:val="26"/>
                <w:szCs w:val="26"/>
                <w:rtl/>
              </w:rPr>
              <w:t>בפני</w:t>
            </w:r>
          </w:p>
        </w:tc>
        <w:tc>
          <w:tcPr>
            <w:tcW w:w="7848" w:type="dxa"/>
          </w:tcPr>
          <w:p w14:paraId="3812C33D" w14:textId="77777777" w:rsidR="007339F0" w:rsidRDefault="007339F0">
            <w:pPr>
              <w:rPr>
                <w:rFonts w:ascii="Arial" w:hAnsi="Arial"/>
                <w:b/>
                <w:bCs/>
                <w:sz w:val="26"/>
                <w:szCs w:val="26"/>
                <w:rtl/>
              </w:rPr>
            </w:pPr>
            <w:r>
              <w:rPr>
                <w:rFonts w:ascii="Arial" w:hAnsi="Arial" w:hint="cs"/>
                <w:b/>
                <w:bCs/>
                <w:sz w:val="26"/>
                <w:szCs w:val="26"/>
                <w:rtl/>
              </w:rPr>
              <w:t>כב' ה</w:t>
            </w:r>
            <w:r>
              <w:rPr>
                <w:rFonts w:ascii="Arial" w:hAnsi="Arial"/>
                <w:b/>
                <w:bCs/>
                <w:sz w:val="26"/>
                <w:szCs w:val="26"/>
                <w:rtl/>
              </w:rPr>
              <w:t>סגנית נשיאה</w:t>
            </w:r>
            <w:r>
              <w:rPr>
                <w:rFonts w:ascii="Arial" w:hAnsi="Arial" w:hint="cs"/>
                <w:b/>
                <w:bCs/>
                <w:sz w:val="26"/>
                <w:szCs w:val="26"/>
                <w:rtl/>
              </w:rPr>
              <w:t xml:space="preserve">  </w:t>
            </w:r>
            <w:r>
              <w:rPr>
                <w:rFonts w:ascii="Arial" w:hAnsi="Arial"/>
                <w:b/>
                <w:bCs/>
                <w:sz w:val="26"/>
                <w:szCs w:val="26"/>
                <w:rtl/>
              </w:rPr>
              <w:t>נגה שמואלי-מאייר</w:t>
            </w:r>
          </w:p>
          <w:p w14:paraId="42D8D659" w14:textId="77777777" w:rsidR="007339F0" w:rsidRDefault="007339F0">
            <w:pPr>
              <w:tabs>
                <w:tab w:val="left" w:pos="1710"/>
              </w:tabs>
              <w:rPr>
                <w:sz w:val="26"/>
                <w:szCs w:val="26"/>
                <w:rtl/>
              </w:rPr>
            </w:pPr>
          </w:p>
        </w:tc>
      </w:tr>
    </w:tbl>
    <w:p w14:paraId="13483BE9" w14:textId="77777777" w:rsidR="007339F0" w:rsidRDefault="007339F0">
      <w:pPr>
        <w:pStyle w:val="a3"/>
        <w:rPr>
          <w:noProof w:val="0"/>
          <w:sz w:val="26"/>
          <w:szCs w:val="26"/>
          <w:rtl/>
        </w:rPr>
      </w:pPr>
      <w:r>
        <w:rPr>
          <w:noProof w:val="0"/>
          <w:sz w:val="26"/>
          <w:szCs w:val="26"/>
          <w:rtl/>
        </w:rPr>
        <w:t xml:space="preserve"> </w:t>
      </w:r>
    </w:p>
    <w:tbl>
      <w:tblPr>
        <w:bidiVisual/>
        <w:tblW w:w="8820" w:type="dxa"/>
        <w:jc w:val="center"/>
        <w:tblLook w:val="01E0" w:firstRow="1" w:lastRow="1" w:firstColumn="1" w:lastColumn="1" w:noHBand="0" w:noVBand="0"/>
      </w:tblPr>
      <w:tblGrid>
        <w:gridCol w:w="5603"/>
        <w:gridCol w:w="3217"/>
      </w:tblGrid>
      <w:tr w:rsidR="00000000" w14:paraId="068ECF07" w14:textId="77777777">
        <w:trPr>
          <w:jc w:val="center"/>
        </w:trPr>
        <w:tc>
          <w:tcPr>
            <w:tcW w:w="5603" w:type="dxa"/>
            <w:shd w:val="clear" w:color="auto" w:fill="auto"/>
          </w:tcPr>
          <w:p w14:paraId="552F0840" w14:textId="77777777" w:rsidR="007339F0" w:rsidRDefault="007339F0">
            <w:pPr>
              <w:spacing w:line="360" w:lineRule="auto"/>
              <w:rPr>
                <w:b/>
                <w:bCs/>
                <w:noProof w:val="0"/>
                <w:sz w:val="26"/>
                <w:szCs w:val="26"/>
                <w:rtl/>
              </w:rPr>
            </w:pPr>
            <w:bookmarkStart w:id="1" w:name="FirstAppellant"/>
            <w:bookmarkStart w:id="2" w:name="FirstLawyer"/>
            <w:r>
              <w:rPr>
                <w:rFonts w:ascii="Arial" w:hAnsi="Arial" w:hint="cs"/>
                <w:b/>
                <w:bCs/>
                <w:noProof w:val="0"/>
                <w:sz w:val="26"/>
                <w:szCs w:val="26"/>
                <w:rtl/>
              </w:rPr>
              <w:t>מדינת ישראל</w:t>
            </w:r>
          </w:p>
          <w:p w14:paraId="085C5858" w14:textId="77777777" w:rsidR="007339F0" w:rsidRDefault="007339F0">
            <w:pPr>
              <w:spacing w:line="360" w:lineRule="auto"/>
              <w:rPr>
                <w:b/>
                <w:bCs/>
                <w:sz w:val="26"/>
                <w:szCs w:val="26"/>
                <w:rtl/>
              </w:rPr>
            </w:pPr>
            <w:r>
              <w:rPr>
                <w:rFonts w:hint="cs"/>
                <w:b/>
                <w:bCs/>
                <w:sz w:val="26"/>
                <w:szCs w:val="26"/>
                <w:rtl/>
              </w:rPr>
              <w:t xml:space="preserve">ע"י ב"כ עו"ד לירן פרג' </w:t>
            </w:r>
            <w:r>
              <w:rPr>
                <w:b/>
                <w:bCs/>
                <w:sz w:val="26"/>
                <w:szCs w:val="26"/>
                <w:rtl/>
              </w:rPr>
              <w:t>–</w:t>
            </w:r>
            <w:r>
              <w:rPr>
                <w:rFonts w:hint="cs"/>
                <w:b/>
                <w:bCs/>
                <w:sz w:val="26"/>
                <w:szCs w:val="26"/>
                <w:rtl/>
              </w:rPr>
              <w:t xml:space="preserve"> נוכחת</w:t>
            </w:r>
          </w:p>
        </w:tc>
        <w:tc>
          <w:tcPr>
            <w:tcW w:w="3217" w:type="dxa"/>
            <w:shd w:val="clear" w:color="auto" w:fill="auto"/>
          </w:tcPr>
          <w:p w14:paraId="59B5DA52" w14:textId="77777777" w:rsidR="007339F0" w:rsidRDefault="007339F0">
            <w:pPr>
              <w:bidi w:val="0"/>
              <w:spacing w:line="360" w:lineRule="auto"/>
              <w:rPr>
                <w:rFonts w:ascii="Arial" w:hAnsi="Arial" w:hint="cs"/>
                <w:b/>
                <w:bCs/>
                <w:noProof w:val="0"/>
                <w:sz w:val="26"/>
                <w:szCs w:val="26"/>
                <w:rtl/>
              </w:rPr>
            </w:pPr>
            <w:r>
              <w:rPr>
                <w:rFonts w:ascii="Arial" w:hAnsi="Arial" w:hint="cs"/>
                <w:b/>
                <w:bCs/>
                <w:noProof w:val="0"/>
                <w:sz w:val="26"/>
                <w:szCs w:val="26"/>
                <w:rtl/>
              </w:rPr>
              <w:t>ה</w:t>
            </w:r>
            <w:r>
              <w:rPr>
                <w:rFonts w:ascii="Arial" w:hAnsi="Arial"/>
                <w:b/>
                <w:bCs/>
                <w:noProof w:val="0"/>
                <w:sz w:val="26"/>
                <w:szCs w:val="26"/>
                <w:rtl/>
              </w:rPr>
              <w:t>מאשימה</w:t>
            </w:r>
          </w:p>
          <w:p w14:paraId="30855807" w14:textId="77777777" w:rsidR="007339F0" w:rsidRDefault="007339F0">
            <w:pPr>
              <w:spacing w:line="360" w:lineRule="auto"/>
              <w:rPr>
                <w:b/>
                <w:bCs/>
                <w:noProof w:val="0"/>
                <w:sz w:val="26"/>
                <w:szCs w:val="26"/>
                <w:rtl/>
              </w:rPr>
            </w:pPr>
          </w:p>
        </w:tc>
      </w:tr>
      <w:bookmarkEnd w:id="1"/>
      <w:bookmarkEnd w:id="2"/>
      <w:tr w:rsidR="00000000" w14:paraId="7CEAB63B" w14:textId="77777777">
        <w:trPr>
          <w:jc w:val="center"/>
        </w:trPr>
        <w:tc>
          <w:tcPr>
            <w:tcW w:w="8820" w:type="dxa"/>
            <w:gridSpan w:val="2"/>
            <w:shd w:val="clear" w:color="auto" w:fill="auto"/>
          </w:tcPr>
          <w:p w14:paraId="2FA8E1C9" w14:textId="77777777" w:rsidR="007339F0" w:rsidRDefault="007339F0">
            <w:pPr>
              <w:spacing w:line="360" w:lineRule="auto"/>
              <w:jc w:val="center"/>
              <w:rPr>
                <w:rFonts w:ascii="Arial" w:hAnsi="Arial"/>
                <w:b/>
                <w:bCs/>
                <w:noProof w:val="0"/>
                <w:sz w:val="26"/>
                <w:szCs w:val="26"/>
              </w:rPr>
            </w:pPr>
            <w:r>
              <w:rPr>
                <w:rFonts w:ascii="Arial" w:hAnsi="Arial"/>
                <w:b/>
                <w:bCs/>
                <w:noProof w:val="0"/>
                <w:sz w:val="26"/>
                <w:szCs w:val="26"/>
                <w:rtl/>
              </w:rPr>
              <w:t>נ</w:t>
            </w:r>
            <w:r>
              <w:rPr>
                <w:rFonts w:ascii="Arial" w:hAnsi="Arial" w:hint="cs"/>
                <w:b/>
                <w:bCs/>
                <w:noProof w:val="0"/>
                <w:sz w:val="26"/>
                <w:szCs w:val="26"/>
                <w:rtl/>
              </w:rPr>
              <w:t xml:space="preserve"> </w:t>
            </w:r>
            <w:r>
              <w:rPr>
                <w:rFonts w:ascii="Arial" w:hAnsi="Arial"/>
                <w:b/>
                <w:bCs/>
                <w:noProof w:val="0"/>
                <w:sz w:val="26"/>
                <w:szCs w:val="26"/>
                <w:rtl/>
              </w:rPr>
              <w:t>ג</w:t>
            </w:r>
            <w:r>
              <w:rPr>
                <w:rFonts w:ascii="Arial" w:hAnsi="Arial" w:hint="cs"/>
                <w:b/>
                <w:bCs/>
                <w:noProof w:val="0"/>
                <w:sz w:val="26"/>
                <w:szCs w:val="26"/>
                <w:rtl/>
              </w:rPr>
              <w:t xml:space="preserve"> </w:t>
            </w:r>
            <w:r>
              <w:rPr>
                <w:rFonts w:ascii="Arial" w:hAnsi="Arial"/>
                <w:b/>
                <w:bCs/>
                <w:noProof w:val="0"/>
                <w:sz w:val="26"/>
                <w:szCs w:val="26"/>
                <w:rtl/>
              </w:rPr>
              <w:t>ד</w:t>
            </w:r>
          </w:p>
        </w:tc>
      </w:tr>
      <w:tr w:rsidR="00000000" w14:paraId="6408EA0A" w14:textId="77777777">
        <w:trPr>
          <w:jc w:val="center"/>
        </w:trPr>
        <w:tc>
          <w:tcPr>
            <w:tcW w:w="5603" w:type="dxa"/>
            <w:shd w:val="clear" w:color="auto" w:fill="auto"/>
          </w:tcPr>
          <w:p w14:paraId="535DE9F2" w14:textId="77777777" w:rsidR="007339F0" w:rsidRDefault="007339F0">
            <w:pPr>
              <w:spacing w:line="360" w:lineRule="auto"/>
              <w:rPr>
                <w:b/>
                <w:bCs/>
                <w:sz w:val="26"/>
                <w:szCs w:val="26"/>
              </w:rPr>
            </w:pPr>
            <w:r>
              <w:rPr>
                <w:rFonts w:ascii="Arial" w:hAnsi="Arial" w:hint="cs"/>
                <w:b/>
                <w:bCs/>
                <w:noProof w:val="0"/>
                <w:sz w:val="26"/>
                <w:szCs w:val="26"/>
                <w:rtl/>
              </w:rPr>
              <w:t>אלכסנדר קירייב</w:t>
            </w:r>
            <w:r>
              <w:rPr>
                <w:rFonts w:hint="cs"/>
                <w:b/>
                <w:bCs/>
                <w:sz w:val="26"/>
                <w:szCs w:val="26"/>
                <w:rtl/>
              </w:rPr>
              <w:t xml:space="preserve"> </w:t>
            </w:r>
            <w:r>
              <w:rPr>
                <w:b/>
                <w:bCs/>
                <w:sz w:val="26"/>
                <w:szCs w:val="26"/>
                <w:rtl/>
              </w:rPr>
              <w:t>–</w:t>
            </w:r>
            <w:r>
              <w:rPr>
                <w:rFonts w:hint="cs"/>
                <w:b/>
                <w:bCs/>
                <w:sz w:val="26"/>
                <w:szCs w:val="26"/>
                <w:rtl/>
              </w:rPr>
              <w:t xml:space="preserve"> נוכח</w:t>
            </w:r>
          </w:p>
          <w:p w14:paraId="54E4D423" w14:textId="77777777" w:rsidR="007339F0" w:rsidRDefault="007339F0">
            <w:pPr>
              <w:spacing w:line="360" w:lineRule="auto"/>
              <w:rPr>
                <w:b/>
                <w:bCs/>
                <w:noProof w:val="0"/>
                <w:sz w:val="26"/>
                <w:szCs w:val="26"/>
                <w:rtl/>
              </w:rPr>
            </w:pPr>
            <w:r>
              <w:rPr>
                <w:rFonts w:hint="cs"/>
                <w:b/>
                <w:bCs/>
                <w:sz w:val="26"/>
                <w:szCs w:val="26"/>
                <w:rtl/>
              </w:rPr>
              <w:t xml:space="preserve">ע"י ב"כ עו"ד עוז דקל </w:t>
            </w:r>
            <w:r>
              <w:rPr>
                <w:b/>
                <w:bCs/>
                <w:sz w:val="26"/>
                <w:szCs w:val="26"/>
                <w:rtl/>
              </w:rPr>
              <w:t>–</w:t>
            </w:r>
            <w:r>
              <w:rPr>
                <w:rFonts w:hint="cs"/>
                <w:b/>
                <w:bCs/>
                <w:sz w:val="26"/>
                <w:szCs w:val="26"/>
                <w:rtl/>
              </w:rPr>
              <w:t xml:space="preserve"> נוכח </w:t>
            </w:r>
          </w:p>
        </w:tc>
        <w:tc>
          <w:tcPr>
            <w:tcW w:w="3217" w:type="dxa"/>
            <w:shd w:val="clear" w:color="auto" w:fill="auto"/>
          </w:tcPr>
          <w:p w14:paraId="69AB19C8" w14:textId="77777777" w:rsidR="007339F0" w:rsidRDefault="007339F0">
            <w:pPr>
              <w:spacing w:line="360" w:lineRule="auto"/>
              <w:jc w:val="right"/>
              <w:rPr>
                <w:b/>
                <w:bCs/>
                <w:noProof w:val="0"/>
                <w:sz w:val="26"/>
                <w:szCs w:val="26"/>
                <w:rtl/>
              </w:rPr>
            </w:pPr>
            <w:r>
              <w:rPr>
                <w:rFonts w:ascii="Arial" w:hAnsi="Arial" w:hint="cs"/>
                <w:b/>
                <w:bCs/>
                <w:noProof w:val="0"/>
                <w:sz w:val="26"/>
                <w:szCs w:val="26"/>
                <w:rtl/>
              </w:rPr>
              <w:t>ה</w:t>
            </w:r>
            <w:r>
              <w:rPr>
                <w:rFonts w:ascii="Arial" w:hAnsi="Arial"/>
                <w:b/>
                <w:bCs/>
                <w:noProof w:val="0"/>
                <w:sz w:val="26"/>
                <w:szCs w:val="26"/>
                <w:rtl/>
              </w:rPr>
              <w:t>נאשם</w:t>
            </w:r>
          </w:p>
        </w:tc>
      </w:tr>
    </w:tbl>
    <w:p w14:paraId="45078069" w14:textId="77777777" w:rsidR="007339F0" w:rsidRDefault="007339F0">
      <w:pPr>
        <w:bidi w:val="0"/>
        <w:spacing w:line="360" w:lineRule="auto"/>
        <w:jc w:val="center"/>
        <w:rPr>
          <w:rFonts w:ascii="Arial" w:hAnsi="Arial"/>
          <w:noProof w:val="0"/>
          <w:sz w:val="32"/>
          <w:szCs w:val="32"/>
        </w:rPr>
      </w:pPr>
      <w:bookmarkStart w:id="3" w:name="LawTable"/>
      <w:bookmarkEnd w:id="0"/>
      <w:bookmarkEnd w:id="3"/>
    </w:p>
    <w:p w14:paraId="4BD622DF" w14:textId="77777777" w:rsidR="007339F0" w:rsidRDefault="007339F0">
      <w:pPr>
        <w:spacing w:after="120" w:line="240" w:lineRule="exact"/>
        <w:ind w:left="283" w:hanging="283"/>
        <w:jc w:val="both"/>
        <w:rPr>
          <w:rFonts w:ascii="FrankRuehl" w:hAnsi="FrankRuehl" w:cs="FrankRuehl"/>
          <w:noProof w:val="0"/>
        </w:rPr>
      </w:pPr>
      <w:r>
        <w:rPr>
          <w:rFonts w:ascii="FrankRuehl" w:hAnsi="FrankRuehl" w:cs="FrankRuehl"/>
          <w:noProof w:val="0"/>
          <w:rtl/>
        </w:rPr>
        <w:t>חקיקה שאוזכרה</w:t>
      </w:r>
      <w:r>
        <w:rPr>
          <w:rFonts w:ascii="FrankRuehl" w:hAnsi="FrankRuehl" w:cs="FrankRuehl"/>
          <w:noProof w:val="0"/>
        </w:rPr>
        <w:t xml:space="preserve">: </w:t>
      </w:r>
    </w:p>
    <w:p w14:paraId="71049FF9" w14:textId="77777777" w:rsidR="007339F0" w:rsidRDefault="007339F0">
      <w:pPr>
        <w:spacing w:after="120" w:line="240" w:lineRule="exact"/>
        <w:ind w:left="283" w:hanging="283"/>
        <w:jc w:val="both"/>
        <w:rPr>
          <w:rFonts w:ascii="FrankRuehl" w:hAnsi="FrankRuehl" w:cs="FrankRuehl"/>
          <w:noProof w:val="0"/>
        </w:rPr>
      </w:pPr>
      <w:hyperlink r:id="rId7" w:history="1">
        <w:r>
          <w:rPr>
            <w:rFonts w:ascii="FrankRuehl" w:hAnsi="FrankRuehl" w:cs="FrankRuehl"/>
            <w:noProof w:val="0"/>
            <w:color w:val="0000FF"/>
            <w:u w:val="single"/>
            <w:rtl/>
          </w:rPr>
          <w:t>פקודת הסמים המסוכנים [נוסח חדש], תשל"ג-1973</w:t>
        </w:r>
      </w:hyperlink>
      <w:r>
        <w:rPr>
          <w:rFonts w:ascii="FrankRuehl" w:hAnsi="FrankRuehl" w:cs="FrankRuehl"/>
          <w:noProof w:val="0"/>
        </w:rPr>
        <w:t xml:space="preserve">: </w:t>
      </w:r>
      <w:r>
        <w:rPr>
          <w:rFonts w:ascii="FrankRuehl" w:hAnsi="FrankRuehl" w:cs="FrankRuehl"/>
          <w:noProof w:val="0"/>
          <w:rtl/>
        </w:rPr>
        <w:t>סע</w:t>
      </w:r>
      <w:r>
        <w:rPr>
          <w:rFonts w:ascii="FrankRuehl" w:hAnsi="FrankRuehl" w:cs="FrankRuehl"/>
          <w:noProof w:val="0"/>
        </w:rPr>
        <w:t xml:space="preserve">'  </w:t>
      </w:r>
      <w:hyperlink r:id="rId8" w:history="1">
        <w:r>
          <w:rPr>
            <w:rFonts w:ascii="FrankRuehl" w:hAnsi="FrankRuehl" w:cs="FrankRuehl"/>
            <w:noProof w:val="0"/>
            <w:color w:val="0000FF"/>
            <w:u w:val="single"/>
          </w:rPr>
          <w:t>7.</w:t>
        </w:r>
        <w:r>
          <w:rPr>
            <w:rFonts w:ascii="FrankRuehl" w:hAnsi="FrankRuehl" w:cs="FrankRuehl"/>
            <w:noProof w:val="0"/>
            <w:color w:val="0000FF"/>
            <w:u w:val="single"/>
            <w:rtl/>
          </w:rPr>
          <w:t>א</w:t>
        </w:r>
        <w:r>
          <w:rPr>
            <w:rFonts w:ascii="FrankRuehl" w:hAnsi="FrankRuehl" w:cs="FrankRuehl"/>
            <w:noProof w:val="0"/>
            <w:color w:val="0000FF"/>
            <w:u w:val="single"/>
          </w:rPr>
          <w:t>.</w:t>
        </w:r>
      </w:hyperlink>
      <w:r>
        <w:rPr>
          <w:rFonts w:ascii="FrankRuehl" w:hAnsi="FrankRuehl" w:cs="FrankRuehl"/>
          <w:noProof w:val="0"/>
        </w:rPr>
        <w:t xml:space="preserve">, </w:t>
      </w:r>
      <w:hyperlink r:id="rId9" w:history="1">
        <w:r>
          <w:rPr>
            <w:rFonts w:ascii="FrankRuehl" w:hAnsi="FrankRuehl" w:cs="FrankRuehl"/>
            <w:noProof w:val="0"/>
            <w:color w:val="0000FF"/>
            <w:u w:val="single"/>
          </w:rPr>
          <w:t>7.</w:t>
        </w:r>
        <w:r>
          <w:rPr>
            <w:rFonts w:ascii="FrankRuehl" w:hAnsi="FrankRuehl" w:cs="FrankRuehl"/>
            <w:noProof w:val="0"/>
            <w:color w:val="0000FF"/>
            <w:u w:val="single"/>
            <w:rtl/>
          </w:rPr>
          <w:t>ג</w:t>
        </w:r>
      </w:hyperlink>
      <w:r>
        <w:rPr>
          <w:rFonts w:ascii="FrankRuehl" w:hAnsi="FrankRuehl" w:cs="FrankRuehl"/>
          <w:noProof w:val="0"/>
        </w:rPr>
        <w:t xml:space="preserve">, </w:t>
      </w:r>
      <w:hyperlink r:id="rId10" w:history="1">
        <w:r>
          <w:rPr>
            <w:rFonts w:ascii="FrankRuehl" w:hAnsi="FrankRuehl" w:cs="FrankRuehl"/>
            <w:noProof w:val="0"/>
            <w:color w:val="0000FF"/>
            <w:u w:val="single"/>
          </w:rPr>
          <w:t>13</w:t>
        </w:r>
      </w:hyperlink>
      <w:r>
        <w:rPr>
          <w:rFonts w:ascii="FrankRuehl" w:hAnsi="FrankRuehl" w:cs="FrankRuehl"/>
          <w:noProof w:val="0"/>
        </w:rPr>
        <w:t xml:space="preserve">, </w:t>
      </w:r>
      <w:hyperlink r:id="rId11" w:history="1">
        <w:r>
          <w:rPr>
            <w:rFonts w:ascii="FrankRuehl" w:hAnsi="FrankRuehl" w:cs="FrankRuehl"/>
            <w:noProof w:val="0"/>
            <w:color w:val="0000FF"/>
            <w:u w:val="single"/>
          </w:rPr>
          <w:t>19.</w:t>
        </w:r>
        <w:r>
          <w:rPr>
            <w:rFonts w:ascii="FrankRuehl" w:hAnsi="FrankRuehl" w:cs="FrankRuehl"/>
            <w:noProof w:val="0"/>
            <w:color w:val="0000FF"/>
            <w:u w:val="single"/>
            <w:rtl/>
          </w:rPr>
          <w:t>א</w:t>
        </w:r>
      </w:hyperlink>
      <w:r>
        <w:rPr>
          <w:rFonts w:ascii="FrankRuehl" w:hAnsi="FrankRuehl" w:cs="FrankRuehl"/>
          <w:noProof w:val="0"/>
        </w:rPr>
        <w:t xml:space="preserve">, </w:t>
      </w:r>
      <w:hyperlink r:id="rId12" w:history="1">
        <w:r>
          <w:rPr>
            <w:rFonts w:ascii="FrankRuehl" w:hAnsi="FrankRuehl" w:cs="FrankRuehl"/>
            <w:noProof w:val="0"/>
            <w:color w:val="0000FF"/>
            <w:u w:val="single"/>
          </w:rPr>
          <w:t>40</w:t>
        </w:r>
        <w:r>
          <w:rPr>
            <w:rFonts w:ascii="FrankRuehl" w:hAnsi="FrankRuehl" w:cs="FrankRuehl"/>
            <w:noProof w:val="0"/>
            <w:color w:val="0000FF"/>
            <w:u w:val="single"/>
            <w:rtl/>
          </w:rPr>
          <w:t>ג(א</w:t>
        </w:r>
        <w:r>
          <w:rPr>
            <w:rFonts w:ascii="FrankRuehl" w:hAnsi="FrankRuehl" w:cs="FrankRuehl"/>
            <w:noProof w:val="0"/>
            <w:color w:val="0000FF"/>
            <w:u w:val="single"/>
          </w:rPr>
          <w:t>)</w:t>
        </w:r>
      </w:hyperlink>
    </w:p>
    <w:p w14:paraId="597A00ED" w14:textId="77777777" w:rsidR="007339F0" w:rsidRDefault="007339F0">
      <w:pPr>
        <w:spacing w:after="120" w:line="240" w:lineRule="exact"/>
        <w:ind w:left="283" w:hanging="283"/>
        <w:jc w:val="both"/>
        <w:rPr>
          <w:rFonts w:ascii="FrankRuehl" w:hAnsi="FrankRuehl" w:cs="FrankRuehl"/>
          <w:noProof w:val="0"/>
        </w:rPr>
      </w:pPr>
      <w:hyperlink r:id="rId13" w:history="1">
        <w:r>
          <w:rPr>
            <w:rFonts w:ascii="FrankRuehl" w:hAnsi="FrankRuehl" w:cs="FrankRuehl"/>
            <w:noProof w:val="0"/>
            <w:color w:val="0000FF"/>
            <w:u w:val="single"/>
            <w:rtl/>
          </w:rPr>
          <w:t>חוק העונשין, תשל"ז-1977</w:t>
        </w:r>
      </w:hyperlink>
      <w:r>
        <w:rPr>
          <w:rFonts w:ascii="FrankRuehl" w:hAnsi="FrankRuehl" w:cs="FrankRuehl"/>
          <w:noProof w:val="0"/>
        </w:rPr>
        <w:t xml:space="preserve">: </w:t>
      </w:r>
      <w:r>
        <w:rPr>
          <w:rFonts w:ascii="FrankRuehl" w:hAnsi="FrankRuehl" w:cs="FrankRuehl"/>
          <w:noProof w:val="0"/>
          <w:rtl/>
        </w:rPr>
        <w:t>סע</w:t>
      </w:r>
      <w:r>
        <w:rPr>
          <w:rFonts w:ascii="FrankRuehl" w:hAnsi="FrankRuehl" w:cs="FrankRuehl"/>
          <w:noProof w:val="0"/>
        </w:rPr>
        <w:t xml:space="preserve">'  </w:t>
      </w:r>
      <w:hyperlink r:id="rId14" w:history="1">
        <w:r>
          <w:rPr>
            <w:rFonts w:ascii="FrankRuehl" w:hAnsi="FrankRuehl" w:cs="FrankRuehl"/>
            <w:noProof w:val="0"/>
            <w:color w:val="0000FF"/>
            <w:u w:val="single"/>
          </w:rPr>
          <w:t>31</w:t>
        </w:r>
      </w:hyperlink>
      <w:r>
        <w:rPr>
          <w:rFonts w:ascii="FrankRuehl" w:hAnsi="FrankRuehl" w:cs="FrankRuehl"/>
          <w:noProof w:val="0"/>
        </w:rPr>
        <w:t xml:space="preserve">, </w:t>
      </w:r>
      <w:hyperlink r:id="rId15" w:history="1">
        <w:r>
          <w:rPr>
            <w:rFonts w:ascii="FrankRuehl" w:hAnsi="FrankRuehl" w:cs="FrankRuehl"/>
            <w:noProof w:val="0"/>
            <w:color w:val="0000FF"/>
            <w:u w:val="single"/>
          </w:rPr>
          <w:t>32</w:t>
        </w:r>
      </w:hyperlink>
      <w:r>
        <w:rPr>
          <w:rFonts w:ascii="FrankRuehl" w:hAnsi="FrankRuehl" w:cs="FrankRuehl"/>
          <w:noProof w:val="0"/>
        </w:rPr>
        <w:t xml:space="preserve">, </w:t>
      </w:r>
      <w:hyperlink r:id="rId16" w:history="1">
        <w:r>
          <w:rPr>
            <w:rFonts w:ascii="FrankRuehl" w:hAnsi="FrankRuehl" w:cs="FrankRuehl"/>
            <w:noProof w:val="0"/>
            <w:color w:val="0000FF"/>
            <w:u w:val="single"/>
          </w:rPr>
          <w:t>40</w:t>
        </w:r>
        <w:r>
          <w:rPr>
            <w:rFonts w:ascii="FrankRuehl" w:hAnsi="FrankRuehl" w:cs="FrankRuehl"/>
            <w:noProof w:val="0"/>
            <w:color w:val="0000FF"/>
            <w:u w:val="single"/>
            <w:rtl/>
          </w:rPr>
          <w:t>ג(א</w:t>
        </w:r>
        <w:r>
          <w:rPr>
            <w:rFonts w:ascii="FrankRuehl" w:hAnsi="FrankRuehl" w:cs="FrankRuehl"/>
            <w:noProof w:val="0"/>
            <w:color w:val="0000FF"/>
            <w:u w:val="single"/>
          </w:rPr>
          <w:t>)</w:t>
        </w:r>
      </w:hyperlink>
      <w:r>
        <w:rPr>
          <w:rFonts w:ascii="FrankRuehl" w:hAnsi="FrankRuehl" w:cs="FrankRuehl"/>
          <w:noProof w:val="0"/>
        </w:rPr>
        <w:t xml:space="preserve">, </w:t>
      </w:r>
      <w:hyperlink r:id="rId17" w:history="1">
        <w:r>
          <w:rPr>
            <w:rFonts w:ascii="FrankRuehl" w:hAnsi="FrankRuehl" w:cs="FrankRuehl"/>
            <w:noProof w:val="0"/>
            <w:color w:val="0000FF"/>
            <w:u w:val="single"/>
          </w:rPr>
          <w:t>40</w:t>
        </w:r>
        <w:r>
          <w:rPr>
            <w:rFonts w:ascii="FrankRuehl" w:hAnsi="FrankRuehl" w:cs="FrankRuehl"/>
            <w:noProof w:val="0"/>
            <w:color w:val="0000FF"/>
            <w:u w:val="single"/>
            <w:rtl/>
          </w:rPr>
          <w:t>ט(א)(2</w:t>
        </w:r>
        <w:r>
          <w:rPr>
            <w:rFonts w:ascii="FrankRuehl" w:hAnsi="FrankRuehl" w:cs="FrankRuehl"/>
            <w:noProof w:val="0"/>
            <w:color w:val="0000FF"/>
            <w:u w:val="single"/>
          </w:rPr>
          <w:t>)</w:t>
        </w:r>
      </w:hyperlink>
      <w:r>
        <w:rPr>
          <w:rFonts w:ascii="FrankRuehl" w:hAnsi="FrankRuehl" w:cs="FrankRuehl"/>
          <w:noProof w:val="0"/>
        </w:rPr>
        <w:t xml:space="preserve">, </w:t>
      </w:r>
      <w:hyperlink r:id="rId18" w:history="1">
        <w:r>
          <w:rPr>
            <w:rFonts w:ascii="FrankRuehl" w:hAnsi="FrankRuehl" w:cs="FrankRuehl"/>
            <w:noProof w:val="0"/>
            <w:color w:val="0000FF"/>
            <w:u w:val="single"/>
          </w:rPr>
          <w:t>40</w:t>
        </w:r>
        <w:r>
          <w:rPr>
            <w:rFonts w:ascii="FrankRuehl" w:hAnsi="FrankRuehl" w:cs="FrankRuehl"/>
            <w:noProof w:val="0"/>
            <w:color w:val="0000FF"/>
            <w:u w:val="single"/>
            <w:rtl/>
          </w:rPr>
          <w:t>יא</w:t>
        </w:r>
      </w:hyperlink>
      <w:r>
        <w:rPr>
          <w:rFonts w:ascii="FrankRuehl" w:hAnsi="FrankRuehl" w:cs="FrankRuehl"/>
          <w:noProof w:val="0"/>
        </w:rPr>
        <w:t xml:space="preserve">, </w:t>
      </w:r>
      <w:hyperlink r:id="rId19" w:history="1">
        <w:r>
          <w:rPr>
            <w:rFonts w:ascii="FrankRuehl" w:hAnsi="FrankRuehl" w:cs="FrankRuehl"/>
            <w:noProof w:val="0"/>
            <w:color w:val="0000FF"/>
            <w:u w:val="single"/>
          </w:rPr>
          <w:t>40</w:t>
        </w:r>
        <w:r>
          <w:rPr>
            <w:rFonts w:ascii="FrankRuehl" w:hAnsi="FrankRuehl" w:cs="FrankRuehl"/>
            <w:noProof w:val="0"/>
            <w:color w:val="0000FF"/>
            <w:u w:val="single"/>
            <w:rtl/>
          </w:rPr>
          <w:t>יא(3</w:t>
        </w:r>
        <w:r>
          <w:rPr>
            <w:rFonts w:ascii="FrankRuehl" w:hAnsi="FrankRuehl" w:cs="FrankRuehl"/>
            <w:noProof w:val="0"/>
            <w:color w:val="0000FF"/>
            <w:u w:val="single"/>
          </w:rPr>
          <w:t>)</w:t>
        </w:r>
      </w:hyperlink>
      <w:r>
        <w:rPr>
          <w:rFonts w:ascii="FrankRuehl" w:hAnsi="FrankRuehl" w:cs="FrankRuehl"/>
          <w:noProof w:val="0"/>
        </w:rPr>
        <w:t xml:space="preserve">, </w:t>
      </w:r>
      <w:hyperlink r:id="rId20" w:history="1">
        <w:r>
          <w:rPr>
            <w:rFonts w:ascii="FrankRuehl" w:hAnsi="FrankRuehl" w:cs="FrankRuehl"/>
            <w:noProof w:val="0"/>
            <w:color w:val="0000FF"/>
            <w:u w:val="single"/>
          </w:rPr>
          <w:t>40</w:t>
        </w:r>
        <w:r>
          <w:rPr>
            <w:rFonts w:ascii="FrankRuehl" w:hAnsi="FrankRuehl" w:cs="FrankRuehl"/>
            <w:noProof w:val="0"/>
            <w:color w:val="0000FF"/>
            <w:u w:val="single"/>
            <w:rtl/>
          </w:rPr>
          <w:t>יג(ב</w:t>
        </w:r>
        <w:r>
          <w:rPr>
            <w:rFonts w:ascii="FrankRuehl" w:hAnsi="FrankRuehl" w:cs="FrankRuehl"/>
            <w:noProof w:val="0"/>
            <w:color w:val="0000FF"/>
            <w:u w:val="single"/>
          </w:rPr>
          <w:t>)</w:t>
        </w:r>
      </w:hyperlink>
      <w:r>
        <w:rPr>
          <w:rFonts w:ascii="FrankRuehl" w:hAnsi="FrankRuehl" w:cs="FrankRuehl"/>
          <w:noProof w:val="0"/>
        </w:rPr>
        <w:t xml:space="preserve">, </w:t>
      </w:r>
      <w:hyperlink r:id="rId21" w:history="1">
        <w:r>
          <w:rPr>
            <w:rFonts w:ascii="FrankRuehl" w:hAnsi="FrankRuehl" w:cs="FrankRuehl"/>
            <w:noProof w:val="0"/>
            <w:color w:val="0000FF"/>
            <w:u w:val="single"/>
            <w:rtl/>
          </w:rPr>
          <w:t>ג</w:t>
        </w:r>
      </w:hyperlink>
    </w:p>
    <w:p w14:paraId="38826C79" w14:textId="77777777" w:rsidR="007339F0" w:rsidRDefault="007339F0">
      <w:pPr>
        <w:spacing w:after="120" w:line="240" w:lineRule="exact"/>
        <w:ind w:left="283" w:hanging="283"/>
        <w:jc w:val="both"/>
        <w:rPr>
          <w:rFonts w:ascii="FrankRuehl" w:hAnsi="FrankRuehl" w:cs="FrankRuehl" w:hint="cs"/>
          <w:noProof w:val="0"/>
        </w:rPr>
      </w:pPr>
    </w:p>
    <w:p w14:paraId="7E8838C4" w14:textId="77777777" w:rsidR="007339F0" w:rsidRDefault="007339F0">
      <w:pPr>
        <w:bidi w:val="0"/>
        <w:spacing w:line="360" w:lineRule="auto"/>
        <w:jc w:val="center"/>
        <w:rPr>
          <w:rFonts w:ascii="Arial" w:hAnsi="Arial"/>
          <w:noProof w:val="0"/>
          <w:sz w:val="32"/>
          <w:szCs w:val="32"/>
        </w:rPr>
      </w:pPr>
      <w:bookmarkStart w:id="4" w:name="LawTable_End"/>
      <w:bookmarkEnd w:id="4"/>
    </w:p>
    <w:p w14:paraId="4AF6BD1A" w14:textId="77777777" w:rsidR="007339F0" w:rsidRDefault="007339F0">
      <w:pPr>
        <w:pBdr>
          <w:top w:val="single" w:sz="4" w:space="1" w:color="auto"/>
          <w:bottom w:val="single" w:sz="4" w:space="1" w:color="auto"/>
        </w:pBdr>
        <w:spacing w:after="120" w:line="320" w:lineRule="exact"/>
        <w:jc w:val="both"/>
        <w:rPr>
          <w:rFonts w:cs="FrankRuehl" w:hint="cs"/>
          <w:noProof w:val="0"/>
          <w:szCs w:val="26"/>
          <w:rtl/>
        </w:rPr>
      </w:pPr>
      <w:bookmarkStart w:id="5" w:name="ABSTRACT_START"/>
      <w:bookmarkEnd w:id="5"/>
      <w:r>
        <w:rPr>
          <w:rFonts w:cs="FrankRuehl"/>
          <w:noProof w:val="0"/>
          <w:szCs w:val="26"/>
          <w:rtl/>
        </w:rPr>
        <w:t>מיני-רציו:</w:t>
      </w:r>
    </w:p>
    <w:p w14:paraId="76C158B2" w14:textId="77777777" w:rsidR="007339F0" w:rsidRDefault="007339F0">
      <w:pPr>
        <w:pBdr>
          <w:top w:val="single" w:sz="4" w:space="1" w:color="auto"/>
          <w:bottom w:val="single" w:sz="4" w:space="1" w:color="auto"/>
        </w:pBdr>
        <w:spacing w:after="120" w:line="320" w:lineRule="exact"/>
        <w:jc w:val="both"/>
        <w:rPr>
          <w:rFonts w:cs="FrankRuehl"/>
          <w:szCs w:val="26"/>
          <w:rtl/>
        </w:rPr>
      </w:pPr>
      <w:r>
        <w:rPr>
          <w:rFonts w:cs="FrankRuehl" w:hint="cs"/>
          <w:noProof w:val="0"/>
          <w:szCs w:val="26"/>
          <w:rtl/>
        </w:rPr>
        <w:t xml:space="preserve">* </w:t>
      </w:r>
      <w:r>
        <w:rPr>
          <w:rFonts w:cs="FrankRuehl"/>
          <w:noProof w:val="0"/>
          <w:szCs w:val="26"/>
          <w:rtl/>
        </w:rPr>
        <w:t xml:space="preserve">בית המשפט גזר על הנאשם שהורשע על יסוד הודאתו בעבירות שעניינן </w:t>
      </w:r>
      <w:r>
        <w:rPr>
          <w:rFonts w:cs="FrankRuehl"/>
          <w:szCs w:val="26"/>
          <w:rtl/>
        </w:rPr>
        <w:t>סיוע לסחר בסם מסוכן; סחר בסם מסוכן; החזקת סם לצריכה עצמית, עונש של 100 ימים מאסר בפועל, שירוצה בעבודות שירות, מאסר מותנה וקנס. בקביעת העונש הראוי הביא בית המשפט בגדר שיקוליו את שיקול השיקום, שהביא, במקרה זה, לסטייה לקולא ממתחם הענישה.</w:t>
      </w:r>
    </w:p>
    <w:p w14:paraId="7274A517" w14:textId="77777777" w:rsidR="007339F0" w:rsidRDefault="007339F0">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מדיניות ענישה: שיקום</w:t>
      </w:r>
    </w:p>
    <w:p w14:paraId="7FEE4A14" w14:textId="77777777" w:rsidR="007339F0" w:rsidRDefault="007339F0">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עונשין – ענישה – מדיניות ענישה: עבירות סמים</w:t>
      </w:r>
    </w:p>
    <w:p w14:paraId="739CE2AA" w14:textId="77777777" w:rsidR="007339F0" w:rsidRDefault="007339F0">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64B08845" w14:textId="77777777" w:rsidR="007339F0" w:rsidRDefault="007339F0">
      <w:pPr>
        <w:pBdr>
          <w:top w:val="single" w:sz="4" w:space="1" w:color="auto"/>
          <w:bottom w:val="single" w:sz="4" w:space="1" w:color="auto"/>
        </w:pBdr>
        <w:spacing w:after="120" w:line="320" w:lineRule="exact"/>
        <w:jc w:val="both"/>
        <w:rPr>
          <w:rFonts w:cs="FrankRuehl"/>
          <w:szCs w:val="26"/>
          <w:rtl/>
        </w:rPr>
      </w:pPr>
      <w:r>
        <w:rPr>
          <w:rFonts w:cs="FrankRuehl"/>
          <w:szCs w:val="26"/>
          <w:rtl/>
        </w:rPr>
        <w:t>הנאשם הורשע על יסוד הודאתו בכתב אישום מתוקן, הכולל שלושה אישומים. סיוע לסחר בסם מסוכן; סחר בסם מסוכן; החזקת סם לצריכה עצמית.</w:t>
      </w:r>
    </w:p>
    <w:p w14:paraId="6368AA49" w14:textId="77777777" w:rsidR="007339F0" w:rsidRDefault="007339F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159AFF3" w14:textId="77777777" w:rsidR="007339F0" w:rsidRDefault="007339F0">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פסק כלהלן:</w:t>
      </w:r>
    </w:p>
    <w:p w14:paraId="28BFD9AA" w14:textId="77777777" w:rsidR="007339F0" w:rsidRDefault="007339F0">
      <w:pPr>
        <w:pBdr>
          <w:top w:val="single" w:sz="4" w:space="1" w:color="auto"/>
          <w:bottom w:val="single" w:sz="4" w:space="1" w:color="auto"/>
        </w:pBdr>
        <w:spacing w:after="120" w:line="320" w:lineRule="exact"/>
        <w:jc w:val="both"/>
        <w:rPr>
          <w:rFonts w:cs="FrankRuehl"/>
          <w:szCs w:val="26"/>
          <w:rtl/>
        </w:rPr>
      </w:pPr>
      <w:r>
        <w:rPr>
          <w:rFonts w:cs="FrankRuehl"/>
          <w:szCs w:val="26"/>
          <w:rtl/>
        </w:rPr>
        <w:t>אין עסקינן בסדרה אחת של עבירות שהינן חלק מתכנית עבריינית אחת, ומכאן שלא מתקיים בינן אותו "קשר הדוק" אשר יצדיק קביעת מתחם עונש כולל אחד בגין מכלול המעשים. בנסיבותיו של עניין זה, יש לקבוע מתחם עונש נפרד בגין כל אישום.</w:t>
      </w:r>
    </w:p>
    <w:p w14:paraId="630E272C" w14:textId="77777777" w:rsidR="007339F0" w:rsidRDefault="007339F0">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בגין מעשיו של הנאשם באישום הראשון, שעניינו סיוע לסחר בסם מסוכן, יש לקבוע, כי מתחם העונש באישום זה ינוע בין מאסר קצר שניתן לרצותו בעבודות שירות לבין 10 חודשים מאסר בפועל. בגין מעשיו של הנאשם באישום השני, שעניינו סחר בסם מסוכן, מתחם העונש ההולם באישום זה ינוע בין 6 </w:t>
      </w:r>
      <w:r>
        <w:rPr>
          <w:rFonts w:cs="FrankRuehl"/>
          <w:szCs w:val="26"/>
          <w:rtl/>
        </w:rPr>
        <w:lastRenderedPageBreak/>
        <w:t>חודשים מאסר, שניתן לרצותו בעבודות שירות, לבין 16 חודשים מאסר בפועל. בגין מעשיו של הנאשם באישום השלישי, שעניינו החזקת סם לצריכה עצמית, יש לקבוע, כי מתחם העונש באישום זה ינוע בין מאסר מותנה לבין 6 חודשים מאסר, שניתן לרצותו בעבודות שירות.</w:t>
      </w:r>
    </w:p>
    <w:p w14:paraId="3101A9B6" w14:textId="77777777" w:rsidR="007339F0" w:rsidRDefault="007339F0">
      <w:pPr>
        <w:pBdr>
          <w:top w:val="single" w:sz="4" w:space="1" w:color="auto"/>
          <w:bottom w:val="single" w:sz="4" w:space="1" w:color="auto"/>
        </w:pBdr>
        <w:spacing w:after="120" w:line="320" w:lineRule="exact"/>
        <w:jc w:val="both"/>
        <w:rPr>
          <w:rFonts w:cs="FrankRuehl" w:hint="cs"/>
          <w:szCs w:val="26"/>
          <w:rtl/>
        </w:rPr>
      </w:pPr>
      <w:r>
        <w:rPr>
          <w:rFonts w:cs="FrankRuehl"/>
          <w:szCs w:val="26"/>
          <w:rtl/>
        </w:rPr>
        <w:t xml:space="preserve">בשים לב להשתתפותו של הנאשם מזה פרק זמן ארוך בהליכים טיפוליים-שיקומיים שונים ושמירתו על ניקיון מסמים, הוכח כי קיים סיכוי של ממש שהוא ישתקם באופן מלא בעתיד, ומכאן שגם מתקיימים אותם שיקולי שיקום כבדי משקל שיצדיקו גזירת עונשו תוך סטייה לקולא ממתחם העונש ההולם אשר נקבעו בעניינו. </w:t>
      </w:r>
    </w:p>
    <w:p w14:paraId="27D88615" w14:textId="77777777" w:rsidR="007339F0" w:rsidRDefault="007339F0">
      <w:pPr>
        <w:bidi w:val="0"/>
        <w:spacing w:line="360" w:lineRule="auto"/>
        <w:jc w:val="center"/>
        <w:rPr>
          <w:rFonts w:ascii="Arial" w:hAnsi="Arial"/>
          <w:noProof w:val="0"/>
          <w:sz w:val="32"/>
          <w:szCs w:val="32"/>
          <w:rtl/>
        </w:rPr>
      </w:pPr>
      <w:bookmarkStart w:id="6" w:name="ABSTRACT_END"/>
      <w:bookmarkEnd w:id="6"/>
    </w:p>
    <w:p w14:paraId="389C9ABD" w14:textId="77777777" w:rsidR="007339F0" w:rsidRDefault="007339F0">
      <w:pPr>
        <w:jc w:val="center"/>
        <w:rPr>
          <w:rFonts w:hint="cs"/>
        </w:rPr>
      </w:pPr>
      <w:bookmarkStart w:id="7" w:name="PsakDin"/>
      <w:r>
        <w:rPr>
          <w:rFonts w:ascii="Arial" w:hAnsi="Arial"/>
          <w:b/>
          <w:bCs/>
          <w:noProof w:val="0"/>
          <w:sz w:val="32"/>
          <w:szCs w:val="32"/>
          <w:u w:val="single"/>
          <w:rtl/>
        </w:rPr>
        <w:t>גזר דין</w:t>
      </w:r>
    </w:p>
    <w:bookmarkEnd w:id="7"/>
    <w:p w14:paraId="6AE90698" w14:textId="77777777" w:rsidR="007339F0" w:rsidRDefault="007339F0">
      <w:pPr>
        <w:pStyle w:val="1"/>
        <w:numPr>
          <w:ilvl w:val="0"/>
          <w:numId w:val="1"/>
        </w:numPr>
        <w:spacing w:after="160" w:line="360" w:lineRule="auto"/>
        <w:ind w:left="360"/>
        <w:jc w:val="both"/>
        <w:rPr>
          <w:rFonts w:cs="David"/>
          <w:b/>
          <w:bCs/>
          <w:color w:val="auto"/>
          <w:szCs w:val="28"/>
          <w:rtl/>
        </w:rPr>
      </w:pPr>
      <w:r>
        <w:rPr>
          <w:rFonts w:cs="David" w:hint="cs"/>
          <w:b/>
          <w:bCs/>
          <w:color w:val="auto"/>
          <w:rtl/>
        </w:rPr>
        <w:t>רקע עובדתי</w:t>
      </w:r>
    </w:p>
    <w:p w14:paraId="08AEEF6E" w14:textId="77777777" w:rsidR="007339F0" w:rsidRDefault="007339F0">
      <w:pPr>
        <w:pStyle w:val="a9"/>
        <w:numPr>
          <w:ilvl w:val="0"/>
          <w:numId w:val="2"/>
        </w:numPr>
        <w:ind w:left="-58"/>
        <w:rPr>
          <w:rtl/>
        </w:rPr>
      </w:pPr>
      <w:r>
        <w:rPr>
          <w:rFonts w:hint="cs"/>
          <w:rtl/>
        </w:rPr>
        <w:t>הנאשם הורשע על יסוד הודאתו בכתב אישום מתוקן, הכולל שלושה אישומים כדלקמן:</w:t>
      </w:r>
    </w:p>
    <w:p w14:paraId="3A240C54" w14:textId="77777777" w:rsidR="007339F0" w:rsidRDefault="007339F0">
      <w:pPr>
        <w:pStyle w:val="a9"/>
        <w:numPr>
          <w:ilvl w:val="0"/>
          <w:numId w:val="3"/>
        </w:numPr>
        <w:ind w:left="360"/>
      </w:pPr>
      <w:r>
        <w:rPr>
          <w:rFonts w:hint="cs"/>
          <w:rtl/>
        </w:rPr>
        <w:t>על פי הנטען באישום הראשון, ביום 30.03.2016 בשעה 20:45, שוחחו הנאשם וסוכן סמוי שהופעל על ידי המשטרה (להלן:</w:t>
      </w:r>
      <w:r>
        <w:rPr>
          <w:rFonts w:hint="cs"/>
          <w:b/>
          <w:bCs/>
          <w:rtl/>
        </w:rPr>
        <w:t xml:space="preserve"> "הסוכן"</w:t>
      </w:r>
      <w:r>
        <w:rPr>
          <w:rFonts w:hint="cs"/>
          <w:rtl/>
        </w:rPr>
        <w:t>), וקבעו להיפגש באזור ב' באשדוד, וזאת כאשר הסוכן ביקש לרכוש אצבע חשיש בתמורה ל- 200 ₪. בהמשך לאמור, נפגשו השניים, הסוכן מסר לידי הנאשם 200 ₪, והם הלכו לביתו של האחרון. שם, מסר הנאשם לסוכן סם מסוג חשיש מחולק לאצבע ולבוף שלוש סיגריות [כך בכתב האישום המתוקן], במשקלים של 3.4 ו- 0.397 גרם נטו, בהתאמה. עוד נטען, כי הנאשם קיבל את הסם מאחֵר ולְאַחַר מִכֵּן מסר לו את התמורה שהתקבלה.</w:t>
      </w:r>
    </w:p>
    <w:p w14:paraId="13F9C34B" w14:textId="77777777" w:rsidR="007339F0" w:rsidRDefault="007339F0">
      <w:pPr>
        <w:pStyle w:val="a9"/>
        <w:ind w:left="360" w:firstLine="0"/>
      </w:pPr>
      <w:r>
        <w:rPr>
          <w:rFonts w:hint="cs"/>
          <w:rtl/>
        </w:rPr>
        <w:t xml:space="preserve">בגין אלה, הורשע הנאשם בעבירה של </w:t>
      </w:r>
      <w:r>
        <w:rPr>
          <w:rFonts w:hint="cs"/>
          <w:b/>
          <w:bCs/>
          <w:rtl/>
        </w:rPr>
        <w:t>סיוע לסחר בסם מסוכן</w:t>
      </w:r>
      <w:r>
        <w:rPr>
          <w:rFonts w:hint="cs"/>
          <w:rtl/>
        </w:rPr>
        <w:t xml:space="preserve">, לפי סעיפים </w:t>
      </w:r>
      <w:hyperlink r:id="rId22" w:history="1">
        <w:r>
          <w:rPr>
            <w:color w:val="0000FF"/>
            <w:u w:val="single"/>
            <w:rtl/>
          </w:rPr>
          <w:t xml:space="preserve">13 </w:t>
        </w:r>
        <w:r>
          <w:rPr>
            <w:rFonts w:hint="cs"/>
            <w:color w:val="0000FF"/>
            <w:u w:val="single"/>
            <w:rtl/>
          </w:rPr>
          <w:t>ו</w:t>
        </w:r>
        <w:r>
          <w:rPr>
            <w:color w:val="0000FF"/>
            <w:u w:val="single"/>
            <w:rtl/>
          </w:rPr>
          <w:t>- 19</w:t>
        </w:r>
        <w:r>
          <w:rPr>
            <w:rFonts w:hint="cs"/>
            <w:color w:val="0000FF"/>
            <w:u w:val="single"/>
            <w:rtl/>
          </w:rPr>
          <w:t>א</w:t>
        </w:r>
      </w:hyperlink>
      <w:r>
        <w:rPr>
          <w:rFonts w:hint="cs"/>
          <w:rtl/>
        </w:rPr>
        <w:t xml:space="preserve"> ל</w:t>
      </w:r>
      <w:hyperlink r:id="rId23" w:history="1">
        <w:r>
          <w:rPr>
            <w:rFonts w:hint="cs"/>
            <w:color w:val="0000FF"/>
            <w:u w:val="single"/>
            <w:rtl/>
          </w:rPr>
          <w:t>פקודת</w:t>
        </w:r>
        <w:r>
          <w:rPr>
            <w:color w:val="0000FF"/>
            <w:u w:val="single"/>
            <w:rtl/>
          </w:rPr>
          <w:t xml:space="preserve"> </w:t>
        </w:r>
        <w:r>
          <w:rPr>
            <w:rFonts w:hint="cs"/>
            <w:color w:val="0000FF"/>
            <w:u w:val="single"/>
            <w:rtl/>
          </w:rPr>
          <w:t>הסמים</w:t>
        </w:r>
        <w:r>
          <w:rPr>
            <w:color w:val="0000FF"/>
            <w:u w:val="single"/>
            <w:rtl/>
          </w:rPr>
          <w:t xml:space="preserve"> </w:t>
        </w:r>
        <w:r>
          <w:rPr>
            <w:rFonts w:hint="cs"/>
            <w:color w:val="0000FF"/>
            <w:u w:val="single"/>
            <w:rtl/>
          </w:rPr>
          <w:t>המסוכנים</w:t>
        </w:r>
      </w:hyperlink>
      <w:r>
        <w:rPr>
          <w:rFonts w:hint="cs"/>
          <w:rtl/>
        </w:rPr>
        <w:t xml:space="preserve"> [נוסח חדש], התשל"ג-1973 (להלן: </w:t>
      </w:r>
      <w:r>
        <w:rPr>
          <w:rFonts w:hint="cs"/>
          <w:b/>
          <w:bCs/>
          <w:rtl/>
        </w:rPr>
        <w:t>"הפקודה"</w:t>
      </w:r>
      <w:r>
        <w:rPr>
          <w:rFonts w:hint="cs"/>
          <w:rtl/>
        </w:rPr>
        <w:t>)</w:t>
      </w:r>
      <w:r>
        <w:rPr>
          <w:rFonts w:hint="cs"/>
          <w:rtl/>
        </w:rPr>
        <w:t xml:space="preserve"> </w:t>
      </w:r>
      <w:hyperlink r:id="rId24" w:history="1">
        <w:r>
          <w:rPr>
            <w:rFonts w:hint="cs"/>
            <w:color w:val="0000FF"/>
            <w:u w:val="single"/>
            <w:rtl/>
          </w:rPr>
          <w:t>וסעיף</w:t>
        </w:r>
        <w:r>
          <w:rPr>
            <w:color w:val="0000FF"/>
            <w:u w:val="single"/>
            <w:rtl/>
          </w:rPr>
          <w:t xml:space="preserve"> 31</w:t>
        </w:r>
      </w:hyperlink>
      <w:r>
        <w:rPr>
          <w:rFonts w:hint="cs"/>
          <w:rtl/>
        </w:rPr>
        <w:t xml:space="preserve"> ל</w:t>
      </w:r>
      <w:hyperlink r:id="rId25" w:history="1">
        <w:r>
          <w:rPr>
            <w:rFonts w:hint="cs"/>
            <w:color w:val="0000FF"/>
            <w:u w:val="single"/>
            <w:rtl/>
          </w:rPr>
          <w:t>חוק</w:t>
        </w:r>
        <w:r>
          <w:rPr>
            <w:color w:val="0000FF"/>
            <w:u w:val="single"/>
            <w:rtl/>
          </w:rPr>
          <w:t xml:space="preserve"> </w:t>
        </w:r>
        <w:r>
          <w:rPr>
            <w:rFonts w:hint="cs"/>
            <w:color w:val="0000FF"/>
            <w:u w:val="single"/>
            <w:rtl/>
          </w:rPr>
          <w:t>העונשין</w:t>
        </w:r>
      </w:hyperlink>
      <w:r>
        <w:rPr>
          <w:rFonts w:hint="cs"/>
          <w:rtl/>
        </w:rPr>
        <w:t xml:space="preserve">, התשל"ז-1977 (להלן: </w:t>
      </w:r>
      <w:r>
        <w:rPr>
          <w:rFonts w:hint="cs"/>
          <w:b/>
          <w:bCs/>
          <w:rtl/>
        </w:rPr>
        <w:t>"חוק העונשין"</w:t>
      </w:r>
      <w:r>
        <w:rPr>
          <w:rFonts w:hint="cs"/>
          <w:rtl/>
        </w:rPr>
        <w:t>).</w:t>
      </w:r>
    </w:p>
    <w:p w14:paraId="6FC5C060" w14:textId="77777777" w:rsidR="007339F0" w:rsidRDefault="007339F0">
      <w:pPr>
        <w:pStyle w:val="a9"/>
        <w:numPr>
          <w:ilvl w:val="0"/>
          <w:numId w:val="3"/>
        </w:numPr>
        <w:ind w:left="360"/>
      </w:pPr>
      <w:r>
        <w:rPr>
          <w:rFonts w:hint="cs"/>
          <w:rtl/>
        </w:rPr>
        <w:t>על פי הנטען באישום השני, ביום 05.04.2016, בשעה 15:39 או בסמוך לכך, שוחח הסוכן עם הנאשם וביקש שיארגן לו. בשעה 19:19 אישר הנאשם לסוכן כי ארגן עבורו, והשניים קבעו להיפגש. וכך, בשעה 19:29 או בסמוך לכך, ברחוב המעפילים 30 באשדוד [כתובת הבניין שבו מתגורר הנאשם], סחר הנאשם בסם מסוג חשיש במשקל 3.8464 גרם נטו, בכך שמסרו לידי הסוכן בתמורה ל- 200 ₪.</w:t>
      </w:r>
    </w:p>
    <w:p w14:paraId="1072228E" w14:textId="77777777" w:rsidR="007339F0" w:rsidRDefault="007339F0">
      <w:pPr>
        <w:pStyle w:val="a9"/>
        <w:ind w:left="360" w:firstLine="0"/>
      </w:pPr>
      <w:r>
        <w:rPr>
          <w:rFonts w:hint="cs"/>
          <w:rtl/>
        </w:rPr>
        <w:t xml:space="preserve">בגין אלה, הורשע הנאשם בעבירה של </w:t>
      </w:r>
      <w:r>
        <w:rPr>
          <w:rFonts w:hint="cs"/>
          <w:b/>
          <w:bCs/>
          <w:rtl/>
        </w:rPr>
        <w:t>סחר בסם מסוכן</w:t>
      </w:r>
      <w:r>
        <w:rPr>
          <w:rFonts w:hint="cs"/>
          <w:rtl/>
        </w:rPr>
        <w:t xml:space="preserve">, לפי סעיפים </w:t>
      </w:r>
      <w:hyperlink r:id="rId26" w:history="1">
        <w:r>
          <w:rPr>
            <w:color w:val="0000FF"/>
            <w:u w:val="single"/>
            <w:rtl/>
          </w:rPr>
          <w:t xml:space="preserve">13 </w:t>
        </w:r>
        <w:r>
          <w:rPr>
            <w:rFonts w:hint="cs"/>
            <w:color w:val="0000FF"/>
            <w:u w:val="single"/>
            <w:rtl/>
          </w:rPr>
          <w:t>ו</w:t>
        </w:r>
        <w:r>
          <w:rPr>
            <w:color w:val="0000FF"/>
            <w:u w:val="single"/>
            <w:rtl/>
          </w:rPr>
          <w:t>- 19</w:t>
        </w:r>
        <w:r>
          <w:rPr>
            <w:rFonts w:hint="cs"/>
            <w:color w:val="0000FF"/>
            <w:u w:val="single"/>
            <w:rtl/>
          </w:rPr>
          <w:t>א</w:t>
        </w:r>
      </w:hyperlink>
      <w:r>
        <w:rPr>
          <w:rFonts w:hint="cs"/>
          <w:rtl/>
        </w:rPr>
        <w:t xml:space="preserve"> לפקודה.</w:t>
      </w:r>
    </w:p>
    <w:p w14:paraId="05A468D9" w14:textId="77777777" w:rsidR="007339F0" w:rsidRDefault="007339F0">
      <w:pPr>
        <w:pStyle w:val="a9"/>
        <w:numPr>
          <w:ilvl w:val="0"/>
          <w:numId w:val="3"/>
        </w:numPr>
        <w:ind w:left="360"/>
      </w:pPr>
      <w:r>
        <w:rPr>
          <w:rFonts w:hint="cs"/>
          <w:rtl/>
        </w:rPr>
        <w:t>על פי הנטען באישום השלישי, ביום 20.06.2016, בשעה 08:00 או בסמוך לכך, החזיק הנאשם בביתו סם מסוג חשיש במשקל 2.7 גרם נטו, לצריכתו העצמית.</w:t>
      </w:r>
    </w:p>
    <w:p w14:paraId="0F56F658" w14:textId="77777777" w:rsidR="007339F0" w:rsidRDefault="007339F0">
      <w:pPr>
        <w:pStyle w:val="a9"/>
        <w:ind w:left="360" w:firstLine="0"/>
      </w:pPr>
      <w:r>
        <w:rPr>
          <w:rFonts w:hint="cs"/>
          <w:rtl/>
        </w:rPr>
        <w:t xml:space="preserve">בגין אלה, הורשע הנאשם בעבירה של </w:t>
      </w:r>
      <w:r>
        <w:rPr>
          <w:rFonts w:hint="cs"/>
          <w:b/>
          <w:bCs/>
          <w:rtl/>
        </w:rPr>
        <w:t>החזקת סם לצריכה עצמית</w:t>
      </w:r>
      <w:r>
        <w:rPr>
          <w:rFonts w:hint="cs"/>
          <w:rtl/>
        </w:rPr>
        <w:t xml:space="preserve">, לפי סעיפים </w:t>
      </w:r>
      <w:hyperlink r:id="rId27" w:history="1">
        <w:r>
          <w:rPr>
            <w:color w:val="0000FF"/>
            <w:u w:val="single"/>
            <w:rtl/>
          </w:rPr>
          <w:t>7(</w:t>
        </w:r>
        <w:r>
          <w:rPr>
            <w:rFonts w:hint="cs"/>
            <w:color w:val="0000FF"/>
            <w:u w:val="single"/>
            <w:rtl/>
          </w:rPr>
          <w:t>א</w:t>
        </w:r>
        <w:r>
          <w:rPr>
            <w:color w:val="0000FF"/>
            <w:u w:val="single"/>
            <w:rtl/>
          </w:rPr>
          <w:t xml:space="preserve">) </w:t>
        </w:r>
        <w:r>
          <w:rPr>
            <w:rFonts w:hint="cs"/>
            <w:color w:val="0000FF"/>
            <w:u w:val="single"/>
            <w:rtl/>
          </w:rPr>
          <w:t>ו</w:t>
        </w:r>
        <w:r>
          <w:rPr>
            <w:color w:val="0000FF"/>
            <w:u w:val="single"/>
            <w:rtl/>
          </w:rPr>
          <w:t>- 7(</w:t>
        </w:r>
        <w:r>
          <w:rPr>
            <w:rFonts w:hint="cs"/>
            <w:color w:val="0000FF"/>
            <w:u w:val="single"/>
            <w:rtl/>
          </w:rPr>
          <w:t>ג</w:t>
        </w:r>
        <w:r>
          <w:rPr>
            <w:color w:val="0000FF"/>
            <w:u w:val="single"/>
            <w:rtl/>
          </w:rPr>
          <w:t>)</w:t>
        </w:r>
      </w:hyperlink>
      <w:r>
        <w:rPr>
          <w:rFonts w:hint="cs"/>
          <w:rtl/>
        </w:rPr>
        <w:t xml:space="preserve"> סיפא לפקודה.</w:t>
      </w:r>
    </w:p>
    <w:p w14:paraId="16355993" w14:textId="77777777" w:rsidR="007339F0" w:rsidRDefault="007339F0">
      <w:pPr>
        <w:pStyle w:val="a9"/>
        <w:numPr>
          <w:ilvl w:val="0"/>
          <w:numId w:val="2"/>
        </w:numPr>
        <w:ind w:left="-58"/>
      </w:pPr>
      <w:r>
        <w:rPr>
          <w:rFonts w:hint="cs"/>
          <w:rtl/>
        </w:rPr>
        <w:t xml:space="preserve">הצדדים לא הגיעו להסדר בעניין העונש, אך המאשימה הגבילה את עמדתה העונשית לשניים עשר חודשים מאסר בפועל, מאסר מותנה, קנס והתחייבות. עוד במסגרת זו ולבקשת ההגנה, הופנה הנאשם לשירות המבחן על מנת שיתקבל תסקיר בעניינו, תוך שהוצהר כי בא כוח הנאשם יוכל לטעון לעונש כראות עיניו. </w:t>
      </w:r>
    </w:p>
    <w:p w14:paraId="17BA1A72" w14:textId="77777777" w:rsidR="007339F0" w:rsidRDefault="007339F0">
      <w:pPr>
        <w:pStyle w:val="a9"/>
        <w:numPr>
          <w:ilvl w:val="0"/>
          <w:numId w:val="2"/>
        </w:numPr>
        <w:ind w:left="-58"/>
      </w:pPr>
      <w:r>
        <w:rPr>
          <w:rFonts w:hint="cs"/>
          <w:rtl/>
        </w:rPr>
        <w:lastRenderedPageBreak/>
        <w:t>בעניינו של הנאשם התקבלו שלושה תסקירים, ובסופם המלצה להימנע מהשתת מאסר, ולו לריצוי בעבודות שירות. חלף כך, הומלץ להשית על הנאשם ענישה בדמות צו של"צ, צו מבחן ומאסר מותנה. בגופם של התסקירים, מפרט שירות המבחן בהרחבה את קורות חייו וחיי משפחתו של הנאשם, ההיסטוריה העבריינית שלו, יחסו לעבירות, הניסיונות השיקומיים שנערכו בעניינו, ועוד. מטעמים של צנעת הפרט, לא אעלה את כל אלה עלי גזר הדין, מלבד אותם נתונים הרלוונטיים לשאלת העונש, שאליהם אתייחס בהמשך.</w:t>
      </w:r>
    </w:p>
    <w:p w14:paraId="59954A2D" w14:textId="77777777" w:rsidR="007339F0" w:rsidRDefault="007339F0">
      <w:pPr>
        <w:pStyle w:val="a9"/>
        <w:numPr>
          <w:ilvl w:val="0"/>
          <w:numId w:val="2"/>
        </w:numPr>
        <w:ind w:left="-58"/>
      </w:pPr>
      <w:r>
        <w:rPr>
          <w:rFonts w:hint="cs"/>
          <w:b/>
          <w:bCs/>
          <w:rtl/>
        </w:rPr>
        <w:t>מחוות דעת הממונה על עבודות השירות</w:t>
      </w:r>
      <w:r>
        <w:rPr>
          <w:rFonts w:hint="cs"/>
          <w:rtl/>
        </w:rPr>
        <w:t>, אשר התקבלה ביום 02.07.2017, עולה כי הנאשם מתאים לביצוע עבודות שירות.</w:t>
      </w:r>
    </w:p>
    <w:p w14:paraId="4F4B741E" w14:textId="77777777" w:rsidR="007339F0" w:rsidRDefault="007339F0">
      <w:pPr>
        <w:pStyle w:val="1"/>
        <w:numPr>
          <w:ilvl w:val="0"/>
          <w:numId w:val="4"/>
        </w:numPr>
        <w:spacing w:after="160" w:line="360" w:lineRule="auto"/>
        <w:ind w:left="360"/>
        <w:jc w:val="both"/>
        <w:rPr>
          <w:rFonts w:cs="David"/>
          <w:b/>
          <w:bCs/>
          <w:color w:val="auto"/>
        </w:rPr>
      </w:pPr>
      <w:r>
        <w:rPr>
          <w:rFonts w:cs="David" w:hint="cs"/>
          <w:b/>
          <w:bCs/>
          <w:color w:val="auto"/>
          <w:rtl/>
        </w:rPr>
        <w:t>טיעוני הצדדים (עיקרי הדברים)</w:t>
      </w:r>
    </w:p>
    <w:p w14:paraId="1CB27F96" w14:textId="77777777" w:rsidR="007339F0" w:rsidRDefault="007339F0">
      <w:pPr>
        <w:pStyle w:val="a9"/>
        <w:numPr>
          <w:ilvl w:val="0"/>
          <w:numId w:val="2"/>
        </w:numPr>
        <w:ind w:left="-58"/>
      </w:pPr>
      <w:r>
        <w:rPr>
          <w:rFonts w:hint="cs"/>
          <w:rtl/>
        </w:rPr>
        <w:t>באת כוח המאשימה עמדה על חומרת מעשיו של הנאשם ועל הצורך לעקור את נגע הסמים מקרבנו. כמו כן, הלה עתרה לקבוע מתחם עונש הולם נפרד בגין כל אישום, באופן בו בגין האישום הראשון, ינוע מתחם הענישה בין כמה חודשים ל- 9 חודשים מאסר בפועל; באישום השני בין 7 ל- 18 חודשים מאסר; ובאישום השלישי בין צו של"צ או מאסר מותנה לבין כמה חודשים מאסר, שיכול שירוצה בעבודות שירות. בהמשך, בישם לב לעברו הפלילי ומבלי להתעלם מהשיקולים שיש לזקוף לזכותו של הנאשם, עתרה באת כוח המאשימה לבכר את אינטרס הגמול וההרתעה, ולגזור עליו 12 חודשים מאסר בפ</w:t>
      </w:r>
      <w:r>
        <w:rPr>
          <w:rFonts w:hint="cs"/>
          <w:rtl/>
        </w:rPr>
        <w:t>ועל, מאסר מותנה, קנס, התחייבות ופסילת רישיון נהיגה, הן בפועל והן על תנאי.</w:t>
      </w:r>
    </w:p>
    <w:p w14:paraId="06D56B6C" w14:textId="77777777" w:rsidR="007339F0" w:rsidRDefault="007339F0">
      <w:pPr>
        <w:pStyle w:val="a9"/>
        <w:numPr>
          <w:ilvl w:val="0"/>
          <w:numId w:val="2"/>
        </w:numPr>
        <w:ind w:left="-58"/>
      </w:pPr>
      <w:r>
        <w:rPr>
          <w:rFonts w:hint="cs"/>
          <w:rtl/>
        </w:rPr>
        <w:t>מנגד, ההגנה טענה כי הנאשם ניסה להניא את הסוכן מרכישת הסמים, והפנתה, בין היתר, להליך הטיפולי שעבר, לתקופת מעצרו מאחורי סורג ובריח ובפיקוח אלקטרוני, לתקופה בה שהה תחת תנאים מגבילים ולחשש שמא השתת עונש מאסר תביא לנסיגה בשיקומו. לאור אלה, ולאחר שנטען כי מתחם העונש ההולם במקרה הנדון נע בין צו של"צ לבין 6 חודשים מאסר, לריצוי בעבודות שירות, עתר בא כוח הנאשם לאמץ את המלצתו העונשית של שירות המבחן.</w:t>
      </w:r>
    </w:p>
    <w:p w14:paraId="4486BE1D" w14:textId="77777777" w:rsidR="007339F0" w:rsidRDefault="007339F0">
      <w:pPr>
        <w:pStyle w:val="a9"/>
        <w:numPr>
          <w:ilvl w:val="0"/>
          <w:numId w:val="2"/>
        </w:numPr>
        <w:ind w:left="-58"/>
      </w:pPr>
      <w:r>
        <w:rPr>
          <w:rFonts w:hint="cs"/>
          <w:rtl/>
        </w:rPr>
        <w:t>הנאשם מסר כי ביצע את העבירות שלא לצרכי פרנסה, אך טען כי הוא מבין את הטעות שעשה ומצטער על מעשיו. כמו כן, הלה הפנה להליך השיקומי שאותו הוא עובר ושבמסגרתו הוא שומר על ניקיון מסמים.</w:t>
      </w:r>
    </w:p>
    <w:p w14:paraId="00383B00" w14:textId="77777777" w:rsidR="007339F0" w:rsidRDefault="007339F0">
      <w:pPr>
        <w:pStyle w:val="1"/>
        <w:spacing w:after="160" w:line="360" w:lineRule="auto"/>
        <w:rPr>
          <w:rFonts w:cs="David"/>
          <w:b/>
          <w:bCs/>
          <w:color w:val="auto"/>
          <w:u w:val="single"/>
        </w:rPr>
      </w:pPr>
      <w:r>
        <w:rPr>
          <w:rFonts w:cs="David" w:hint="cs"/>
          <w:b/>
          <w:bCs/>
          <w:color w:val="auto"/>
          <w:u w:val="single"/>
          <w:rtl/>
        </w:rPr>
        <w:t>דיון והכרעה</w:t>
      </w:r>
    </w:p>
    <w:p w14:paraId="083C2806" w14:textId="77777777" w:rsidR="007339F0" w:rsidRDefault="007339F0">
      <w:pPr>
        <w:pStyle w:val="a9"/>
        <w:numPr>
          <w:ilvl w:val="0"/>
          <w:numId w:val="2"/>
        </w:numPr>
        <w:ind w:left="-63" w:hanging="357"/>
        <w:rPr>
          <w:rtl/>
        </w:rPr>
      </w:pPr>
      <w:r>
        <w:rPr>
          <w:rFonts w:hint="cs"/>
          <w:rtl/>
        </w:rPr>
        <w:t>ראשית חוכמה, ועל אף שההגנה לא טענה בצורה סדורה בעניין זה, אדרש לשאלה אם יש לראות במכלול מעשיו של הנאשם כ"אירוע אחד", שאז יש לקבוע מתחם עונש כולל, או שמא ככמה אירועים נפרדים, שבגין כל אחד מהם יש לקבוע מתחם עונש נפרד.</w:t>
      </w:r>
    </w:p>
    <w:p w14:paraId="06D82A6D" w14:textId="77777777" w:rsidR="007339F0" w:rsidRDefault="007339F0">
      <w:pPr>
        <w:pStyle w:val="a9"/>
        <w:numPr>
          <w:ilvl w:val="0"/>
          <w:numId w:val="2"/>
        </w:numPr>
        <w:ind w:left="-63" w:hanging="357"/>
      </w:pPr>
      <w:r>
        <w:rPr>
          <w:rFonts w:hint="cs"/>
          <w:rtl/>
        </w:rPr>
        <w:t xml:space="preserve">מששקלתי בדבר, ובשים לב ל"מבחן הקשר ההדוק" ויתר מבחני העזר אשר נקבעו לעניין זה בפסיקתו של בית המשפט העליון (ראו למשל, דעת הרוב </w:t>
      </w:r>
      <w:r>
        <w:rPr>
          <w:rFonts w:hint="cs"/>
          <w:u w:val="single"/>
          <w:rtl/>
        </w:rPr>
        <w:t>ב</w:t>
      </w:r>
      <w:hyperlink r:id="rId28"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49</w:t>
        </w:r>
        <w:r>
          <w:rPr>
            <w:color w:val="0000FF"/>
            <w:u w:val="single"/>
            <w:rtl/>
          </w:rPr>
          <w:t>10/13</w:t>
        </w:r>
      </w:hyperlink>
      <w:r>
        <w:rPr>
          <w:rFonts w:hint="cs"/>
          <w:rtl/>
        </w:rPr>
        <w:t xml:space="preserve"> </w:t>
      </w:r>
      <w:r>
        <w:rPr>
          <w:rFonts w:hint="cs"/>
          <w:b/>
          <w:bCs/>
          <w:rtl/>
        </w:rPr>
        <w:t>‏אחמד בני ג'אבר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(29.10.2014) (להלן: </w:t>
      </w:r>
      <w:r>
        <w:rPr>
          <w:rFonts w:hint="cs"/>
          <w:b/>
          <w:bCs/>
          <w:rtl/>
        </w:rPr>
        <w:t>"עניין ג'אבר"</w:t>
      </w:r>
      <w:r>
        <w:rPr>
          <w:rFonts w:hint="cs"/>
          <w:rtl/>
        </w:rPr>
        <w:t xml:space="preserve">); </w:t>
      </w:r>
      <w:hyperlink r:id="rId29"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1261/15</w:t>
        </w:r>
      </w:hyperlink>
      <w:r>
        <w:rPr>
          <w:rFonts w:hint="cs"/>
          <w:rtl/>
        </w:rPr>
        <w:t xml:space="preserve"> </w:t>
      </w:r>
      <w:r>
        <w:rPr>
          <w:rFonts w:hint="cs"/>
          <w:b/>
          <w:bCs/>
          <w:rtl/>
        </w:rPr>
        <w:t>יוסף דלאל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(03.09.2015) (להלן: </w:t>
      </w:r>
      <w:r>
        <w:rPr>
          <w:rFonts w:hint="cs"/>
          <w:b/>
          <w:bCs/>
          <w:rtl/>
        </w:rPr>
        <w:t>"עניין דלאל"</w:t>
      </w:r>
      <w:r>
        <w:rPr>
          <w:rFonts w:hint="cs"/>
          <w:rtl/>
        </w:rPr>
        <w:t xml:space="preserve">); </w:t>
      </w:r>
      <w:hyperlink r:id="rId30" w:history="1">
        <w:r>
          <w:rPr>
            <w:rFonts w:ascii="David" w:hAnsi="David"/>
            <w:color w:val="0000FF"/>
            <w:u w:val="single"/>
            <w:rtl/>
          </w:rPr>
          <w:t>ע"פ 3164/14</w:t>
        </w:r>
      </w:hyperlink>
      <w:r>
        <w:rPr>
          <w:rFonts w:ascii="David" w:hAnsi="David" w:hint="cs"/>
          <w:rtl/>
        </w:rPr>
        <w:t xml:space="preserve"> </w:t>
      </w:r>
      <w:r>
        <w:rPr>
          <w:rFonts w:ascii="David" w:hAnsi="David" w:hint="cs"/>
          <w:b/>
          <w:bCs/>
          <w:rtl/>
        </w:rPr>
        <w:t>גיא פן נ' מדינת ישראל</w:t>
      </w:r>
      <w:r>
        <w:rPr>
          <w:rFonts w:ascii="David" w:hAnsi="David" w:hint="cs"/>
          <w:rtl/>
        </w:rPr>
        <w:t xml:space="preserve">, </w:t>
      </w:r>
      <w:r>
        <w:rPr>
          <w:rFonts w:ascii="Times New Roman" w:hAnsi="Times New Roman"/>
          <w:sz w:val="22"/>
          <w:rtl/>
        </w:rPr>
        <w:t xml:space="preserve">[פורסם בנבו] </w:t>
      </w:r>
      <w:r>
        <w:rPr>
          <w:rFonts w:ascii="David" w:hAnsi="David" w:hint="cs"/>
          <w:rtl/>
        </w:rPr>
        <w:t>(29.06.2015)</w:t>
      </w:r>
      <w:r>
        <w:rPr>
          <w:rFonts w:hint="cs"/>
          <w:rtl/>
        </w:rPr>
        <w:t>), מצאתי כי במקרה הנדון יש לקבוע מתחמי ענישה נפרדים בגין כל אירוע, ואנמק.</w:t>
      </w:r>
    </w:p>
    <w:p w14:paraId="2DE05AF3" w14:textId="77777777" w:rsidR="007339F0" w:rsidRDefault="007339F0">
      <w:pPr>
        <w:pStyle w:val="a9"/>
        <w:ind w:left="-58" w:firstLine="0"/>
      </w:pPr>
      <w:r>
        <w:rPr>
          <w:rFonts w:hint="cs"/>
          <w:rtl/>
        </w:rPr>
        <w:t xml:space="preserve">הגם שהמדובר בעבירות שכולן מתחום הסמים, ועל אף שעסקינן בסם מסוג ובמשקלים דומים – עדיין, עסקינן בעבירות שבוצעו בהפרש זמנים זו מזו וכאשר לכל עסקה תכנון מוקדם נפרד וסוף והתחלה ברורים ומבוחנים. </w:t>
      </w:r>
      <w:r>
        <w:rPr>
          <w:rFonts w:eastAsia="Times New Roman" w:hint="cs"/>
          <w:rtl/>
        </w:rPr>
        <w:t>בנסיבות אלה, סבורתני כי אין עסקינן בסדרה אחת של עבירות שהינן חלק מתכנית עבריינית אחת, ומכאן שלא מתקיים בינן אותו "קשר הדוק" אשר יצדיק קביעת מתחם עונש כולל אחד בגין מכלול המעשים. וראו בעניין זה דבריו של בית המשפט</w:t>
      </w:r>
      <w:r>
        <w:rPr>
          <w:rFonts w:hint="cs"/>
          <w:rtl/>
        </w:rPr>
        <w:t xml:space="preserve"> המחוזי </w:t>
      </w:r>
      <w:r>
        <w:rPr>
          <w:rFonts w:eastAsia="Times New Roman" w:hint="cs"/>
          <w:u w:val="single"/>
          <w:rtl/>
        </w:rPr>
        <w:t>ב</w:t>
      </w:r>
      <w:hyperlink r:id="rId31" w:history="1">
        <w:r>
          <w:rPr>
            <w:rFonts w:eastAsia="Times New Roman" w:hint="eastAsia"/>
            <w:color w:val="0000FF"/>
            <w:u w:val="single"/>
            <w:rtl/>
          </w:rPr>
          <w:t>ת</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w:t>
        </w:r>
        <w:r>
          <w:rPr>
            <w:rFonts w:eastAsia="Times New Roman" w:hint="eastAsia"/>
            <w:color w:val="0000FF"/>
            <w:u w:val="single"/>
            <w:rtl/>
          </w:rPr>
          <w:t>מחוזי</w:t>
        </w:r>
        <w:r>
          <w:rPr>
            <w:rFonts w:eastAsia="Times New Roman"/>
            <w:color w:val="0000FF"/>
            <w:u w:val="single"/>
            <w:rtl/>
          </w:rPr>
          <w:t xml:space="preserve"> </w:t>
        </w:r>
        <w:r>
          <w:rPr>
            <w:rFonts w:eastAsia="Times New Roman" w:hint="eastAsia"/>
            <w:color w:val="0000FF"/>
            <w:u w:val="single"/>
            <w:rtl/>
          </w:rPr>
          <w:t>חיפה</w:t>
        </w:r>
        <w:r>
          <w:rPr>
            <w:rFonts w:eastAsia="Times New Roman"/>
            <w:color w:val="0000FF"/>
            <w:u w:val="single"/>
            <w:rtl/>
          </w:rPr>
          <w:t>) 1108-05-15</w:t>
        </w:r>
      </w:hyperlink>
      <w:r>
        <w:rPr>
          <w:rFonts w:eastAsia="Times New Roman" w:hint="cs"/>
          <w:rtl/>
        </w:rPr>
        <w:t xml:space="preserve"> </w:t>
      </w:r>
      <w:r>
        <w:rPr>
          <w:rFonts w:eastAsia="Times New Roman" w:hint="cs"/>
          <w:b/>
          <w:bCs/>
          <w:rtl/>
        </w:rPr>
        <w:t>מדינת ישראל נ' שמואל בן יאיר</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(08.12.2015)</w:t>
      </w:r>
      <w:r>
        <w:rPr>
          <w:rFonts w:hint="cs"/>
          <w:rtl/>
        </w:rPr>
        <w:t>:</w:t>
      </w:r>
    </w:p>
    <w:p w14:paraId="130DF22D" w14:textId="77777777" w:rsidR="007339F0" w:rsidRDefault="007339F0">
      <w:pPr>
        <w:pStyle w:val="a9"/>
        <w:ind w:left="-58" w:firstLine="0"/>
        <w:rPr>
          <w:rtl/>
        </w:rPr>
      </w:pPr>
      <w:r>
        <w:rPr>
          <w:rFonts w:hint="cs"/>
          <w:rtl/>
        </w:rPr>
        <w:t>"</w:t>
      </w:r>
      <w:r>
        <w:rPr>
          <w:rFonts w:eastAsia="Times New Roman" w:hint="cs"/>
          <w:b/>
          <w:bCs/>
          <w:rtl/>
        </w:rPr>
        <w:t>לגישתי, בעסקאות של סחר בסמים, כאשר לא קיים תכנון מוקדם מראש של סדרת העסקאות, כשהפרשי הזמן בהם הן נעשו משתרעים על מספר שבועות בין האחת לשנייה, וכאשר נדרשה בכל פעם היערכות חדשה, "הזמנה" חדשה של הסם, תכנון אחר ושונה של מקום המפגש – אין לראות בכל העסקאות יחד, בדיעבד, כ"אירוע" אחד לפי סעיף 40יג(א) ל</w:t>
      </w:r>
      <w:hyperlink r:id="rId32" w:history="1">
        <w:r>
          <w:rPr>
            <w:rFonts w:eastAsia="Times New Roman" w:hint="eastAsia"/>
            <w:b/>
            <w:bCs/>
            <w:color w:val="0000FF"/>
            <w:u w:val="single"/>
            <w:rtl/>
          </w:rPr>
          <w:t>חוק</w:t>
        </w:r>
        <w:r>
          <w:rPr>
            <w:rFonts w:eastAsia="Times New Roman"/>
            <w:b/>
            <w:bCs/>
            <w:color w:val="0000FF"/>
            <w:u w:val="single"/>
            <w:rtl/>
          </w:rPr>
          <w:t xml:space="preserve"> </w:t>
        </w:r>
        <w:r>
          <w:rPr>
            <w:rFonts w:eastAsia="Times New Roman" w:hint="eastAsia"/>
            <w:b/>
            <w:bCs/>
            <w:color w:val="0000FF"/>
            <w:u w:val="single"/>
            <w:rtl/>
          </w:rPr>
          <w:t>העונשין</w:t>
        </w:r>
      </w:hyperlink>
      <w:r>
        <w:rPr>
          <w:rFonts w:hint="cs"/>
          <w:rtl/>
        </w:rPr>
        <w:t>".</w:t>
      </w:r>
    </w:p>
    <w:p w14:paraId="19106963" w14:textId="77777777" w:rsidR="007339F0" w:rsidRDefault="007339F0">
      <w:pPr>
        <w:pStyle w:val="a9"/>
        <w:ind w:left="-58" w:firstLine="0"/>
        <w:rPr>
          <w:rtl/>
        </w:rPr>
      </w:pPr>
      <w:r>
        <w:rPr>
          <w:rFonts w:hint="cs"/>
          <w:rtl/>
        </w:rPr>
        <w:t xml:space="preserve">אמנם בפסק הדין שלעיל דובר בהפרש של כמה שבועות בין עסקה לעסקה, אך ברי כי הרציונל העומד מאחורי הדברים יפה גם לענייננו (כן ראו והשוו לדבריו של בית המשפט המחוזי </w:t>
      </w:r>
      <w:r>
        <w:rPr>
          <w:rFonts w:hint="cs"/>
          <w:u w:val="single"/>
          <w:rtl/>
        </w:rPr>
        <w:t>ב</w:t>
      </w:r>
      <w:hyperlink r:id="rId33" w:history="1">
        <w:r>
          <w:rPr>
            <w:rFonts w:eastAsia="Times New Roman" w:hint="eastAsia"/>
            <w:color w:val="0000FF"/>
            <w:u w:val="single"/>
            <w:rtl/>
          </w:rPr>
          <w:t>עפ</w:t>
        </w:r>
        <w:r>
          <w:rPr>
            <w:rFonts w:eastAsia="Times New Roman"/>
            <w:color w:val="0000FF"/>
            <w:u w:val="single"/>
            <w:rtl/>
          </w:rPr>
          <w:t>"</w:t>
        </w:r>
        <w:r>
          <w:rPr>
            <w:rFonts w:eastAsia="Times New Roman" w:hint="eastAsia"/>
            <w:color w:val="0000FF"/>
            <w:u w:val="single"/>
            <w:rtl/>
          </w:rPr>
          <w:t>ג</w:t>
        </w:r>
        <w:r>
          <w:rPr>
            <w:rFonts w:eastAsia="Times New Roman"/>
            <w:color w:val="0000FF"/>
            <w:u w:val="single"/>
            <w:rtl/>
          </w:rPr>
          <w:t xml:space="preserve"> (</w:t>
        </w:r>
        <w:r>
          <w:rPr>
            <w:rFonts w:eastAsia="Times New Roman" w:hint="eastAsia"/>
            <w:color w:val="0000FF"/>
            <w:u w:val="single"/>
            <w:rtl/>
          </w:rPr>
          <w:t>מחוזי</w:t>
        </w:r>
        <w:r>
          <w:rPr>
            <w:rFonts w:eastAsia="Times New Roman"/>
            <w:color w:val="0000FF"/>
            <w:u w:val="single"/>
            <w:rtl/>
          </w:rPr>
          <w:t xml:space="preserve"> </w:t>
        </w:r>
        <w:r>
          <w:rPr>
            <w:rFonts w:eastAsia="Times New Roman" w:hint="eastAsia"/>
            <w:color w:val="0000FF"/>
            <w:u w:val="single"/>
            <w:rtl/>
          </w:rPr>
          <w:t>באר</w:t>
        </w:r>
        <w:r>
          <w:rPr>
            <w:rFonts w:eastAsia="Times New Roman"/>
            <w:color w:val="0000FF"/>
            <w:u w:val="single"/>
            <w:rtl/>
          </w:rPr>
          <w:t xml:space="preserve"> </w:t>
        </w:r>
        <w:r>
          <w:rPr>
            <w:rFonts w:eastAsia="Times New Roman" w:hint="eastAsia"/>
            <w:color w:val="0000FF"/>
            <w:u w:val="single"/>
            <w:rtl/>
          </w:rPr>
          <w:t>שבע</w:t>
        </w:r>
        <w:r>
          <w:rPr>
            <w:rFonts w:eastAsia="Times New Roman"/>
            <w:color w:val="0000FF"/>
            <w:u w:val="single"/>
            <w:rtl/>
          </w:rPr>
          <w:t>) 31724-10-13</w:t>
        </w:r>
      </w:hyperlink>
      <w:r>
        <w:rPr>
          <w:rFonts w:eastAsia="Times New Roman" w:hint="cs"/>
          <w:u w:val="single"/>
          <w:rtl/>
        </w:rPr>
        <w:t>‏ ‏</w:t>
      </w:r>
      <w:r>
        <w:rPr>
          <w:rFonts w:eastAsia="Times New Roman" w:hint="cs"/>
          <w:b/>
          <w:bCs/>
          <w:rtl/>
        </w:rPr>
        <w:t>ליאור מלכם נ' מדינת ישראל</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(08.01.2014)</w:t>
      </w:r>
      <w:r>
        <w:rPr>
          <w:rFonts w:hint="cs"/>
          <w:rtl/>
        </w:rPr>
        <w:t>). עוד ייאמר, כי לנוכח הפרמטרים שנמנו לעיל, מסקנתי לפיה יש לקבוע מתחם עונש נפרד בגין כל אישום, אף מתחזקת ככל שעסקינן באישום השלישי, שם מיוחסת לנאשם עבירה של החזקת סם לצריכה עצמית.</w:t>
      </w:r>
    </w:p>
    <w:p w14:paraId="25A7C7EB" w14:textId="77777777" w:rsidR="007339F0" w:rsidRDefault="007339F0">
      <w:pPr>
        <w:pStyle w:val="a9"/>
        <w:numPr>
          <w:ilvl w:val="0"/>
          <w:numId w:val="2"/>
        </w:numPr>
        <w:ind w:left="-58"/>
        <w:rPr>
          <w:rtl/>
        </w:rPr>
      </w:pPr>
      <w:r>
        <w:rPr>
          <w:rFonts w:hint="cs"/>
          <w:rtl/>
        </w:rPr>
        <w:t xml:space="preserve">לצד אלה, אציין כבר עתה כי לנוכח הזיקה החזקה בין העבירות באישומים השונים, ובשים לב להוראות </w:t>
      </w:r>
      <w:hyperlink r:id="rId34" w:history="1">
        <w:r>
          <w:rPr>
            <w:rFonts w:hint="cs"/>
            <w:color w:val="0000FF"/>
            <w:u w:val="single"/>
            <w:rtl/>
          </w:rPr>
          <w:t>סעיפים</w:t>
        </w:r>
        <w:r>
          <w:rPr>
            <w:color w:val="0000FF"/>
            <w:u w:val="single"/>
            <w:rtl/>
          </w:rPr>
          <w:t xml:space="preserve"> 40</w:t>
        </w:r>
        <w:r>
          <w:rPr>
            <w:rFonts w:hint="cs"/>
            <w:color w:val="0000FF"/>
            <w:u w:val="single"/>
            <w:rtl/>
          </w:rPr>
          <w:t>יג</w:t>
        </w:r>
        <w:r>
          <w:rPr>
            <w:color w:val="0000FF"/>
            <w:u w:val="single"/>
            <w:rtl/>
          </w:rPr>
          <w:t>(</w:t>
        </w:r>
        <w:r>
          <w:rPr>
            <w:rFonts w:hint="cs"/>
            <w:color w:val="0000FF"/>
            <w:u w:val="single"/>
            <w:rtl/>
          </w:rPr>
          <w:t>ב</w:t>
        </w:r>
        <w:r>
          <w:rPr>
            <w:color w:val="0000FF"/>
            <w:u w:val="single"/>
            <w:rtl/>
          </w:rPr>
          <w:t>)</w:t>
        </w:r>
      </w:hyperlink>
      <w:r>
        <w:rPr>
          <w:rFonts w:hint="cs"/>
          <w:rtl/>
        </w:rPr>
        <w:t xml:space="preserve"> ו- (</w:t>
      </w:r>
      <w:hyperlink r:id="rId35" w:history="1">
        <w:r>
          <w:rPr>
            <w:rFonts w:hint="cs"/>
            <w:color w:val="0000FF"/>
            <w:u w:val="single"/>
            <w:rtl/>
          </w:rPr>
          <w:t>ג</w:t>
        </w:r>
      </w:hyperlink>
      <w:r>
        <w:rPr>
          <w:rFonts w:hint="cs"/>
          <w:rtl/>
        </w:rPr>
        <w:t>) ל</w:t>
      </w:r>
      <w:hyperlink r:id="rId36" w:history="1">
        <w:r>
          <w:rPr>
            <w:rFonts w:hint="cs"/>
            <w:color w:val="0000FF"/>
            <w:u w:val="single"/>
            <w:rtl/>
          </w:rPr>
          <w:t>חוק</w:t>
        </w:r>
        <w:r>
          <w:rPr>
            <w:color w:val="0000FF"/>
            <w:u w:val="single"/>
            <w:rtl/>
          </w:rPr>
          <w:t xml:space="preserve"> </w:t>
        </w:r>
        <w:r>
          <w:rPr>
            <w:rFonts w:hint="cs"/>
            <w:color w:val="0000FF"/>
            <w:u w:val="single"/>
            <w:rtl/>
          </w:rPr>
          <w:t>העונשין</w:t>
        </w:r>
      </w:hyperlink>
      <w:r>
        <w:rPr>
          <w:rFonts w:hint="cs"/>
          <w:rtl/>
        </w:rPr>
        <w:t>, אגזור עונש כולל אחד בגין שלושת האירועים, ובכך גם יישמר יחס הולם בין חומרת מכלול מעשיו של הנאשם לבין העונש שייגזר עליו בסופו של יום.</w:t>
      </w:r>
    </w:p>
    <w:p w14:paraId="30AD4AC1" w14:textId="77777777" w:rsidR="007339F0" w:rsidRDefault="007339F0">
      <w:pPr>
        <w:pStyle w:val="a9"/>
        <w:numPr>
          <w:ilvl w:val="0"/>
          <w:numId w:val="2"/>
        </w:numPr>
        <w:ind w:left="-58"/>
      </w:pPr>
      <w:r>
        <w:rPr>
          <w:rFonts w:hint="cs"/>
          <w:rtl/>
        </w:rPr>
        <w:t>לאור האמור, בהתאם למתווה שקבע המחוקק בתיקון 113 ל</w:t>
      </w:r>
      <w:hyperlink r:id="rId37" w:history="1">
        <w:r>
          <w:rPr>
            <w:rFonts w:hint="cs"/>
            <w:color w:val="0000FF"/>
            <w:u w:val="single"/>
            <w:rtl/>
          </w:rPr>
          <w:t>חוק</w:t>
        </w:r>
        <w:r>
          <w:rPr>
            <w:color w:val="0000FF"/>
            <w:u w:val="single"/>
            <w:rtl/>
          </w:rPr>
          <w:t xml:space="preserve"> </w:t>
        </w:r>
        <w:r>
          <w:rPr>
            <w:rFonts w:hint="cs"/>
            <w:color w:val="0000FF"/>
            <w:u w:val="single"/>
            <w:rtl/>
          </w:rPr>
          <w:t>העונשין</w:t>
        </w:r>
      </w:hyperlink>
      <w:r>
        <w:rPr>
          <w:rFonts w:hint="cs"/>
          <w:rtl/>
        </w:rPr>
        <w:t xml:space="preserve">, התשל"ז-1977 (להלן: </w:t>
      </w:r>
      <w:r>
        <w:rPr>
          <w:rFonts w:hint="cs"/>
          <w:b/>
          <w:bCs/>
          <w:rtl/>
        </w:rPr>
        <w:t>"חוק העונשין"</w:t>
      </w:r>
      <w:r>
        <w:rPr>
          <w:rFonts w:hint="cs"/>
          <w:rtl/>
        </w:rPr>
        <w:t xml:space="preserve">), ופורש לאחר מכן בפסיקתו של בית המשפט העליון, בשלב הראשון יקבע בית המשפט את מתחם העונש ההולם בגין כל אירוע; ולאחר מכן יגזור את העונש המתאים לנאשם, תוך בחינה אם יש מקום לסטות מהמתחמים שנקבעו או שמא יש לקבוע את העונש בגדרם (אודות המתווה לגזירת העונש, ראו למשל: </w:t>
      </w:r>
      <w:hyperlink r:id="rId38"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8641/12</w:t>
        </w:r>
      </w:hyperlink>
      <w:r>
        <w:rPr>
          <w:rFonts w:hint="cs"/>
          <w:rtl/>
        </w:rPr>
        <w:t xml:space="preserve"> </w:t>
      </w:r>
      <w:r>
        <w:rPr>
          <w:rFonts w:hint="cs"/>
          <w:b/>
          <w:bCs/>
          <w:rtl/>
        </w:rPr>
        <w:t>מוחמד סעד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(05.08.2013))</w:t>
      </w:r>
    </w:p>
    <w:p w14:paraId="0319936D" w14:textId="77777777" w:rsidR="007339F0" w:rsidRDefault="007339F0">
      <w:pPr>
        <w:pStyle w:val="1"/>
        <w:numPr>
          <w:ilvl w:val="0"/>
          <w:numId w:val="4"/>
        </w:numPr>
        <w:spacing w:after="160" w:line="360" w:lineRule="auto"/>
        <w:ind w:left="360"/>
        <w:jc w:val="both"/>
        <w:rPr>
          <w:rFonts w:cs="David"/>
          <w:b/>
          <w:bCs/>
          <w:color w:val="auto"/>
        </w:rPr>
      </w:pPr>
      <w:r>
        <w:rPr>
          <w:rFonts w:cs="David" w:hint="cs"/>
          <w:b/>
          <w:bCs/>
          <w:color w:val="auto"/>
          <w:rtl/>
        </w:rPr>
        <w:t>קביעת מתחם העונש ההולם</w:t>
      </w:r>
    </w:p>
    <w:p w14:paraId="073970C0" w14:textId="77777777" w:rsidR="007339F0" w:rsidRDefault="007339F0">
      <w:pPr>
        <w:pStyle w:val="a9"/>
        <w:numPr>
          <w:ilvl w:val="0"/>
          <w:numId w:val="2"/>
        </w:numPr>
        <w:ind w:left="-58"/>
        <w:rPr>
          <w:rtl/>
        </w:rPr>
      </w:pPr>
      <w:r>
        <w:rPr>
          <w:rFonts w:hint="cs"/>
          <w:rtl/>
        </w:rPr>
        <w:t xml:space="preserve">כאמור </w:t>
      </w:r>
      <w:hyperlink r:id="rId39" w:history="1">
        <w:r>
          <w:rPr>
            <w:rFonts w:hint="cs"/>
            <w:color w:val="0000FF"/>
            <w:u w:val="single"/>
            <w:rtl/>
          </w:rPr>
          <w:t>בסעיף</w:t>
        </w:r>
        <w:r>
          <w:rPr>
            <w:color w:val="0000FF"/>
            <w:u w:val="single"/>
            <w:rtl/>
          </w:rPr>
          <w:t xml:space="preserve"> 40</w:t>
        </w:r>
        <w:r>
          <w:rPr>
            <w:rFonts w:hint="cs"/>
            <w:color w:val="0000FF"/>
            <w:u w:val="single"/>
            <w:rtl/>
          </w:rPr>
          <w:t>ג</w:t>
        </w:r>
        <w:r>
          <w:rPr>
            <w:color w:val="0000FF"/>
            <w:u w:val="single"/>
            <w:rtl/>
          </w:rPr>
          <w:t>(</w:t>
        </w:r>
        <w:r>
          <w:rPr>
            <w:rFonts w:hint="cs"/>
            <w:color w:val="0000FF"/>
            <w:u w:val="single"/>
            <w:rtl/>
          </w:rPr>
          <w:t>א</w:t>
        </w:r>
        <w:r>
          <w:rPr>
            <w:color w:val="0000FF"/>
            <w:u w:val="single"/>
            <w:rtl/>
          </w:rPr>
          <w:t>)</w:t>
        </w:r>
      </w:hyperlink>
      <w:r>
        <w:rPr>
          <w:rFonts w:hint="cs"/>
          <w:rtl/>
        </w:rPr>
        <w:t xml:space="preserve"> ל</w:t>
      </w:r>
      <w:hyperlink r:id="rId40" w:history="1">
        <w:r>
          <w:rPr>
            <w:rFonts w:hint="cs"/>
            <w:color w:val="0000FF"/>
            <w:u w:val="single"/>
            <w:rtl/>
          </w:rPr>
          <w:t>חוק</w:t>
        </w:r>
        <w:r>
          <w:rPr>
            <w:color w:val="0000FF"/>
            <w:u w:val="single"/>
            <w:rtl/>
          </w:rPr>
          <w:t xml:space="preserve"> </w:t>
        </w:r>
        <w:r>
          <w:rPr>
            <w:rFonts w:hint="cs"/>
            <w:color w:val="0000FF"/>
            <w:u w:val="single"/>
            <w:rtl/>
          </w:rPr>
          <w:t>העונשין</w:t>
        </w:r>
      </w:hyperlink>
      <w:r>
        <w:rPr>
          <w:rFonts w:hint="cs"/>
          <w:rtl/>
        </w:rPr>
        <w:t>, קביעת מתחמי הענישה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41A7396A" w14:textId="77777777" w:rsidR="007339F0" w:rsidRDefault="007339F0">
      <w:pPr>
        <w:pStyle w:val="a9"/>
        <w:numPr>
          <w:ilvl w:val="0"/>
          <w:numId w:val="2"/>
        </w:numPr>
        <w:ind w:left="-58"/>
      </w:pPr>
      <w:r>
        <w:rPr>
          <w:rFonts w:ascii="Times New Roman" w:eastAsia="Times New Roman" w:hAnsi="Times New Roman" w:hint="cs"/>
          <w:rtl/>
        </w:rPr>
        <w:t xml:space="preserve">אשר </w:t>
      </w:r>
      <w:r>
        <w:rPr>
          <w:rFonts w:ascii="Times New Roman" w:eastAsia="Times New Roman" w:hAnsi="Times New Roman" w:hint="cs"/>
          <w:b/>
          <w:bCs/>
          <w:rtl/>
        </w:rPr>
        <w:t>לערכים החברתיים המוגנים</w:t>
      </w:r>
      <w:r>
        <w:rPr>
          <w:rFonts w:ascii="Times New Roman" w:eastAsia="Times New Roman" w:hAnsi="Times New Roman" w:hint="cs"/>
          <w:rtl/>
        </w:rPr>
        <w:t xml:space="preserve"> אשר נפגעו כתוצאה ממעשיו של הנאשם, נדמה כי אין צורך להכביר מילים אודות החומרה הרבה הכרוכה בעבירות הסמים בכלל, ובעבירות הסחר בפרט. </w:t>
      </w:r>
      <w:hyperlink r:id="rId41" w:history="1">
        <w:r>
          <w:rPr>
            <w:rFonts w:ascii="Times New Roman" w:eastAsia="Times New Roman" w:hAnsi="Times New Roman"/>
            <w:color w:val="0000FF"/>
            <w:u w:val="single"/>
            <w:rtl/>
          </w:rPr>
          <w:t>פקודת הסמים המסוכנים</w:t>
        </w:r>
      </w:hyperlink>
      <w:r>
        <w:rPr>
          <w:rFonts w:ascii="Times New Roman" w:eastAsia="Times New Roman" w:hAnsi="Times New Roman" w:hint="cs"/>
          <w:rtl/>
        </w:rPr>
        <w:t xml:space="preserve"> נחקקה על מנת להגן על ערכים חברתיים מרכזיים ובראשם החובה להגן על שלומו של הציבור, בריאותו, בטחונו האישי ועל רכושו</w:t>
      </w:r>
      <w:r>
        <w:rPr>
          <w:rFonts w:eastAsia="Times New Roman" w:hint="cs"/>
          <w:rtl/>
        </w:rPr>
        <w:t>.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r>
        <w:rPr>
          <w:rFonts w:hint="cs"/>
          <w:rtl/>
        </w:rPr>
        <w:t xml:space="preserve"> לאור אלה, אף נדמה כי לא בכדי מצא המחוקק לקבוע לצדה של עבירת הסחר בסם עונש מרבי חמור של</w:t>
      </w:r>
      <w:r>
        <w:rPr>
          <w:rFonts w:hint="cs"/>
          <w:rtl/>
        </w:rPr>
        <w:t xml:space="preserve"> 20 שנות מאסר.</w:t>
      </w:r>
    </w:p>
    <w:p w14:paraId="475262CD" w14:textId="77777777" w:rsidR="007339F0" w:rsidRDefault="007339F0">
      <w:pPr>
        <w:pStyle w:val="a9"/>
        <w:numPr>
          <w:ilvl w:val="0"/>
          <w:numId w:val="2"/>
        </w:numPr>
        <w:ind w:left="-58"/>
      </w:pPr>
      <w:r>
        <w:rPr>
          <w:rFonts w:hint="cs"/>
          <w:rtl/>
        </w:rPr>
        <w:t>לנוכח הנסיבות הקשורות בביצוע העבירות, כפי שיפורט להלן, ובייחוד בשים לב לסוג הסם שבו הנאשם סחר וסייע לסחור בשתי הזדמנויות שונות (והחזיק בביתו בהזדמנות אחרת), משקלו, והתמורה שהתקבלה בעדו, מצאתי כי במקרה הנדון</w:t>
      </w:r>
      <w:r>
        <w:rPr>
          <w:rFonts w:hint="cs"/>
          <w:b/>
          <w:bCs/>
          <w:rtl/>
        </w:rPr>
        <w:t>, מידת הפגיעה</w:t>
      </w:r>
      <w:r>
        <w:rPr>
          <w:rFonts w:hint="cs"/>
          <w:rtl/>
        </w:rPr>
        <w:t xml:space="preserve"> בערכים המוגנים מצויה ברף בינוני-נמוך.</w:t>
      </w:r>
    </w:p>
    <w:p w14:paraId="3EA53215" w14:textId="77777777" w:rsidR="007339F0" w:rsidRDefault="007339F0">
      <w:pPr>
        <w:pStyle w:val="a9"/>
        <w:numPr>
          <w:ilvl w:val="0"/>
          <w:numId w:val="2"/>
        </w:numPr>
        <w:ind w:left="-58"/>
      </w:pPr>
      <w:r>
        <w:rPr>
          <w:rFonts w:eastAsia="Times New Roman" w:hint="cs"/>
          <w:rtl/>
        </w:rPr>
        <w:t xml:space="preserve">בבחינת </w:t>
      </w:r>
      <w:r>
        <w:rPr>
          <w:rFonts w:eastAsia="Times New Roman" w:hint="cs"/>
          <w:b/>
          <w:bCs/>
          <w:rtl/>
        </w:rPr>
        <w:t>הנסיבות הקשורות בביצוע העבירות</w:t>
      </w:r>
      <w:r>
        <w:rPr>
          <w:rFonts w:eastAsia="Times New Roman" w:hint="cs"/>
          <w:rtl/>
        </w:rPr>
        <w:t>, נתתי דעתי בראש ובראשונה לסוג הסם שהנאשם סחר, סייע לסחור, והחזיק לצריכתו העצמית. המדובר בחשיש, הנמנה עם "הסמים הקלים". ברי, כטענת המאשימה, כי אין להקל ראש גם בסם מסוג זה. ועדיין, אין להתעלם מכך ששנים רבות של מחקרים מדעיים שנעשו בתחום, מלמדים כי הנזקים שסם זה מביא עמו אינם קשים כמו הנזקים הנגרמים עקב שימוש בסם כגון ההרואין או הקוקאין, ומכאן שאין דין סחר או סיוע לסחר בסם מסוכן מסוג חשיש כדין סחר או סיוע לסחר בסמים קשים וקטלניים כגון אלו שנמנו לעיל. כמו כן, נתתי דעתי לכך שמשקלי ה</w:t>
      </w:r>
      <w:r>
        <w:rPr>
          <w:rFonts w:eastAsia="Times New Roman" w:hint="cs"/>
          <w:rtl/>
        </w:rPr>
        <w:t>סם שהנאשם החזיק, סחר וסייע לסחור בו אינם גבוהים במיוחד, ודברים דומים צריכים להיאמר</w:t>
      </w:r>
      <w:r>
        <w:rPr>
          <w:rFonts w:hint="cs"/>
          <w:rtl/>
        </w:rPr>
        <w:t xml:space="preserve"> גם בכל הנוגע לתמורה שהתקבלה בעדו. </w:t>
      </w:r>
    </w:p>
    <w:p w14:paraId="627F20C6" w14:textId="77777777" w:rsidR="007339F0" w:rsidRDefault="007339F0">
      <w:pPr>
        <w:pStyle w:val="a9"/>
        <w:ind w:left="-58" w:firstLine="0"/>
      </w:pPr>
      <w:r>
        <w:rPr>
          <w:rFonts w:hint="cs"/>
          <w:rtl/>
        </w:rPr>
        <w:t xml:space="preserve">עוד ובכל הנוגע לעבירת הסיוע לסחר, ייאמר כי לא בצורה אוטומטית ייקבע בגינה מתחם עונש הולם שהינו מחצית מהמתחם שייקבע בגין עבירת הסחר. אמנם לפי </w:t>
      </w:r>
      <w:hyperlink r:id="rId42" w:history="1">
        <w:r>
          <w:rPr>
            <w:rFonts w:hint="cs"/>
            <w:color w:val="0000FF"/>
            <w:u w:val="single"/>
            <w:rtl/>
          </w:rPr>
          <w:t>סעיף</w:t>
        </w:r>
        <w:r>
          <w:rPr>
            <w:color w:val="0000FF"/>
            <w:u w:val="single"/>
            <w:rtl/>
          </w:rPr>
          <w:t xml:space="preserve"> 32</w:t>
        </w:r>
      </w:hyperlink>
      <w:r>
        <w:rPr>
          <w:rFonts w:hint="cs"/>
          <w:rtl/>
        </w:rPr>
        <w:t xml:space="preserve"> ל</w:t>
      </w:r>
      <w:hyperlink r:id="rId43" w:history="1">
        <w:r>
          <w:rPr>
            <w:rFonts w:hint="cs"/>
            <w:color w:val="0000FF"/>
            <w:u w:val="single"/>
            <w:rtl/>
          </w:rPr>
          <w:t>חוק</w:t>
        </w:r>
        <w:r>
          <w:rPr>
            <w:color w:val="0000FF"/>
            <w:u w:val="single"/>
            <w:rtl/>
          </w:rPr>
          <w:t xml:space="preserve"> </w:t>
        </w:r>
        <w:r>
          <w:rPr>
            <w:rFonts w:hint="cs"/>
            <w:color w:val="0000FF"/>
            <w:u w:val="single"/>
            <w:rtl/>
          </w:rPr>
          <w:t>העונשין</w:t>
        </w:r>
      </w:hyperlink>
      <w:r>
        <w:rPr>
          <w:rFonts w:hint="cs"/>
          <w:rtl/>
        </w:rPr>
        <w:t xml:space="preserve">, עונשו של המסייע לעבור עבירה הינו מחצית העונש שנקבע בחיקוק בשל ביצועה העיקרי. יחד עם זאת, כשם שעונשו של כל נאשם בסיוע לעבירה זו אחרת צריך להיבחן לגופו, כך גם קביעת מתחם העונש ההולם בעניינו צריכה להיעשות בהתאם לכלל הפרמטרים הנקובים </w:t>
      </w:r>
      <w:hyperlink r:id="rId44" w:history="1">
        <w:r>
          <w:rPr>
            <w:rFonts w:hint="cs"/>
            <w:color w:val="0000FF"/>
            <w:u w:val="single"/>
            <w:rtl/>
          </w:rPr>
          <w:t>בסעיף</w:t>
        </w:r>
        <w:r>
          <w:rPr>
            <w:color w:val="0000FF"/>
            <w:u w:val="single"/>
            <w:rtl/>
          </w:rPr>
          <w:t xml:space="preserve"> 40</w:t>
        </w:r>
        <w:r>
          <w:rPr>
            <w:rFonts w:hint="cs"/>
            <w:color w:val="0000FF"/>
            <w:u w:val="single"/>
            <w:rtl/>
          </w:rPr>
          <w:t>ג</w:t>
        </w:r>
        <w:r>
          <w:rPr>
            <w:color w:val="0000FF"/>
            <w:u w:val="single"/>
            <w:rtl/>
          </w:rPr>
          <w:t>(</w:t>
        </w:r>
        <w:r>
          <w:rPr>
            <w:rFonts w:hint="cs"/>
            <w:color w:val="0000FF"/>
            <w:u w:val="single"/>
            <w:rtl/>
          </w:rPr>
          <w:t>א</w:t>
        </w:r>
        <w:r>
          <w:rPr>
            <w:color w:val="0000FF"/>
            <w:u w:val="single"/>
            <w:rtl/>
          </w:rPr>
          <w:t>)</w:t>
        </w:r>
      </w:hyperlink>
      <w:r>
        <w:rPr>
          <w:rFonts w:hint="cs"/>
          <w:rtl/>
        </w:rPr>
        <w:t xml:space="preserve"> לחוק, ובשים לב למאפייניו ומרכיביו של מעשה הסיוע עצמו. כך למשל, לא ניתן לומר כי דינו של סיוע בדמות הסעת המבצע העיקרי ברכב למקום ביצוע עסקת הסחר ועזרה במילוטו, למשל, כדין סיוע בדמות הַעֲבָרָה פיזית בלבד של הסם. במקרה הנדון, עסקינן בסיוע ממשי לעבירת הסחר, וזאת בשים לב לכך שהנאשם הוא שמשוחח עם הסוכן; הוא שנפגש עימו ומקבל מידיו את הכסף בעד הסם המבוקש; והוא שבסופו של דבר מעביר את הסם לידיו של הסוכן.</w:t>
      </w:r>
    </w:p>
    <w:p w14:paraId="42194145" w14:textId="77777777" w:rsidR="007339F0" w:rsidRDefault="007339F0">
      <w:pPr>
        <w:pStyle w:val="a9"/>
        <w:ind w:left="-58" w:firstLine="0"/>
        <w:rPr>
          <w:rFonts w:eastAsia="Times New Roman"/>
          <w:rtl/>
        </w:rPr>
      </w:pPr>
      <w:r>
        <w:rPr>
          <w:rFonts w:hint="cs"/>
          <w:rtl/>
        </w:rPr>
        <w:t>עוד בבחינת הנסיבות הקשורות בביצוע העבירות, נתתי דעתי לעובדה כי לעבירות הסחר והסיוע לסחר קדם תכנון מו</w:t>
      </w:r>
      <w:r>
        <w:rPr>
          <w:rFonts w:hint="cs"/>
          <w:rtl/>
        </w:rPr>
        <w:t xml:space="preserve">קדם מצדו של הנאשם, ולו ברמה כזו או אחרת. </w:t>
      </w:r>
      <w:r>
        <w:rPr>
          <w:rFonts w:eastAsia="Times New Roman" w:hint="cs"/>
          <w:rtl/>
        </w:rPr>
        <w:t>אין המדובר במשתמש מכור לסמים אשר בספונטניות מנצל הזדמנות שבאה לפתחו ומוכר חלק ממנת הסם שלו, כדי לממן לעצמו את מנת הסם הבאה. במקרה הנדון, הנאשם והסוכן משוחחים זה עם זה, תוך שבאחת הפעמים הסוכן מבקש מפורשות לרכוש חשיש ואף נוקב בסכום הרצוי; בהמשך לשיחתם, השניים נפגשים; והנאשם מספק לסוכן את מבוקשו בתמורה לסכום הכסף שאותו הוא מקבל מידו. במעשים אלה, כאמור, יש כדי ללמד כי עבירות הסחר בוצעו שלא בצורה ספונטנית גרידא. כאן אף יוער, כי באישום השני מבקש הסוכן מהנאשם "שיארגן לו", ו</w:t>
      </w:r>
      <w:r>
        <w:rPr>
          <w:rFonts w:eastAsia="Times New Roman" w:hint="cs"/>
          <w:rtl/>
        </w:rPr>
        <w:t xml:space="preserve">מכאן אנו למדים כי האחרון בקי בסלנג העברייני של עולם המשתמשים בסמים, ונדמה כי עולם זה איננו זר לו. עוד ובהמשך לאמור, אף נתתי דעתי לעובדה כי באישום הראשון סייע הנאשם לסחור בסם, וזאת תוך כמה דקות בודדות מרגע ששוחח עם הסוכן בטלפון, ויש בכך כדי ללמד אודות הנגישות הגבוהה שיש לו לאותם אלו המחזיקים בסם המבוקש ושמבקשים לסחור בו. </w:t>
      </w:r>
    </w:p>
    <w:p w14:paraId="5DE9B8C6" w14:textId="77777777" w:rsidR="007339F0" w:rsidRDefault="007339F0">
      <w:pPr>
        <w:pStyle w:val="a9"/>
        <w:ind w:left="-58" w:firstLine="0"/>
        <w:rPr>
          <w:rtl/>
        </w:rPr>
      </w:pPr>
      <w:r>
        <w:rPr>
          <w:rFonts w:hint="cs"/>
          <w:rtl/>
        </w:rPr>
        <w:t>בכל הנוגע לסיבות שהביאו את הנאשם לבצע את עבירות הסחר והסיוע לסחר, הלה מסר בשירות המבחן כי חזרתו להשתמש בסמים היא שעומדת מאחורי הדברים. בהמשך, בשלב הטיעונים לעונש, נטען מפי ההגנה כי הנאשם ני</w:t>
      </w:r>
      <w:r>
        <w:rPr>
          <w:rFonts w:hint="cs"/>
          <w:rtl/>
        </w:rPr>
        <w:t>סה להניא את הסוכן מרכישת הסמים; ואילו הנאשם עצמו טען, כי הסוכן הוא חבר ילדות שלו וכי הוא ביצע את העבירות שלא לצרכי פרנסה. כאן ייאמר, כי ניסיונותיו של הנאשם לשכנע את הסוכן שלא לרכוש סמים לא צוינו בכתב האישום המתוקן ולא הובאה בפניי כל ראיה שתוכיח טענה זו, ומכאן שלא מצאתי להעניק לה משקל. גם טענתו של הנאשם לפיה ביצע את העבירות שלא מטעמים כספיים – אין לה על מה לסמוך, שכן מהאישום השני אנו למדים כי בעבור הסם שלשל הנאשם לכיסו 200 ₪, והרי שיש בכך כדי להעיד שהנאשם סחר בסם שלא מתוך "ערכי רעות או חברות", כי אם מתוך בצע</w:t>
      </w:r>
      <w:r>
        <w:rPr>
          <w:rFonts w:hint="cs"/>
          <w:rtl/>
        </w:rPr>
        <w:t xml:space="preserve"> כסף גרידא. לצד האמור,</w:t>
      </w:r>
      <w:r>
        <w:rPr>
          <w:rFonts w:eastAsia="Times New Roman" w:hint="cs"/>
          <w:rtl/>
        </w:rPr>
        <w:t xml:space="preserve"> יש ליתן את הדעת לכך שהסוכן הוא שמבקש מהנאשם לרכוש סמים. ברי כי אין בכך כדי לפטור את האחרון מאחריותו בפלילים (והדבר אף לא נטען), אך נדמה כי ניתן להעניק לכך משקל מסוים במסגרת </w:t>
      </w:r>
      <w:hyperlink r:id="rId45" w:history="1">
        <w:r>
          <w:rPr>
            <w:rFonts w:eastAsia="Times New Roman" w:hint="eastAsia"/>
            <w:color w:val="0000FF"/>
            <w:u w:val="single"/>
            <w:rtl/>
          </w:rPr>
          <w:t>סעיפים</w:t>
        </w:r>
        <w:r>
          <w:rPr>
            <w:rFonts w:eastAsia="Times New Roman"/>
            <w:color w:val="0000FF"/>
            <w:u w:val="single"/>
            <w:rtl/>
          </w:rPr>
          <w:t xml:space="preserve"> 40</w:t>
        </w:r>
        <w:r>
          <w:rPr>
            <w:rFonts w:eastAsia="Times New Roman" w:hint="eastAsia"/>
            <w:color w:val="0000FF"/>
            <w:u w:val="single"/>
            <w:rtl/>
          </w:rPr>
          <w:t>ט</w:t>
        </w:r>
        <w:r>
          <w:rPr>
            <w:rFonts w:eastAsia="Times New Roman"/>
            <w:color w:val="0000FF"/>
            <w:u w:val="single"/>
            <w:rtl/>
          </w:rPr>
          <w:t>(</w:t>
        </w:r>
        <w:r>
          <w:rPr>
            <w:rFonts w:eastAsia="Times New Roman" w:hint="eastAsia"/>
            <w:color w:val="0000FF"/>
            <w:u w:val="single"/>
            <w:rtl/>
          </w:rPr>
          <w:t>א</w:t>
        </w:r>
        <w:r>
          <w:rPr>
            <w:rFonts w:eastAsia="Times New Roman"/>
            <w:color w:val="0000FF"/>
            <w:u w:val="single"/>
            <w:rtl/>
          </w:rPr>
          <w:t>)(2)</w:t>
        </w:r>
      </w:hyperlink>
      <w:r>
        <w:rPr>
          <w:rFonts w:eastAsia="Times New Roman" w:hint="cs"/>
          <w:rtl/>
        </w:rPr>
        <w:t xml:space="preserve"> ו- 40ט(א)(5) ל</w:t>
      </w:r>
      <w:hyperlink r:id="rId46" w:history="1">
        <w:r>
          <w:rPr>
            <w:rFonts w:eastAsia="Times New Roman" w:hint="eastAsia"/>
            <w:color w:val="0000FF"/>
            <w:u w:val="single"/>
            <w:rtl/>
          </w:rPr>
          <w:t>חוק</w:t>
        </w:r>
        <w:r>
          <w:rPr>
            <w:rFonts w:eastAsia="Times New Roman"/>
            <w:color w:val="0000FF"/>
            <w:u w:val="single"/>
            <w:rtl/>
          </w:rPr>
          <w:t xml:space="preserve"> </w:t>
        </w:r>
        <w:r>
          <w:rPr>
            <w:rFonts w:eastAsia="Times New Roman" w:hint="eastAsia"/>
            <w:color w:val="0000FF"/>
            <w:u w:val="single"/>
            <w:rtl/>
          </w:rPr>
          <w:t>העונשין</w:t>
        </w:r>
      </w:hyperlink>
      <w:r>
        <w:rPr>
          <w:rFonts w:eastAsia="Times New Roman" w:hint="cs"/>
          <w:rtl/>
        </w:rPr>
        <w:t xml:space="preserve"> (וראו גם </w:t>
      </w:r>
      <w:hyperlink r:id="rId47" w:history="1">
        <w:r>
          <w:rPr>
            <w:rFonts w:eastAsia="Times New Roman" w:hint="eastAsia"/>
            <w:color w:val="0000FF"/>
            <w:u w:val="single"/>
            <w:rtl/>
          </w:rPr>
          <w:t>ע</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1224/07</w:t>
        </w:r>
      </w:hyperlink>
      <w:r>
        <w:rPr>
          <w:rFonts w:eastAsia="Times New Roman" w:hint="cs"/>
          <w:rtl/>
        </w:rPr>
        <w:t xml:space="preserve"> </w:t>
      </w:r>
      <w:r>
        <w:rPr>
          <w:rFonts w:eastAsia="Times New Roman" w:hint="cs"/>
          <w:b/>
          <w:bCs/>
          <w:rtl/>
        </w:rPr>
        <w:t>אברהם בלדב נ' מדינת ישראל</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 xml:space="preserve">(10.02.2010); </w:t>
      </w:r>
      <w:r>
        <w:rPr>
          <w:rFonts w:eastAsia="Times New Roman" w:hint="cs"/>
          <w:u w:val="single"/>
          <w:rtl/>
        </w:rPr>
        <w:t>ו</w:t>
      </w:r>
      <w:hyperlink r:id="rId48" w:history="1">
        <w:r>
          <w:rPr>
            <w:rFonts w:eastAsia="Times New Roman" w:hint="eastAsia"/>
            <w:color w:val="0000FF"/>
            <w:u w:val="single"/>
            <w:rtl/>
          </w:rPr>
          <w:t>ע</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5268/04</w:t>
        </w:r>
      </w:hyperlink>
      <w:r>
        <w:rPr>
          <w:rFonts w:eastAsia="Times New Roman" w:hint="cs"/>
          <w:rtl/>
        </w:rPr>
        <w:t xml:space="preserve"> </w:t>
      </w:r>
      <w:r>
        <w:rPr>
          <w:rFonts w:eastAsia="Times New Roman" w:hint="cs"/>
          <w:b/>
          <w:bCs/>
          <w:rtl/>
        </w:rPr>
        <w:t>ליודמילה מינין נ' מדינת ישראל</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(07.11.2005)). אם כי, המשקל שיינתן לנסיבה זו לא יהיה גבוה. שכן, אף אם היה זה הסוכן ששתל את הרעיון בראשו של הנאשם, הרי שהוא לא הפעיל עליו כל לחץ ממשי, תוך שהנאשם היה חופשי כל העת לסרב לבקשתו.</w:t>
      </w:r>
    </w:p>
    <w:p w14:paraId="6A62736C" w14:textId="77777777" w:rsidR="007339F0" w:rsidRDefault="007339F0">
      <w:pPr>
        <w:pStyle w:val="a9"/>
        <w:ind w:left="-58" w:firstLine="0"/>
        <w:rPr>
          <w:rFonts w:eastAsia="Times New Roman"/>
          <w:rtl/>
        </w:rPr>
      </w:pPr>
      <w:r>
        <w:rPr>
          <w:rFonts w:eastAsia="Times New Roman" w:hint="cs"/>
          <w:rtl/>
        </w:rPr>
        <w:t>לבסוף, כתוצאה מביצוע עבירת הסחר לא נגרם נזק ממשי כלשהו, אולם זאת אך משום ש"הקונה" של הסם היה סוכן שהופעל על ידי משטרת ישראל. אשר על כן, אין להעניק משקל של ממש לקולא לנסיבה אחרונה זו. דברים דומים אף צריכים להיאמר בכל הנוגע להיעדר הנזק כתוצאה מביצוע העבירה של החזקת</w:t>
      </w:r>
      <w:r>
        <w:rPr>
          <w:rFonts w:eastAsia="Times New Roman" w:hint="cs"/>
          <w:rtl/>
        </w:rPr>
        <w:t xml:space="preserve"> סם לצריכה עצמית, שאותה ביצע הנאשם. שכן, אלו הן דרכן של עבירות הסמים, כאשר פעמים רבות לא ניתן להצביע על נזק מוחשי ומידי שנגרם כתוצאה מביצוען, מה שאינו מפחית כהוא זה מהנזק הרב וארוך הטווח שהן גורמות. אותו נזק ארוך טווח, אף ראוי לו שיישקל ויובא בחשבון בבחינת הנזק הפוטנציאלי הטמון בעבירות הסמים. </w:t>
      </w:r>
    </w:p>
    <w:p w14:paraId="5DF2DADD" w14:textId="77777777" w:rsidR="007339F0" w:rsidRDefault="007339F0">
      <w:pPr>
        <w:pStyle w:val="a9"/>
        <w:numPr>
          <w:ilvl w:val="0"/>
          <w:numId w:val="2"/>
        </w:numPr>
        <w:ind w:left="-58"/>
        <w:rPr>
          <w:rtl/>
        </w:rPr>
      </w:pPr>
      <w:r>
        <w:rPr>
          <w:rFonts w:hint="cs"/>
          <w:rtl/>
        </w:rPr>
        <w:t xml:space="preserve">בכל הנוגע </w:t>
      </w:r>
      <w:r>
        <w:rPr>
          <w:rFonts w:hint="cs"/>
          <w:b/>
          <w:bCs/>
          <w:rtl/>
        </w:rPr>
        <w:t>למדיניות הענישה הנוהגת</w:t>
      </w:r>
      <w:r>
        <w:rPr>
          <w:rFonts w:hint="cs"/>
          <w:rtl/>
        </w:rPr>
        <w:t xml:space="preserve">, סקירת הפסיקה מעלה כי במקרים שבהם דובר בנאשמים שהורשעו בסחר בחשיש במשקלים של גרמים בודדים (ולעיתים אף עשרות גרמים) – </w:t>
      </w:r>
      <w:r>
        <w:rPr>
          <w:rFonts w:hint="cs"/>
          <w:b/>
          <w:bCs/>
          <w:rtl/>
        </w:rPr>
        <w:t>בדרך כלל</w:t>
      </w:r>
      <w:r>
        <w:rPr>
          <w:rFonts w:hint="cs"/>
          <w:rtl/>
        </w:rPr>
        <w:t xml:space="preserve">, נקבעו בעניינם מתחמי ענישה שתחילתם במאסרים שבשים לב לאורכם ניתנים לריצוי בעבודות שירות, וסופם במאסרים ארוכים יותר, לתקופות של למעלה משנה אחת. כדוגמא לאמור, ראו למשל: </w:t>
      </w:r>
      <w:hyperlink r:id="rId49" w:history="1">
        <w:r>
          <w:rPr>
            <w:rFonts w:eastAsia="Times New Roman" w:hint="eastAsia"/>
            <w:color w:val="0000FF"/>
            <w:u w:val="single"/>
            <w:rtl/>
          </w:rPr>
          <w:t>רע</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2139/16</w:t>
        </w:r>
      </w:hyperlink>
      <w:r>
        <w:rPr>
          <w:rFonts w:eastAsia="Times New Roman" w:hint="cs"/>
          <w:rtl/>
        </w:rPr>
        <w:t xml:space="preserve"> ‏</w:t>
      </w:r>
      <w:r>
        <w:rPr>
          <w:rFonts w:eastAsia="Times New Roman" w:hint="cs"/>
          <w:b/>
          <w:bCs/>
          <w:rtl/>
        </w:rPr>
        <w:t>שלומי אברמס נ' מדינת ישראל</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(18.05.2016)</w:t>
      </w:r>
      <w:r>
        <w:rPr>
          <w:rFonts w:hint="cs"/>
          <w:rtl/>
        </w:rPr>
        <w:t xml:space="preserve">; </w:t>
      </w:r>
      <w:hyperlink r:id="rId50"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ראשון</w:t>
        </w:r>
        <w:r>
          <w:rPr>
            <w:color w:val="0000FF"/>
            <w:u w:val="single"/>
            <w:rtl/>
          </w:rPr>
          <w:t xml:space="preserve"> </w:t>
        </w:r>
        <w:r>
          <w:rPr>
            <w:rFonts w:hint="cs"/>
            <w:color w:val="0000FF"/>
            <w:u w:val="single"/>
            <w:rtl/>
          </w:rPr>
          <w:t>לציון</w:t>
        </w:r>
        <w:r>
          <w:rPr>
            <w:color w:val="0000FF"/>
            <w:u w:val="single"/>
            <w:rtl/>
          </w:rPr>
          <w:t>) 46039-04-17</w:t>
        </w:r>
      </w:hyperlink>
      <w:r>
        <w:rPr>
          <w:rFonts w:hint="cs"/>
          <w:rtl/>
        </w:rPr>
        <w:t xml:space="preserve"> </w:t>
      </w:r>
      <w:r>
        <w:rPr>
          <w:rFonts w:hint="cs"/>
          <w:b/>
          <w:bCs/>
          <w:rtl/>
        </w:rPr>
        <w:t>מדינת ישראל נ' ריצ'רד טוט</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w:t>
      </w:r>
      <w:r>
        <w:rPr>
          <w:rFonts w:ascii="Times New Roman" w:hAnsi="Times New Roman"/>
          <w:sz w:val="22"/>
          <w:rtl/>
        </w:rPr>
        <w:t xml:space="preserve"> </w:t>
      </w:r>
      <w:r>
        <w:rPr>
          <w:rFonts w:hint="cs"/>
          <w:rtl/>
        </w:rPr>
        <w:t xml:space="preserve">(30.07.2017, הוגש ערעור שטרם נדון); </w:t>
      </w:r>
      <w:hyperlink r:id="rId51"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ירושלים</w:t>
        </w:r>
        <w:r>
          <w:rPr>
            <w:color w:val="0000FF"/>
            <w:u w:val="single"/>
            <w:rtl/>
          </w:rPr>
          <w:t>) 36187-12-15</w:t>
        </w:r>
      </w:hyperlink>
      <w:r>
        <w:rPr>
          <w:rFonts w:hint="cs"/>
          <w:rtl/>
        </w:rPr>
        <w:t xml:space="preserve"> </w:t>
      </w:r>
      <w:r>
        <w:rPr>
          <w:rFonts w:hint="cs"/>
          <w:b/>
          <w:bCs/>
          <w:rtl/>
        </w:rPr>
        <w:t>מדינת ישראל נ' גלעד חדד</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(26.06.2017, הוגש ערעור שטרם נדון); </w:t>
      </w:r>
      <w:hyperlink r:id="rId52" w:history="1">
        <w:r>
          <w:rPr>
            <w:rFonts w:eastAsia="Times New Roman" w:hint="eastAsia"/>
            <w:color w:val="0000FF"/>
            <w:u w:val="single"/>
            <w:rtl/>
          </w:rPr>
          <w:t>ת</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w:t>
        </w:r>
        <w:r>
          <w:rPr>
            <w:rFonts w:eastAsia="Times New Roman" w:hint="eastAsia"/>
            <w:color w:val="0000FF"/>
            <w:u w:val="single"/>
            <w:rtl/>
          </w:rPr>
          <w:t>שלום</w:t>
        </w:r>
        <w:r>
          <w:rPr>
            <w:rFonts w:eastAsia="Times New Roman"/>
            <w:color w:val="0000FF"/>
            <w:u w:val="single"/>
            <w:rtl/>
          </w:rPr>
          <w:t xml:space="preserve"> </w:t>
        </w:r>
        <w:r>
          <w:rPr>
            <w:rFonts w:eastAsia="Times New Roman" w:hint="eastAsia"/>
            <w:color w:val="0000FF"/>
            <w:u w:val="single"/>
            <w:rtl/>
          </w:rPr>
          <w:t>פתח</w:t>
        </w:r>
        <w:r>
          <w:rPr>
            <w:rFonts w:eastAsia="Times New Roman"/>
            <w:color w:val="0000FF"/>
            <w:u w:val="single"/>
            <w:rtl/>
          </w:rPr>
          <w:t xml:space="preserve"> </w:t>
        </w:r>
        <w:r>
          <w:rPr>
            <w:rFonts w:eastAsia="Times New Roman" w:hint="eastAsia"/>
            <w:color w:val="0000FF"/>
            <w:u w:val="single"/>
            <w:rtl/>
          </w:rPr>
          <w:t>תקוה</w:t>
        </w:r>
        <w:r>
          <w:rPr>
            <w:rFonts w:eastAsia="Times New Roman"/>
            <w:color w:val="0000FF"/>
            <w:u w:val="single"/>
            <w:rtl/>
          </w:rPr>
          <w:t>) 26717-06-14</w:t>
        </w:r>
      </w:hyperlink>
      <w:r>
        <w:rPr>
          <w:rFonts w:eastAsia="Times New Roman" w:hint="cs"/>
          <w:rtl/>
        </w:rPr>
        <w:t xml:space="preserve"> </w:t>
      </w:r>
      <w:r>
        <w:rPr>
          <w:rFonts w:eastAsia="Times New Roman" w:hint="cs"/>
          <w:b/>
          <w:bCs/>
          <w:rtl/>
        </w:rPr>
        <w:t>מדינת ישראל נ' סלים סואלחי</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(09.02.2016)</w:t>
      </w:r>
      <w:r>
        <w:rPr>
          <w:rFonts w:hint="cs"/>
          <w:rtl/>
        </w:rPr>
        <w:t xml:space="preserve">; </w:t>
      </w:r>
      <w:hyperlink r:id="rId53" w:history="1">
        <w:r>
          <w:rPr>
            <w:rFonts w:eastAsia="Times New Roman" w:hint="eastAsia"/>
            <w:color w:val="0000FF"/>
            <w:u w:val="single"/>
            <w:rtl/>
          </w:rPr>
          <w:t>ת</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w:t>
        </w:r>
        <w:r>
          <w:rPr>
            <w:rFonts w:eastAsia="Times New Roman" w:hint="eastAsia"/>
            <w:color w:val="0000FF"/>
            <w:u w:val="single"/>
            <w:rtl/>
          </w:rPr>
          <w:t>שלום</w:t>
        </w:r>
        <w:r>
          <w:rPr>
            <w:rFonts w:eastAsia="Times New Roman"/>
            <w:color w:val="0000FF"/>
            <w:u w:val="single"/>
            <w:rtl/>
          </w:rPr>
          <w:t xml:space="preserve"> </w:t>
        </w:r>
        <w:r>
          <w:rPr>
            <w:rFonts w:eastAsia="Times New Roman" w:hint="eastAsia"/>
            <w:color w:val="0000FF"/>
            <w:u w:val="single"/>
            <w:rtl/>
          </w:rPr>
          <w:t>רמלה</w:t>
        </w:r>
        <w:r>
          <w:rPr>
            <w:rFonts w:eastAsia="Times New Roman"/>
            <w:color w:val="0000FF"/>
            <w:u w:val="single"/>
            <w:rtl/>
          </w:rPr>
          <w:t>) 21873-05-14</w:t>
        </w:r>
      </w:hyperlink>
      <w:r>
        <w:rPr>
          <w:rFonts w:eastAsia="Times New Roman" w:hint="cs"/>
          <w:u w:val="single"/>
          <w:rtl/>
        </w:rPr>
        <w:t xml:space="preserve"> </w:t>
      </w:r>
      <w:r>
        <w:rPr>
          <w:rFonts w:eastAsia="Times New Roman" w:hint="cs"/>
          <w:b/>
          <w:bCs/>
          <w:rtl/>
        </w:rPr>
        <w:t>מדינת ישראל נ' יצחק דהאן</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(06.09.2015)</w:t>
      </w:r>
      <w:r>
        <w:rPr>
          <w:rFonts w:hint="cs"/>
          <w:rtl/>
        </w:rPr>
        <w:t xml:space="preserve">; </w:t>
      </w:r>
      <w:hyperlink r:id="rId54"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קריות</w:t>
        </w:r>
        <w:r>
          <w:rPr>
            <w:color w:val="0000FF"/>
            <w:u w:val="single"/>
            <w:rtl/>
          </w:rPr>
          <w:t>) 18163-03-15</w:t>
        </w:r>
      </w:hyperlink>
      <w:r>
        <w:rPr>
          <w:rFonts w:hint="cs"/>
          <w:u w:val="single"/>
          <w:rtl/>
        </w:rPr>
        <w:t>‏</w:t>
      </w:r>
      <w:r>
        <w:rPr>
          <w:rFonts w:hint="cs"/>
          <w:rtl/>
        </w:rPr>
        <w:t xml:space="preserve"> </w:t>
      </w:r>
      <w:r>
        <w:rPr>
          <w:rFonts w:hint="cs"/>
          <w:b/>
          <w:bCs/>
          <w:rtl/>
        </w:rPr>
        <w:t>מדינת ישראל נ' אלכסנדר סורילוב</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(16.07.2015); </w:t>
      </w:r>
      <w:hyperlink r:id="rId55" w:history="1">
        <w:r>
          <w:rPr>
            <w:rFonts w:eastAsia="Times New Roman" w:hint="eastAsia"/>
            <w:color w:val="0000FF"/>
            <w:u w:val="single"/>
            <w:rtl/>
          </w:rPr>
          <w:t>ת</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w:t>
        </w:r>
        <w:r>
          <w:rPr>
            <w:rFonts w:eastAsia="Times New Roman" w:hint="eastAsia"/>
            <w:color w:val="0000FF"/>
            <w:u w:val="single"/>
            <w:rtl/>
          </w:rPr>
          <w:t>שלום</w:t>
        </w:r>
        <w:r>
          <w:rPr>
            <w:rFonts w:eastAsia="Times New Roman"/>
            <w:color w:val="0000FF"/>
            <w:u w:val="single"/>
            <w:rtl/>
          </w:rPr>
          <w:t xml:space="preserve"> </w:t>
        </w:r>
        <w:r>
          <w:rPr>
            <w:rFonts w:eastAsia="Times New Roman" w:hint="eastAsia"/>
            <w:color w:val="0000FF"/>
            <w:u w:val="single"/>
            <w:rtl/>
          </w:rPr>
          <w:t>רמלה</w:t>
        </w:r>
        <w:r>
          <w:rPr>
            <w:rFonts w:eastAsia="Times New Roman"/>
            <w:color w:val="0000FF"/>
            <w:u w:val="single"/>
            <w:rtl/>
          </w:rPr>
          <w:t>) 26709-06-14</w:t>
        </w:r>
      </w:hyperlink>
      <w:r>
        <w:rPr>
          <w:rFonts w:eastAsia="Times New Roman" w:hint="cs"/>
          <w:u w:val="single"/>
          <w:rtl/>
        </w:rPr>
        <w:t>‏</w:t>
      </w:r>
      <w:r>
        <w:rPr>
          <w:rFonts w:eastAsia="Times New Roman" w:hint="cs"/>
          <w:rtl/>
        </w:rPr>
        <w:t xml:space="preserve"> ‏</w:t>
      </w:r>
      <w:r>
        <w:rPr>
          <w:rFonts w:eastAsia="Times New Roman" w:hint="cs"/>
          <w:b/>
          <w:bCs/>
          <w:rtl/>
        </w:rPr>
        <w:t>מדינת ישראל נ' קובי ישראלוב</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(26.10.2014);</w:t>
      </w:r>
      <w:r>
        <w:rPr>
          <w:rFonts w:hint="cs"/>
          <w:rtl/>
        </w:rPr>
        <w:t xml:space="preserve"> </w:t>
      </w:r>
      <w:r>
        <w:rPr>
          <w:rFonts w:eastAsia="Times New Roman" w:hint="cs"/>
          <w:u w:val="single"/>
          <w:rtl/>
        </w:rPr>
        <w:t>ו</w:t>
      </w:r>
      <w:hyperlink r:id="rId56" w:history="1">
        <w:r>
          <w:rPr>
            <w:rFonts w:eastAsia="Times New Roman" w:hint="eastAsia"/>
            <w:color w:val="0000FF"/>
            <w:u w:val="single"/>
            <w:rtl/>
          </w:rPr>
          <w:t>ת</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w:t>
        </w:r>
        <w:r>
          <w:rPr>
            <w:rFonts w:eastAsia="Times New Roman" w:hint="eastAsia"/>
            <w:color w:val="0000FF"/>
            <w:u w:val="single"/>
            <w:rtl/>
          </w:rPr>
          <w:t>שלום</w:t>
        </w:r>
        <w:r>
          <w:rPr>
            <w:rFonts w:eastAsia="Times New Roman"/>
            <w:color w:val="0000FF"/>
            <w:u w:val="single"/>
            <w:rtl/>
          </w:rPr>
          <w:t xml:space="preserve"> </w:t>
        </w:r>
        <w:r>
          <w:rPr>
            <w:rFonts w:eastAsia="Times New Roman" w:hint="eastAsia"/>
            <w:color w:val="0000FF"/>
            <w:u w:val="single"/>
            <w:rtl/>
          </w:rPr>
          <w:t>ירושלים</w:t>
        </w:r>
        <w:r>
          <w:rPr>
            <w:rFonts w:eastAsia="Times New Roman"/>
            <w:color w:val="0000FF"/>
            <w:u w:val="single"/>
            <w:rtl/>
          </w:rPr>
          <w:t>) 54706-01-13</w:t>
        </w:r>
      </w:hyperlink>
      <w:r>
        <w:rPr>
          <w:rFonts w:eastAsia="Times New Roman" w:hint="cs"/>
          <w:rtl/>
        </w:rPr>
        <w:t xml:space="preserve"> </w:t>
      </w:r>
      <w:r>
        <w:rPr>
          <w:rFonts w:eastAsia="Times New Roman" w:hint="cs"/>
          <w:b/>
          <w:bCs/>
          <w:rtl/>
        </w:rPr>
        <w:t>מדינת ישראל נ' אברהם דוד חביב</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(15.07.2013).</w:t>
      </w:r>
    </w:p>
    <w:p w14:paraId="48C327F3" w14:textId="77777777" w:rsidR="007339F0" w:rsidRDefault="007339F0">
      <w:pPr>
        <w:pStyle w:val="a9"/>
        <w:ind w:left="-58" w:firstLine="0"/>
        <w:rPr>
          <w:rtl/>
        </w:rPr>
      </w:pPr>
      <w:r>
        <w:rPr>
          <w:rFonts w:hint="cs"/>
          <w:rtl/>
        </w:rPr>
        <w:t>ויוער, בסקירת הפסיקה שלעיל עמדתי על מתחמי הענישה שנקבעו, תוך שברי כי אלו משתנים ממקרה למקרה ומושפעים, בין היתר, מ</w:t>
      </w:r>
      <w:r>
        <w:rPr>
          <w:rFonts w:eastAsia="Times New Roman" w:hint="cs"/>
          <w:rtl/>
        </w:rPr>
        <w:t>כמותו של הסם הנסחר, התמורה שהתקבלה, הרקע שעמד מאחורי הסחר (חברי או "עסקי"), ועוד. אשר לעונשים המושתים בגדרי המתחמים או מחוצה להם, מטבע הדברים, אלו משתנים לנוכח המאפיינים האישיים של כל הנאשם ונאשם, כמו קיומו או היעדרו של עבר פלילי, הכאה על חטא והבעת צער וחרטה, השתתפות בהליכים טיפוליים-שיקומיים, וכיוצא באלה</w:t>
      </w:r>
      <w:r>
        <w:rPr>
          <w:rFonts w:hint="cs"/>
          <w:rtl/>
        </w:rPr>
        <w:t>.</w:t>
      </w:r>
    </w:p>
    <w:p w14:paraId="01E0830D" w14:textId="77777777" w:rsidR="007339F0" w:rsidRDefault="007339F0">
      <w:pPr>
        <w:pStyle w:val="a9"/>
        <w:ind w:left="-58" w:firstLine="0"/>
      </w:pPr>
      <w:r>
        <w:rPr>
          <w:rFonts w:hint="cs"/>
          <w:rtl/>
        </w:rPr>
        <w:t>אשר לסיוע לסחר בסם מסוג חשיש, סקירת הפסיקה מלמדת כי בגין הרשעה בעבירה זו, ברגיל, נקבעים מתחמי ענישה שברף התחתון שלהם מאסר מותנה או לכל היותר במאסר קצר שניתן לרצותו בעבודות שירות, וברף העליון מאסרים ארוכים</w:t>
      </w:r>
      <w:r>
        <w:rPr>
          <w:rFonts w:hint="cs"/>
          <w:rtl/>
        </w:rPr>
        <w:t xml:space="preserve"> יותר, לתקופות הנעות סביב 8 חודשים. כל זאת, כאשר גם כאן בתי המשפט שתים ליבם לאופיו של הסיוע, מידת מעורבותו של הנאשם, כמות הסם הנסחר, התמורה שהתקבלה בעדו, וכדומה. כדוגמא למדיניות הענישה האמורה, ראו למשל: </w:t>
      </w:r>
      <w:hyperlink r:id="rId57" w:history="1">
        <w:r>
          <w:rPr>
            <w:rFonts w:eastAsia="Times New Roman" w:hint="eastAsia"/>
            <w:color w:val="0000FF"/>
            <w:u w:val="single"/>
            <w:rtl/>
          </w:rPr>
          <w:t>רע</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1623/14</w:t>
        </w:r>
      </w:hyperlink>
      <w:r>
        <w:rPr>
          <w:rFonts w:eastAsia="Times New Roman" w:hint="cs"/>
          <w:rtl/>
        </w:rPr>
        <w:t xml:space="preserve"> </w:t>
      </w:r>
      <w:r>
        <w:rPr>
          <w:rFonts w:eastAsia="Times New Roman" w:hint="cs"/>
          <w:b/>
          <w:bCs/>
          <w:rtl/>
        </w:rPr>
        <w:t>סיראג גבארה נ' מדינת ישראל</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(01.04.2014)</w:t>
      </w:r>
      <w:r>
        <w:rPr>
          <w:rFonts w:hint="cs"/>
          <w:rtl/>
        </w:rPr>
        <w:t xml:space="preserve">; </w:t>
      </w:r>
      <w:hyperlink r:id="rId58" w:history="1">
        <w:r>
          <w:rPr>
            <w:rFonts w:hint="cs"/>
            <w:color w:val="0000FF"/>
            <w:u w:val="single"/>
            <w:rtl/>
          </w:rPr>
          <w:t>עפ</w:t>
        </w:r>
        <w:r>
          <w:rPr>
            <w:color w:val="0000FF"/>
            <w:u w:val="single"/>
            <w:rtl/>
          </w:rPr>
          <w:t>"</w:t>
        </w:r>
        <w:r>
          <w:rPr>
            <w:rFonts w:hint="cs"/>
            <w:color w:val="0000FF"/>
            <w:u w:val="single"/>
            <w:rtl/>
          </w:rPr>
          <w:t>ג</w:t>
        </w:r>
        <w:r>
          <w:rPr>
            <w:color w:val="0000FF"/>
            <w:u w:val="single"/>
            <w:rtl/>
          </w:rPr>
          <w:t xml:space="preserve"> (</w:t>
        </w:r>
        <w:r>
          <w:rPr>
            <w:rFonts w:hint="cs"/>
            <w:color w:val="0000FF"/>
            <w:u w:val="single"/>
            <w:rtl/>
          </w:rPr>
          <w:t>מחוזי</w:t>
        </w:r>
        <w:r>
          <w:rPr>
            <w:color w:val="0000FF"/>
            <w:u w:val="single"/>
            <w:rtl/>
          </w:rPr>
          <w:t xml:space="preserve"> </w:t>
        </w:r>
        <w:r>
          <w:rPr>
            <w:rFonts w:hint="cs"/>
            <w:color w:val="0000FF"/>
            <w:u w:val="single"/>
            <w:rtl/>
          </w:rPr>
          <w:t>חיפה</w:t>
        </w:r>
        <w:r>
          <w:rPr>
            <w:color w:val="0000FF"/>
            <w:u w:val="single"/>
            <w:rtl/>
          </w:rPr>
          <w:t>) 23794-09-17</w:t>
        </w:r>
      </w:hyperlink>
      <w:r>
        <w:rPr>
          <w:rFonts w:hint="cs"/>
          <w:u w:val="single"/>
          <w:rtl/>
        </w:rPr>
        <w:t>‏‏</w:t>
      </w:r>
      <w:r>
        <w:rPr>
          <w:rFonts w:hint="cs"/>
          <w:rtl/>
        </w:rPr>
        <w:t xml:space="preserve"> </w:t>
      </w:r>
      <w:r>
        <w:rPr>
          <w:rFonts w:hint="cs"/>
          <w:b/>
          <w:bCs/>
          <w:rtl/>
        </w:rPr>
        <w:t>מוחמד ג'בארין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(26.10.2017); </w:t>
      </w:r>
      <w:hyperlink r:id="rId59" w:history="1">
        <w:r>
          <w:rPr>
            <w:rFonts w:hint="cs"/>
            <w:color w:val="0000FF"/>
            <w:u w:val="single"/>
            <w:rtl/>
          </w:rPr>
          <w:t>עפ</w:t>
        </w:r>
        <w:r>
          <w:rPr>
            <w:color w:val="0000FF"/>
            <w:u w:val="single"/>
            <w:rtl/>
          </w:rPr>
          <w:t>"</w:t>
        </w:r>
        <w:r>
          <w:rPr>
            <w:rFonts w:hint="cs"/>
            <w:color w:val="0000FF"/>
            <w:u w:val="single"/>
            <w:rtl/>
          </w:rPr>
          <w:t>ג</w:t>
        </w:r>
        <w:r>
          <w:rPr>
            <w:color w:val="0000FF"/>
            <w:u w:val="single"/>
            <w:rtl/>
          </w:rPr>
          <w:t xml:space="preserve"> (</w:t>
        </w:r>
        <w:r>
          <w:rPr>
            <w:rFonts w:hint="cs"/>
            <w:color w:val="0000FF"/>
            <w:u w:val="single"/>
            <w:rtl/>
          </w:rPr>
          <w:t>מחוזי</w:t>
        </w:r>
        <w:r>
          <w:rPr>
            <w:color w:val="0000FF"/>
            <w:u w:val="single"/>
            <w:rtl/>
          </w:rPr>
          <w:t xml:space="preserve"> </w:t>
        </w:r>
        <w:r>
          <w:rPr>
            <w:rFonts w:hint="cs"/>
            <w:color w:val="0000FF"/>
            <w:u w:val="single"/>
            <w:rtl/>
          </w:rPr>
          <w:t>חיפה</w:t>
        </w:r>
        <w:r>
          <w:rPr>
            <w:color w:val="0000FF"/>
            <w:u w:val="single"/>
            <w:rtl/>
          </w:rPr>
          <w:t>) 53901-05-1</w:t>
        </w:r>
      </w:hyperlink>
      <w:r>
        <w:rPr>
          <w:rFonts w:hint="cs"/>
          <w:rtl/>
        </w:rPr>
        <w:t xml:space="preserve"> </w:t>
      </w:r>
      <w:r>
        <w:rPr>
          <w:rFonts w:hint="cs"/>
          <w:b/>
          <w:bCs/>
          <w:rtl/>
        </w:rPr>
        <w:t>הילה איטאח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(20.07.2015); </w:t>
      </w:r>
      <w:hyperlink r:id="rId60" w:history="1">
        <w:r>
          <w:rPr>
            <w:rFonts w:eastAsia="Times New Roman" w:hint="eastAsia"/>
            <w:color w:val="0000FF"/>
            <w:u w:val="single"/>
            <w:rtl/>
          </w:rPr>
          <w:t>ת</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w:t>
        </w:r>
        <w:r>
          <w:rPr>
            <w:rFonts w:eastAsia="Times New Roman" w:hint="eastAsia"/>
            <w:color w:val="0000FF"/>
            <w:u w:val="single"/>
            <w:rtl/>
          </w:rPr>
          <w:t>שלום</w:t>
        </w:r>
        <w:r>
          <w:rPr>
            <w:rFonts w:eastAsia="Times New Roman"/>
            <w:color w:val="0000FF"/>
            <w:u w:val="single"/>
            <w:rtl/>
          </w:rPr>
          <w:t xml:space="preserve"> </w:t>
        </w:r>
        <w:r>
          <w:rPr>
            <w:rFonts w:eastAsia="Times New Roman" w:hint="eastAsia"/>
            <w:color w:val="0000FF"/>
            <w:u w:val="single"/>
            <w:rtl/>
          </w:rPr>
          <w:t>תל</w:t>
        </w:r>
        <w:r>
          <w:rPr>
            <w:rFonts w:eastAsia="Times New Roman"/>
            <w:color w:val="0000FF"/>
            <w:u w:val="single"/>
            <w:rtl/>
          </w:rPr>
          <w:t xml:space="preserve"> </w:t>
        </w:r>
        <w:r>
          <w:rPr>
            <w:rFonts w:eastAsia="Times New Roman" w:hint="eastAsia"/>
            <w:color w:val="0000FF"/>
            <w:u w:val="single"/>
            <w:rtl/>
          </w:rPr>
          <w:t>אביב</w:t>
        </w:r>
        <w:r>
          <w:rPr>
            <w:rFonts w:eastAsia="Times New Roman"/>
            <w:color w:val="0000FF"/>
            <w:u w:val="single"/>
            <w:rtl/>
          </w:rPr>
          <w:t xml:space="preserve"> </w:t>
        </w:r>
        <w:r>
          <w:rPr>
            <w:rFonts w:eastAsia="Times New Roman" w:hint="eastAsia"/>
            <w:color w:val="0000FF"/>
            <w:u w:val="single"/>
            <w:rtl/>
          </w:rPr>
          <w:t>יפו</w:t>
        </w:r>
        <w:r>
          <w:rPr>
            <w:rFonts w:eastAsia="Times New Roman"/>
            <w:color w:val="0000FF"/>
            <w:u w:val="single"/>
            <w:rtl/>
          </w:rPr>
          <w:t>) 30582-09-13</w:t>
        </w:r>
      </w:hyperlink>
      <w:r>
        <w:rPr>
          <w:rFonts w:eastAsia="Times New Roman" w:hint="cs"/>
          <w:rtl/>
        </w:rPr>
        <w:t xml:space="preserve"> </w:t>
      </w:r>
      <w:r>
        <w:rPr>
          <w:rFonts w:eastAsia="Times New Roman" w:hint="cs"/>
          <w:b/>
          <w:bCs/>
          <w:rtl/>
        </w:rPr>
        <w:t>מדינת ישראל נ' מרדכי מור בוסקילה</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(13.04.2016)</w:t>
      </w:r>
      <w:r>
        <w:rPr>
          <w:rFonts w:hint="cs"/>
          <w:rtl/>
        </w:rPr>
        <w:t xml:space="preserve">; </w:t>
      </w:r>
      <w:hyperlink r:id="rId61"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ירושלים</w:t>
        </w:r>
        <w:r>
          <w:rPr>
            <w:color w:val="0000FF"/>
            <w:u w:val="single"/>
            <w:rtl/>
          </w:rPr>
          <w:t>) 520-05-14</w:t>
        </w:r>
      </w:hyperlink>
      <w:r>
        <w:rPr>
          <w:rFonts w:hint="cs"/>
          <w:u w:val="single"/>
          <w:rtl/>
        </w:rPr>
        <w:t>‏</w:t>
      </w:r>
      <w:r>
        <w:rPr>
          <w:rFonts w:hint="cs"/>
          <w:rtl/>
        </w:rPr>
        <w:t xml:space="preserve"> ‏</w:t>
      </w:r>
      <w:r>
        <w:rPr>
          <w:rFonts w:hint="cs"/>
          <w:b/>
          <w:bCs/>
          <w:rtl/>
        </w:rPr>
        <w:t>מדינת ישראל נ' שי מברטה אמברבר</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(10.05.2015, הכוונה לגזר הדין בעניינו של הנאשם 2); </w:t>
      </w:r>
    </w:p>
    <w:p w14:paraId="1D10412C" w14:textId="77777777" w:rsidR="007339F0" w:rsidRDefault="007339F0">
      <w:pPr>
        <w:pStyle w:val="a9"/>
        <w:ind w:left="-58" w:firstLine="0"/>
      </w:pPr>
      <w:r>
        <w:rPr>
          <w:rFonts w:hint="cs"/>
          <w:rtl/>
        </w:rPr>
        <w:t xml:space="preserve">לבסוף, בכל הנוגע לעבירה של החזקת סם לצריכה עצמית, סקירת הפסיקה מלמדת כי במקרים שבהם דובר בנאשמים שהחזיקו לצריכתם העצמית, הן סם מסוג חשיש והן סמים "קשים" יותר כגון </w:t>
      </w:r>
      <w:r>
        <w:t>MDMA</w:t>
      </w:r>
      <w:r>
        <w:rPr>
          <w:rFonts w:hint="cs"/>
          <w:rtl/>
        </w:rPr>
        <w:t xml:space="preserve"> או קוקאין – נקבעו מתחמי ענישה הנעים בין מאסר מותנה לבין עונשי מאסר שאורכם נמדד בחודשים, וראו בעניין זה, למשל: </w:t>
      </w:r>
      <w:r>
        <w:rPr>
          <w:rFonts w:hint="cs"/>
          <w:u w:val="single"/>
          <w:rtl/>
        </w:rPr>
        <w:t>ע"פ (מחוזי מרכז) 18937-02-16</w:t>
      </w:r>
      <w:r>
        <w:rPr>
          <w:rFonts w:hint="cs"/>
          <w:rtl/>
        </w:rPr>
        <w:t xml:space="preserve"> </w:t>
      </w:r>
      <w:r>
        <w:rPr>
          <w:rFonts w:hint="cs"/>
          <w:b/>
          <w:bCs/>
          <w:rtl/>
        </w:rPr>
        <w:t>אלמסימי נ' מדינת ישראל</w:t>
      </w:r>
      <w:r>
        <w:rPr>
          <w:rFonts w:hint="cs"/>
          <w:rtl/>
        </w:rPr>
        <w:t xml:space="preserve">, (14.06.2016, טרם פורסם במאגרים המשפטיים); </w:t>
      </w:r>
      <w:hyperlink r:id="rId62"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קריית</w:t>
        </w:r>
        <w:r>
          <w:rPr>
            <w:color w:val="0000FF"/>
            <w:u w:val="single"/>
            <w:rtl/>
          </w:rPr>
          <w:t xml:space="preserve"> </w:t>
        </w:r>
        <w:r>
          <w:rPr>
            <w:rFonts w:hint="cs"/>
            <w:color w:val="0000FF"/>
            <w:u w:val="single"/>
            <w:rtl/>
          </w:rPr>
          <w:t>שמונה</w:t>
        </w:r>
        <w:r>
          <w:rPr>
            <w:color w:val="0000FF"/>
            <w:u w:val="single"/>
            <w:rtl/>
          </w:rPr>
          <w:t>) 4603-02-15</w:t>
        </w:r>
      </w:hyperlink>
      <w:r>
        <w:rPr>
          <w:rFonts w:hint="cs"/>
          <w:rtl/>
        </w:rPr>
        <w:t xml:space="preserve"> </w:t>
      </w:r>
      <w:r>
        <w:rPr>
          <w:rFonts w:hint="cs"/>
          <w:b/>
          <w:bCs/>
          <w:rtl/>
        </w:rPr>
        <w:t>מדינת ישראל נ' יאיר אלמוג</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(23.11.2016); </w:t>
      </w:r>
      <w:hyperlink r:id="rId63"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ראשון</w:t>
        </w:r>
        <w:r>
          <w:rPr>
            <w:color w:val="0000FF"/>
            <w:u w:val="single"/>
            <w:rtl/>
          </w:rPr>
          <w:t xml:space="preserve"> </w:t>
        </w:r>
        <w:r>
          <w:rPr>
            <w:rFonts w:hint="cs"/>
            <w:color w:val="0000FF"/>
            <w:u w:val="single"/>
            <w:rtl/>
          </w:rPr>
          <w:t>לציון</w:t>
        </w:r>
        <w:r>
          <w:rPr>
            <w:color w:val="0000FF"/>
            <w:u w:val="single"/>
            <w:rtl/>
          </w:rPr>
          <w:t>) 11342-09-15</w:t>
        </w:r>
      </w:hyperlink>
      <w:r>
        <w:rPr>
          <w:rFonts w:hint="cs"/>
          <w:rtl/>
        </w:rPr>
        <w:t xml:space="preserve"> </w:t>
      </w:r>
      <w:r>
        <w:rPr>
          <w:rFonts w:hint="cs"/>
          <w:b/>
          <w:bCs/>
          <w:rtl/>
        </w:rPr>
        <w:t>מדינת ישראל</w:t>
      </w:r>
      <w:r>
        <w:rPr>
          <w:rFonts w:hint="cs"/>
          <w:rtl/>
        </w:rPr>
        <w:t xml:space="preserve"> </w:t>
      </w:r>
      <w:r>
        <w:rPr>
          <w:rFonts w:hint="cs"/>
          <w:b/>
          <w:bCs/>
          <w:rtl/>
        </w:rPr>
        <w:t>נ'</w:t>
      </w:r>
      <w:r>
        <w:rPr>
          <w:rFonts w:hint="cs"/>
          <w:rtl/>
        </w:rPr>
        <w:t xml:space="preserve"> </w:t>
      </w:r>
      <w:r>
        <w:rPr>
          <w:rFonts w:hint="cs"/>
          <w:b/>
          <w:bCs/>
          <w:rtl/>
        </w:rPr>
        <w:t>מתניה גונן</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(24.03.2016); </w:t>
      </w:r>
      <w:hyperlink r:id="rId64"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ראשון</w:t>
        </w:r>
        <w:r>
          <w:rPr>
            <w:color w:val="0000FF"/>
            <w:u w:val="single"/>
            <w:rtl/>
          </w:rPr>
          <w:t xml:space="preserve"> </w:t>
        </w:r>
        <w:r>
          <w:rPr>
            <w:rFonts w:hint="cs"/>
            <w:color w:val="0000FF"/>
            <w:u w:val="single"/>
            <w:rtl/>
          </w:rPr>
          <w:t>לציון</w:t>
        </w:r>
        <w:r>
          <w:rPr>
            <w:color w:val="0000FF"/>
            <w:u w:val="single"/>
            <w:rtl/>
          </w:rPr>
          <w:t>) 2147-04-15</w:t>
        </w:r>
      </w:hyperlink>
      <w:r>
        <w:rPr>
          <w:rFonts w:hint="cs"/>
          <w:rtl/>
        </w:rPr>
        <w:t xml:space="preserve"> </w:t>
      </w:r>
      <w:r>
        <w:rPr>
          <w:rFonts w:hint="cs"/>
          <w:b/>
          <w:bCs/>
          <w:rtl/>
        </w:rPr>
        <w:t>מדינת ישראל</w:t>
      </w:r>
      <w:r>
        <w:rPr>
          <w:rFonts w:hint="cs"/>
          <w:rtl/>
        </w:rPr>
        <w:t xml:space="preserve"> </w:t>
      </w:r>
      <w:r>
        <w:rPr>
          <w:rFonts w:hint="cs"/>
          <w:b/>
          <w:bCs/>
          <w:rtl/>
        </w:rPr>
        <w:t>נ'</w:t>
      </w:r>
      <w:r>
        <w:rPr>
          <w:rFonts w:hint="cs"/>
          <w:rtl/>
        </w:rPr>
        <w:t xml:space="preserve"> </w:t>
      </w:r>
      <w:r>
        <w:rPr>
          <w:rFonts w:hint="cs"/>
          <w:b/>
          <w:bCs/>
          <w:rtl/>
        </w:rPr>
        <w:t>אריס פרץ</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(16.07.2015); </w:t>
      </w:r>
      <w:hyperlink r:id="rId65" w:history="1">
        <w:r>
          <w:rPr>
            <w:rFonts w:hint="cs"/>
            <w:color w:val="0000FF"/>
            <w:u w:val="single"/>
            <w:rtl/>
          </w:rPr>
          <w:t>ת</w:t>
        </w:r>
        <w:r>
          <w:rPr>
            <w:color w:val="0000FF"/>
            <w:u w:val="single"/>
            <w:rtl/>
          </w:rPr>
          <w:t>"</w:t>
        </w:r>
        <w:r>
          <w:rPr>
            <w:rFonts w:hint="cs"/>
            <w:color w:val="0000FF"/>
            <w:u w:val="single"/>
            <w:rtl/>
          </w:rPr>
          <w:t>פ</w:t>
        </w:r>
        <w:r>
          <w:rPr>
            <w:color w:val="0000FF"/>
            <w:u w:val="single"/>
            <w:rtl/>
          </w:rPr>
          <w:t xml:space="preserve"> (</w:t>
        </w:r>
        <w:r>
          <w:rPr>
            <w:rFonts w:hint="cs"/>
            <w:color w:val="0000FF"/>
            <w:u w:val="single"/>
            <w:rtl/>
          </w:rPr>
          <w:t>שלום</w:t>
        </w:r>
        <w:r>
          <w:rPr>
            <w:color w:val="0000FF"/>
            <w:u w:val="single"/>
            <w:rtl/>
          </w:rPr>
          <w:t xml:space="preserve"> </w:t>
        </w:r>
        <w:r>
          <w:rPr>
            <w:rFonts w:hint="cs"/>
            <w:color w:val="0000FF"/>
            <w:u w:val="single"/>
            <w:rtl/>
          </w:rPr>
          <w:t>תל</w:t>
        </w:r>
        <w:r>
          <w:rPr>
            <w:color w:val="0000FF"/>
            <w:u w:val="single"/>
            <w:rtl/>
          </w:rPr>
          <w:t xml:space="preserve"> </w:t>
        </w:r>
        <w:r>
          <w:rPr>
            <w:rFonts w:hint="cs"/>
            <w:color w:val="0000FF"/>
            <w:u w:val="single"/>
            <w:rtl/>
          </w:rPr>
          <w:t>אביב</w:t>
        </w:r>
        <w:r>
          <w:rPr>
            <w:color w:val="0000FF"/>
            <w:u w:val="single"/>
            <w:rtl/>
          </w:rPr>
          <w:t xml:space="preserve"> </w:t>
        </w:r>
        <w:r>
          <w:rPr>
            <w:rFonts w:hint="cs"/>
            <w:color w:val="0000FF"/>
            <w:u w:val="single"/>
            <w:rtl/>
          </w:rPr>
          <w:t>יפו</w:t>
        </w:r>
        <w:r>
          <w:rPr>
            <w:color w:val="0000FF"/>
            <w:u w:val="single"/>
            <w:rtl/>
          </w:rPr>
          <w:t>) 41105-10-10</w:t>
        </w:r>
      </w:hyperlink>
      <w:r>
        <w:rPr>
          <w:rFonts w:hint="cs"/>
          <w:rtl/>
        </w:rPr>
        <w:t xml:space="preserve"> </w:t>
      </w:r>
      <w:r>
        <w:rPr>
          <w:rFonts w:hint="cs"/>
          <w:b/>
          <w:bCs/>
          <w:rtl/>
        </w:rPr>
        <w:t>מדינת ישראל נ' מוסטפה אלמגרבי</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(03.12.2014).</w:t>
      </w:r>
    </w:p>
    <w:p w14:paraId="13A0F85A" w14:textId="77777777" w:rsidR="007339F0" w:rsidRDefault="007339F0">
      <w:pPr>
        <w:pStyle w:val="a9"/>
        <w:numPr>
          <w:ilvl w:val="0"/>
          <w:numId w:val="2"/>
        </w:numPr>
        <w:ind w:left="-58"/>
      </w:pPr>
      <w:r>
        <w:rPr>
          <w:rFonts w:hint="cs"/>
          <w:rtl/>
        </w:rPr>
        <w:t xml:space="preserve">עוד אציין, כי לא התעלמתי מהפסיקה שהוצגה לעיוני על ידי הצדדים (שבחלקה יש כדי לתמוך במנעד הענישה שהוצג לעיל), אולם העיון כאמור, נעשה תוך ביצוע האבחנות המתבקשות בין המקרים שנדונו שם לבין המקרה שבפניי, ובשים לב, בין היתר, למועד מתן פסק הדין (והכוונה לאותם פסקי דין שאליהם הופנה בית המשפט, ושניתנו עובר לתיקון 113, כך שלא נהיר כלל אם יש בהם כדי להעיד אודות מדיניות הענישה הנוהגת כיום (ראו בעניין זה דבריה של כב' השופטת ג' </w:t>
      </w:r>
      <w:r>
        <w:rPr>
          <w:rFonts w:hint="cs"/>
          <w:rtl/>
        </w:rPr>
        <w:t xml:space="preserve">שלו </w:t>
      </w:r>
      <w:r>
        <w:rPr>
          <w:rFonts w:hint="cs"/>
          <w:u w:val="single"/>
          <w:rtl/>
        </w:rPr>
        <w:t>ב</w:t>
      </w:r>
      <w:hyperlink r:id="rId66" w:history="1">
        <w:r>
          <w:rPr>
            <w:rFonts w:hint="cs"/>
            <w:color w:val="0000FF"/>
            <w:u w:val="single"/>
            <w:rtl/>
          </w:rPr>
          <w:t>עפ</w:t>
        </w:r>
        <w:r>
          <w:rPr>
            <w:color w:val="0000FF"/>
            <w:u w:val="single"/>
            <w:rtl/>
          </w:rPr>
          <w:t>"</w:t>
        </w:r>
        <w:r>
          <w:rPr>
            <w:rFonts w:hint="cs"/>
            <w:color w:val="0000FF"/>
            <w:u w:val="single"/>
            <w:rtl/>
          </w:rPr>
          <w:t>ג</w:t>
        </w:r>
        <w:r>
          <w:rPr>
            <w:color w:val="0000FF"/>
            <w:u w:val="single"/>
            <w:rtl/>
          </w:rPr>
          <w:t xml:space="preserve"> (</w:t>
        </w:r>
        <w:r>
          <w:rPr>
            <w:rFonts w:hint="cs"/>
            <w:color w:val="0000FF"/>
            <w:u w:val="single"/>
            <w:rtl/>
          </w:rPr>
          <w:t>מחוזי</w:t>
        </w:r>
        <w:r>
          <w:rPr>
            <w:color w:val="0000FF"/>
            <w:u w:val="single"/>
            <w:rtl/>
          </w:rPr>
          <w:t xml:space="preserve"> </w:t>
        </w:r>
        <w:r>
          <w:rPr>
            <w:rFonts w:hint="cs"/>
            <w:color w:val="0000FF"/>
            <w:u w:val="single"/>
            <w:rtl/>
          </w:rPr>
          <w:t>באר</w:t>
        </w:r>
        <w:r>
          <w:rPr>
            <w:color w:val="0000FF"/>
            <w:u w:val="single"/>
            <w:rtl/>
          </w:rPr>
          <w:t xml:space="preserve"> </w:t>
        </w:r>
        <w:r>
          <w:rPr>
            <w:rFonts w:hint="cs"/>
            <w:color w:val="0000FF"/>
            <w:u w:val="single"/>
            <w:rtl/>
          </w:rPr>
          <w:t>שבע</w:t>
        </w:r>
        <w:r>
          <w:rPr>
            <w:color w:val="0000FF"/>
            <w:u w:val="single"/>
            <w:rtl/>
          </w:rPr>
          <w:t>) 21819-05-15</w:t>
        </w:r>
      </w:hyperlink>
      <w:r>
        <w:rPr>
          <w:rFonts w:hint="cs"/>
          <w:rtl/>
        </w:rPr>
        <w:t xml:space="preserve"> </w:t>
      </w:r>
      <w:r>
        <w:rPr>
          <w:rFonts w:hint="cs"/>
          <w:b/>
          <w:bCs/>
          <w:rtl/>
        </w:rPr>
        <w:t>יהודה סלפוצ'ניק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(12.05.2015)). </w:t>
      </w:r>
    </w:p>
    <w:p w14:paraId="21644421" w14:textId="77777777" w:rsidR="007339F0" w:rsidRDefault="007339F0">
      <w:pPr>
        <w:pStyle w:val="a9"/>
        <w:ind w:left="-58" w:firstLine="0"/>
      </w:pPr>
      <w:r>
        <w:rPr>
          <w:rFonts w:hint="cs"/>
          <w:rtl/>
        </w:rPr>
        <w:t xml:space="preserve">בין כה ובין כה, וזאת חשוב להדגיש, נהיר לבית המשפט כי קיימים מקרים שבהם הושתו עונשים החורגים, לקולא או לחומרה, ממנעד הענישה שעליו עמדתי זה עתה. הדבר אך טבעי הוא, שכן כידוע, הענישה היא לעולם אינדיווידואלית </w:t>
      </w:r>
      <w:r>
        <w:rPr>
          <w:rFonts w:hint="cs"/>
          <w:b/>
          <w:bCs/>
          <w:rtl/>
        </w:rPr>
        <w:t>ו"אין עסקינן בשיטת ניקוד, או באריתמטיקה. ענישה היא מלאכת מחשבת – ולא מלאכת מחשב"</w:t>
      </w:r>
      <w:r>
        <w:rPr>
          <w:rFonts w:hint="cs"/>
          <w:rtl/>
        </w:rPr>
        <w:t xml:space="preserve"> (</w:t>
      </w:r>
      <w:hyperlink r:id="rId67"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5768/10</w:t>
        </w:r>
      </w:hyperlink>
      <w:r>
        <w:rPr>
          <w:rFonts w:hint="cs"/>
          <w:rtl/>
        </w:rPr>
        <w:t xml:space="preserve"> </w:t>
      </w:r>
      <w:r>
        <w:rPr>
          <w:rFonts w:hint="cs"/>
          <w:b/>
          <w:bCs/>
          <w:rtl/>
        </w:rPr>
        <w:t>פלוני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(08.06.2015)). לעולם אין לגזור עונשו של נאשם על סמך כותרות העבירות שבהן הוא הורשע, ויש להתחשב במכלול הנסיבות בכל מקרה לגופו. מה גם, שממילא עלינו לזכור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68"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1903/13</w:t>
        </w:r>
      </w:hyperlink>
      <w:r>
        <w:rPr>
          <w:rFonts w:hint="cs"/>
          <w:rtl/>
        </w:rPr>
        <w:t xml:space="preserve"> </w:t>
      </w:r>
      <w:r>
        <w:rPr>
          <w:rFonts w:hint="cs"/>
          <w:b/>
          <w:bCs/>
          <w:rtl/>
        </w:rPr>
        <w:t>חמודה עיאשה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(25.06.2013)).</w:t>
      </w:r>
    </w:p>
    <w:p w14:paraId="1E9658A4" w14:textId="77777777" w:rsidR="007339F0" w:rsidRDefault="007339F0">
      <w:pPr>
        <w:pStyle w:val="a9"/>
        <w:numPr>
          <w:ilvl w:val="0"/>
          <w:numId w:val="2"/>
        </w:numPr>
        <w:ind w:left="-58"/>
      </w:pPr>
      <w:r>
        <w:rPr>
          <w:rFonts w:hint="cs"/>
          <w:rtl/>
        </w:rPr>
        <w:t>כללם של דברים, הריני לקבוע מתחמי ענישה כדלקמן:</w:t>
      </w:r>
    </w:p>
    <w:p w14:paraId="08D35D54" w14:textId="77777777" w:rsidR="007339F0" w:rsidRDefault="007339F0">
      <w:pPr>
        <w:pStyle w:val="a9"/>
        <w:ind w:left="-58" w:firstLine="0"/>
      </w:pPr>
      <w:r>
        <w:rPr>
          <w:rFonts w:hint="cs"/>
          <w:rtl/>
        </w:rPr>
        <w:t xml:space="preserve">בגין מעשיו של  הנאשם </w:t>
      </w:r>
      <w:r>
        <w:rPr>
          <w:rFonts w:hint="cs"/>
          <w:b/>
          <w:bCs/>
          <w:rtl/>
        </w:rPr>
        <w:t>באישום הראשון</w:t>
      </w:r>
      <w:r>
        <w:rPr>
          <w:rFonts w:hint="cs"/>
          <w:rtl/>
        </w:rPr>
        <w:t xml:space="preserve">, לאחר שנתתי דעתי למכלול השיקולים הרלוונטיים, ובייחוד למידת מעורבותו של הנאשם ואופיו של הסיוע לעבירת הסחר, הריני קובעת כי מתחם העונש באישום זה ינוע </w:t>
      </w:r>
      <w:r>
        <w:rPr>
          <w:rFonts w:hint="cs"/>
          <w:b/>
          <w:bCs/>
          <w:rtl/>
        </w:rPr>
        <w:t>בין מאסר קצר שניתן לרצותו בעבודות שירות לבין 10 חודשים מאסר בפועל</w:t>
      </w:r>
      <w:r>
        <w:rPr>
          <w:rFonts w:hint="cs"/>
          <w:rtl/>
        </w:rPr>
        <w:t>.</w:t>
      </w:r>
    </w:p>
    <w:p w14:paraId="2FB01983" w14:textId="77777777" w:rsidR="007339F0" w:rsidRDefault="007339F0">
      <w:pPr>
        <w:pStyle w:val="a9"/>
        <w:ind w:left="-58" w:firstLine="0"/>
        <w:rPr>
          <w:rtl/>
        </w:rPr>
      </w:pPr>
      <w:r>
        <w:rPr>
          <w:rFonts w:hint="cs"/>
          <w:rtl/>
        </w:rPr>
        <w:t xml:space="preserve">בגין מעשיו של הנאשם </w:t>
      </w:r>
      <w:r>
        <w:rPr>
          <w:rFonts w:hint="cs"/>
          <w:b/>
          <w:bCs/>
          <w:rtl/>
        </w:rPr>
        <w:t>באישום השני</w:t>
      </w:r>
      <w:r>
        <w:rPr>
          <w:rFonts w:hint="cs"/>
          <w:rtl/>
        </w:rPr>
        <w:t xml:space="preserve">, לאחר שנתתי דעתי למכלול השיקולים הרלוונטיים, ובכלל זה לסוג הסם הנסחר, כמותו, התמורה שהתקבלה בעדו, ומדיניות הענישה הנוהגת, הריני קובעת כי מתחם העונש ההולם באישום זה ינוע </w:t>
      </w:r>
      <w:r>
        <w:rPr>
          <w:rFonts w:hint="cs"/>
          <w:b/>
          <w:bCs/>
          <w:rtl/>
        </w:rPr>
        <w:t>בין 6 חודשים מאסר, שניתן לרצותו בעבודות שירות, לבין 16 חודשים מאסר בפועל</w:t>
      </w:r>
      <w:r>
        <w:rPr>
          <w:rFonts w:hint="cs"/>
          <w:rtl/>
        </w:rPr>
        <w:t>.</w:t>
      </w:r>
    </w:p>
    <w:p w14:paraId="11CF80B2" w14:textId="77777777" w:rsidR="007339F0" w:rsidRDefault="007339F0">
      <w:pPr>
        <w:pStyle w:val="a9"/>
        <w:ind w:left="-58" w:firstLine="0"/>
        <w:rPr>
          <w:rtl/>
        </w:rPr>
      </w:pPr>
      <w:r>
        <w:rPr>
          <w:rFonts w:hint="cs"/>
          <w:rtl/>
        </w:rPr>
        <w:t xml:space="preserve">בגין מעשיו של הנאשם </w:t>
      </w:r>
      <w:r>
        <w:rPr>
          <w:rFonts w:hint="cs"/>
          <w:b/>
          <w:bCs/>
          <w:rtl/>
        </w:rPr>
        <w:t>באישום השלישי</w:t>
      </w:r>
      <w:r>
        <w:rPr>
          <w:rFonts w:hint="cs"/>
          <w:rtl/>
        </w:rPr>
        <w:t xml:space="preserve">, לאחר שנתתי דעתי למכלול השיקולים הרלוונטיים, ובכלל זה לסוג הסם שהחזיק הנאשם וכמותו, הריני קובעת כי מתחם העונש באישום זה ינוע </w:t>
      </w:r>
      <w:r>
        <w:rPr>
          <w:rFonts w:hint="cs"/>
          <w:b/>
          <w:bCs/>
          <w:rtl/>
        </w:rPr>
        <w:t>בין מאסר מותנה לבין 6 חודשים מאסר, שניתן לרצותו בעבודות שירות.</w:t>
      </w:r>
    </w:p>
    <w:p w14:paraId="6088F8CA" w14:textId="77777777" w:rsidR="007339F0" w:rsidRDefault="007339F0">
      <w:pPr>
        <w:pStyle w:val="1"/>
        <w:numPr>
          <w:ilvl w:val="0"/>
          <w:numId w:val="4"/>
        </w:numPr>
        <w:spacing w:after="160" w:line="360" w:lineRule="auto"/>
        <w:ind w:left="360"/>
        <w:jc w:val="both"/>
        <w:rPr>
          <w:rFonts w:cs="David"/>
          <w:b/>
          <w:bCs/>
          <w:color w:val="auto"/>
          <w:rtl/>
        </w:rPr>
      </w:pPr>
      <w:r>
        <w:rPr>
          <w:rFonts w:cs="David" w:hint="cs"/>
          <w:b/>
          <w:bCs/>
          <w:color w:val="auto"/>
          <w:rtl/>
        </w:rPr>
        <w:t>גזירת העונש המתאים לנאשמת</w:t>
      </w:r>
    </w:p>
    <w:p w14:paraId="01BD4C35" w14:textId="77777777" w:rsidR="007339F0" w:rsidRDefault="007339F0">
      <w:pPr>
        <w:pStyle w:val="a9"/>
        <w:numPr>
          <w:ilvl w:val="0"/>
          <w:numId w:val="2"/>
        </w:numPr>
        <w:ind w:left="-58"/>
      </w:pPr>
      <w:r>
        <w:rPr>
          <w:rFonts w:hint="cs"/>
          <w:rtl/>
        </w:rPr>
        <w:t xml:space="preserve">אשר לגזירת העונש המתאים לנאשמת, הרי שזו צריכה להיעשות בהתחשב בנסיבות שאינן קשורות בביצוע העבירות, כפי שאלו מפורטות </w:t>
      </w:r>
      <w:hyperlink r:id="rId69" w:history="1">
        <w:r>
          <w:rPr>
            <w:rFonts w:hint="cs"/>
            <w:color w:val="0000FF"/>
            <w:u w:val="single"/>
            <w:rtl/>
          </w:rPr>
          <w:t>בסעיף</w:t>
        </w:r>
        <w:r>
          <w:rPr>
            <w:color w:val="0000FF"/>
            <w:u w:val="single"/>
            <w:rtl/>
          </w:rPr>
          <w:t xml:space="preserve"> 40</w:t>
        </w:r>
        <w:r>
          <w:rPr>
            <w:rFonts w:hint="cs"/>
            <w:color w:val="0000FF"/>
            <w:u w:val="single"/>
            <w:rtl/>
          </w:rPr>
          <w:t>יא</w:t>
        </w:r>
      </w:hyperlink>
      <w:r>
        <w:rPr>
          <w:rFonts w:hint="cs"/>
          <w:rtl/>
        </w:rPr>
        <w:t xml:space="preserve"> ל</w:t>
      </w:r>
      <w:hyperlink r:id="rId70" w:history="1">
        <w:r>
          <w:rPr>
            <w:rFonts w:hint="cs"/>
            <w:color w:val="0000FF"/>
            <w:u w:val="single"/>
            <w:rtl/>
          </w:rPr>
          <w:t>חוק</w:t>
        </w:r>
        <w:r>
          <w:rPr>
            <w:color w:val="0000FF"/>
            <w:u w:val="single"/>
            <w:rtl/>
          </w:rPr>
          <w:t xml:space="preserve"> </w:t>
        </w:r>
        <w:r>
          <w:rPr>
            <w:rFonts w:hint="cs"/>
            <w:color w:val="0000FF"/>
            <w:u w:val="single"/>
            <w:rtl/>
          </w:rPr>
          <w:t>העונשין</w:t>
        </w:r>
      </w:hyperlink>
      <w:r>
        <w:rPr>
          <w:rFonts w:hint="cs"/>
          <w:rtl/>
        </w:rPr>
        <w:t>.</w:t>
      </w:r>
    </w:p>
    <w:p w14:paraId="5621332B" w14:textId="77777777" w:rsidR="007339F0" w:rsidRDefault="007339F0">
      <w:pPr>
        <w:pStyle w:val="a9"/>
        <w:ind w:left="-58" w:firstLine="0"/>
      </w:pPr>
      <w:r>
        <w:rPr>
          <w:rFonts w:hint="cs"/>
          <w:rtl/>
        </w:rPr>
        <w:t>בעניין זה, נתתי דעתי לעברו הפלילי של הנאשם (ראו ת/1) הכולל חמש הרשעות קודמות (שהתיישנו אך לא נמחקו) במגוון רחב של עבירות, החל בעבירות רכוש, עובר בעבירות של הפרת הוראה חוקית ואיומים, וכלה בעבירות סמים ובהן גם סחר. בגין אלו, הנאשם אף ריצה כמה עונשי מאסר, חלקם לתקופות של שנה אחת ולמעלה מכך. למעשה, בשים לב לגילו הצעיר באופן יחסי של הנאשם, יש בעבר פלילי זה כדי ללמד אודות אורח החיים השולי שאותו הוא הקפיד לנהל עוד מאז היה נער. יחד עם זאת, ראויה לציון העובדה שהרשעתו האחרונה של הנאשם ניתנה לפני כשמונה</w:t>
      </w:r>
      <w:r>
        <w:rPr>
          <w:rFonts w:hint="cs"/>
          <w:rtl/>
        </w:rPr>
        <w:t xml:space="preserve"> שנים וכי מאז ועד לביצוע העבירות שבגינן הוא נותן את הדין כיום, הוא לא שב להסתבך עוד בפלילים. צא ולמד, כי בסופו של דבר, לאחר שנכנס ויצא את כתלי בית הסוהר שוב ושוב, הצליח הנאשם לחזור לדרך הישר, להיגמל מסמים ולנהל במשך שנים רבות אורח חיים נורמטיבי, יצרני ושומר חוק – עד שהסתבך בפלילים בעצם ביצוע העבירות שבמוקד כתב האישום המתוקן, וזאת לאחר ששב להשתמש בסמים.</w:t>
      </w:r>
    </w:p>
    <w:p w14:paraId="52B4CF04" w14:textId="77777777" w:rsidR="007339F0" w:rsidRDefault="007339F0">
      <w:pPr>
        <w:pStyle w:val="a9"/>
        <w:ind w:left="-58" w:firstLine="0"/>
        <w:rPr>
          <w:rtl/>
        </w:rPr>
      </w:pPr>
      <w:r>
        <w:rPr>
          <w:rFonts w:hint="cs"/>
          <w:rtl/>
        </w:rPr>
        <w:t>בהמשך לדברים האחרונים אף ייאמר, כי בית המשפט מוצא לשקול את נסיבות חייו המורכבות של הנאשם, כפי שאלו נפרסו בתסקירי שירות המבחן ובטיעוני ההגנה לעונש. על מנת שלא</w:t>
      </w:r>
      <w:r>
        <w:rPr>
          <w:rFonts w:hint="cs"/>
          <w:rtl/>
        </w:rPr>
        <w:t xml:space="preserve"> לפגוע בפרטיותו של הנאשם, לא ארחיב שלא לצורך אודות נסיבות אלו, אולם די שאומר כי הנאשם שכל את אחיו במלחמת לבנון השנייה וזאת לאחר שגם אביו נפטר קודם לכן, וכי גם כיום ומזה כמה שנים, מתמודדת אימו עם מחלת הסרטן (ראו נ/1). בנסיבות חיים אלה, מצא הנאשם בסמים מעין מפלט, מה שבתורו תרם במידה רבה לביצוע העבירות שבהן הוא הורשע. </w:t>
      </w:r>
    </w:p>
    <w:p w14:paraId="7D76A77D" w14:textId="77777777" w:rsidR="007339F0" w:rsidRDefault="007339F0">
      <w:pPr>
        <w:pStyle w:val="a9"/>
        <w:ind w:left="-58" w:firstLine="0"/>
        <w:rPr>
          <w:rtl/>
        </w:rPr>
      </w:pPr>
      <w:r>
        <w:rPr>
          <w:rFonts w:hint="cs"/>
          <w:rtl/>
        </w:rPr>
        <w:t>בנוסף, בית המשפט שוקל לקולא את העובדה שהנאשם הודה במיוחס לו, ובכך הביא לחיסכון בזמן שיפוטי יקר, ואף ייתר את הצורך בהעדתו של הסוכן. ויוער, אכן לא נעלמה מעיני העובדה שהנאשם ניסה ולו במידת מה להשלי</w:t>
      </w:r>
      <w:r>
        <w:rPr>
          <w:rFonts w:hint="cs"/>
          <w:rtl/>
        </w:rPr>
        <w:t xml:space="preserve">ך את האחריות לביצוע העבירות על הסוכן דווקא. עם זאת, ניכר כי הנאשם מבין את חומרת מעשיו, מצטער עליהם ומביע חרטה כנה על ביצועם. כמו כן, יש ליתן את הדעת לעובדה שהנאשם שהה כחודש וחצי במעצר מאחורי סורג ובריח, כשלושה חודשים וחצי במעצר בפיקוח אלקטרוני, ובמשך תקופה ארוכה נוספת היה נתון תחת תנאים מגבילים. ברי כי הליך המעצר אינו עונש או "מקדמה על חשבון העונש", אולם ניתן ליתן לנסיבה זו משקל במסגרת </w:t>
      </w:r>
      <w:hyperlink r:id="rId71" w:history="1">
        <w:r>
          <w:rPr>
            <w:rFonts w:hint="cs"/>
            <w:color w:val="0000FF"/>
            <w:u w:val="single"/>
            <w:rtl/>
          </w:rPr>
          <w:t>סעיף</w:t>
        </w:r>
        <w:r>
          <w:rPr>
            <w:color w:val="0000FF"/>
            <w:u w:val="single"/>
            <w:rtl/>
          </w:rPr>
          <w:t xml:space="preserve"> 40</w:t>
        </w:r>
        <w:r>
          <w:rPr>
            <w:rFonts w:hint="cs"/>
            <w:color w:val="0000FF"/>
            <w:u w:val="single"/>
            <w:rtl/>
          </w:rPr>
          <w:t>יא</w:t>
        </w:r>
        <w:r>
          <w:rPr>
            <w:color w:val="0000FF"/>
            <w:u w:val="single"/>
            <w:rtl/>
          </w:rPr>
          <w:t>(3)</w:t>
        </w:r>
      </w:hyperlink>
      <w:r>
        <w:rPr>
          <w:rFonts w:hint="cs"/>
          <w:rtl/>
        </w:rPr>
        <w:t xml:space="preserve"> ל</w:t>
      </w:r>
      <w:hyperlink r:id="rId72" w:history="1">
        <w:r>
          <w:rPr>
            <w:rFonts w:hint="cs"/>
            <w:color w:val="0000FF"/>
            <w:u w:val="single"/>
            <w:rtl/>
          </w:rPr>
          <w:t>חוק</w:t>
        </w:r>
        <w:r>
          <w:rPr>
            <w:color w:val="0000FF"/>
            <w:u w:val="single"/>
            <w:rtl/>
          </w:rPr>
          <w:t xml:space="preserve"> </w:t>
        </w:r>
        <w:r>
          <w:rPr>
            <w:rFonts w:hint="cs"/>
            <w:color w:val="0000FF"/>
            <w:u w:val="single"/>
            <w:rtl/>
          </w:rPr>
          <w:t>העונשין</w:t>
        </w:r>
      </w:hyperlink>
      <w:r>
        <w:rPr>
          <w:rFonts w:hint="cs"/>
          <w:rtl/>
        </w:rPr>
        <w:t>.</w:t>
      </w:r>
    </w:p>
    <w:p w14:paraId="4C045AD9" w14:textId="77777777" w:rsidR="007339F0" w:rsidRDefault="007339F0">
      <w:pPr>
        <w:pStyle w:val="a9"/>
        <w:numPr>
          <w:ilvl w:val="0"/>
          <w:numId w:val="2"/>
        </w:numPr>
        <w:ind w:left="-58"/>
        <w:rPr>
          <w:rtl/>
        </w:rPr>
      </w:pPr>
      <w:r>
        <w:rPr>
          <w:rFonts w:hint="cs"/>
          <w:rtl/>
        </w:rPr>
        <w:t xml:space="preserve">בשקלולם של כל אלה, על פניו, היה כדי להביא את בית המשפט למסקנה לפיה יש לגזור את עונשו של הנאשם ברף הנמוך של מתחמי הענישה שקבעתי לעיל. אלא שבתיק הנדון, בשים לב להשתתפותו של הנאשם מזה פרק זמן ארוך בהליכים טיפוליים-שיקומיים שונים ושמירתו על ניקיון מסמים, שוכנעתי כי קיים סיכוי של ממש שהוא ישתקם באופן מלא בעתיד, ומכאן שגם מתקיימים אותם שיקולי שיקום כבדי משקל שיצדיקו גזירת עונשו תוך סטייה לקולא ממתחי העונש ההולם אשר נקבעו בעניינו, ואפרט.  </w:t>
      </w:r>
    </w:p>
    <w:p w14:paraId="5E1E1B29" w14:textId="77777777" w:rsidR="007339F0" w:rsidRDefault="007339F0">
      <w:pPr>
        <w:pStyle w:val="a9"/>
        <w:ind w:left="-58" w:firstLine="0"/>
      </w:pPr>
      <w:r>
        <w:rPr>
          <w:rFonts w:hint="cs"/>
          <w:rtl/>
        </w:rPr>
        <w:t xml:space="preserve">כפי העולה מתסקירי שירות המבחן, עוד בנובמבר 2016 הגיע הנאשם ליחידה לטיפול בסמים בעיר לוד. במסגרת זו ובמשך שלושה חודשים, הנאשם מסר בדיקות שתן שהעידו על ניקיונו מסמים ומגורמי הטיפול נמסר כי הלה שיתף פעולה כנדרש, הגיע באופן עקבי לטיפול וגילה מוטיבציה לערוך שינוי באורחות חייו. בהמשך, באפריל 2017, ומשעבר הנאשם להתגורר בעיר אחרת, הוא המשיך והשתלב בטיפול במרכז לנפגעי סמים בעיר אשדוד. מאז, הנאשם הקפיד לשתף פעולה באופן מלא, הגיע באופן קבוע לשיחות פרטניות שנערכות אחת לשבוע והמשיך למסור בדיקות שתן שנמצאו נקיות משרידי </w:t>
      </w:r>
      <w:r>
        <w:rPr>
          <w:rFonts w:hint="cs"/>
          <w:rtl/>
        </w:rPr>
        <w:t>סם. כך גם, מגורמי הטיפול נמסר כי הנאשם נעזר בטיפול לצורך התמודדות עם קשיי היומיום ולרכישת כלים שיסייעו לו להתרחק מקשרים עברייניים ולגבש אורח חיים תקין; וכי הלה מביע מוטיבציה גבוהה לשיקום חייו, תוך שהטיפול מיטיב עימו ומפחית הסיכון שמא הוא ישוב להשתמש בסמים.</w:t>
      </w:r>
    </w:p>
    <w:p w14:paraId="4404D60D" w14:textId="77777777" w:rsidR="007339F0" w:rsidRDefault="007339F0">
      <w:pPr>
        <w:pStyle w:val="a9"/>
        <w:ind w:left="-58" w:firstLine="0"/>
        <w:rPr>
          <w:rtl/>
        </w:rPr>
      </w:pPr>
      <w:r>
        <w:rPr>
          <w:rFonts w:hint="cs"/>
          <w:rtl/>
        </w:rPr>
        <w:t xml:space="preserve">אכן, מתסקיר שירות המבחן מיום 15.10.2017 עולה כי ישנו צורך בכך שהנאשם ימשיך ויעמיק את הטיפול שבעיצומו הוא מצוי. אולם לדידי, כבר עתה ניתן לומר כי למצער, קיים סיכוי של ממש שהנאשם ישתקם באופן מלא בעתיד. מסקנתי זו אף מתעצמת לנוכח העובדה שמאז ביצוע העבירות, בד </w:t>
      </w:r>
      <w:r>
        <w:rPr>
          <w:rFonts w:hint="cs"/>
          <w:rtl/>
        </w:rPr>
        <w:t>בבד עם הליך השיקום שבו הוא השתלב, הנאשם לא שב להסתבך עוד בפלילים ולא ביצע עבירות נוספות. מה גם, שבמסגרת גזר הדין יושת על הנאשם צו מבחן שבמסגרתו הוא ימשיך בטיפול כאמור, וכל זאת כאשר הוא עצמו מביע מוטיבציה לכך. בהינתן אלה, כאמור, אף מצאתי כי קיימת הצדקה לגזור את עונשו תוך סטייה לקולא ממתחמי הענישה שנקבעו קודם לכן.</w:t>
      </w:r>
    </w:p>
    <w:p w14:paraId="0894889E" w14:textId="77777777" w:rsidR="007339F0" w:rsidRDefault="007339F0">
      <w:pPr>
        <w:pStyle w:val="a9"/>
        <w:numPr>
          <w:ilvl w:val="0"/>
          <w:numId w:val="2"/>
        </w:numPr>
        <w:ind w:left="-58"/>
        <w:rPr>
          <w:rtl/>
        </w:rPr>
      </w:pPr>
      <w:r>
        <w:rPr>
          <w:rFonts w:hint="cs"/>
          <w:rtl/>
        </w:rPr>
        <w:t>לצד כל האמור, יובהר מיד כי אמנם שיקול השיקום יביא במקרה הנדון להקלה בעונשו של הנאשם ואף לסטייה לקולא ממתחם הענישה, אולם לא יהיה בו כדי להטות את הכף לכיוון הימנעות מוחלטת משליחתו למאסר, לריצוי בעבודו</w:t>
      </w:r>
      <w:r>
        <w:rPr>
          <w:rFonts w:hint="cs"/>
          <w:rtl/>
        </w:rPr>
        <w:t xml:space="preserve">ת שירות. כידוע, לאינטרס השיקום חשיבות ניכרת, אולם אין עסקינן בשיקול שהוא בבחינת חזות הכול, ולצד אינטרס זה קיימים שיקולי ענישה נוספים כגון גמול (שהוא אף העיקרון המנחה בענישה, לאחר תיקון 113) והרתעה (ראו והשוו </w:t>
      </w:r>
      <w:hyperlink r:id="rId73"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1521/14</w:t>
        </w:r>
      </w:hyperlink>
      <w:r>
        <w:rPr>
          <w:rFonts w:hint="cs"/>
          <w:rtl/>
        </w:rPr>
        <w:t xml:space="preserve"> </w:t>
      </w:r>
      <w:r>
        <w:rPr>
          <w:rFonts w:hint="cs"/>
          <w:b/>
          <w:bCs/>
          <w:rtl/>
        </w:rPr>
        <w:t>יוסף אלפקיר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(16.09.2015); </w:t>
      </w:r>
      <w:r>
        <w:rPr>
          <w:rFonts w:hint="cs"/>
          <w:u w:val="single"/>
          <w:rtl/>
        </w:rPr>
        <w:t>ו</w:t>
      </w:r>
      <w:hyperlink r:id="rId74" w:history="1">
        <w:r>
          <w:rPr>
            <w:rFonts w:hint="cs"/>
            <w:color w:val="0000FF"/>
            <w:u w:val="single"/>
            <w:rtl/>
          </w:rPr>
          <w:t>רע</w:t>
        </w:r>
        <w:r>
          <w:rPr>
            <w:color w:val="0000FF"/>
            <w:u w:val="single"/>
            <w:rtl/>
          </w:rPr>
          <w:t>"</w:t>
        </w:r>
        <w:r>
          <w:rPr>
            <w:rFonts w:hint="cs"/>
            <w:color w:val="0000FF"/>
            <w:u w:val="single"/>
            <w:rtl/>
          </w:rPr>
          <w:t>פ</w:t>
        </w:r>
        <w:r>
          <w:rPr>
            <w:color w:val="0000FF"/>
            <w:u w:val="single"/>
            <w:rtl/>
          </w:rPr>
          <w:t xml:space="preserve"> 4097/16</w:t>
        </w:r>
      </w:hyperlink>
      <w:r>
        <w:rPr>
          <w:rFonts w:hint="cs"/>
          <w:rtl/>
        </w:rPr>
        <w:t xml:space="preserve"> </w:t>
      </w:r>
      <w:r>
        <w:rPr>
          <w:rFonts w:hint="cs"/>
          <w:b/>
          <w:bCs/>
          <w:rtl/>
        </w:rPr>
        <w:t>מוחמד מחמוד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(24.05.2016)), והדברים אף מקבלים משנה תוקף מקום בו עסקינן במי שהורשע, בין היתר, בעבירות של סחר בסם (ראו למשל, </w:t>
      </w:r>
      <w:r>
        <w:rPr>
          <w:rFonts w:eastAsia="Times New Roman" w:hint="cs"/>
          <w:rtl/>
        </w:rPr>
        <w:t xml:space="preserve">דבריו של כב' השופט א' לוי </w:t>
      </w:r>
      <w:r>
        <w:rPr>
          <w:rFonts w:eastAsia="Times New Roman" w:hint="cs"/>
          <w:u w:val="single"/>
          <w:rtl/>
        </w:rPr>
        <w:t>ב</w:t>
      </w:r>
      <w:hyperlink r:id="rId75" w:history="1">
        <w:r>
          <w:rPr>
            <w:rFonts w:eastAsia="Times New Roman" w:hint="eastAsia"/>
            <w:color w:val="0000FF"/>
            <w:u w:val="single"/>
            <w:rtl/>
          </w:rPr>
          <w:t>ע</w:t>
        </w:r>
        <w:r>
          <w:rPr>
            <w:rFonts w:eastAsia="Times New Roman"/>
            <w:color w:val="0000FF"/>
            <w:u w:val="single"/>
            <w:rtl/>
          </w:rPr>
          <w:t>"</w:t>
        </w:r>
        <w:r>
          <w:rPr>
            <w:rFonts w:eastAsia="Times New Roman" w:hint="eastAsia"/>
            <w:color w:val="0000FF"/>
            <w:u w:val="single"/>
            <w:rtl/>
          </w:rPr>
          <w:t>פ</w:t>
        </w:r>
        <w:r>
          <w:rPr>
            <w:rFonts w:eastAsia="Times New Roman"/>
            <w:color w:val="0000FF"/>
            <w:u w:val="single"/>
            <w:rtl/>
          </w:rPr>
          <w:t xml:space="preserve"> 7070/03</w:t>
        </w:r>
      </w:hyperlink>
      <w:r>
        <w:rPr>
          <w:rFonts w:eastAsia="Times New Roman" w:hint="cs"/>
          <w:rtl/>
        </w:rPr>
        <w:t xml:space="preserve"> </w:t>
      </w:r>
      <w:r>
        <w:rPr>
          <w:rFonts w:eastAsia="Times New Roman" w:hint="cs"/>
          <w:b/>
          <w:bCs/>
          <w:rtl/>
        </w:rPr>
        <w:t>עליאן זניד נ' מדינת ישראל</w:t>
      </w:r>
      <w:r>
        <w:rPr>
          <w:rFonts w:eastAsia="Times New Roman" w:hint="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eastAsia="Times New Roman" w:hint="cs"/>
          <w:rtl/>
        </w:rPr>
        <w:t>(03.04.2006)</w:t>
      </w:r>
      <w:r>
        <w:rPr>
          <w:rFonts w:hint="cs"/>
          <w:rtl/>
        </w:rPr>
        <w:t>). ומן התם אל הכא, לאחר ששקלתי את מכלול השיקולים שפורטו בגזר דין, מצאתי כי באיזון הראוי בין שיקול השיקום לבין יתר שיקולי הענישה, לא ניתן להסתפק בזו הפעם בהשתת ענישה בדמות צו של"צ בלבד.</w:t>
      </w:r>
    </w:p>
    <w:p w14:paraId="4549CB59" w14:textId="77777777" w:rsidR="007339F0" w:rsidRDefault="007339F0">
      <w:pPr>
        <w:pStyle w:val="a9"/>
        <w:ind w:left="-58" w:firstLine="0"/>
      </w:pPr>
      <w:r>
        <w:rPr>
          <w:rFonts w:hint="cs"/>
          <w:rtl/>
        </w:rPr>
        <w:t xml:space="preserve">כאן אף ייאמר, כי לא התעלמתי מהמלצתו העונשית של שירות המבחן. ועדיין, כידוע, המלצתו של השירות הינה המלצה בלבד, ובוודאי שבית המשפט – האמון על שקילת שיקולים רחבים מאלו ששוקל שירות המבחן (ראו והשוו, דבריו של כב' השופט (כתוארו אז) מ' שמגר </w:t>
      </w:r>
      <w:r>
        <w:rPr>
          <w:rFonts w:hint="cs"/>
          <w:u w:val="single"/>
          <w:rtl/>
        </w:rPr>
        <w:t>ב</w:t>
      </w:r>
      <w:hyperlink r:id="rId76"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344/81 </w:t>
        </w:r>
        <w:r>
          <w:rPr>
            <w:rFonts w:hint="cs"/>
            <w:color w:val="0000FF"/>
            <w:u w:val="single"/>
            <w:rtl/>
          </w:rPr>
          <w:t>מדינת</w:t>
        </w:r>
        <w:r>
          <w:rPr>
            <w:color w:val="0000FF"/>
            <w:u w:val="single"/>
            <w:rtl/>
          </w:rPr>
          <w:t xml:space="preserve"> </w:t>
        </w:r>
        <w:r>
          <w:rPr>
            <w:rFonts w:hint="cs"/>
            <w:color w:val="0000FF"/>
            <w:u w:val="single"/>
            <w:rtl/>
          </w:rPr>
          <w:t>ישראל</w:t>
        </w:r>
        <w:r>
          <w:rPr>
            <w:color w:val="0000FF"/>
            <w:u w:val="single"/>
            <w:rtl/>
          </w:rPr>
          <w:t xml:space="preserve"> </w:t>
        </w:r>
        <w:r>
          <w:rPr>
            <w:rFonts w:hint="cs"/>
            <w:color w:val="0000FF"/>
            <w:u w:val="single"/>
            <w:rtl/>
          </w:rPr>
          <w:t>נ</w:t>
        </w:r>
        <w:r>
          <w:rPr>
            <w:color w:val="0000FF"/>
            <w:u w:val="single"/>
            <w:rtl/>
          </w:rPr>
          <w:t xml:space="preserve">' </w:t>
        </w:r>
        <w:r>
          <w:rPr>
            <w:rFonts w:hint="cs"/>
            <w:color w:val="0000FF"/>
            <w:u w:val="single"/>
            <w:rtl/>
          </w:rPr>
          <w:t>שחר</w:t>
        </w:r>
        <w:r>
          <w:rPr>
            <w:color w:val="0000FF"/>
            <w:u w:val="single"/>
            <w:rtl/>
          </w:rPr>
          <w:t xml:space="preserve"> </w:t>
        </w:r>
        <w:r>
          <w:rPr>
            <w:rFonts w:hint="cs"/>
            <w:color w:val="0000FF"/>
            <w:u w:val="single"/>
            <w:rtl/>
          </w:rPr>
          <w:t>סגל</w:t>
        </w:r>
        <w:r>
          <w:rPr>
            <w:color w:val="0000FF"/>
            <w:u w:val="single"/>
            <w:rtl/>
          </w:rPr>
          <w:t xml:space="preserve">, </w:t>
        </w:r>
        <w:r>
          <w:rPr>
            <w:rFonts w:hint="cs"/>
            <w:color w:val="0000FF"/>
            <w:u w:val="single"/>
            <w:rtl/>
          </w:rPr>
          <w:t>פ</w:t>
        </w:r>
        <w:r>
          <w:rPr>
            <w:color w:val="0000FF"/>
            <w:u w:val="single"/>
            <w:rtl/>
          </w:rPr>
          <w:t>"</w:t>
        </w:r>
        <w:r>
          <w:rPr>
            <w:rFonts w:hint="cs"/>
            <w:color w:val="0000FF"/>
            <w:u w:val="single"/>
            <w:rtl/>
          </w:rPr>
          <w:t>ד</w:t>
        </w:r>
        <w:r>
          <w:rPr>
            <w:color w:val="0000FF"/>
            <w:u w:val="single"/>
            <w:rtl/>
          </w:rPr>
          <w:t xml:space="preserve"> </w:t>
        </w:r>
        <w:r>
          <w:rPr>
            <w:rFonts w:hint="cs"/>
            <w:color w:val="0000FF"/>
            <w:u w:val="single"/>
            <w:rtl/>
          </w:rPr>
          <w:t>לה</w:t>
        </w:r>
      </w:hyperlink>
      <w:r>
        <w:rPr>
          <w:rFonts w:hint="cs"/>
          <w:rtl/>
        </w:rPr>
        <w:t xml:space="preserve">(4) 313, 318 (1981); </w:t>
      </w:r>
      <w:hyperlink r:id="rId77"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1472/15</w:t>
        </w:r>
      </w:hyperlink>
      <w:r>
        <w:rPr>
          <w:rFonts w:hint="cs"/>
          <w:rtl/>
        </w:rPr>
        <w:t xml:space="preserve"> </w:t>
      </w:r>
      <w:r>
        <w:rPr>
          <w:rFonts w:hint="cs"/>
          <w:b/>
          <w:bCs/>
          <w:rtl/>
        </w:rPr>
        <w:t>שי שעשוע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(17.05.2015); </w:t>
      </w:r>
      <w:hyperlink r:id="rId78" w:history="1">
        <w:r>
          <w:rPr>
            <w:rFonts w:hint="cs"/>
            <w:color w:val="0000FF"/>
            <w:u w:val="single"/>
            <w:rtl/>
          </w:rPr>
          <w:t>רע</w:t>
        </w:r>
        <w:r>
          <w:rPr>
            <w:color w:val="0000FF"/>
            <w:u w:val="single"/>
            <w:rtl/>
          </w:rPr>
          <w:t>"</w:t>
        </w:r>
        <w:r>
          <w:rPr>
            <w:rFonts w:hint="cs"/>
            <w:color w:val="0000FF"/>
            <w:u w:val="single"/>
            <w:rtl/>
          </w:rPr>
          <w:t>פ</w:t>
        </w:r>
        <w:r>
          <w:rPr>
            <w:color w:val="0000FF"/>
            <w:u w:val="single"/>
            <w:rtl/>
          </w:rPr>
          <w:t xml:space="preserve"> 7389/13</w:t>
        </w:r>
      </w:hyperlink>
      <w:r>
        <w:rPr>
          <w:rFonts w:hint="cs"/>
          <w:rtl/>
        </w:rPr>
        <w:t xml:space="preserve"> </w:t>
      </w:r>
      <w:r>
        <w:rPr>
          <w:rFonts w:hint="cs"/>
          <w:b/>
          <w:bCs/>
          <w:rtl/>
        </w:rPr>
        <w:t xml:space="preserve">נתן טייטלבאום נ' מדינת ישראל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w:t>
      </w:r>
      <w:r>
        <w:rPr>
          <w:rFonts w:hint="cs"/>
          <w:rtl/>
        </w:rPr>
        <w:t>) – איננו מחויב לה. כמו כן, אף נתתי דעתי לנזק שעלול להיגרם לנאשם ככל שיושת עליו מאסר לריצוי בעבודות שירות, עונש שכאמור בתסקיר שירות המבחן, יביא לפגיעה במקור תעסוקתו של הנאשם דהיום, שמהווה כשלעצמו נדבך נוסף בהליך שיקומו. ועדיין, המדובר בשיקול אחד בלבד מני רבים, ושבוודאי איננו חזות הכול. במקרה הנדון, כאמור, באיזון בין מכלול האינטרסים ובשים לב לכך שעונש מאסר בעבודות שירות לא יגדע, בטח לא באופן מוחלט, את הליך שיקומו של הנאשם – ככל שהוא חפץ בצורה כנה ומעומק</w:t>
      </w:r>
      <w:r>
        <w:rPr>
          <w:rFonts w:hint="cs"/>
          <w:rtl/>
        </w:rPr>
        <w:t xml:space="preserve"> ליבו להמשיך בהליך זה – מצאתי כי לא ניתן להימנע מהשתת רכיב זה, הגם אם לא למשך התקופה המקסימלית.</w:t>
      </w:r>
    </w:p>
    <w:p w14:paraId="3B0AE6C8" w14:textId="77777777" w:rsidR="007339F0" w:rsidRDefault="007339F0">
      <w:pPr>
        <w:pStyle w:val="a9"/>
        <w:ind w:left="-58" w:firstLine="0"/>
        <w:rPr>
          <w:rtl/>
        </w:rPr>
      </w:pPr>
      <w:r>
        <w:rPr>
          <w:rFonts w:hint="cs"/>
          <w:rtl/>
        </w:rPr>
        <w:t>ודוק, אל נא יקל בעיניו של הנאשם המשקל שבית המשפט מעניק במקרה זה לאינטרס השיקום. שאלמלא כן, ואילולא הנאשם היה נרתם להליך הטיפולי, כי אז היה נגזר עליו עונש בגדרי מתחמי הענישה, מה שהיה עלול להביא להשתת עונש מאסר לריצוי מאחורי סורג ובריח.</w:t>
      </w:r>
    </w:p>
    <w:p w14:paraId="2C444B24" w14:textId="77777777" w:rsidR="007339F0" w:rsidRDefault="007339F0">
      <w:pPr>
        <w:pStyle w:val="a9"/>
        <w:numPr>
          <w:ilvl w:val="0"/>
          <w:numId w:val="2"/>
        </w:numPr>
        <w:ind w:left="-58"/>
        <w:rPr>
          <w:rtl/>
        </w:rPr>
      </w:pPr>
      <w:r>
        <w:rPr>
          <w:rFonts w:hint="cs"/>
          <w:rtl/>
        </w:rPr>
        <w:t xml:space="preserve">עוד יצוין, כי בשים לב להליך השיקום הארוך שעבר הנאשם ולנוכח יתר השיקולים שיש לשקול לקולא, כפי שפורט לעיל, והגם שאין המדובר בצעד טריוויאלי, אנכה מעונש המאסר לריצוי בעבודות שירות שייגזר עליו את ימי המעצר שבהם הוא שהה מאחורי סורג ובריח. יחד עם זאת, ובשים לב להלכה שיצאה מבית המשפט העליון </w:t>
      </w:r>
      <w:r>
        <w:rPr>
          <w:rFonts w:hint="cs"/>
          <w:u w:val="single"/>
          <w:rtl/>
        </w:rPr>
        <w:t>ב</w:t>
      </w:r>
      <w:hyperlink r:id="rId79"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7768/15</w:t>
        </w:r>
      </w:hyperlink>
      <w:r>
        <w:rPr>
          <w:rFonts w:hint="cs"/>
          <w:rtl/>
        </w:rPr>
        <w:t xml:space="preserve"> </w:t>
      </w:r>
      <w:r>
        <w:rPr>
          <w:rFonts w:hint="cs"/>
          <w:b/>
          <w:bCs/>
          <w:rtl/>
        </w:rPr>
        <w:t>פלוני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(20.04.2016), לא ניתן לנכות מעונש זה את התקופה שבה שהה הנאשם במעצר בפיקוח אלקטרוני (כן ראו </w:t>
      </w:r>
      <w:hyperlink r:id="rId80" w:history="1">
        <w:r>
          <w:rPr>
            <w:rFonts w:hint="cs"/>
            <w:color w:val="0000FF"/>
            <w:u w:val="single"/>
            <w:rtl/>
          </w:rPr>
          <w:t>ע</w:t>
        </w:r>
        <w:r>
          <w:rPr>
            <w:color w:val="0000FF"/>
            <w:u w:val="single"/>
            <w:rtl/>
          </w:rPr>
          <w:t>"</w:t>
        </w:r>
        <w:r>
          <w:rPr>
            <w:rFonts w:hint="cs"/>
            <w:color w:val="0000FF"/>
            <w:u w:val="single"/>
            <w:rtl/>
          </w:rPr>
          <w:t>פ</w:t>
        </w:r>
        <w:r>
          <w:rPr>
            <w:color w:val="0000FF"/>
            <w:u w:val="single"/>
            <w:rtl/>
          </w:rPr>
          <w:t xml:space="preserve"> 8547/15</w:t>
        </w:r>
      </w:hyperlink>
      <w:r>
        <w:rPr>
          <w:rFonts w:hint="cs"/>
          <w:rtl/>
        </w:rPr>
        <w:t>‏</w:t>
      </w:r>
      <w:r>
        <w:rPr>
          <w:rFonts w:hint="cs"/>
          <w:b/>
          <w:bCs/>
          <w:rtl/>
        </w:rPr>
        <w:t xml:space="preserve"> מדינת ישראל נ' אנס מחאג'נה</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 xml:space="preserve">(05.06.2016); </w:t>
      </w:r>
      <w:r>
        <w:rPr>
          <w:rFonts w:hint="cs"/>
          <w:u w:val="single"/>
          <w:rtl/>
        </w:rPr>
        <w:t>ו</w:t>
      </w:r>
      <w:hyperlink r:id="rId81" w:history="1">
        <w:r>
          <w:rPr>
            <w:rFonts w:hint="cs"/>
            <w:color w:val="0000FF"/>
            <w:u w:val="single"/>
            <w:rtl/>
          </w:rPr>
          <w:t>עפ</w:t>
        </w:r>
        <w:r>
          <w:rPr>
            <w:color w:val="0000FF"/>
            <w:u w:val="single"/>
            <w:rtl/>
          </w:rPr>
          <w:t>"</w:t>
        </w:r>
        <w:r>
          <w:rPr>
            <w:rFonts w:hint="cs"/>
            <w:color w:val="0000FF"/>
            <w:u w:val="single"/>
            <w:rtl/>
          </w:rPr>
          <w:t>ג</w:t>
        </w:r>
        <w:r>
          <w:rPr>
            <w:color w:val="0000FF"/>
            <w:u w:val="single"/>
            <w:rtl/>
          </w:rPr>
          <w:t xml:space="preserve"> (</w:t>
        </w:r>
        <w:r>
          <w:rPr>
            <w:rFonts w:hint="cs"/>
            <w:color w:val="0000FF"/>
            <w:u w:val="single"/>
            <w:rtl/>
          </w:rPr>
          <w:t>מחוזי</w:t>
        </w:r>
        <w:r>
          <w:rPr>
            <w:color w:val="0000FF"/>
            <w:u w:val="single"/>
            <w:rtl/>
          </w:rPr>
          <w:t xml:space="preserve"> </w:t>
        </w:r>
        <w:r>
          <w:rPr>
            <w:rFonts w:hint="cs"/>
            <w:color w:val="0000FF"/>
            <w:u w:val="single"/>
            <w:rtl/>
          </w:rPr>
          <w:t>חיפה</w:t>
        </w:r>
        <w:r>
          <w:rPr>
            <w:color w:val="0000FF"/>
            <w:u w:val="single"/>
            <w:rtl/>
          </w:rPr>
          <w:t>) 53142-12-16</w:t>
        </w:r>
      </w:hyperlink>
      <w:r>
        <w:rPr>
          <w:rFonts w:hint="cs"/>
          <w:rtl/>
        </w:rPr>
        <w:t xml:space="preserve"> </w:t>
      </w:r>
      <w:r>
        <w:rPr>
          <w:rFonts w:hint="cs"/>
          <w:b/>
          <w:bCs/>
          <w:rtl/>
        </w:rPr>
        <w:t>זיו רחמימוב נ' מדינת ישראל</w:t>
      </w:r>
      <w:r>
        <w:rPr>
          <w:rFonts w:hint="cs"/>
          <w:rtl/>
        </w:rPr>
        <w:t xml:space="preserve">, </w:t>
      </w:r>
      <w:r>
        <w:rPr>
          <w:rFonts w:ascii="Times New Roman" w:hAnsi="Times New Roman"/>
          <w:sz w:val="22"/>
          <w:rtl/>
        </w:rPr>
        <w:t>[</w:t>
      </w:r>
      <w:r>
        <w:rPr>
          <w:rFonts w:ascii="Times New Roman" w:hAnsi="Times New Roman" w:hint="cs"/>
          <w:sz w:val="22"/>
          <w:rtl/>
        </w:rPr>
        <w:t>פורסם</w:t>
      </w:r>
      <w:r>
        <w:rPr>
          <w:rFonts w:ascii="Times New Roman" w:hAnsi="Times New Roman"/>
          <w:sz w:val="22"/>
          <w:rtl/>
        </w:rPr>
        <w:t xml:space="preserve"> </w:t>
      </w:r>
      <w:r>
        <w:rPr>
          <w:rFonts w:ascii="Times New Roman" w:hAnsi="Times New Roman" w:hint="cs"/>
          <w:sz w:val="22"/>
          <w:rtl/>
        </w:rPr>
        <w:t>בנבו</w:t>
      </w:r>
      <w:r>
        <w:rPr>
          <w:rFonts w:ascii="Times New Roman" w:hAnsi="Times New Roman"/>
          <w:sz w:val="22"/>
          <w:rtl/>
        </w:rPr>
        <w:t xml:space="preserve">] </w:t>
      </w:r>
      <w:r>
        <w:rPr>
          <w:rFonts w:hint="cs"/>
          <w:rtl/>
        </w:rPr>
        <w:t>(17.05.2017)). אם כי, כפי שכבר צוין לעיל, התקופה בה שהה הנאשם במעצר, הן מאחורי סורג ובריח והן תחת פיקוח אלקטרוני, הובאה בחשבון כשיקול לקולא במסגרת בחינת הנסיבות שאינן קשורות בביצוע העבירות.</w:t>
      </w:r>
    </w:p>
    <w:p w14:paraId="53037EAA" w14:textId="77777777" w:rsidR="007339F0" w:rsidRDefault="007339F0">
      <w:pPr>
        <w:pStyle w:val="a9"/>
        <w:ind w:left="-58" w:firstLine="0"/>
      </w:pPr>
      <w:r>
        <w:rPr>
          <w:rFonts w:hint="cs"/>
          <w:rtl/>
        </w:rPr>
        <w:t>עוד ייאמר, כי בשים לב להליך השיקום שעבר הנאשם ולגמילתו משימוש בסמים, ולאור כך שעד עתה רישיונו מעולם לא נפסל ולו על תנאי – אסתפק בזו הפעם בהשתת פסילת רישיון נהיגה מותנית בלבד.</w:t>
      </w:r>
    </w:p>
    <w:p w14:paraId="481F30C0" w14:textId="77777777" w:rsidR="007339F0" w:rsidRDefault="007339F0">
      <w:pPr>
        <w:pStyle w:val="a9"/>
        <w:numPr>
          <w:ilvl w:val="0"/>
          <w:numId w:val="2"/>
        </w:numPr>
        <w:ind w:left="-58"/>
      </w:pPr>
      <w:r>
        <w:rPr>
          <w:rFonts w:hint="cs"/>
          <w:rtl/>
        </w:rPr>
        <w:t xml:space="preserve">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(וראו דבריו של בית המשפט העליון </w:t>
      </w:r>
      <w:r>
        <w:rPr>
          <w:rFonts w:hint="cs"/>
          <w:b/>
          <w:bCs/>
          <w:rtl/>
        </w:rPr>
        <w:t>בעניין זניד</w:t>
      </w:r>
      <w:r>
        <w:rPr>
          <w:rFonts w:hint="cs"/>
          <w:rtl/>
        </w:rPr>
        <w:t>, אשר אוזכר קודם לכן). יחד עם זאת, במצבור הנסיבות שבתיק זה, ובייחוד בשים לב להליך השיקום שעבר הנאשם, שבמסגרתו הוא אף נגמל משימוש בסמים; לנסיבות חייו המורכבות; וליתר הנסיבות שאינן קשורות בביצוע העבירות – מצאתי כי ניתן בזו הפעם להשית עליו ענישה בדמות מאסר לריצוי בעבודות שירות, שלא למשך התקופה המקסימלית.</w:t>
      </w:r>
    </w:p>
    <w:p w14:paraId="6F9E0C4A" w14:textId="77777777" w:rsidR="007339F0" w:rsidRDefault="007339F0">
      <w:pPr>
        <w:pStyle w:val="a9"/>
        <w:numPr>
          <w:ilvl w:val="0"/>
          <w:numId w:val="2"/>
        </w:numPr>
        <w:ind w:left="-58"/>
      </w:pPr>
      <w:r>
        <w:rPr>
          <w:rFonts w:eastAsia="Times New Roman" w:hint="cs"/>
          <w:b/>
          <w:bCs/>
          <w:rtl/>
        </w:rPr>
        <w:t xml:space="preserve">מכל המקובץ לעיל, אני </w:t>
      </w:r>
      <w:r>
        <w:rPr>
          <w:rFonts w:hint="cs"/>
          <w:b/>
          <w:bCs/>
          <w:rtl/>
        </w:rPr>
        <w:t>גוזרת על הנאשמת את העונשים הבאים:</w:t>
      </w:r>
    </w:p>
    <w:p w14:paraId="1D4A6B38" w14:textId="77777777" w:rsidR="007339F0" w:rsidRDefault="007339F0">
      <w:pPr>
        <w:pStyle w:val="a9"/>
        <w:numPr>
          <w:ilvl w:val="0"/>
          <w:numId w:val="5"/>
        </w:numPr>
        <w:ind w:right="142"/>
        <w:rPr>
          <w:rFonts w:eastAsia="Times New Roman"/>
        </w:rPr>
      </w:pPr>
      <w:r>
        <w:rPr>
          <w:rFonts w:eastAsia="Times New Roman" w:hint="cs"/>
          <w:b/>
          <w:bCs/>
          <w:rtl/>
        </w:rPr>
        <w:t xml:space="preserve">100 ימים מאסר בפועל, שירוצה בעבודות שירות, </w:t>
      </w:r>
      <w:r>
        <w:rPr>
          <w:rFonts w:eastAsia="Times New Roman" w:hint="cs"/>
          <w:b/>
          <w:bCs/>
          <w:u w:val="single"/>
          <w:rtl/>
        </w:rPr>
        <w:t>בניכוי ימי מעצרו מאחורי סורג ובריח</w:t>
      </w:r>
      <w:r>
        <w:rPr>
          <w:rFonts w:eastAsia="Times New Roman" w:hint="cs"/>
          <w:rtl/>
        </w:rPr>
        <w:t>.</w:t>
      </w:r>
    </w:p>
    <w:p w14:paraId="4B001265" w14:textId="77777777" w:rsidR="007339F0" w:rsidRDefault="007339F0">
      <w:pPr>
        <w:pStyle w:val="a9"/>
        <w:ind w:right="142" w:firstLine="0"/>
        <w:rPr>
          <w:rFonts w:eastAsia="Times New Roman"/>
          <w:rtl/>
        </w:rPr>
      </w:pPr>
      <w:r>
        <w:rPr>
          <w:rFonts w:eastAsia="Times New Roman" w:hint="cs"/>
          <w:b/>
          <w:bCs/>
          <w:u w:val="single"/>
          <w:rtl/>
        </w:rPr>
        <w:t>הנאשם יחל בביצוע עבודות השירות ביום 01.02.2018</w:t>
      </w:r>
      <w:r>
        <w:rPr>
          <w:rFonts w:eastAsia="Times New Roman" w:hint="cs"/>
          <w:rtl/>
        </w:rPr>
        <w:t>, אלא אם כן הממונה יודיעו אחרת.</w:t>
      </w:r>
    </w:p>
    <w:p w14:paraId="5CCE785E" w14:textId="77777777" w:rsidR="007339F0" w:rsidRDefault="007339F0">
      <w:pPr>
        <w:pStyle w:val="a9"/>
        <w:ind w:right="142" w:firstLine="0"/>
        <w:rPr>
          <w:rFonts w:eastAsia="Times New Roman"/>
        </w:rPr>
      </w:pPr>
      <w:r>
        <w:rPr>
          <w:rFonts w:eastAsia="Times New Roman" w:hint="cs"/>
          <w:rtl/>
        </w:rPr>
        <w:t>העבודות תבוצענה בפארק אשדוד ים, ברחוב מפקורה 1, באשדוד, וזאת מדי יום בין הימים א' עד ה', בין השעות 08:00 ל- 16:30 – והכול אלא אם הממונה יקבע אחרת.</w:t>
      </w:r>
    </w:p>
    <w:p w14:paraId="77EC9985" w14:textId="77777777" w:rsidR="007339F0" w:rsidRDefault="007339F0">
      <w:pPr>
        <w:pStyle w:val="a9"/>
        <w:ind w:right="142" w:firstLine="0"/>
        <w:rPr>
          <w:rFonts w:eastAsia="Times New Roman"/>
          <w:rtl/>
        </w:rPr>
      </w:pPr>
      <w:r>
        <w:rPr>
          <w:rFonts w:eastAsia="Times New Roman" w:hint="cs"/>
          <w:rtl/>
        </w:rPr>
        <w:t>על הנאשם להתייצב במועד שייקבע, בשעה 08:00, במפקדת גוש דרום של שב"ס ביחידה לעבודות השירות.</w:t>
      </w:r>
    </w:p>
    <w:p w14:paraId="4ACA6852" w14:textId="77777777" w:rsidR="007339F0" w:rsidRDefault="007339F0">
      <w:pPr>
        <w:pStyle w:val="a9"/>
        <w:ind w:right="142" w:firstLine="0"/>
        <w:rPr>
          <w:rFonts w:eastAsia="Times New Roman"/>
          <w:rtl/>
        </w:rPr>
      </w:pPr>
      <w:r>
        <w:rPr>
          <w:rFonts w:eastAsia="Times New Roman" w:hint="cs"/>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5210E5EF" w14:textId="77777777" w:rsidR="007339F0" w:rsidRDefault="007339F0">
      <w:pPr>
        <w:pStyle w:val="a9"/>
        <w:ind w:right="142" w:firstLine="0"/>
        <w:rPr>
          <w:rFonts w:eastAsia="Times New Roman"/>
          <w:rtl/>
        </w:rPr>
      </w:pPr>
      <w:r>
        <w:rPr>
          <w:rFonts w:eastAsia="Times New Roman" w:hint="cs"/>
          <w:b/>
          <w:bCs/>
          <w:u w:val="single"/>
          <w:rtl/>
        </w:rPr>
        <w:t>העתק ההחלטה בדחיפות לממונה על עבודות השירות.</w:t>
      </w:r>
    </w:p>
    <w:p w14:paraId="6D51DAFD" w14:textId="77777777" w:rsidR="007339F0" w:rsidRDefault="007339F0">
      <w:pPr>
        <w:pStyle w:val="a9"/>
        <w:numPr>
          <w:ilvl w:val="0"/>
          <w:numId w:val="5"/>
        </w:numPr>
        <w:ind w:right="142"/>
        <w:rPr>
          <w:rFonts w:eastAsia="Times New Roman"/>
        </w:rPr>
      </w:pPr>
      <w:r>
        <w:rPr>
          <w:rFonts w:eastAsia="Times New Roman" w:hint="cs"/>
          <w:b/>
          <w:bCs/>
          <w:rtl/>
        </w:rPr>
        <w:t>צו מבחן של שירות המבחן למשך שנה מהיום</w:t>
      </w:r>
      <w:r>
        <w:rPr>
          <w:rFonts w:eastAsia="Times New Roman" w:hint="cs"/>
          <w:rtl/>
        </w:rPr>
        <w:t>.</w:t>
      </w:r>
    </w:p>
    <w:p w14:paraId="784AFB97" w14:textId="77777777" w:rsidR="007339F0" w:rsidRDefault="007339F0">
      <w:pPr>
        <w:pStyle w:val="a9"/>
        <w:ind w:right="142" w:firstLine="0"/>
        <w:rPr>
          <w:rFonts w:eastAsia="Times New Roman"/>
        </w:rPr>
      </w:pPr>
      <w:r>
        <w:rPr>
          <w:rFonts w:eastAsia="Times New Roman" w:hint="cs"/>
          <w:rtl/>
        </w:rPr>
        <w:t>הובהרה לנאשם חשיבות שיתוף הפעולה עם שירות המבחן ועמידתו בתנאי הצו, שאם לא כן, ייתכן כי צו זה יופקע ויושת עליו עונש אחר תחתיו.</w:t>
      </w:r>
    </w:p>
    <w:p w14:paraId="6FA2CE68" w14:textId="77777777" w:rsidR="007339F0" w:rsidRDefault="007339F0">
      <w:pPr>
        <w:pStyle w:val="a9"/>
        <w:ind w:right="142" w:firstLine="0"/>
        <w:rPr>
          <w:rFonts w:eastAsia="Times New Roman"/>
          <w:u w:val="single"/>
          <w:rtl/>
        </w:rPr>
      </w:pPr>
      <w:r>
        <w:rPr>
          <w:rFonts w:eastAsia="Times New Roman" w:hint="cs"/>
          <w:b/>
          <w:bCs/>
          <w:u w:val="single"/>
          <w:rtl/>
        </w:rPr>
        <w:t>העתק ההחלטה בדחיפות לשירות המבחן</w:t>
      </w:r>
      <w:r>
        <w:rPr>
          <w:rFonts w:eastAsia="Times New Roman" w:hint="cs"/>
          <w:u w:val="single"/>
          <w:rtl/>
        </w:rPr>
        <w:t>.</w:t>
      </w:r>
    </w:p>
    <w:p w14:paraId="53D5640A" w14:textId="77777777" w:rsidR="007339F0" w:rsidRDefault="007339F0">
      <w:pPr>
        <w:pStyle w:val="a9"/>
        <w:numPr>
          <w:ilvl w:val="0"/>
          <w:numId w:val="5"/>
        </w:numPr>
        <w:ind w:right="142"/>
        <w:rPr>
          <w:rFonts w:eastAsia="Times New Roman"/>
        </w:rPr>
      </w:pPr>
      <w:r>
        <w:rPr>
          <w:rFonts w:hint="cs"/>
          <w:b/>
          <w:bCs/>
          <w:rtl/>
        </w:rPr>
        <w:t>מאסר מותנה למשך 10 חודשים, אשר יופעל אם תוך תקופה של 3 שנים מהיום יעבור הנאשם עבירה בניגוד לפקודת הסמים, מסוג פשע</w:t>
      </w:r>
      <w:r>
        <w:rPr>
          <w:rFonts w:eastAsia="Times New Roman" w:hint="cs"/>
          <w:rtl/>
        </w:rPr>
        <w:t>.</w:t>
      </w:r>
    </w:p>
    <w:p w14:paraId="3C6BC201" w14:textId="77777777" w:rsidR="007339F0" w:rsidRDefault="007339F0">
      <w:pPr>
        <w:pStyle w:val="a9"/>
        <w:numPr>
          <w:ilvl w:val="0"/>
          <w:numId w:val="5"/>
        </w:numPr>
        <w:ind w:right="142"/>
        <w:rPr>
          <w:rFonts w:eastAsia="Times New Roman"/>
        </w:rPr>
      </w:pPr>
      <w:r>
        <w:rPr>
          <w:rFonts w:hint="cs"/>
          <w:b/>
          <w:bCs/>
          <w:rtl/>
        </w:rPr>
        <w:t>מאסר מותנה למשך 4 חודשים, אשר יופעל אם תוך תקופה של 3 שנים מהיום יעבור הנאשם עבירה בניגוד לפקודת הסמים, מסוג עוון.</w:t>
      </w:r>
    </w:p>
    <w:p w14:paraId="0CFE6932" w14:textId="77777777" w:rsidR="007339F0" w:rsidRDefault="007339F0">
      <w:pPr>
        <w:pStyle w:val="a9"/>
        <w:numPr>
          <w:ilvl w:val="0"/>
          <w:numId w:val="5"/>
        </w:numPr>
        <w:ind w:right="142"/>
        <w:rPr>
          <w:rFonts w:eastAsia="Times New Roman"/>
        </w:rPr>
      </w:pPr>
      <w:r>
        <w:rPr>
          <w:rFonts w:eastAsia="Times New Roman" w:hint="cs"/>
          <w:b/>
          <w:bCs/>
          <w:rtl/>
        </w:rPr>
        <w:t>קנס בסך 2,500 ₪ או 25 ימים מאסר תמורתו</w:t>
      </w:r>
      <w:r>
        <w:rPr>
          <w:rFonts w:eastAsia="Times New Roman" w:hint="cs"/>
          <w:rtl/>
        </w:rPr>
        <w:t xml:space="preserve">. לבקשת ההגנה, ובהסכמת מפקידת הכספים בקופת ביהמ"ש במסגרת הליך המעצר מושא תיק זה (הגב' גלית דדשב, ת"ז </w:t>
      </w:r>
      <w:r>
        <w:rPr>
          <w:rFonts w:eastAsia="Times New Roman"/>
        </w:rPr>
        <w:t>xxxxxxxxx</w:t>
      </w:r>
      <w:r>
        <w:rPr>
          <w:rFonts w:eastAsia="Times New Roman" w:hint="cs"/>
          <w:rtl/>
        </w:rPr>
        <w:t>)</w:t>
      </w:r>
    </w:p>
    <w:p w14:paraId="17166BEC" w14:textId="77777777" w:rsidR="007339F0" w:rsidRDefault="007339F0">
      <w:pPr>
        <w:pStyle w:val="a9"/>
        <w:ind w:right="142" w:firstLine="0"/>
        <w:rPr>
          <w:rFonts w:eastAsia="Times New Roman"/>
        </w:rPr>
      </w:pPr>
      <w:r>
        <w:rPr>
          <w:rFonts w:eastAsia="Times New Roman" w:hint="cs"/>
          <w:rtl/>
        </w:rPr>
        <w:t xml:space="preserve">הקנס יקוזז מסכום ההפקדה שהופקדה בקופת ביהמ"ש במסגרת הליך המעצר מושא תיק זה והיתרה תושב למר ולדימיר אלטגאוזן ת"ז </w:t>
      </w:r>
      <w:r>
        <w:rPr>
          <w:rFonts w:eastAsia="Times New Roman"/>
        </w:rPr>
        <w:t>xxxxxxxxx</w:t>
      </w:r>
      <w:r>
        <w:rPr>
          <w:rFonts w:eastAsia="Times New Roman" w:hint="cs"/>
          <w:rtl/>
        </w:rPr>
        <w:t xml:space="preserve">. </w:t>
      </w:r>
    </w:p>
    <w:p w14:paraId="5236FE85" w14:textId="77777777" w:rsidR="007339F0" w:rsidRDefault="007339F0">
      <w:pPr>
        <w:pStyle w:val="a9"/>
        <w:numPr>
          <w:ilvl w:val="0"/>
          <w:numId w:val="5"/>
        </w:numPr>
        <w:ind w:right="142"/>
        <w:rPr>
          <w:rFonts w:eastAsia="Times New Roman"/>
        </w:rPr>
      </w:pPr>
      <w:r>
        <w:rPr>
          <w:rFonts w:eastAsia="Times New Roman" w:hint="cs"/>
          <w:b/>
          <w:bCs/>
          <w:rtl/>
        </w:rPr>
        <w:t>התחייבות על סך 7,500 ₪</w:t>
      </w:r>
      <w:r>
        <w:rPr>
          <w:rFonts w:eastAsia="Times New Roman" w:hint="cs"/>
          <w:rtl/>
        </w:rPr>
        <w:t xml:space="preserve"> שלא לעבור כל עבירה בניגוד לפקודת הסמים, וזאת למשך שלוש שנים מהיום.</w:t>
      </w:r>
    </w:p>
    <w:p w14:paraId="22CF2097" w14:textId="77777777" w:rsidR="007339F0" w:rsidRDefault="007339F0">
      <w:pPr>
        <w:pStyle w:val="a9"/>
        <w:ind w:right="142" w:firstLine="0"/>
        <w:rPr>
          <w:rFonts w:eastAsia="Times New Roman"/>
        </w:rPr>
      </w:pPr>
      <w:r>
        <w:rPr>
          <w:rFonts w:eastAsia="Times New Roman" w:hint="cs"/>
          <w:rtl/>
        </w:rPr>
        <w:t>אם לא תיחתם ההתחייבות תוך 7 ימים מהיום – ייאסר הנאשם למשך 10 ימים.</w:t>
      </w:r>
    </w:p>
    <w:p w14:paraId="7F220663" w14:textId="77777777" w:rsidR="007339F0" w:rsidRDefault="007339F0">
      <w:pPr>
        <w:pStyle w:val="a9"/>
        <w:numPr>
          <w:ilvl w:val="0"/>
          <w:numId w:val="5"/>
        </w:numPr>
        <w:ind w:right="142"/>
        <w:rPr>
          <w:rFonts w:eastAsia="Times New Roman"/>
        </w:rPr>
      </w:pPr>
      <w:r>
        <w:rPr>
          <w:rFonts w:hint="cs"/>
          <w:b/>
          <w:bCs/>
          <w:rtl/>
        </w:rPr>
        <w:t>אני פוסלת את הנאשם מלקבל או מלהחזיק רישיון נהיגה למשך 12 חודשים, וזאת על תנאי שלא יעבור כל עבירה בניגוד ל</w:t>
      </w:r>
      <w:hyperlink r:id="rId82" w:history="1">
        <w:r>
          <w:rPr>
            <w:rFonts w:hint="cs"/>
            <w:b/>
            <w:bCs/>
            <w:color w:val="0000FF"/>
            <w:u w:val="single"/>
            <w:rtl/>
          </w:rPr>
          <w:t>פקודת</w:t>
        </w:r>
        <w:r>
          <w:rPr>
            <w:b/>
            <w:bCs/>
            <w:color w:val="0000FF"/>
            <w:u w:val="single"/>
            <w:rtl/>
          </w:rPr>
          <w:t xml:space="preserve"> </w:t>
        </w:r>
        <w:r>
          <w:rPr>
            <w:rFonts w:hint="cs"/>
            <w:b/>
            <w:bCs/>
            <w:color w:val="0000FF"/>
            <w:u w:val="single"/>
            <w:rtl/>
          </w:rPr>
          <w:t>הסמים</w:t>
        </w:r>
        <w:r>
          <w:rPr>
            <w:b/>
            <w:bCs/>
            <w:color w:val="0000FF"/>
            <w:u w:val="single"/>
            <w:rtl/>
          </w:rPr>
          <w:t xml:space="preserve"> </w:t>
        </w:r>
        <w:r>
          <w:rPr>
            <w:rFonts w:hint="cs"/>
            <w:b/>
            <w:bCs/>
            <w:color w:val="0000FF"/>
            <w:u w:val="single"/>
            <w:rtl/>
          </w:rPr>
          <w:t>המסוכנים</w:t>
        </w:r>
      </w:hyperlink>
      <w:r>
        <w:rPr>
          <w:rFonts w:hint="cs"/>
          <w:b/>
          <w:bCs/>
          <w:rtl/>
        </w:rPr>
        <w:t>, במשך שנתיים מהיום.</w:t>
      </w:r>
    </w:p>
    <w:p w14:paraId="575BF362" w14:textId="77777777" w:rsidR="007339F0" w:rsidRDefault="007339F0">
      <w:pPr>
        <w:spacing w:line="360" w:lineRule="auto"/>
        <w:ind w:firstLine="5"/>
        <w:rPr>
          <w:rFonts w:eastAsia="Calibri"/>
        </w:rPr>
      </w:pPr>
      <w:r>
        <w:rPr>
          <w:rFonts w:hint="cs"/>
          <w:rtl/>
        </w:rPr>
        <w:t>מורה על השמדת המוצגים – סמים ומשקל, בכפוף לחלוף תקופת הערעור.</w:t>
      </w:r>
    </w:p>
    <w:p w14:paraId="7D94D455" w14:textId="77777777" w:rsidR="007339F0" w:rsidRDefault="007339F0">
      <w:pPr>
        <w:spacing w:line="360" w:lineRule="auto"/>
        <w:rPr>
          <w:rtl/>
        </w:rPr>
      </w:pPr>
    </w:p>
    <w:p w14:paraId="51A2C9FF" w14:textId="77777777" w:rsidR="007339F0" w:rsidRDefault="007339F0">
      <w:pPr>
        <w:spacing w:line="360" w:lineRule="auto"/>
        <w:rPr>
          <w:rtl/>
        </w:rPr>
      </w:pPr>
      <w:r>
        <w:rPr>
          <w:rFonts w:hint="cs"/>
          <w:rtl/>
        </w:rPr>
        <w:t xml:space="preserve">היחידה החוקרת תשיב לנאשם את הטלפון הנייד שנתפס במסגרת החקירה. </w:t>
      </w:r>
    </w:p>
    <w:p w14:paraId="6D2C250F" w14:textId="77777777" w:rsidR="007339F0" w:rsidRDefault="007339F0">
      <w:pPr>
        <w:spacing w:line="360" w:lineRule="auto"/>
        <w:ind w:firstLine="5"/>
        <w:rPr>
          <w:b/>
          <w:bCs/>
          <w:rtl/>
        </w:rPr>
      </w:pPr>
    </w:p>
    <w:p w14:paraId="5196A017" w14:textId="77777777" w:rsidR="007339F0" w:rsidRDefault="007339F0">
      <w:pPr>
        <w:spacing w:line="360" w:lineRule="auto"/>
        <w:ind w:firstLine="5"/>
        <w:rPr>
          <w:b/>
          <w:bCs/>
          <w:rtl/>
        </w:rPr>
      </w:pPr>
    </w:p>
    <w:p w14:paraId="1A888513" w14:textId="77777777" w:rsidR="007339F0" w:rsidRDefault="007339F0">
      <w:pPr>
        <w:spacing w:line="360" w:lineRule="auto"/>
        <w:ind w:firstLine="5"/>
        <w:rPr>
          <w:b/>
          <w:bCs/>
          <w:rtl/>
        </w:rPr>
      </w:pPr>
      <w:r>
        <w:rPr>
          <w:rFonts w:hint="cs"/>
          <w:b/>
          <w:bCs/>
          <w:rtl/>
        </w:rPr>
        <w:t xml:space="preserve">למען הסר ספק, יובהר, כי כל התנאים המגבילים בהם היה נתון הנאשם בטלים בזאת. </w:t>
      </w:r>
    </w:p>
    <w:p w14:paraId="0265E0E7" w14:textId="77777777" w:rsidR="007339F0" w:rsidRDefault="007339F0">
      <w:pPr>
        <w:spacing w:line="360" w:lineRule="auto"/>
        <w:ind w:firstLine="5"/>
        <w:rPr>
          <w:b/>
          <w:bCs/>
          <w:color w:val="FFFFFF"/>
          <w:sz w:val="2"/>
          <w:szCs w:val="2"/>
          <w:rtl/>
        </w:rPr>
      </w:pPr>
      <w:r>
        <w:rPr>
          <w:b/>
          <w:bCs/>
          <w:color w:val="FFFFFF"/>
          <w:sz w:val="2"/>
          <w:szCs w:val="2"/>
          <w:rtl/>
        </w:rPr>
        <w:t>5129371</w:t>
      </w:r>
    </w:p>
    <w:p w14:paraId="1971BDD6" w14:textId="77777777" w:rsidR="007339F0" w:rsidRDefault="007339F0">
      <w:pPr>
        <w:spacing w:line="360" w:lineRule="auto"/>
        <w:ind w:firstLine="5"/>
        <w:rPr>
          <w:rtl/>
        </w:rPr>
      </w:pPr>
      <w:r>
        <w:rPr>
          <w:b/>
          <w:bCs/>
          <w:color w:val="FFFFFF"/>
          <w:sz w:val="2"/>
          <w:szCs w:val="2"/>
          <w:rtl/>
        </w:rPr>
        <w:t>54678313</w:t>
      </w:r>
      <w:r>
        <w:rPr>
          <w:rFonts w:hint="cs"/>
          <w:b/>
          <w:bCs/>
          <w:rtl/>
        </w:rPr>
        <w:t>זכות ערעור כחוק</w:t>
      </w:r>
      <w:r>
        <w:rPr>
          <w:rFonts w:hint="cs"/>
          <w:rtl/>
        </w:rPr>
        <w:t>.</w:t>
      </w:r>
    </w:p>
    <w:p w14:paraId="3B8C6BE6" w14:textId="77777777" w:rsidR="007339F0" w:rsidRDefault="007339F0">
      <w:pPr>
        <w:spacing w:line="360" w:lineRule="auto"/>
        <w:jc w:val="both"/>
        <w:rPr>
          <w:rFonts w:ascii="Arial" w:hAnsi="Arial"/>
          <w:noProof w:val="0"/>
          <w:rtl/>
        </w:rPr>
      </w:pPr>
    </w:p>
    <w:p w14:paraId="15142708" w14:textId="77777777" w:rsidR="007339F0" w:rsidRDefault="007339F0">
      <w:pPr>
        <w:spacing w:line="360" w:lineRule="auto"/>
        <w:jc w:val="both"/>
        <w:rPr>
          <w:rFonts w:ascii="Arial" w:hAnsi="Arial"/>
          <w:noProof w:val="0"/>
          <w:rtl/>
        </w:rPr>
      </w:pPr>
      <w:r>
        <w:rPr>
          <w:rFonts w:ascii="Arial" w:hAnsi="Arial"/>
          <w:b/>
          <w:bCs/>
          <w:noProof w:val="0"/>
          <w:rtl/>
        </w:rPr>
        <w:t xml:space="preserve">ניתן והודע היום,  ד' כסלו תשע"ח, 22 נובמבר 2017, במעמד הצדדים.  </w:t>
      </w:r>
    </w:p>
    <w:p w14:paraId="412A1487" w14:textId="77777777" w:rsidR="007339F0" w:rsidRDefault="007339F0">
      <w:pPr>
        <w:rPr>
          <w:rtl/>
        </w:rPr>
      </w:pPr>
    </w:p>
    <w:p w14:paraId="066268D8" w14:textId="77777777" w:rsidR="007339F0" w:rsidRDefault="007339F0">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085CEC3B" w14:textId="77777777" w:rsidR="007339F0" w:rsidRDefault="007339F0">
      <w:pPr>
        <w:keepNext/>
        <w:rPr>
          <w:rFonts w:ascii="David" w:hAnsi="David" w:hint="cs"/>
          <w:color w:val="000000"/>
          <w:sz w:val="22"/>
          <w:szCs w:val="22"/>
          <w:rtl/>
        </w:rPr>
      </w:pPr>
    </w:p>
    <w:p w14:paraId="6FDF4B07" w14:textId="77777777" w:rsidR="007339F0" w:rsidRDefault="007339F0">
      <w:pPr>
        <w:keepNext/>
        <w:rPr>
          <w:rFonts w:ascii="David" w:hAnsi="David"/>
          <w:color w:val="000000"/>
          <w:sz w:val="22"/>
          <w:szCs w:val="22"/>
          <w:rtl/>
        </w:rPr>
      </w:pPr>
      <w:r>
        <w:rPr>
          <w:rFonts w:ascii="David" w:hAnsi="David"/>
          <w:color w:val="000000"/>
          <w:sz w:val="22"/>
          <w:szCs w:val="22"/>
          <w:rtl/>
        </w:rPr>
        <w:t>נגה שמואלי מאייר 54678313-/</w:t>
      </w:r>
    </w:p>
    <w:p w14:paraId="644E4334" w14:textId="77777777" w:rsidR="007339F0" w:rsidRDefault="007339F0">
      <w:pPr>
        <w:rPr>
          <w:rFonts w:hint="cs"/>
          <w:color w:val="0000FF"/>
          <w:u w:val="single"/>
        </w:rPr>
      </w:pPr>
      <w:r>
        <w:rPr>
          <w:color w:val="000000"/>
          <w:u w:val="single"/>
          <w:rtl/>
        </w:rPr>
        <w:t>נוסח מסמך זה כפוף לשינויי ניסוח ועריכה</w:t>
      </w:r>
    </w:p>
    <w:sectPr w:rsidR="00000000">
      <w:headerReference w:type="even" r:id="rId84"/>
      <w:headerReference w:type="default" r:id="rId85"/>
      <w:footerReference w:type="even" r:id="rId86"/>
      <w:footerReference w:type="default" r:id="rId8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74F33" w14:textId="77777777" w:rsidR="007339F0" w:rsidRDefault="007339F0">
      <w:r>
        <w:separator/>
      </w:r>
    </w:p>
  </w:endnote>
  <w:endnote w:type="continuationSeparator" w:id="0">
    <w:p w14:paraId="7B49E783" w14:textId="77777777" w:rsidR="007339F0" w:rsidRDefault="00733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12980" w14:textId="77777777" w:rsidR="007339F0" w:rsidRDefault="007339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11</w:t>
    </w:r>
    <w:r>
      <w:rPr>
        <w:rFonts w:ascii="FrankRuehl" w:hAnsi="FrankRuehl" w:cs="FrankRuehl"/>
        <w:rtl/>
      </w:rPr>
      <w:fldChar w:fldCharType="end"/>
    </w:r>
  </w:p>
  <w:p w14:paraId="5401EC97" w14:textId="77777777" w:rsidR="007339F0" w:rsidRDefault="007339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FE47" w14:textId="77777777" w:rsidR="007339F0" w:rsidRDefault="007339F0">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Pr>
        <w:rStyle w:val="a8"/>
        <w:rFonts w:ascii="FrankRuehl" w:hAnsi="FrankRuehl" w:cs="FrankRuehl"/>
        <w:rtl/>
      </w:rPr>
      <w:t>1</w:t>
    </w:r>
    <w:r>
      <w:rPr>
        <w:rStyle w:val="a8"/>
        <w:rFonts w:ascii="FrankRuehl" w:hAnsi="FrankRuehl" w:cs="FrankRuehl"/>
        <w:rtl/>
      </w:rPr>
      <w:fldChar w:fldCharType="end"/>
    </w:r>
  </w:p>
  <w:p w14:paraId="0D5CB446" w14:textId="77777777" w:rsidR="007339F0" w:rsidRDefault="007339F0">
    <w:pPr>
      <w:pStyle w:val="a5"/>
      <w:pBdr>
        <w:top w:val="single" w:sz="4" w:space="1" w:color="auto"/>
        <w:between w:val="single" w:sz="4" w:space="0" w:color="auto"/>
      </w:pBdr>
      <w:spacing w:after="60"/>
      <w:jc w:val="center"/>
      <w:rPr>
        <w:rStyle w:val="a8"/>
        <w:rFonts w:ascii="FrankRuehl" w:hAnsi="FrankRuehl" w:cs="FrankRuehl"/>
        <w:color w:val="000000"/>
      </w:rPr>
    </w:pPr>
    <w:r>
      <w:rPr>
        <w:rStyle w:val="a8"/>
        <w:rFonts w:ascii="FrankRuehl" w:hAnsi="FrankRuehl" w:cs="FrankRuehl"/>
        <w:color w:val="000000"/>
      </w:rPr>
      <w:pict w14:anchorId="443D6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2C12D" w14:textId="77777777" w:rsidR="007339F0" w:rsidRDefault="007339F0">
      <w:r>
        <w:separator/>
      </w:r>
    </w:p>
  </w:footnote>
  <w:footnote w:type="continuationSeparator" w:id="0">
    <w:p w14:paraId="53C666C5" w14:textId="77777777" w:rsidR="007339F0" w:rsidRDefault="00733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CD308" w14:textId="77777777" w:rsidR="007339F0" w:rsidRDefault="007339F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(ק"ג) 49808-06-16</w:t>
    </w:r>
    <w:r>
      <w:rPr>
        <w:rFonts w:ascii="David" w:hAnsi="David"/>
        <w:color w:val="000000"/>
        <w:sz w:val="22"/>
        <w:szCs w:val="22"/>
        <w:rtl/>
      </w:rPr>
      <w:tab/>
      <w:t xml:space="preserve"> מדינת ישראל נ' אלכסנדר קירייב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CA799" w14:textId="77777777" w:rsidR="007339F0" w:rsidRDefault="007339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49808-06-16</w:t>
    </w:r>
    <w:r>
      <w:rPr>
        <w:rFonts w:ascii="David" w:hAnsi="David"/>
        <w:color w:val="000000"/>
        <w:sz w:val="22"/>
        <w:szCs w:val="22"/>
        <w:rtl/>
      </w:rPr>
      <w:tab/>
      <w:t xml:space="preserve"> מדינת ישראל נ' אלכסנדר קירייב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1790A"/>
    <w:multiLevelType w:val="hybridMultilevel"/>
    <w:tmpl w:val="1930C8F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060F99"/>
    <w:multiLevelType w:val="hybridMultilevel"/>
    <w:tmpl w:val="3A8A1648"/>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cs="Courier New" w:hint="default"/>
      </w:rPr>
    </w:lvl>
    <w:lvl w:ilvl="2" w:tplc="04090005">
      <w:start w:val="1"/>
      <w:numFmt w:val="bullet"/>
      <w:lvlText w:val=""/>
      <w:lvlJc w:val="left"/>
      <w:pPr>
        <w:ind w:left="2102" w:hanging="360"/>
      </w:pPr>
      <w:rPr>
        <w:rFonts w:ascii="Wingdings" w:hAnsi="Wingdings" w:hint="default"/>
      </w:rPr>
    </w:lvl>
    <w:lvl w:ilvl="3" w:tplc="04090001">
      <w:start w:val="1"/>
      <w:numFmt w:val="bullet"/>
      <w:lvlText w:val=""/>
      <w:lvlJc w:val="left"/>
      <w:pPr>
        <w:ind w:left="2822" w:hanging="360"/>
      </w:pPr>
      <w:rPr>
        <w:rFonts w:ascii="Symbol" w:hAnsi="Symbol" w:hint="default"/>
      </w:rPr>
    </w:lvl>
    <w:lvl w:ilvl="4" w:tplc="04090003">
      <w:start w:val="1"/>
      <w:numFmt w:val="bullet"/>
      <w:lvlText w:val="o"/>
      <w:lvlJc w:val="left"/>
      <w:pPr>
        <w:ind w:left="3542" w:hanging="360"/>
      </w:pPr>
      <w:rPr>
        <w:rFonts w:ascii="Courier New" w:hAnsi="Courier New" w:cs="Courier New" w:hint="default"/>
      </w:rPr>
    </w:lvl>
    <w:lvl w:ilvl="5" w:tplc="04090005">
      <w:start w:val="1"/>
      <w:numFmt w:val="bullet"/>
      <w:lvlText w:val=""/>
      <w:lvlJc w:val="left"/>
      <w:pPr>
        <w:ind w:left="4262" w:hanging="360"/>
      </w:pPr>
      <w:rPr>
        <w:rFonts w:ascii="Wingdings" w:hAnsi="Wingdings" w:hint="default"/>
      </w:rPr>
    </w:lvl>
    <w:lvl w:ilvl="6" w:tplc="04090001">
      <w:start w:val="1"/>
      <w:numFmt w:val="bullet"/>
      <w:lvlText w:val=""/>
      <w:lvlJc w:val="left"/>
      <w:pPr>
        <w:ind w:left="4982" w:hanging="360"/>
      </w:pPr>
      <w:rPr>
        <w:rFonts w:ascii="Symbol" w:hAnsi="Symbol" w:hint="default"/>
      </w:rPr>
    </w:lvl>
    <w:lvl w:ilvl="7" w:tplc="04090003">
      <w:start w:val="1"/>
      <w:numFmt w:val="bullet"/>
      <w:lvlText w:val="o"/>
      <w:lvlJc w:val="left"/>
      <w:pPr>
        <w:ind w:left="5702" w:hanging="360"/>
      </w:pPr>
      <w:rPr>
        <w:rFonts w:ascii="Courier New" w:hAnsi="Courier New" w:cs="Courier New" w:hint="default"/>
      </w:rPr>
    </w:lvl>
    <w:lvl w:ilvl="8" w:tplc="04090005">
      <w:start w:val="1"/>
      <w:numFmt w:val="bullet"/>
      <w:lvlText w:val=""/>
      <w:lvlJc w:val="left"/>
      <w:pPr>
        <w:ind w:left="6422" w:hanging="360"/>
      </w:pPr>
      <w:rPr>
        <w:rFonts w:ascii="Wingdings" w:hAnsi="Wingdings" w:hint="default"/>
      </w:rPr>
    </w:lvl>
  </w:abstractNum>
  <w:abstractNum w:abstractNumId="2" w15:restartNumberingAfterBreak="0">
    <w:nsid w:val="606F5F9C"/>
    <w:multiLevelType w:val="hybridMultilevel"/>
    <w:tmpl w:val="4F6EC82C"/>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B55F74"/>
    <w:multiLevelType w:val="hybridMultilevel"/>
    <w:tmpl w:val="FBCEB63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236552"/>
    <w:multiLevelType w:val="hybridMultilevel"/>
    <w:tmpl w:val="52DE6F7C"/>
    <w:lvl w:ilvl="0" w:tplc="1FF2DCBC">
      <w:start w:val="1"/>
      <w:numFmt w:val="decimal"/>
      <w:lvlText w:val="%1."/>
      <w:lvlJc w:val="left"/>
      <w:pPr>
        <w:ind w:left="662" w:hanging="360"/>
      </w:pPr>
      <w:rPr>
        <w:lang w:bidi="he-IL"/>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num w:numId="1" w16cid:durableId="1520854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85433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159340">
    <w:abstractNumId w:val="1"/>
  </w:num>
  <w:num w:numId="4" w16cid:durableId="20590861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7699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4378"/>
    <w:rsid w:val="001F4378"/>
    <w:rsid w:val="007339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C207628"/>
  <w15:chartTrackingRefBased/>
  <w15:docId w15:val="{AA152B9B-F1A2-4E5D-9681-0ED3EEBB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noProof/>
      <w:sz w:val="24"/>
      <w:szCs w:val="24"/>
    </w:rPr>
  </w:style>
  <w:style w:type="paragraph" w:styleId="1">
    <w:name w:val="heading 1"/>
    <w:basedOn w:val="a"/>
    <w:next w:val="a"/>
    <w:link w:val="10"/>
    <w:qFormat/>
    <w:pPr>
      <w:keepNext/>
      <w:keepLines/>
      <w:spacing w:before="240"/>
      <w:outlineLvl w:val="0"/>
    </w:pPr>
    <w:rPr>
      <w:rFonts w:ascii="Cambria" w:hAnsi="Cambria" w:cs="Times New Roman"/>
      <w:color w:val="365F9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Cambria" w:eastAsia="Times New Roman" w:hAnsi="Cambria" w:cs="Times New Roman"/>
      <w:noProof/>
      <w:color w:val="365F91"/>
      <w:sz w:val="32"/>
      <w:szCs w:val="32"/>
    </w:rPr>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noProof/>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noProof/>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paragraph" w:styleId="a9">
    <w:name w:val="List Paragraph"/>
    <w:basedOn w:val="a"/>
    <w:qFormat/>
    <w:pPr>
      <w:spacing w:after="160" w:line="360" w:lineRule="auto"/>
      <w:ind w:left="720" w:hanging="357"/>
      <w:contextualSpacing/>
      <w:jc w:val="both"/>
    </w:pPr>
    <w:rPr>
      <w:rFonts w:ascii="Calibri" w:eastAsia="Calibri" w:hAnsi="Calibri"/>
      <w:noProof w:val="0"/>
    </w:rPr>
  </w:style>
  <w:style w:type="character" w:styleId="Hyperlink">
    <w:name w:val="Hyperlink"/>
    <w:rPr>
      <w:color w:val="0563C1"/>
      <w:u w:val="single"/>
    </w:rPr>
  </w:style>
  <w:style w:type="character" w:styleId="aa">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19.a" TargetMode="External"/><Relationship Id="rId21" Type="http://schemas.openxmlformats.org/officeDocument/2006/relationships/hyperlink" Target="http://www.nevo.co.il/law/70301/40jc.c" TargetMode="External"/><Relationship Id="rId42" Type="http://schemas.openxmlformats.org/officeDocument/2006/relationships/hyperlink" Target="http://www.nevo.co.il/law/70301/32" TargetMode="External"/><Relationship Id="rId47" Type="http://schemas.openxmlformats.org/officeDocument/2006/relationships/hyperlink" Target="http://www.nevo.co.il/case/5704648" TargetMode="External"/><Relationship Id="rId63" Type="http://schemas.openxmlformats.org/officeDocument/2006/relationships/hyperlink" Target="http://www.nevo.co.il/case/20556511" TargetMode="External"/><Relationship Id="rId68" Type="http://schemas.openxmlformats.org/officeDocument/2006/relationships/hyperlink" Target="http://www.nevo.co.il/case/6824952"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40c.a"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16927083" TargetMode="External"/><Relationship Id="rId58" Type="http://schemas.openxmlformats.org/officeDocument/2006/relationships/hyperlink" Target="http://www.nevo.co.il/case/22973717" TargetMode="External"/><Relationship Id="rId74" Type="http://schemas.openxmlformats.org/officeDocument/2006/relationships/hyperlink" Target="http://www.nevo.co.il/case/21474481" TargetMode="External"/><Relationship Id="rId79" Type="http://schemas.openxmlformats.org/officeDocument/2006/relationships/hyperlink" Target="http://www.nevo.co.il/case/20832660" TargetMode="External"/><Relationship Id="rId5" Type="http://schemas.openxmlformats.org/officeDocument/2006/relationships/footnotes" Target="footnotes.xml"/><Relationship Id="rId14" Type="http://schemas.openxmlformats.org/officeDocument/2006/relationships/hyperlink" Target="http://www.nevo.co.il/law/70301/31"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law/4216/7.a.;7.c" TargetMode="External"/><Relationship Id="rId30" Type="http://schemas.openxmlformats.org/officeDocument/2006/relationships/hyperlink" Target="http://www.nevo.co.il/case/16904503" TargetMode="External"/><Relationship Id="rId35" Type="http://schemas.openxmlformats.org/officeDocument/2006/relationships/hyperlink" Target="http://www.nevo.co.il/law/70301/40jc.c"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878649" TargetMode="External"/><Relationship Id="rId56" Type="http://schemas.openxmlformats.org/officeDocument/2006/relationships/hyperlink" Target="http://www.nevo.co.il/case/5642705" TargetMode="External"/><Relationship Id="rId64" Type="http://schemas.openxmlformats.org/officeDocument/2006/relationships/hyperlink" Target="http://www.nevo.co.il/case/20155030" TargetMode="External"/><Relationship Id="rId69" Type="http://schemas.openxmlformats.org/officeDocument/2006/relationships/hyperlink" Target="http://www.nevo.co.il/law/70301/40ja" TargetMode="External"/><Relationship Id="rId77" Type="http://schemas.openxmlformats.org/officeDocument/2006/relationships/hyperlink" Target="http://www.nevo.co.il/case/20053795"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0803403" TargetMode="External"/><Relationship Id="rId72" Type="http://schemas.openxmlformats.org/officeDocument/2006/relationships/hyperlink" Target="http://www.nevo.co.il/law/70301" TargetMode="External"/><Relationship Id="rId80" Type="http://schemas.openxmlformats.org/officeDocument/2006/relationships/hyperlink" Target="http://www.nevo.co.il/case/20791756"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40c.a" TargetMode="External"/><Relationship Id="rId17" Type="http://schemas.openxmlformats.org/officeDocument/2006/relationships/hyperlink" Target="http://www.nevo.co.il/law/70301/40i.a.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8441178" TargetMode="External"/><Relationship Id="rId38" Type="http://schemas.openxmlformats.org/officeDocument/2006/relationships/hyperlink" Target="http://www.nevo.co.il/case/5573417"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0321459" TargetMode="External"/><Relationship Id="rId67" Type="http://schemas.openxmlformats.org/officeDocument/2006/relationships/hyperlink" Target="http://www.nevo.co.il/case/6032057" TargetMode="External"/><Relationship Id="rId20" Type="http://schemas.openxmlformats.org/officeDocument/2006/relationships/hyperlink" Target="http://www.nevo.co.il/law/70301/40jc.b" TargetMode="External"/><Relationship Id="rId41" Type="http://schemas.openxmlformats.org/officeDocument/2006/relationships/hyperlink" Target="http://www.nevo.co.il/law/4216" TargetMode="External"/><Relationship Id="rId54" Type="http://schemas.openxmlformats.org/officeDocument/2006/relationships/hyperlink" Target="http://www.nevo.co.il/case/20085086" TargetMode="External"/><Relationship Id="rId62" Type="http://schemas.openxmlformats.org/officeDocument/2006/relationships/hyperlink" Target="http://www.nevo.co.il/case/20093836"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6094597"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 TargetMode="External"/><Relationship Id="rId23" Type="http://schemas.openxmlformats.org/officeDocument/2006/relationships/hyperlink" Target="http://www.nevo.co.il/law/4216"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1035570" TargetMode="External"/><Relationship Id="rId57" Type="http://schemas.openxmlformats.org/officeDocument/2006/relationships/hyperlink" Target="http://www.nevo.co.il/case/13022245"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0240530" TargetMode="External"/><Relationship Id="rId44" Type="http://schemas.openxmlformats.org/officeDocument/2006/relationships/hyperlink" Target="http://www.nevo.co.il/law/70301/40c.a" TargetMode="External"/><Relationship Id="rId52" Type="http://schemas.openxmlformats.org/officeDocument/2006/relationships/hyperlink" Target="http://www.nevo.co.il/case/17011290" TargetMode="External"/><Relationship Id="rId60" Type="http://schemas.openxmlformats.org/officeDocument/2006/relationships/hyperlink" Target="http://www.nevo.co.il/case/10446944" TargetMode="External"/><Relationship Id="rId65" Type="http://schemas.openxmlformats.org/officeDocument/2006/relationships/hyperlink" Target="http://www.nevo.co.il/case/4216871" TargetMode="External"/><Relationship Id="rId73" Type="http://schemas.openxmlformats.org/officeDocument/2006/relationships/hyperlink" Target="http://www.nevo.co.il/case/13015510" TargetMode="External"/><Relationship Id="rId78" Type="http://schemas.openxmlformats.org/officeDocument/2006/relationships/hyperlink" Target="http://www.nevo.co.il/case/10442894" TargetMode="External"/><Relationship Id="rId81" Type="http://schemas.openxmlformats.org/officeDocument/2006/relationships/hyperlink" Target="http://www.nevo.co.il/case/21827077"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4216/40c.a" TargetMode="External"/><Relationship Id="rId34" Type="http://schemas.openxmlformats.org/officeDocument/2006/relationships/hyperlink" Target="http://www.nevo.co.il/law/70301/40jc.b" TargetMode="External"/><Relationship Id="rId50" Type="http://schemas.openxmlformats.org/officeDocument/2006/relationships/hyperlink" Target="http://www.nevo.co.il/case/22554482" TargetMode="External"/><Relationship Id="rId55" Type="http://schemas.openxmlformats.org/officeDocument/2006/relationships/hyperlink" Target="http://www.nevo.co.il/case/17011278" TargetMode="External"/><Relationship Id="rId76" Type="http://schemas.openxmlformats.org/officeDocument/2006/relationships/hyperlink" Target="http://www.nevo.co.il/case/17939098"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40ja.3" TargetMode="External"/><Relationship Id="rId2" Type="http://schemas.openxmlformats.org/officeDocument/2006/relationships/styles" Target="styles.xml"/><Relationship Id="rId29" Type="http://schemas.openxmlformats.org/officeDocument/2006/relationships/hyperlink" Target="http://www.nevo.co.il/case/20033641" TargetMode="External"/><Relationship Id="rId24" Type="http://schemas.openxmlformats.org/officeDocument/2006/relationships/hyperlink" Target="http://www.nevo.co.il/law/70301/3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i.a.2" TargetMode="External"/><Relationship Id="rId66" Type="http://schemas.openxmlformats.org/officeDocument/2006/relationships/hyperlink" Target="http://www.nevo.co.il/case/20320482" TargetMode="External"/><Relationship Id="rId87" Type="http://schemas.openxmlformats.org/officeDocument/2006/relationships/footer" Target="footer2.xml"/><Relationship Id="rId61" Type="http://schemas.openxmlformats.org/officeDocument/2006/relationships/hyperlink" Target="http://www.nevo.co.il/case/16901059" TargetMode="External"/><Relationship Id="rId82" Type="http://schemas.openxmlformats.org/officeDocument/2006/relationships/hyperlink" Target="http://www.nevo.co.il/law/4216" TargetMode="External"/><Relationship Id="rId19" Type="http://schemas.openxmlformats.org/officeDocument/2006/relationships/hyperlink" Target="http://www.nevo.co.il/law/70301/40ja.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5330</Words>
  <Characters>26653</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31920</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8257637</vt:i4>
      </vt:variant>
      <vt:variant>
        <vt:i4>225</vt:i4>
      </vt:variant>
      <vt:variant>
        <vt:i4>0</vt:i4>
      </vt:variant>
      <vt:variant>
        <vt:i4>5</vt:i4>
      </vt:variant>
      <vt:variant>
        <vt:lpwstr>http://www.nevo.co.il/law/4216</vt:lpwstr>
      </vt:variant>
      <vt:variant>
        <vt:lpwstr/>
      </vt:variant>
      <vt:variant>
        <vt:i4>3801207</vt:i4>
      </vt:variant>
      <vt:variant>
        <vt:i4>222</vt:i4>
      </vt:variant>
      <vt:variant>
        <vt:i4>0</vt:i4>
      </vt:variant>
      <vt:variant>
        <vt:i4>5</vt:i4>
      </vt:variant>
      <vt:variant>
        <vt:lpwstr>http://www.nevo.co.il/case/21827077</vt:lpwstr>
      </vt:variant>
      <vt:variant>
        <vt:lpwstr/>
      </vt:variant>
      <vt:variant>
        <vt:i4>3211386</vt:i4>
      </vt:variant>
      <vt:variant>
        <vt:i4>219</vt:i4>
      </vt:variant>
      <vt:variant>
        <vt:i4>0</vt:i4>
      </vt:variant>
      <vt:variant>
        <vt:i4>5</vt:i4>
      </vt:variant>
      <vt:variant>
        <vt:lpwstr>http://www.nevo.co.il/case/20791756</vt:lpwstr>
      </vt:variant>
      <vt:variant>
        <vt:lpwstr/>
      </vt:variant>
      <vt:variant>
        <vt:i4>4063345</vt:i4>
      </vt:variant>
      <vt:variant>
        <vt:i4>216</vt:i4>
      </vt:variant>
      <vt:variant>
        <vt:i4>0</vt:i4>
      </vt:variant>
      <vt:variant>
        <vt:i4>5</vt:i4>
      </vt:variant>
      <vt:variant>
        <vt:lpwstr>http://www.nevo.co.il/case/20832660</vt:lpwstr>
      </vt:variant>
      <vt:variant>
        <vt:lpwstr/>
      </vt:variant>
      <vt:variant>
        <vt:i4>4063352</vt:i4>
      </vt:variant>
      <vt:variant>
        <vt:i4>213</vt:i4>
      </vt:variant>
      <vt:variant>
        <vt:i4>0</vt:i4>
      </vt:variant>
      <vt:variant>
        <vt:i4>5</vt:i4>
      </vt:variant>
      <vt:variant>
        <vt:lpwstr>http://www.nevo.co.il/case/10442894</vt:lpwstr>
      </vt:variant>
      <vt:variant>
        <vt:lpwstr/>
      </vt:variant>
      <vt:variant>
        <vt:i4>3670134</vt:i4>
      </vt:variant>
      <vt:variant>
        <vt:i4>210</vt:i4>
      </vt:variant>
      <vt:variant>
        <vt:i4>0</vt:i4>
      </vt:variant>
      <vt:variant>
        <vt:i4>5</vt:i4>
      </vt:variant>
      <vt:variant>
        <vt:lpwstr>http://www.nevo.co.il/case/20053795</vt:lpwstr>
      </vt:variant>
      <vt:variant>
        <vt:lpwstr/>
      </vt:variant>
      <vt:variant>
        <vt:i4>3670128</vt:i4>
      </vt:variant>
      <vt:variant>
        <vt:i4>207</vt:i4>
      </vt:variant>
      <vt:variant>
        <vt:i4>0</vt:i4>
      </vt:variant>
      <vt:variant>
        <vt:i4>5</vt:i4>
      </vt:variant>
      <vt:variant>
        <vt:lpwstr>http://www.nevo.co.il/case/17939098</vt:lpwstr>
      </vt:variant>
      <vt:variant>
        <vt:lpwstr/>
      </vt:variant>
      <vt:variant>
        <vt:i4>3997817</vt:i4>
      </vt:variant>
      <vt:variant>
        <vt:i4>204</vt:i4>
      </vt:variant>
      <vt:variant>
        <vt:i4>0</vt:i4>
      </vt:variant>
      <vt:variant>
        <vt:i4>5</vt:i4>
      </vt:variant>
      <vt:variant>
        <vt:lpwstr>http://www.nevo.co.il/case/6094597</vt:lpwstr>
      </vt:variant>
      <vt:variant>
        <vt:lpwstr/>
      </vt:variant>
      <vt:variant>
        <vt:i4>3801206</vt:i4>
      </vt:variant>
      <vt:variant>
        <vt:i4>201</vt:i4>
      </vt:variant>
      <vt:variant>
        <vt:i4>0</vt:i4>
      </vt:variant>
      <vt:variant>
        <vt:i4>5</vt:i4>
      </vt:variant>
      <vt:variant>
        <vt:lpwstr>http://www.nevo.co.il/case/21474481</vt:lpwstr>
      </vt:variant>
      <vt:variant>
        <vt:lpwstr/>
      </vt:variant>
      <vt:variant>
        <vt:i4>3473523</vt:i4>
      </vt:variant>
      <vt:variant>
        <vt:i4>198</vt:i4>
      </vt:variant>
      <vt:variant>
        <vt:i4>0</vt:i4>
      </vt:variant>
      <vt:variant>
        <vt:i4>5</vt:i4>
      </vt:variant>
      <vt:variant>
        <vt:lpwstr>http://www.nevo.co.il/case/13015510</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3604517</vt:i4>
      </vt:variant>
      <vt:variant>
        <vt:i4>192</vt:i4>
      </vt:variant>
      <vt:variant>
        <vt:i4>0</vt:i4>
      </vt:variant>
      <vt:variant>
        <vt:i4>5</vt:i4>
      </vt:variant>
      <vt:variant>
        <vt:lpwstr>http://www.nevo.co.il/law/70301/40ja.3</vt:lpwstr>
      </vt:variant>
      <vt:variant>
        <vt:lpwstr/>
      </vt:variant>
      <vt:variant>
        <vt:i4>7995492</vt:i4>
      </vt:variant>
      <vt:variant>
        <vt:i4>189</vt:i4>
      </vt:variant>
      <vt:variant>
        <vt:i4>0</vt:i4>
      </vt:variant>
      <vt:variant>
        <vt:i4>5</vt:i4>
      </vt:variant>
      <vt:variant>
        <vt:lpwstr>http://www.nevo.co.il/law/70301</vt:lpwstr>
      </vt:variant>
      <vt:variant>
        <vt:lpwstr/>
      </vt:variant>
      <vt:variant>
        <vt:i4>262155</vt:i4>
      </vt:variant>
      <vt:variant>
        <vt:i4>186</vt:i4>
      </vt:variant>
      <vt:variant>
        <vt:i4>0</vt:i4>
      </vt:variant>
      <vt:variant>
        <vt:i4>5</vt:i4>
      </vt:variant>
      <vt:variant>
        <vt:lpwstr>http://www.nevo.co.il/law/70301/40ja</vt:lpwstr>
      </vt:variant>
      <vt:variant>
        <vt:lpwstr/>
      </vt:variant>
      <vt:variant>
        <vt:i4>4128893</vt:i4>
      </vt:variant>
      <vt:variant>
        <vt:i4>183</vt:i4>
      </vt:variant>
      <vt:variant>
        <vt:i4>0</vt:i4>
      </vt:variant>
      <vt:variant>
        <vt:i4>5</vt:i4>
      </vt:variant>
      <vt:variant>
        <vt:lpwstr>http://www.nevo.co.il/case/6824952</vt:lpwstr>
      </vt:variant>
      <vt:variant>
        <vt:lpwstr/>
      </vt:variant>
      <vt:variant>
        <vt:i4>3276915</vt:i4>
      </vt:variant>
      <vt:variant>
        <vt:i4>180</vt:i4>
      </vt:variant>
      <vt:variant>
        <vt:i4>0</vt:i4>
      </vt:variant>
      <vt:variant>
        <vt:i4>5</vt:i4>
      </vt:variant>
      <vt:variant>
        <vt:lpwstr>http://www.nevo.co.il/case/6032057</vt:lpwstr>
      </vt:variant>
      <vt:variant>
        <vt:lpwstr/>
      </vt:variant>
      <vt:variant>
        <vt:i4>3735666</vt:i4>
      </vt:variant>
      <vt:variant>
        <vt:i4>177</vt:i4>
      </vt:variant>
      <vt:variant>
        <vt:i4>0</vt:i4>
      </vt:variant>
      <vt:variant>
        <vt:i4>5</vt:i4>
      </vt:variant>
      <vt:variant>
        <vt:lpwstr>http://www.nevo.co.il/case/20320482</vt:lpwstr>
      </vt:variant>
      <vt:variant>
        <vt:lpwstr/>
      </vt:variant>
      <vt:variant>
        <vt:i4>3932279</vt:i4>
      </vt:variant>
      <vt:variant>
        <vt:i4>174</vt:i4>
      </vt:variant>
      <vt:variant>
        <vt:i4>0</vt:i4>
      </vt:variant>
      <vt:variant>
        <vt:i4>5</vt:i4>
      </vt:variant>
      <vt:variant>
        <vt:lpwstr>http://www.nevo.co.il/case/4216871</vt:lpwstr>
      </vt:variant>
      <vt:variant>
        <vt:lpwstr/>
      </vt:variant>
      <vt:variant>
        <vt:i4>3473521</vt:i4>
      </vt:variant>
      <vt:variant>
        <vt:i4>171</vt:i4>
      </vt:variant>
      <vt:variant>
        <vt:i4>0</vt:i4>
      </vt:variant>
      <vt:variant>
        <vt:i4>5</vt:i4>
      </vt:variant>
      <vt:variant>
        <vt:lpwstr>http://www.nevo.co.il/case/20155030</vt:lpwstr>
      </vt:variant>
      <vt:variant>
        <vt:lpwstr/>
      </vt:variant>
      <vt:variant>
        <vt:i4>3145844</vt:i4>
      </vt:variant>
      <vt:variant>
        <vt:i4>168</vt:i4>
      </vt:variant>
      <vt:variant>
        <vt:i4>0</vt:i4>
      </vt:variant>
      <vt:variant>
        <vt:i4>5</vt:i4>
      </vt:variant>
      <vt:variant>
        <vt:lpwstr>http://www.nevo.co.il/case/20556511</vt:lpwstr>
      </vt:variant>
      <vt:variant>
        <vt:lpwstr/>
      </vt:variant>
      <vt:variant>
        <vt:i4>3276917</vt:i4>
      </vt:variant>
      <vt:variant>
        <vt:i4>165</vt:i4>
      </vt:variant>
      <vt:variant>
        <vt:i4>0</vt:i4>
      </vt:variant>
      <vt:variant>
        <vt:i4>5</vt:i4>
      </vt:variant>
      <vt:variant>
        <vt:lpwstr>http://www.nevo.co.il/case/20093836</vt:lpwstr>
      </vt:variant>
      <vt:variant>
        <vt:lpwstr/>
      </vt:variant>
      <vt:variant>
        <vt:i4>3932274</vt:i4>
      </vt:variant>
      <vt:variant>
        <vt:i4>162</vt:i4>
      </vt:variant>
      <vt:variant>
        <vt:i4>0</vt:i4>
      </vt:variant>
      <vt:variant>
        <vt:i4>5</vt:i4>
      </vt:variant>
      <vt:variant>
        <vt:lpwstr>http://www.nevo.co.il/case/16901059</vt:lpwstr>
      </vt:variant>
      <vt:variant>
        <vt:lpwstr/>
      </vt:variant>
      <vt:variant>
        <vt:i4>3604601</vt:i4>
      </vt:variant>
      <vt:variant>
        <vt:i4>159</vt:i4>
      </vt:variant>
      <vt:variant>
        <vt:i4>0</vt:i4>
      </vt:variant>
      <vt:variant>
        <vt:i4>5</vt:i4>
      </vt:variant>
      <vt:variant>
        <vt:lpwstr>http://www.nevo.co.il/case/10446944</vt:lpwstr>
      </vt:variant>
      <vt:variant>
        <vt:lpwstr/>
      </vt:variant>
      <vt:variant>
        <vt:i4>3473522</vt:i4>
      </vt:variant>
      <vt:variant>
        <vt:i4>156</vt:i4>
      </vt:variant>
      <vt:variant>
        <vt:i4>0</vt:i4>
      </vt:variant>
      <vt:variant>
        <vt:i4>5</vt:i4>
      </vt:variant>
      <vt:variant>
        <vt:lpwstr>http://www.nevo.co.il/case/20321459</vt:lpwstr>
      </vt:variant>
      <vt:variant>
        <vt:lpwstr/>
      </vt:variant>
      <vt:variant>
        <vt:i4>3735670</vt:i4>
      </vt:variant>
      <vt:variant>
        <vt:i4>153</vt:i4>
      </vt:variant>
      <vt:variant>
        <vt:i4>0</vt:i4>
      </vt:variant>
      <vt:variant>
        <vt:i4>5</vt:i4>
      </vt:variant>
      <vt:variant>
        <vt:lpwstr>http://www.nevo.co.il/case/22973717</vt:lpwstr>
      </vt:variant>
      <vt:variant>
        <vt:lpwstr/>
      </vt:variant>
      <vt:variant>
        <vt:i4>3604599</vt:i4>
      </vt:variant>
      <vt:variant>
        <vt:i4>150</vt:i4>
      </vt:variant>
      <vt:variant>
        <vt:i4>0</vt:i4>
      </vt:variant>
      <vt:variant>
        <vt:i4>5</vt:i4>
      </vt:variant>
      <vt:variant>
        <vt:lpwstr>http://www.nevo.co.il/case/13022245</vt:lpwstr>
      </vt:variant>
      <vt:variant>
        <vt:lpwstr/>
      </vt:variant>
      <vt:variant>
        <vt:i4>3342448</vt:i4>
      </vt:variant>
      <vt:variant>
        <vt:i4>147</vt:i4>
      </vt:variant>
      <vt:variant>
        <vt:i4>0</vt:i4>
      </vt:variant>
      <vt:variant>
        <vt:i4>5</vt:i4>
      </vt:variant>
      <vt:variant>
        <vt:lpwstr>http://www.nevo.co.il/case/5642705</vt:lpwstr>
      </vt:variant>
      <vt:variant>
        <vt:lpwstr/>
      </vt:variant>
      <vt:variant>
        <vt:i4>3604592</vt:i4>
      </vt:variant>
      <vt:variant>
        <vt:i4>144</vt:i4>
      </vt:variant>
      <vt:variant>
        <vt:i4>0</vt:i4>
      </vt:variant>
      <vt:variant>
        <vt:i4>5</vt:i4>
      </vt:variant>
      <vt:variant>
        <vt:lpwstr>http://www.nevo.co.il/case/17011278</vt:lpwstr>
      </vt:variant>
      <vt:variant>
        <vt:lpwstr/>
      </vt:variant>
      <vt:variant>
        <vt:i4>4128892</vt:i4>
      </vt:variant>
      <vt:variant>
        <vt:i4>141</vt:i4>
      </vt:variant>
      <vt:variant>
        <vt:i4>0</vt:i4>
      </vt:variant>
      <vt:variant>
        <vt:i4>5</vt:i4>
      </vt:variant>
      <vt:variant>
        <vt:lpwstr>http://www.nevo.co.il/case/20085086</vt:lpwstr>
      </vt:variant>
      <vt:variant>
        <vt:lpwstr/>
      </vt:variant>
      <vt:variant>
        <vt:i4>3604592</vt:i4>
      </vt:variant>
      <vt:variant>
        <vt:i4>138</vt:i4>
      </vt:variant>
      <vt:variant>
        <vt:i4>0</vt:i4>
      </vt:variant>
      <vt:variant>
        <vt:i4>5</vt:i4>
      </vt:variant>
      <vt:variant>
        <vt:lpwstr>http://www.nevo.co.il/case/16927083</vt:lpwstr>
      </vt:variant>
      <vt:variant>
        <vt:lpwstr/>
      </vt:variant>
      <vt:variant>
        <vt:i4>3735664</vt:i4>
      </vt:variant>
      <vt:variant>
        <vt:i4>135</vt:i4>
      </vt:variant>
      <vt:variant>
        <vt:i4>0</vt:i4>
      </vt:variant>
      <vt:variant>
        <vt:i4>5</vt:i4>
      </vt:variant>
      <vt:variant>
        <vt:lpwstr>http://www.nevo.co.il/case/17011290</vt:lpwstr>
      </vt:variant>
      <vt:variant>
        <vt:lpwstr/>
      </vt:variant>
      <vt:variant>
        <vt:i4>3735664</vt:i4>
      </vt:variant>
      <vt:variant>
        <vt:i4>132</vt:i4>
      </vt:variant>
      <vt:variant>
        <vt:i4>0</vt:i4>
      </vt:variant>
      <vt:variant>
        <vt:i4>5</vt:i4>
      </vt:variant>
      <vt:variant>
        <vt:lpwstr>http://www.nevo.co.il/case/20803403</vt:lpwstr>
      </vt:variant>
      <vt:variant>
        <vt:lpwstr/>
      </vt:variant>
      <vt:variant>
        <vt:i4>3866743</vt:i4>
      </vt:variant>
      <vt:variant>
        <vt:i4>129</vt:i4>
      </vt:variant>
      <vt:variant>
        <vt:i4>0</vt:i4>
      </vt:variant>
      <vt:variant>
        <vt:i4>5</vt:i4>
      </vt:variant>
      <vt:variant>
        <vt:lpwstr>http://www.nevo.co.il/case/22554482</vt:lpwstr>
      </vt:variant>
      <vt:variant>
        <vt:lpwstr/>
      </vt:variant>
      <vt:variant>
        <vt:i4>3145843</vt:i4>
      </vt:variant>
      <vt:variant>
        <vt:i4>126</vt:i4>
      </vt:variant>
      <vt:variant>
        <vt:i4>0</vt:i4>
      </vt:variant>
      <vt:variant>
        <vt:i4>5</vt:i4>
      </vt:variant>
      <vt:variant>
        <vt:lpwstr>http://www.nevo.co.il/case/21035570</vt:lpwstr>
      </vt:variant>
      <vt:variant>
        <vt:lpwstr/>
      </vt:variant>
      <vt:variant>
        <vt:i4>3997808</vt:i4>
      </vt:variant>
      <vt:variant>
        <vt:i4>123</vt:i4>
      </vt:variant>
      <vt:variant>
        <vt:i4>0</vt:i4>
      </vt:variant>
      <vt:variant>
        <vt:i4>5</vt:i4>
      </vt:variant>
      <vt:variant>
        <vt:lpwstr>http://www.nevo.co.il/case/5878649</vt:lpwstr>
      </vt:variant>
      <vt:variant>
        <vt:lpwstr/>
      </vt:variant>
      <vt:variant>
        <vt:i4>3866739</vt:i4>
      </vt:variant>
      <vt:variant>
        <vt:i4>120</vt:i4>
      </vt:variant>
      <vt:variant>
        <vt:i4>0</vt:i4>
      </vt:variant>
      <vt:variant>
        <vt:i4>5</vt:i4>
      </vt:variant>
      <vt:variant>
        <vt:lpwstr>http://www.nevo.co.il/case/5704648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6619241</vt:i4>
      </vt:variant>
      <vt:variant>
        <vt:i4>114</vt:i4>
      </vt:variant>
      <vt:variant>
        <vt:i4>0</vt:i4>
      </vt:variant>
      <vt:variant>
        <vt:i4>5</vt:i4>
      </vt:variant>
      <vt:variant>
        <vt:lpwstr>http://www.nevo.co.il/law/70301/40i.a.2</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6750310</vt:i4>
      </vt:variant>
      <vt:variant>
        <vt:i4>105</vt:i4>
      </vt:variant>
      <vt:variant>
        <vt:i4>0</vt:i4>
      </vt:variant>
      <vt:variant>
        <vt:i4>5</vt:i4>
      </vt:variant>
      <vt:variant>
        <vt:lpwstr>http://www.nevo.co.il/law/70301/32</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4718676</vt:i4>
      </vt:variant>
      <vt:variant>
        <vt:i4>96</vt:i4>
      </vt:variant>
      <vt:variant>
        <vt:i4>0</vt:i4>
      </vt:variant>
      <vt:variant>
        <vt:i4>5</vt:i4>
      </vt:variant>
      <vt:variant>
        <vt:lpwstr>http://www.nevo.co.il/law/4216/40c.a</vt:lpwstr>
      </vt:variant>
      <vt:variant>
        <vt:lpwstr/>
      </vt:variant>
      <vt:variant>
        <vt:i4>3211379</vt:i4>
      </vt:variant>
      <vt:variant>
        <vt:i4>93</vt:i4>
      </vt:variant>
      <vt:variant>
        <vt:i4>0</vt:i4>
      </vt:variant>
      <vt:variant>
        <vt:i4>5</vt:i4>
      </vt:variant>
      <vt:variant>
        <vt:lpwstr>http://www.nevo.co.il/case/5573417</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6619173</vt:i4>
      </vt:variant>
      <vt:variant>
        <vt:i4>84</vt:i4>
      </vt:variant>
      <vt:variant>
        <vt:i4>0</vt:i4>
      </vt:variant>
      <vt:variant>
        <vt:i4>5</vt:i4>
      </vt:variant>
      <vt:variant>
        <vt:lpwstr>http://www.nevo.co.il/law/70301/40jc.c</vt:lpwstr>
      </vt:variant>
      <vt:variant>
        <vt:lpwstr/>
      </vt:variant>
      <vt:variant>
        <vt:i4>6553637</vt:i4>
      </vt:variant>
      <vt:variant>
        <vt:i4>81</vt:i4>
      </vt:variant>
      <vt:variant>
        <vt:i4>0</vt:i4>
      </vt:variant>
      <vt:variant>
        <vt:i4>5</vt:i4>
      </vt:variant>
      <vt:variant>
        <vt:lpwstr>http://www.nevo.co.il/law/70301/40jc.b</vt:lpwstr>
      </vt:variant>
      <vt:variant>
        <vt:lpwstr/>
      </vt:variant>
      <vt:variant>
        <vt:i4>3473526</vt:i4>
      </vt:variant>
      <vt:variant>
        <vt:i4>78</vt:i4>
      </vt:variant>
      <vt:variant>
        <vt:i4>0</vt:i4>
      </vt:variant>
      <vt:variant>
        <vt:i4>5</vt:i4>
      </vt:variant>
      <vt:variant>
        <vt:lpwstr>http://www.nevo.co.il/case/8441178</vt:lpwstr>
      </vt:variant>
      <vt:variant>
        <vt:lpwstr/>
      </vt:variant>
      <vt:variant>
        <vt:i4>7995492</vt:i4>
      </vt:variant>
      <vt:variant>
        <vt:i4>75</vt:i4>
      </vt:variant>
      <vt:variant>
        <vt:i4>0</vt:i4>
      </vt:variant>
      <vt:variant>
        <vt:i4>5</vt:i4>
      </vt:variant>
      <vt:variant>
        <vt:lpwstr>http://www.nevo.co.il/law/70301</vt:lpwstr>
      </vt:variant>
      <vt:variant>
        <vt:lpwstr/>
      </vt:variant>
      <vt:variant>
        <vt:i4>3342453</vt:i4>
      </vt:variant>
      <vt:variant>
        <vt:i4>72</vt:i4>
      </vt:variant>
      <vt:variant>
        <vt:i4>0</vt:i4>
      </vt:variant>
      <vt:variant>
        <vt:i4>5</vt:i4>
      </vt:variant>
      <vt:variant>
        <vt:lpwstr>http://www.nevo.co.il/case/20240530</vt:lpwstr>
      </vt:variant>
      <vt:variant>
        <vt:lpwstr/>
      </vt:variant>
      <vt:variant>
        <vt:i4>3932279</vt:i4>
      </vt:variant>
      <vt:variant>
        <vt:i4>69</vt:i4>
      </vt:variant>
      <vt:variant>
        <vt:i4>0</vt:i4>
      </vt:variant>
      <vt:variant>
        <vt:i4>5</vt:i4>
      </vt:variant>
      <vt:variant>
        <vt:lpwstr>http://www.nevo.co.il/case/16904503</vt:lpwstr>
      </vt:variant>
      <vt:variant>
        <vt:lpwstr/>
      </vt:variant>
      <vt:variant>
        <vt:i4>3473521</vt:i4>
      </vt:variant>
      <vt:variant>
        <vt:i4>66</vt:i4>
      </vt:variant>
      <vt:variant>
        <vt:i4>0</vt:i4>
      </vt:variant>
      <vt:variant>
        <vt:i4>5</vt:i4>
      </vt:variant>
      <vt:variant>
        <vt:lpwstr>http://www.nevo.co.il/case/20033641</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2883686</vt:i4>
      </vt:variant>
      <vt:variant>
        <vt:i4>57</vt:i4>
      </vt:variant>
      <vt:variant>
        <vt:i4>0</vt:i4>
      </vt:variant>
      <vt:variant>
        <vt:i4>5</vt:i4>
      </vt:variant>
      <vt:variant>
        <vt:lpwstr>http://www.nevo.co.il/law/4216/13;19.a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8257637</vt:i4>
      </vt:variant>
      <vt:variant>
        <vt:i4>48</vt:i4>
      </vt:variant>
      <vt:variant>
        <vt:i4>0</vt:i4>
      </vt:variant>
      <vt:variant>
        <vt:i4>5</vt:i4>
      </vt:variant>
      <vt:variant>
        <vt:lpwstr>http://www.nevo.co.il/law/4216</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6619173</vt:i4>
      </vt:variant>
      <vt:variant>
        <vt:i4>42</vt:i4>
      </vt:variant>
      <vt:variant>
        <vt:i4>0</vt:i4>
      </vt:variant>
      <vt:variant>
        <vt:i4>5</vt:i4>
      </vt:variant>
      <vt:variant>
        <vt:lpwstr>http://www.nevo.co.il/law/70301/40jc.c</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3604517</vt:i4>
      </vt:variant>
      <vt:variant>
        <vt:i4>36</vt:i4>
      </vt:variant>
      <vt:variant>
        <vt:i4>0</vt:i4>
      </vt:variant>
      <vt:variant>
        <vt:i4>5</vt:i4>
      </vt:variant>
      <vt:variant>
        <vt:lpwstr>http://www.nevo.co.il/law/70301/40ja.3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6619241</vt:i4>
      </vt:variant>
      <vt:variant>
        <vt:i4>30</vt:i4>
      </vt:variant>
      <vt:variant>
        <vt:i4>0</vt:i4>
      </vt:variant>
      <vt:variant>
        <vt:i4>5</vt:i4>
      </vt:variant>
      <vt:variant>
        <vt:lpwstr>http://www.nevo.co.il/law/70301/40i.a.2</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6750310</vt:i4>
      </vt:variant>
      <vt:variant>
        <vt:i4>24</vt:i4>
      </vt:variant>
      <vt:variant>
        <vt:i4>0</vt:i4>
      </vt:variant>
      <vt:variant>
        <vt:i4>5</vt:i4>
      </vt:variant>
      <vt:variant>
        <vt:lpwstr>http://www.nevo.co.il/law/70301/32</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7995492</vt:i4>
      </vt:variant>
      <vt:variant>
        <vt:i4>18</vt:i4>
      </vt:variant>
      <vt:variant>
        <vt:i4>0</vt:i4>
      </vt:variant>
      <vt:variant>
        <vt:i4>5</vt:i4>
      </vt:variant>
      <vt:variant>
        <vt:lpwstr>http://www.nevo.co.il/law/70301</vt:lpwstr>
      </vt:variant>
      <vt:variant>
        <vt:lpwstr/>
      </vt:variant>
      <vt:variant>
        <vt:i4>4718676</vt:i4>
      </vt:variant>
      <vt:variant>
        <vt:i4>15</vt:i4>
      </vt:variant>
      <vt:variant>
        <vt:i4>0</vt:i4>
      </vt:variant>
      <vt:variant>
        <vt:i4>5</vt:i4>
      </vt:variant>
      <vt:variant>
        <vt:lpwstr>http://www.nevo.co.il/law/4216/40c.a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49808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אלכסנדר קירייב</vt:lpwstr>
  </property>
  <property fmtid="{D5CDD505-2E9C-101B-9397-08002B2CF9AE}" pid="10" name="LAWYER">
    <vt:lpwstr>לירן פרג';עוז דקל</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20171122</vt:lpwstr>
  </property>
  <property fmtid="{D5CDD505-2E9C-101B-9397-08002B2CF9AE}" pid="14" name="TYPE_N_DATE">
    <vt:lpwstr>38020171122</vt:lpwstr>
  </property>
  <property fmtid="{D5CDD505-2E9C-101B-9397-08002B2CF9AE}" pid="15" name="WORDNUMPAGES">
    <vt:lpwstr>11</vt:lpwstr>
  </property>
  <property fmtid="{D5CDD505-2E9C-101B-9397-08002B2CF9AE}" pid="16" name="TYPE_ABS_DATE">
    <vt:lpwstr>380120171122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13093721;20033641;16904503;20240530;8441178;5573417;5704648;5878649;21035570;22554482;20803403;17011290;16927083;20085086;17011278;5642705;13022245;22973717;20321459;10446944;16901059;20093836;20556511;20155030;4216871;20320482;6032057;6824952;13015510</vt:lpwstr>
  </property>
  <property fmtid="{D5CDD505-2E9C-101B-9397-08002B2CF9AE}" pid="36" name="CASESLISTTMP2">
    <vt:lpwstr>21474481;6094597;17939098;20053795;10442894;20832660;20791756;21827077</vt:lpwstr>
  </property>
  <property fmtid="{D5CDD505-2E9C-101B-9397-08002B2CF9AE}" pid="37" name="LAWLISTTMP1">
    <vt:lpwstr>4216/013:2;019.a:2;007.a;007.c;040c.a</vt:lpwstr>
  </property>
  <property fmtid="{D5CDD505-2E9C-101B-9397-08002B2CF9AE}" pid="38" name="LAWLISTTMP2">
    <vt:lpwstr>70301/031;40jc.b;40jc.c;032;040c.a;040i.a.2;40ja;40ja.3</vt:lpwstr>
  </property>
  <property fmtid="{D5CDD505-2E9C-101B-9397-08002B2CF9AE}" pid="39" name="METAKZER">
    <vt:lpwstr>עומרי</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14346;8991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שיקום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עבירות סמים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20171207</vt:lpwstr>
  </property>
</Properties>
</file>