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9205B0" w:rsidRPr="00E15B85" w14:paraId="651381F4" w14:textId="77777777" w:rsidTr="00B01952">
        <w:trPr>
          <w:trHeight w:hRule="exact" w:val="418"/>
          <w:jc w:val="center"/>
        </w:trPr>
        <w:tc>
          <w:tcPr>
            <w:tcW w:w="8721" w:type="dxa"/>
            <w:gridSpan w:val="2"/>
          </w:tcPr>
          <w:p w14:paraId="3E73370B" w14:textId="77777777" w:rsidR="009205B0" w:rsidRPr="00E15B85" w:rsidRDefault="009205B0" w:rsidP="00B01952">
            <w:pPr>
              <w:pStyle w:val="a3"/>
              <w:jc w:val="center"/>
              <w:rPr>
                <w:rFonts w:ascii="Tahoma" w:hAnsi="Tahoma" w:cs="Tahoma"/>
                <w:noProof w:val="0"/>
                <w:color w:val="000080"/>
                <w:rtl/>
              </w:rPr>
            </w:pPr>
            <w:bookmarkStart w:id="0" w:name="LastJudge"/>
            <w:r w:rsidRPr="00E15B85">
              <w:rPr>
                <w:rFonts w:ascii="Tahoma" w:hAnsi="Tahoma" w:cs="Tahoma"/>
                <w:b/>
                <w:bCs/>
                <w:noProof w:val="0"/>
                <w:color w:val="000080"/>
                <w:rtl/>
              </w:rPr>
              <w:t>בית משפט השלום בקריית גת</w:t>
            </w:r>
          </w:p>
        </w:tc>
      </w:tr>
      <w:tr w:rsidR="009205B0" w:rsidRPr="00E15B85" w14:paraId="0739950C" w14:textId="77777777" w:rsidTr="00B01952">
        <w:trPr>
          <w:trHeight w:val="337"/>
          <w:jc w:val="center"/>
        </w:trPr>
        <w:tc>
          <w:tcPr>
            <w:tcW w:w="5047" w:type="dxa"/>
          </w:tcPr>
          <w:p w14:paraId="386D4921" w14:textId="77777777" w:rsidR="009205B0" w:rsidRPr="00E15B85" w:rsidRDefault="009205B0" w:rsidP="00B01952">
            <w:pPr>
              <w:rPr>
                <w:b/>
                <w:bCs/>
                <w:noProof w:val="0"/>
                <w:sz w:val="26"/>
                <w:szCs w:val="26"/>
                <w:rtl/>
              </w:rPr>
            </w:pPr>
          </w:p>
        </w:tc>
        <w:tc>
          <w:tcPr>
            <w:tcW w:w="3674" w:type="dxa"/>
          </w:tcPr>
          <w:p w14:paraId="539B4882" w14:textId="77777777" w:rsidR="009205B0" w:rsidRPr="00E15B85" w:rsidRDefault="009205B0" w:rsidP="00B01952">
            <w:pPr>
              <w:pStyle w:val="a3"/>
              <w:jc w:val="right"/>
              <w:rPr>
                <w:b/>
                <w:bCs/>
                <w:noProof w:val="0"/>
                <w:sz w:val="26"/>
                <w:szCs w:val="26"/>
                <w:rtl/>
              </w:rPr>
            </w:pPr>
            <w:r w:rsidRPr="00E15B85">
              <w:rPr>
                <w:b/>
                <w:bCs/>
                <w:noProof w:val="0"/>
                <w:sz w:val="26"/>
                <w:szCs w:val="26"/>
                <w:rtl/>
              </w:rPr>
              <w:t>26 דצמבר 2017</w:t>
            </w:r>
          </w:p>
        </w:tc>
      </w:tr>
      <w:tr w:rsidR="009205B0" w:rsidRPr="00E15B85" w14:paraId="646935D1" w14:textId="77777777" w:rsidTr="00B01952">
        <w:trPr>
          <w:trHeight w:val="337"/>
          <w:jc w:val="center"/>
        </w:trPr>
        <w:tc>
          <w:tcPr>
            <w:tcW w:w="8721" w:type="dxa"/>
            <w:gridSpan w:val="2"/>
          </w:tcPr>
          <w:p w14:paraId="47179D77" w14:textId="77777777" w:rsidR="009205B0" w:rsidRPr="00E15B85" w:rsidRDefault="009205B0" w:rsidP="00B01952">
            <w:pPr>
              <w:rPr>
                <w:b/>
                <w:bCs/>
                <w:noProof w:val="0"/>
                <w:sz w:val="26"/>
                <w:szCs w:val="26"/>
                <w:rtl/>
              </w:rPr>
            </w:pPr>
            <w:r w:rsidRPr="00E15B85">
              <w:rPr>
                <w:b/>
                <w:bCs/>
                <w:noProof w:val="0"/>
                <w:sz w:val="26"/>
                <w:szCs w:val="26"/>
                <w:rtl/>
              </w:rPr>
              <w:t>ת"פ 53127-06-16 מדינת ישראל נ' ליברטי</w:t>
            </w:r>
          </w:p>
          <w:p w14:paraId="7000A93B" w14:textId="77777777" w:rsidR="009205B0" w:rsidRPr="00E15B85" w:rsidRDefault="009205B0" w:rsidP="00B01952">
            <w:pPr>
              <w:rPr>
                <w:rtl/>
              </w:rPr>
            </w:pPr>
          </w:p>
        </w:tc>
      </w:tr>
    </w:tbl>
    <w:p w14:paraId="334276A8" w14:textId="77777777" w:rsidR="009205B0" w:rsidRPr="00E15B85" w:rsidRDefault="009205B0" w:rsidP="009205B0"/>
    <w:tbl>
      <w:tblPr>
        <w:bidiVisual/>
        <w:tblW w:w="0" w:type="auto"/>
        <w:jc w:val="center"/>
        <w:tblLook w:val="0000" w:firstRow="0" w:lastRow="0" w:firstColumn="0" w:lastColumn="0" w:noHBand="0" w:noVBand="0"/>
      </w:tblPr>
      <w:tblGrid>
        <w:gridCol w:w="873"/>
        <w:gridCol w:w="7848"/>
      </w:tblGrid>
      <w:tr w:rsidR="009205B0" w:rsidRPr="00E15B85" w14:paraId="78C1036B" w14:textId="77777777" w:rsidTr="00B01952">
        <w:trPr>
          <w:trHeight w:val="337"/>
          <w:jc w:val="center"/>
        </w:trPr>
        <w:tc>
          <w:tcPr>
            <w:tcW w:w="873" w:type="dxa"/>
          </w:tcPr>
          <w:p w14:paraId="17CEDBCF" w14:textId="77777777" w:rsidR="009205B0" w:rsidRPr="00E15B85" w:rsidRDefault="009205B0" w:rsidP="00B01952">
            <w:pPr>
              <w:tabs>
                <w:tab w:val="left" w:pos="1710"/>
              </w:tabs>
              <w:rPr>
                <w:b/>
                <w:bCs/>
                <w:sz w:val="28"/>
                <w:szCs w:val="28"/>
                <w:rtl/>
              </w:rPr>
            </w:pPr>
            <w:r w:rsidRPr="00E15B85">
              <w:rPr>
                <w:rFonts w:hint="cs"/>
                <w:b/>
                <w:bCs/>
                <w:sz w:val="28"/>
                <w:szCs w:val="28"/>
                <w:rtl/>
              </w:rPr>
              <w:t>בפני</w:t>
            </w:r>
          </w:p>
        </w:tc>
        <w:tc>
          <w:tcPr>
            <w:tcW w:w="7848" w:type="dxa"/>
          </w:tcPr>
          <w:p w14:paraId="75D34054" w14:textId="77777777" w:rsidR="009205B0" w:rsidRPr="00E15B85" w:rsidRDefault="009205B0" w:rsidP="00B01952">
            <w:pPr>
              <w:rPr>
                <w:rFonts w:ascii="Arial" w:hAnsi="Arial"/>
                <w:b/>
                <w:bCs/>
                <w:sz w:val="28"/>
                <w:szCs w:val="28"/>
                <w:rtl/>
              </w:rPr>
            </w:pPr>
            <w:r w:rsidRPr="00E15B85">
              <w:rPr>
                <w:rFonts w:ascii="Arial" w:hAnsi="Arial" w:hint="cs"/>
                <w:b/>
                <w:bCs/>
                <w:sz w:val="28"/>
                <w:szCs w:val="28"/>
                <w:rtl/>
              </w:rPr>
              <w:t>כב' ה</w:t>
            </w:r>
            <w:r w:rsidRPr="00E15B85">
              <w:rPr>
                <w:rFonts w:ascii="Arial" w:hAnsi="Arial"/>
                <w:b/>
                <w:bCs/>
                <w:sz w:val="28"/>
                <w:szCs w:val="28"/>
                <w:rtl/>
              </w:rPr>
              <w:t>סגנית נשיאה</w:t>
            </w:r>
            <w:r w:rsidRPr="00E15B85">
              <w:rPr>
                <w:rFonts w:ascii="Arial" w:hAnsi="Arial" w:hint="cs"/>
                <w:b/>
                <w:bCs/>
                <w:sz w:val="28"/>
                <w:szCs w:val="28"/>
                <w:rtl/>
              </w:rPr>
              <w:t xml:space="preserve">  </w:t>
            </w:r>
            <w:r w:rsidRPr="00E15B85">
              <w:rPr>
                <w:rFonts w:ascii="Arial" w:hAnsi="Arial"/>
                <w:b/>
                <w:bCs/>
                <w:sz w:val="28"/>
                <w:szCs w:val="28"/>
                <w:rtl/>
              </w:rPr>
              <w:t>נגה שמואלי-מאייר</w:t>
            </w:r>
          </w:p>
          <w:p w14:paraId="4457D632" w14:textId="77777777" w:rsidR="009205B0" w:rsidRPr="00E15B85" w:rsidRDefault="009205B0" w:rsidP="00B01952">
            <w:pPr>
              <w:tabs>
                <w:tab w:val="left" w:pos="1710"/>
              </w:tabs>
              <w:rPr>
                <w:rtl/>
              </w:rPr>
            </w:pPr>
          </w:p>
        </w:tc>
      </w:tr>
    </w:tbl>
    <w:p w14:paraId="1FAD161C" w14:textId="77777777" w:rsidR="009205B0" w:rsidRPr="00E15B85" w:rsidRDefault="009205B0" w:rsidP="009205B0">
      <w:pPr>
        <w:pStyle w:val="a3"/>
        <w:rPr>
          <w:noProof w:val="0"/>
          <w:rtl/>
        </w:rPr>
      </w:pPr>
      <w:r w:rsidRPr="00E15B85">
        <w:rPr>
          <w:noProof w:val="0"/>
          <w:rtl/>
        </w:rPr>
        <w:t xml:space="preserve"> </w:t>
      </w:r>
    </w:p>
    <w:p w14:paraId="4E35FBED" w14:textId="77777777" w:rsidR="009205B0" w:rsidRPr="00E15B85" w:rsidRDefault="009205B0" w:rsidP="009205B0">
      <w:pPr>
        <w:spacing w:line="360" w:lineRule="auto"/>
        <w:rPr>
          <w:rtl/>
        </w:rPr>
      </w:pPr>
    </w:p>
    <w:tbl>
      <w:tblPr>
        <w:bidiVisual/>
        <w:tblW w:w="8820" w:type="dxa"/>
        <w:jc w:val="center"/>
        <w:tblLook w:val="01E0" w:firstRow="1" w:lastRow="1" w:firstColumn="1" w:lastColumn="1" w:noHBand="0" w:noVBand="0"/>
      </w:tblPr>
      <w:tblGrid>
        <w:gridCol w:w="5603"/>
        <w:gridCol w:w="3217"/>
      </w:tblGrid>
      <w:tr w:rsidR="009205B0" w:rsidRPr="00E15B85" w14:paraId="5AAE4B5F" w14:textId="77777777" w:rsidTr="009205B0">
        <w:trPr>
          <w:jc w:val="center"/>
        </w:trPr>
        <w:tc>
          <w:tcPr>
            <w:tcW w:w="5603" w:type="dxa"/>
            <w:shd w:val="clear" w:color="auto" w:fill="auto"/>
          </w:tcPr>
          <w:p w14:paraId="080E7F14" w14:textId="77777777" w:rsidR="009205B0" w:rsidRPr="00E15B85" w:rsidRDefault="009205B0" w:rsidP="009205B0">
            <w:pPr>
              <w:spacing w:line="360" w:lineRule="auto"/>
              <w:rPr>
                <w:b/>
                <w:bCs/>
                <w:noProof w:val="0"/>
                <w:sz w:val="28"/>
                <w:szCs w:val="28"/>
                <w:rtl/>
              </w:rPr>
            </w:pPr>
            <w:bookmarkStart w:id="1" w:name="FirstAppellant"/>
            <w:bookmarkStart w:id="2" w:name="FirstLawyer"/>
            <w:r w:rsidRPr="00E15B85">
              <w:rPr>
                <w:rFonts w:ascii="Arial" w:hAnsi="Arial" w:hint="cs"/>
                <w:b/>
                <w:bCs/>
                <w:noProof w:val="0"/>
                <w:sz w:val="28"/>
                <w:szCs w:val="28"/>
                <w:rtl/>
              </w:rPr>
              <w:t>מדינת ישראל</w:t>
            </w:r>
          </w:p>
          <w:p w14:paraId="2F2DDCC9" w14:textId="77777777" w:rsidR="009205B0" w:rsidRPr="00E15B85" w:rsidRDefault="009205B0" w:rsidP="009205B0">
            <w:pPr>
              <w:spacing w:line="360" w:lineRule="auto"/>
              <w:rPr>
                <w:b/>
                <w:bCs/>
                <w:sz w:val="28"/>
                <w:szCs w:val="28"/>
                <w:rtl/>
              </w:rPr>
            </w:pPr>
            <w:r w:rsidRPr="00E15B85">
              <w:rPr>
                <w:rFonts w:hint="cs"/>
                <w:b/>
                <w:bCs/>
                <w:sz w:val="28"/>
                <w:szCs w:val="28"/>
                <w:rtl/>
              </w:rPr>
              <w:t xml:space="preserve">ע"י ב"כ עו"ד עדי זלמן </w:t>
            </w:r>
            <w:r w:rsidRPr="00E15B85">
              <w:rPr>
                <w:b/>
                <w:bCs/>
                <w:sz w:val="28"/>
                <w:szCs w:val="28"/>
                <w:rtl/>
              </w:rPr>
              <w:t>–</w:t>
            </w:r>
            <w:r w:rsidRPr="00E15B85">
              <w:rPr>
                <w:rFonts w:hint="cs"/>
                <w:b/>
                <w:bCs/>
                <w:sz w:val="28"/>
                <w:szCs w:val="28"/>
                <w:rtl/>
              </w:rPr>
              <w:t xml:space="preserve"> נוכחת</w:t>
            </w:r>
          </w:p>
        </w:tc>
        <w:tc>
          <w:tcPr>
            <w:tcW w:w="3217" w:type="dxa"/>
            <w:shd w:val="clear" w:color="auto" w:fill="auto"/>
          </w:tcPr>
          <w:p w14:paraId="0D7BDF8B" w14:textId="77777777" w:rsidR="009205B0" w:rsidRPr="00E15B85" w:rsidRDefault="009205B0" w:rsidP="009205B0">
            <w:pPr>
              <w:bidi w:val="0"/>
              <w:spacing w:line="360" w:lineRule="auto"/>
              <w:jc w:val="right"/>
              <w:rPr>
                <w:rFonts w:ascii="Arial" w:hAnsi="Arial"/>
                <w:b/>
                <w:bCs/>
                <w:noProof w:val="0"/>
                <w:sz w:val="28"/>
                <w:szCs w:val="28"/>
                <w:rtl/>
              </w:rPr>
            </w:pPr>
            <w:r w:rsidRPr="00E15B85">
              <w:rPr>
                <w:rFonts w:ascii="Arial" w:hAnsi="Arial" w:hint="cs"/>
                <w:b/>
                <w:bCs/>
                <w:noProof w:val="0"/>
                <w:sz w:val="28"/>
                <w:szCs w:val="28"/>
                <w:rtl/>
              </w:rPr>
              <w:t>ה</w:t>
            </w:r>
            <w:r w:rsidRPr="00E15B85">
              <w:rPr>
                <w:rFonts w:ascii="Arial" w:hAnsi="Arial"/>
                <w:b/>
                <w:bCs/>
                <w:noProof w:val="0"/>
                <w:sz w:val="28"/>
                <w:szCs w:val="28"/>
                <w:rtl/>
              </w:rPr>
              <w:t>מאשימה</w:t>
            </w:r>
          </w:p>
          <w:p w14:paraId="643B86C6" w14:textId="77777777" w:rsidR="009205B0" w:rsidRPr="00E15B85" w:rsidRDefault="009205B0" w:rsidP="009205B0">
            <w:pPr>
              <w:spacing w:line="360" w:lineRule="auto"/>
              <w:rPr>
                <w:b/>
                <w:bCs/>
                <w:noProof w:val="0"/>
                <w:sz w:val="26"/>
                <w:szCs w:val="26"/>
                <w:rtl/>
              </w:rPr>
            </w:pPr>
          </w:p>
        </w:tc>
      </w:tr>
      <w:bookmarkEnd w:id="1"/>
      <w:bookmarkEnd w:id="2"/>
      <w:tr w:rsidR="009205B0" w:rsidRPr="00E15B85" w14:paraId="4E72EF1C" w14:textId="77777777" w:rsidTr="009205B0">
        <w:trPr>
          <w:jc w:val="center"/>
        </w:trPr>
        <w:tc>
          <w:tcPr>
            <w:tcW w:w="8820" w:type="dxa"/>
            <w:gridSpan w:val="2"/>
            <w:shd w:val="clear" w:color="auto" w:fill="auto"/>
          </w:tcPr>
          <w:p w14:paraId="6B8E5580" w14:textId="77777777" w:rsidR="009205B0" w:rsidRPr="00E15B85" w:rsidRDefault="009205B0" w:rsidP="009205B0">
            <w:pPr>
              <w:spacing w:line="360" w:lineRule="auto"/>
              <w:jc w:val="center"/>
              <w:rPr>
                <w:rFonts w:ascii="Arial" w:hAnsi="Arial"/>
                <w:b/>
                <w:bCs/>
                <w:noProof w:val="0"/>
                <w:sz w:val="28"/>
                <w:szCs w:val="28"/>
              </w:rPr>
            </w:pPr>
            <w:r w:rsidRPr="00E15B85">
              <w:rPr>
                <w:rFonts w:ascii="Arial" w:hAnsi="Arial"/>
                <w:b/>
                <w:bCs/>
                <w:noProof w:val="0"/>
                <w:sz w:val="28"/>
                <w:szCs w:val="28"/>
                <w:rtl/>
              </w:rPr>
              <w:t>נ</w:t>
            </w:r>
            <w:r w:rsidRPr="00E15B85">
              <w:rPr>
                <w:rFonts w:ascii="Arial" w:hAnsi="Arial" w:hint="cs"/>
                <w:b/>
                <w:bCs/>
                <w:noProof w:val="0"/>
                <w:sz w:val="28"/>
                <w:szCs w:val="28"/>
                <w:rtl/>
              </w:rPr>
              <w:t xml:space="preserve"> </w:t>
            </w:r>
            <w:r w:rsidRPr="00E15B85">
              <w:rPr>
                <w:rFonts w:ascii="Arial" w:hAnsi="Arial"/>
                <w:b/>
                <w:bCs/>
                <w:noProof w:val="0"/>
                <w:sz w:val="28"/>
                <w:szCs w:val="28"/>
                <w:rtl/>
              </w:rPr>
              <w:t>ג</w:t>
            </w:r>
            <w:r w:rsidRPr="00E15B85">
              <w:rPr>
                <w:rFonts w:ascii="Arial" w:hAnsi="Arial" w:hint="cs"/>
                <w:b/>
                <w:bCs/>
                <w:noProof w:val="0"/>
                <w:sz w:val="28"/>
                <w:szCs w:val="28"/>
                <w:rtl/>
              </w:rPr>
              <w:t xml:space="preserve"> </w:t>
            </w:r>
            <w:r w:rsidRPr="00E15B85">
              <w:rPr>
                <w:rFonts w:ascii="Arial" w:hAnsi="Arial"/>
                <w:b/>
                <w:bCs/>
                <w:noProof w:val="0"/>
                <w:sz w:val="28"/>
                <w:szCs w:val="28"/>
                <w:rtl/>
              </w:rPr>
              <w:t>ד</w:t>
            </w:r>
          </w:p>
        </w:tc>
      </w:tr>
      <w:tr w:rsidR="009205B0" w:rsidRPr="00E15B85" w14:paraId="64C79723" w14:textId="77777777" w:rsidTr="009205B0">
        <w:trPr>
          <w:jc w:val="center"/>
        </w:trPr>
        <w:tc>
          <w:tcPr>
            <w:tcW w:w="5603" w:type="dxa"/>
            <w:shd w:val="clear" w:color="auto" w:fill="auto"/>
          </w:tcPr>
          <w:p w14:paraId="2A4BD652" w14:textId="77777777" w:rsidR="009205B0" w:rsidRPr="00E15B85" w:rsidRDefault="009205B0" w:rsidP="009205B0">
            <w:pPr>
              <w:spacing w:line="360" w:lineRule="auto"/>
            </w:pPr>
            <w:r w:rsidRPr="00E15B85">
              <w:rPr>
                <w:rFonts w:ascii="Arial" w:hAnsi="Arial" w:hint="cs"/>
                <w:b/>
                <w:bCs/>
                <w:noProof w:val="0"/>
                <w:sz w:val="28"/>
                <w:szCs w:val="28"/>
                <w:rtl/>
              </w:rPr>
              <w:t>מרסל ליברטי - נוכחת</w:t>
            </w:r>
          </w:p>
          <w:p w14:paraId="3A69D6C4" w14:textId="77777777" w:rsidR="009205B0" w:rsidRPr="00E15B85" w:rsidRDefault="009205B0" w:rsidP="009205B0">
            <w:pPr>
              <w:spacing w:line="360" w:lineRule="auto"/>
              <w:rPr>
                <w:b/>
                <w:bCs/>
                <w:noProof w:val="0"/>
                <w:sz w:val="28"/>
                <w:szCs w:val="28"/>
                <w:rtl/>
              </w:rPr>
            </w:pPr>
            <w:r w:rsidRPr="00E15B85">
              <w:rPr>
                <w:rFonts w:hint="cs"/>
                <w:b/>
                <w:bCs/>
                <w:sz w:val="28"/>
                <w:szCs w:val="28"/>
                <w:rtl/>
              </w:rPr>
              <w:t>ע"י ב"כ עו"ד</w:t>
            </w:r>
            <w:r w:rsidRPr="00E15B85">
              <w:rPr>
                <w:rFonts w:hint="cs"/>
                <w:b/>
                <w:bCs/>
                <w:noProof w:val="0"/>
                <w:sz w:val="28"/>
                <w:szCs w:val="28"/>
                <w:rtl/>
              </w:rPr>
              <w:t xml:space="preserve"> ג'אנה זייצב - נוכחת</w:t>
            </w:r>
          </w:p>
        </w:tc>
        <w:tc>
          <w:tcPr>
            <w:tcW w:w="3217" w:type="dxa"/>
            <w:shd w:val="clear" w:color="auto" w:fill="auto"/>
          </w:tcPr>
          <w:p w14:paraId="0960E1EB" w14:textId="77777777" w:rsidR="009205B0" w:rsidRPr="00E15B85" w:rsidRDefault="009205B0" w:rsidP="009205B0">
            <w:pPr>
              <w:spacing w:line="360" w:lineRule="auto"/>
              <w:rPr>
                <w:b/>
                <w:bCs/>
                <w:noProof w:val="0"/>
                <w:sz w:val="28"/>
                <w:szCs w:val="28"/>
                <w:rtl/>
              </w:rPr>
            </w:pPr>
            <w:r w:rsidRPr="00E15B85">
              <w:rPr>
                <w:rFonts w:ascii="Arial" w:hAnsi="Arial" w:hint="cs"/>
                <w:b/>
                <w:bCs/>
                <w:noProof w:val="0"/>
                <w:sz w:val="28"/>
                <w:szCs w:val="28"/>
                <w:rtl/>
              </w:rPr>
              <w:t>ה</w:t>
            </w:r>
            <w:r w:rsidRPr="00E15B85">
              <w:rPr>
                <w:rFonts w:ascii="Arial" w:hAnsi="Arial"/>
                <w:b/>
                <w:bCs/>
                <w:noProof w:val="0"/>
                <w:sz w:val="28"/>
                <w:szCs w:val="28"/>
                <w:rtl/>
              </w:rPr>
              <w:t>נאש</w:t>
            </w:r>
            <w:r w:rsidRPr="00E15B85">
              <w:rPr>
                <w:rFonts w:ascii="Arial" w:hAnsi="Arial" w:hint="cs"/>
                <w:b/>
                <w:bCs/>
                <w:noProof w:val="0"/>
                <w:sz w:val="28"/>
                <w:szCs w:val="28"/>
                <w:rtl/>
              </w:rPr>
              <w:t>מת</w:t>
            </w:r>
          </w:p>
        </w:tc>
      </w:tr>
    </w:tbl>
    <w:p w14:paraId="57FDFE58" w14:textId="77777777" w:rsidR="009205B0" w:rsidRPr="00E15B85" w:rsidRDefault="009205B0" w:rsidP="009205B0">
      <w:pPr>
        <w:spacing w:line="360" w:lineRule="auto"/>
        <w:rPr>
          <w:rtl/>
        </w:rPr>
      </w:pPr>
    </w:p>
    <w:tbl>
      <w:tblPr>
        <w:bidiVisual/>
        <w:tblW w:w="8820" w:type="dxa"/>
        <w:jc w:val="center"/>
        <w:tblLook w:val="01E0" w:firstRow="1" w:lastRow="1" w:firstColumn="1" w:lastColumn="1" w:noHBand="0" w:noVBand="0"/>
      </w:tblPr>
      <w:tblGrid>
        <w:gridCol w:w="8820"/>
      </w:tblGrid>
      <w:tr w:rsidR="009205B0" w:rsidRPr="00125F3A" w14:paraId="58F79578" w14:textId="77777777" w:rsidTr="009205B0">
        <w:trPr>
          <w:jc w:val="center"/>
        </w:trPr>
        <w:tc>
          <w:tcPr>
            <w:tcW w:w="8820" w:type="dxa"/>
            <w:shd w:val="clear" w:color="auto" w:fill="auto"/>
          </w:tcPr>
          <w:p w14:paraId="46134DA3" w14:textId="77777777" w:rsidR="00B757FD" w:rsidRDefault="009205B0" w:rsidP="00B757FD">
            <w:pPr>
              <w:spacing w:line="360" w:lineRule="auto"/>
              <w:jc w:val="center"/>
              <w:rPr>
                <w:rFonts w:ascii="Arial" w:hAnsi="Arial"/>
                <w:b/>
                <w:bCs/>
                <w:noProof w:val="0"/>
                <w:sz w:val="32"/>
                <w:szCs w:val="32"/>
                <w:rtl/>
              </w:rPr>
            </w:pPr>
            <w:r w:rsidRPr="00E15B85">
              <w:rPr>
                <w:rFonts w:ascii="Arial" w:hAnsi="Arial"/>
                <w:b/>
                <w:noProof w:val="0"/>
                <w:color w:val="FF0000"/>
                <w:sz w:val="32"/>
                <w:rtl/>
              </w:rPr>
              <w:t>במסמך זה הושמטו פרוטוקולים</w:t>
            </w:r>
          </w:p>
          <w:p w14:paraId="6D962D9E" w14:textId="77777777" w:rsidR="00B757FD" w:rsidRDefault="00B757FD" w:rsidP="00B757FD">
            <w:pPr>
              <w:spacing w:after="120" w:line="240" w:lineRule="exact"/>
              <w:ind w:left="283" w:hanging="283"/>
              <w:jc w:val="both"/>
              <w:rPr>
                <w:rFonts w:ascii="FrankRuehl" w:hAnsi="FrankRuehl" w:cs="FrankRuehl" w:hint="cs"/>
                <w:noProof w:val="0"/>
                <w:rtl/>
              </w:rPr>
            </w:pPr>
            <w:bookmarkStart w:id="3" w:name="PsakDin"/>
            <w:bookmarkStart w:id="4" w:name="LawTable"/>
            <w:bookmarkEnd w:id="4"/>
          </w:p>
          <w:p w14:paraId="35610A93" w14:textId="77777777" w:rsidR="00B757FD" w:rsidRPr="00B757FD" w:rsidRDefault="00B757FD" w:rsidP="00B757FD">
            <w:pPr>
              <w:spacing w:after="120" w:line="240" w:lineRule="exact"/>
              <w:ind w:left="283" w:hanging="283"/>
              <w:jc w:val="both"/>
              <w:rPr>
                <w:rFonts w:ascii="FrankRuehl" w:hAnsi="FrankRuehl" w:cs="FrankRuehl"/>
                <w:noProof w:val="0"/>
              </w:rPr>
            </w:pPr>
            <w:r w:rsidRPr="00B757FD">
              <w:rPr>
                <w:rFonts w:ascii="FrankRuehl" w:hAnsi="FrankRuehl" w:cs="FrankRuehl"/>
                <w:noProof w:val="0"/>
                <w:rtl/>
              </w:rPr>
              <w:t>חקיקה שאוזכרה</w:t>
            </w:r>
            <w:r w:rsidRPr="00B757FD">
              <w:rPr>
                <w:rFonts w:ascii="FrankRuehl" w:hAnsi="FrankRuehl" w:cs="FrankRuehl"/>
                <w:noProof w:val="0"/>
              </w:rPr>
              <w:t xml:space="preserve">: </w:t>
            </w:r>
          </w:p>
          <w:p w14:paraId="66DF6CC3" w14:textId="77777777" w:rsidR="00B757FD" w:rsidRPr="00B757FD" w:rsidRDefault="00B757FD" w:rsidP="00B757FD">
            <w:pPr>
              <w:spacing w:after="120" w:line="240" w:lineRule="exact"/>
              <w:ind w:left="283" w:hanging="283"/>
              <w:jc w:val="both"/>
              <w:rPr>
                <w:rFonts w:ascii="FrankRuehl" w:hAnsi="FrankRuehl" w:cs="FrankRuehl"/>
                <w:noProof w:val="0"/>
              </w:rPr>
            </w:pPr>
            <w:hyperlink r:id="rId7" w:history="1">
              <w:r w:rsidRPr="00B757FD">
                <w:rPr>
                  <w:rFonts w:ascii="FrankRuehl" w:hAnsi="FrankRuehl" w:cs="FrankRuehl"/>
                  <w:noProof w:val="0"/>
                  <w:color w:val="0000FF"/>
                  <w:u w:val="single"/>
                  <w:rtl/>
                </w:rPr>
                <w:t>פקודת הסמים המסוכנים [נוסח חדש], תשל"ג-1973</w:t>
              </w:r>
            </w:hyperlink>
            <w:r w:rsidRPr="00B757FD">
              <w:rPr>
                <w:rFonts w:ascii="FrankRuehl" w:hAnsi="FrankRuehl" w:cs="FrankRuehl"/>
                <w:noProof w:val="0"/>
              </w:rPr>
              <w:t xml:space="preserve">: </w:t>
            </w:r>
            <w:r w:rsidRPr="00B757FD">
              <w:rPr>
                <w:rFonts w:ascii="FrankRuehl" w:hAnsi="FrankRuehl" w:cs="FrankRuehl"/>
                <w:noProof w:val="0"/>
                <w:rtl/>
              </w:rPr>
              <w:t>סע</w:t>
            </w:r>
            <w:r w:rsidRPr="00B757FD">
              <w:rPr>
                <w:rFonts w:ascii="FrankRuehl" w:hAnsi="FrankRuehl" w:cs="FrankRuehl"/>
                <w:noProof w:val="0"/>
              </w:rPr>
              <w:t xml:space="preserve">'  </w:t>
            </w:r>
            <w:hyperlink r:id="rId8" w:history="1">
              <w:r w:rsidRPr="00B757FD">
                <w:rPr>
                  <w:rFonts w:ascii="FrankRuehl" w:hAnsi="FrankRuehl" w:cs="FrankRuehl"/>
                  <w:noProof w:val="0"/>
                  <w:color w:val="0000FF"/>
                  <w:u w:val="single"/>
                </w:rPr>
                <w:t>7(</w:t>
              </w:r>
              <w:r w:rsidRPr="00B757FD">
                <w:rPr>
                  <w:rFonts w:ascii="FrankRuehl" w:hAnsi="FrankRuehl" w:cs="FrankRuehl"/>
                  <w:noProof w:val="0"/>
                  <w:color w:val="0000FF"/>
                  <w:u w:val="single"/>
                  <w:rtl/>
                </w:rPr>
                <w:t>א</w:t>
              </w:r>
              <w:r w:rsidRPr="00B757FD">
                <w:rPr>
                  <w:rFonts w:ascii="FrankRuehl" w:hAnsi="FrankRuehl" w:cs="FrankRuehl"/>
                  <w:noProof w:val="0"/>
                  <w:color w:val="0000FF"/>
                  <w:u w:val="single"/>
                </w:rPr>
                <w:t>)</w:t>
              </w:r>
            </w:hyperlink>
            <w:r w:rsidRPr="00B757FD">
              <w:rPr>
                <w:rFonts w:ascii="FrankRuehl" w:hAnsi="FrankRuehl" w:cs="FrankRuehl"/>
                <w:noProof w:val="0"/>
              </w:rPr>
              <w:t xml:space="preserve">, </w:t>
            </w:r>
            <w:hyperlink r:id="rId9" w:history="1">
              <w:r w:rsidRPr="00B757FD">
                <w:rPr>
                  <w:rFonts w:ascii="FrankRuehl" w:hAnsi="FrankRuehl" w:cs="FrankRuehl"/>
                  <w:noProof w:val="0"/>
                  <w:color w:val="0000FF"/>
                  <w:u w:val="single"/>
                </w:rPr>
                <w:t>7(</w:t>
              </w:r>
              <w:r w:rsidRPr="00B757FD">
                <w:rPr>
                  <w:rFonts w:ascii="FrankRuehl" w:hAnsi="FrankRuehl" w:cs="FrankRuehl"/>
                  <w:noProof w:val="0"/>
                  <w:color w:val="0000FF"/>
                  <w:u w:val="single"/>
                  <w:rtl/>
                </w:rPr>
                <w:t>ג</w:t>
              </w:r>
              <w:r w:rsidRPr="00B757FD">
                <w:rPr>
                  <w:rFonts w:ascii="FrankRuehl" w:hAnsi="FrankRuehl" w:cs="FrankRuehl"/>
                  <w:noProof w:val="0"/>
                  <w:color w:val="0000FF"/>
                  <w:u w:val="single"/>
                </w:rPr>
                <w:t>)</w:t>
              </w:r>
            </w:hyperlink>
            <w:r w:rsidRPr="00B757FD">
              <w:rPr>
                <w:rFonts w:ascii="FrankRuehl" w:hAnsi="FrankRuehl" w:cs="FrankRuehl"/>
                <w:noProof w:val="0"/>
              </w:rPr>
              <w:t xml:space="preserve">, </w:t>
            </w:r>
            <w:hyperlink r:id="rId10" w:history="1">
              <w:r w:rsidRPr="00B757FD">
                <w:rPr>
                  <w:rFonts w:ascii="FrankRuehl" w:hAnsi="FrankRuehl" w:cs="FrankRuehl"/>
                  <w:noProof w:val="0"/>
                  <w:color w:val="0000FF"/>
                  <w:u w:val="single"/>
                </w:rPr>
                <w:t>13</w:t>
              </w:r>
            </w:hyperlink>
            <w:r w:rsidRPr="00B757FD">
              <w:rPr>
                <w:rFonts w:ascii="FrankRuehl" w:hAnsi="FrankRuehl" w:cs="FrankRuehl"/>
                <w:noProof w:val="0"/>
              </w:rPr>
              <w:t xml:space="preserve">, </w:t>
            </w:r>
            <w:hyperlink r:id="rId11" w:history="1">
              <w:r w:rsidRPr="00B757FD">
                <w:rPr>
                  <w:rFonts w:ascii="FrankRuehl" w:hAnsi="FrankRuehl" w:cs="FrankRuehl"/>
                  <w:noProof w:val="0"/>
                  <w:color w:val="0000FF"/>
                  <w:u w:val="single"/>
                </w:rPr>
                <w:t>19</w:t>
              </w:r>
              <w:r w:rsidRPr="00B757FD">
                <w:rPr>
                  <w:rFonts w:ascii="FrankRuehl" w:hAnsi="FrankRuehl" w:cs="FrankRuehl"/>
                  <w:noProof w:val="0"/>
                  <w:color w:val="0000FF"/>
                  <w:u w:val="single"/>
                  <w:rtl/>
                </w:rPr>
                <w:t>א</w:t>
              </w:r>
            </w:hyperlink>
          </w:p>
          <w:p w14:paraId="245C59FF" w14:textId="77777777" w:rsidR="00B757FD" w:rsidRPr="00B757FD" w:rsidRDefault="00B757FD" w:rsidP="00B757FD">
            <w:pPr>
              <w:spacing w:after="120" w:line="240" w:lineRule="exact"/>
              <w:ind w:left="283" w:hanging="283"/>
              <w:jc w:val="both"/>
              <w:rPr>
                <w:rFonts w:ascii="FrankRuehl" w:hAnsi="FrankRuehl" w:cs="FrankRuehl"/>
                <w:noProof w:val="0"/>
              </w:rPr>
            </w:pPr>
            <w:hyperlink r:id="rId12" w:history="1">
              <w:r w:rsidRPr="00B757FD">
                <w:rPr>
                  <w:rFonts w:ascii="FrankRuehl" w:hAnsi="FrankRuehl" w:cs="FrankRuehl"/>
                  <w:noProof w:val="0"/>
                  <w:color w:val="0000FF"/>
                  <w:u w:val="single"/>
                  <w:rtl/>
                </w:rPr>
                <w:t>חוק העונשין, תשל"ז-1977</w:t>
              </w:r>
            </w:hyperlink>
            <w:r w:rsidRPr="00B757FD">
              <w:rPr>
                <w:rFonts w:ascii="FrankRuehl" w:hAnsi="FrankRuehl" w:cs="FrankRuehl"/>
                <w:noProof w:val="0"/>
              </w:rPr>
              <w:t xml:space="preserve">: </w:t>
            </w:r>
            <w:r w:rsidRPr="00B757FD">
              <w:rPr>
                <w:rFonts w:ascii="FrankRuehl" w:hAnsi="FrankRuehl" w:cs="FrankRuehl"/>
                <w:noProof w:val="0"/>
                <w:rtl/>
              </w:rPr>
              <w:t>סע</w:t>
            </w:r>
            <w:r w:rsidRPr="00B757FD">
              <w:rPr>
                <w:rFonts w:ascii="FrankRuehl" w:hAnsi="FrankRuehl" w:cs="FrankRuehl"/>
                <w:noProof w:val="0"/>
              </w:rPr>
              <w:t xml:space="preserve">'  </w:t>
            </w:r>
            <w:hyperlink r:id="rId13" w:history="1">
              <w:r w:rsidRPr="00B757FD">
                <w:rPr>
                  <w:rFonts w:ascii="FrankRuehl" w:hAnsi="FrankRuehl" w:cs="FrankRuehl"/>
                  <w:noProof w:val="0"/>
                  <w:color w:val="0000FF"/>
                  <w:u w:val="single"/>
                </w:rPr>
                <w:t>40</w:t>
              </w:r>
              <w:r w:rsidRPr="00B757FD">
                <w:rPr>
                  <w:rFonts w:ascii="FrankRuehl" w:hAnsi="FrankRuehl" w:cs="FrankRuehl"/>
                  <w:noProof w:val="0"/>
                  <w:color w:val="0000FF"/>
                  <w:u w:val="single"/>
                  <w:rtl/>
                </w:rPr>
                <w:t>ג(א</w:t>
              </w:r>
              <w:r w:rsidRPr="00B757FD">
                <w:rPr>
                  <w:rFonts w:ascii="FrankRuehl" w:hAnsi="FrankRuehl" w:cs="FrankRuehl"/>
                  <w:noProof w:val="0"/>
                  <w:color w:val="0000FF"/>
                  <w:u w:val="single"/>
                </w:rPr>
                <w:t>)</w:t>
              </w:r>
            </w:hyperlink>
            <w:r w:rsidRPr="00B757FD">
              <w:rPr>
                <w:rFonts w:ascii="FrankRuehl" w:hAnsi="FrankRuehl" w:cs="FrankRuehl"/>
                <w:noProof w:val="0"/>
              </w:rPr>
              <w:t xml:space="preserve">, </w:t>
            </w:r>
            <w:hyperlink r:id="rId14" w:history="1">
              <w:r w:rsidRPr="00B757FD">
                <w:rPr>
                  <w:rFonts w:ascii="FrankRuehl" w:hAnsi="FrankRuehl" w:cs="FrankRuehl"/>
                  <w:noProof w:val="0"/>
                  <w:color w:val="0000FF"/>
                  <w:u w:val="single"/>
                </w:rPr>
                <w:t>40</w:t>
              </w:r>
              <w:r w:rsidRPr="00B757FD">
                <w:rPr>
                  <w:rFonts w:ascii="FrankRuehl" w:hAnsi="FrankRuehl" w:cs="FrankRuehl"/>
                  <w:noProof w:val="0"/>
                  <w:color w:val="0000FF"/>
                  <w:u w:val="single"/>
                  <w:rtl/>
                </w:rPr>
                <w:t>ג(ב</w:t>
              </w:r>
              <w:r w:rsidRPr="00B757FD">
                <w:rPr>
                  <w:rFonts w:ascii="FrankRuehl" w:hAnsi="FrankRuehl" w:cs="FrankRuehl"/>
                  <w:noProof w:val="0"/>
                  <w:color w:val="0000FF"/>
                  <w:u w:val="single"/>
                </w:rPr>
                <w:t>)</w:t>
              </w:r>
            </w:hyperlink>
            <w:r w:rsidRPr="00B757FD">
              <w:rPr>
                <w:rFonts w:ascii="FrankRuehl" w:hAnsi="FrankRuehl" w:cs="FrankRuehl"/>
                <w:noProof w:val="0"/>
              </w:rPr>
              <w:t xml:space="preserve">, </w:t>
            </w:r>
            <w:hyperlink r:id="rId15" w:history="1">
              <w:r w:rsidRPr="00B757FD">
                <w:rPr>
                  <w:rFonts w:ascii="FrankRuehl" w:hAnsi="FrankRuehl" w:cs="FrankRuehl"/>
                  <w:noProof w:val="0"/>
                  <w:color w:val="0000FF"/>
                  <w:u w:val="single"/>
                </w:rPr>
                <w:t>40</w:t>
              </w:r>
              <w:r w:rsidRPr="00B757FD">
                <w:rPr>
                  <w:rFonts w:ascii="FrankRuehl" w:hAnsi="FrankRuehl" w:cs="FrankRuehl"/>
                  <w:noProof w:val="0"/>
                  <w:color w:val="0000FF"/>
                  <w:u w:val="single"/>
                  <w:rtl/>
                </w:rPr>
                <w:t>ד(א</w:t>
              </w:r>
              <w:r w:rsidRPr="00B757FD">
                <w:rPr>
                  <w:rFonts w:ascii="FrankRuehl" w:hAnsi="FrankRuehl" w:cs="FrankRuehl"/>
                  <w:noProof w:val="0"/>
                  <w:color w:val="0000FF"/>
                  <w:u w:val="single"/>
                </w:rPr>
                <w:t>)</w:t>
              </w:r>
            </w:hyperlink>
            <w:r w:rsidRPr="00B757FD">
              <w:rPr>
                <w:rFonts w:ascii="FrankRuehl" w:hAnsi="FrankRuehl" w:cs="FrankRuehl"/>
                <w:noProof w:val="0"/>
              </w:rPr>
              <w:t xml:space="preserve">, </w:t>
            </w:r>
            <w:hyperlink r:id="rId16" w:history="1">
              <w:r w:rsidRPr="00B757FD">
                <w:rPr>
                  <w:rFonts w:ascii="FrankRuehl" w:hAnsi="FrankRuehl" w:cs="FrankRuehl"/>
                  <w:noProof w:val="0"/>
                  <w:color w:val="0000FF"/>
                  <w:u w:val="single"/>
                </w:rPr>
                <w:t>40</w:t>
              </w:r>
              <w:r w:rsidRPr="00B757FD">
                <w:rPr>
                  <w:rFonts w:ascii="FrankRuehl" w:hAnsi="FrankRuehl" w:cs="FrankRuehl"/>
                  <w:noProof w:val="0"/>
                  <w:color w:val="0000FF"/>
                  <w:u w:val="single"/>
                  <w:rtl/>
                </w:rPr>
                <w:t>ט(א)(2</w:t>
              </w:r>
              <w:r w:rsidRPr="00B757FD">
                <w:rPr>
                  <w:rFonts w:ascii="FrankRuehl" w:hAnsi="FrankRuehl" w:cs="FrankRuehl"/>
                  <w:noProof w:val="0"/>
                  <w:color w:val="0000FF"/>
                  <w:u w:val="single"/>
                </w:rPr>
                <w:t>)</w:t>
              </w:r>
            </w:hyperlink>
            <w:r w:rsidRPr="00B757FD">
              <w:rPr>
                <w:rFonts w:ascii="FrankRuehl" w:hAnsi="FrankRuehl" w:cs="FrankRuehl"/>
                <w:noProof w:val="0"/>
              </w:rPr>
              <w:t xml:space="preserve">, </w:t>
            </w:r>
            <w:hyperlink r:id="rId17" w:history="1">
              <w:r w:rsidRPr="00B757FD">
                <w:rPr>
                  <w:rFonts w:ascii="FrankRuehl" w:hAnsi="FrankRuehl" w:cs="FrankRuehl"/>
                  <w:noProof w:val="0"/>
                  <w:color w:val="0000FF"/>
                  <w:u w:val="single"/>
                </w:rPr>
                <w:t>40</w:t>
              </w:r>
              <w:r w:rsidRPr="00B757FD">
                <w:rPr>
                  <w:rFonts w:ascii="FrankRuehl" w:hAnsi="FrankRuehl" w:cs="FrankRuehl"/>
                  <w:noProof w:val="0"/>
                  <w:color w:val="0000FF"/>
                  <w:u w:val="single"/>
                  <w:rtl/>
                </w:rPr>
                <w:t>ט(א)(5</w:t>
              </w:r>
              <w:r w:rsidRPr="00B757FD">
                <w:rPr>
                  <w:rFonts w:ascii="FrankRuehl" w:hAnsi="FrankRuehl" w:cs="FrankRuehl"/>
                  <w:noProof w:val="0"/>
                  <w:color w:val="0000FF"/>
                  <w:u w:val="single"/>
                </w:rPr>
                <w:t>)</w:t>
              </w:r>
            </w:hyperlink>
            <w:r w:rsidRPr="00B757FD">
              <w:rPr>
                <w:rFonts w:ascii="FrankRuehl" w:hAnsi="FrankRuehl" w:cs="FrankRuehl"/>
                <w:noProof w:val="0"/>
              </w:rPr>
              <w:t xml:space="preserve">, </w:t>
            </w:r>
            <w:hyperlink r:id="rId18" w:history="1">
              <w:r w:rsidRPr="00B757FD">
                <w:rPr>
                  <w:rFonts w:ascii="FrankRuehl" w:hAnsi="FrankRuehl" w:cs="FrankRuehl"/>
                  <w:noProof w:val="0"/>
                  <w:color w:val="0000FF"/>
                  <w:u w:val="single"/>
                </w:rPr>
                <w:t>40</w:t>
              </w:r>
              <w:r w:rsidRPr="00B757FD">
                <w:rPr>
                  <w:rFonts w:ascii="FrankRuehl" w:hAnsi="FrankRuehl" w:cs="FrankRuehl"/>
                  <w:noProof w:val="0"/>
                  <w:color w:val="0000FF"/>
                  <w:u w:val="single"/>
                  <w:rtl/>
                </w:rPr>
                <w:t>יא</w:t>
              </w:r>
            </w:hyperlink>
            <w:r w:rsidRPr="00B757FD">
              <w:rPr>
                <w:rFonts w:ascii="FrankRuehl" w:hAnsi="FrankRuehl" w:cs="FrankRuehl"/>
                <w:noProof w:val="0"/>
              </w:rPr>
              <w:t xml:space="preserve">, </w:t>
            </w:r>
            <w:hyperlink r:id="rId19" w:history="1">
              <w:r w:rsidRPr="00B757FD">
                <w:rPr>
                  <w:rFonts w:ascii="FrankRuehl" w:hAnsi="FrankRuehl" w:cs="FrankRuehl"/>
                  <w:noProof w:val="0"/>
                  <w:color w:val="0000FF"/>
                  <w:u w:val="single"/>
                </w:rPr>
                <w:t>40</w:t>
              </w:r>
              <w:r w:rsidRPr="00B757FD">
                <w:rPr>
                  <w:rFonts w:ascii="FrankRuehl" w:hAnsi="FrankRuehl" w:cs="FrankRuehl"/>
                  <w:noProof w:val="0"/>
                  <w:color w:val="0000FF"/>
                  <w:u w:val="single"/>
                  <w:rtl/>
                </w:rPr>
                <w:t>יא(3</w:t>
              </w:r>
              <w:r w:rsidRPr="00B757FD">
                <w:rPr>
                  <w:rFonts w:ascii="FrankRuehl" w:hAnsi="FrankRuehl" w:cs="FrankRuehl"/>
                  <w:noProof w:val="0"/>
                  <w:color w:val="0000FF"/>
                  <w:u w:val="single"/>
                </w:rPr>
                <w:t>)</w:t>
              </w:r>
            </w:hyperlink>
            <w:r w:rsidRPr="00B757FD">
              <w:rPr>
                <w:rFonts w:ascii="FrankRuehl" w:hAnsi="FrankRuehl" w:cs="FrankRuehl"/>
                <w:noProof w:val="0"/>
              </w:rPr>
              <w:t xml:space="preserve">, </w:t>
            </w:r>
            <w:hyperlink r:id="rId20" w:history="1">
              <w:r w:rsidRPr="00B757FD">
                <w:rPr>
                  <w:rFonts w:ascii="FrankRuehl" w:hAnsi="FrankRuehl" w:cs="FrankRuehl"/>
                  <w:noProof w:val="0"/>
                  <w:color w:val="0000FF"/>
                  <w:u w:val="single"/>
                </w:rPr>
                <w:t>40</w:t>
              </w:r>
              <w:r w:rsidRPr="00B757FD">
                <w:rPr>
                  <w:rFonts w:ascii="FrankRuehl" w:hAnsi="FrankRuehl" w:cs="FrankRuehl"/>
                  <w:noProof w:val="0"/>
                  <w:color w:val="0000FF"/>
                  <w:u w:val="single"/>
                  <w:rtl/>
                </w:rPr>
                <w:t>יג.ב</w:t>
              </w:r>
              <w:r w:rsidRPr="00B757FD">
                <w:rPr>
                  <w:rFonts w:ascii="FrankRuehl" w:hAnsi="FrankRuehl" w:cs="FrankRuehl"/>
                  <w:noProof w:val="0"/>
                  <w:color w:val="0000FF"/>
                  <w:u w:val="single"/>
                </w:rPr>
                <w:t>.</w:t>
              </w:r>
            </w:hyperlink>
            <w:r w:rsidRPr="00B757FD">
              <w:rPr>
                <w:rFonts w:ascii="FrankRuehl" w:hAnsi="FrankRuehl" w:cs="FrankRuehl"/>
                <w:noProof w:val="0"/>
              </w:rPr>
              <w:t xml:space="preserve">, </w:t>
            </w:r>
            <w:hyperlink r:id="rId21" w:history="1">
              <w:r w:rsidRPr="00B757FD">
                <w:rPr>
                  <w:rFonts w:ascii="FrankRuehl" w:hAnsi="FrankRuehl" w:cs="FrankRuehl"/>
                  <w:noProof w:val="0"/>
                  <w:color w:val="0000FF"/>
                  <w:u w:val="single"/>
                </w:rPr>
                <w:t>40</w:t>
              </w:r>
              <w:r w:rsidRPr="00B757FD">
                <w:rPr>
                  <w:rFonts w:ascii="FrankRuehl" w:hAnsi="FrankRuehl" w:cs="FrankRuehl"/>
                  <w:noProof w:val="0"/>
                  <w:color w:val="0000FF"/>
                  <w:u w:val="single"/>
                  <w:rtl/>
                </w:rPr>
                <w:t>יג.ג</w:t>
              </w:r>
            </w:hyperlink>
          </w:p>
          <w:p w14:paraId="05F5475C" w14:textId="77777777" w:rsidR="00B757FD" w:rsidRPr="00B757FD" w:rsidRDefault="00B757FD" w:rsidP="00B757FD">
            <w:pPr>
              <w:spacing w:after="120" w:line="240" w:lineRule="exact"/>
              <w:ind w:left="283" w:hanging="283"/>
              <w:jc w:val="both"/>
              <w:rPr>
                <w:rFonts w:ascii="FrankRuehl" w:hAnsi="FrankRuehl" w:cs="FrankRuehl"/>
                <w:noProof w:val="0"/>
              </w:rPr>
            </w:pPr>
          </w:p>
          <w:p w14:paraId="2DBF3EFC" w14:textId="77777777" w:rsidR="00E15B85" w:rsidRPr="00E15B85" w:rsidRDefault="00E15B85" w:rsidP="00E15B85">
            <w:pPr>
              <w:bidi w:val="0"/>
              <w:spacing w:line="360" w:lineRule="auto"/>
              <w:jc w:val="center"/>
              <w:rPr>
                <w:rFonts w:ascii="Arial" w:hAnsi="Arial"/>
                <w:b/>
                <w:bCs/>
                <w:noProof w:val="0"/>
                <w:sz w:val="32"/>
                <w:szCs w:val="32"/>
                <w:u w:val="single"/>
                <w:rtl/>
              </w:rPr>
            </w:pPr>
            <w:bookmarkStart w:id="5" w:name="LawTable_End"/>
            <w:bookmarkEnd w:id="5"/>
            <w:r w:rsidRPr="00E15B85">
              <w:rPr>
                <w:rFonts w:ascii="Arial" w:hAnsi="Arial"/>
                <w:b/>
                <w:bCs/>
                <w:noProof w:val="0"/>
                <w:sz w:val="32"/>
                <w:szCs w:val="32"/>
                <w:u w:val="single"/>
                <w:rtl/>
              </w:rPr>
              <w:t>גזר דין</w:t>
            </w:r>
          </w:p>
          <w:bookmarkEnd w:id="3"/>
          <w:p w14:paraId="1CE0039E" w14:textId="77777777" w:rsidR="009205B0" w:rsidRPr="009205B0" w:rsidRDefault="009205B0" w:rsidP="009205B0">
            <w:pPr>
              <w:bidi w:val="0"/>
              <w:spacing w:line="360" w:lineRule="auto"/>
              <w:jc w:val="center"/>
              <w:rPr>
                <w:rFonts w:ascii="Arial" w:hAnsi="Arial"/>
                <w:b/>
                <w:bCs/>
                <w:noProof w:val="0"/>
                <w:sz w:val="32"/>
                <w:szCs w:val="32"/>
                <w:u w:val="single"/>
              </w:rPr>
            </w:pPr>
          </w:p>
        </w:tc>
      </w:tr>
    </w:tbl>
    <w:bookmarkEnd w:id="0"/>
    <w:p w14:paraId="2D2E0AF7" w14:textId="77777777" w:rsidR="009205B0" w:rsidRPr="00125F3A" w:rsidRDefault="009205B0" w:rsidP="009205B0">
      <w:pPr>
        <w:pStyle w:val="1"/>
        <w:numPr>
          <w:ilvl w:val="0"/>
          <w:numId w:val="1"/>
        </w:numPr>
        <w:spacing w:after="160" w:line="360" w:lineRule="auto"/>
        <w:ind w:left="360"/>
        <w:jc w:val="both"/>
        <w:rPr>
          <w:rFonts w:cs="David"/>
          <w:b/>
          <w:bCs/>
          <w:color w:val="auto"/>
          <w:sz w:val="28"/>
          <w:szCs w:val="24"/>
          <w:rtl/>
        </w:rPr>
      </w:pPr>
      <w:r w:rsidRPr="00125F3A">
        <w:rPr>
          <w:rFonts w:cs="David" w:hint="cs"/>
          <w:b/>
          <w:bCs/>
          <w:color w:val="auto"/>
          <w:sz w:val="28"/>
          <w:szCs w:val="28"/>
          <w:rtl/>
        </w:rPr>
        <w:t>רקע עובדתי</w:t>
      </w:r>
    </w:p>
    <w:p w14:paraId="5A676E8F" w14:textId="77777777" w:rsidR="009205B0" w:rsidRPr="00125F3A" w:rsidRDefault="009205B0" w:rsidP="009205B0">
      <w:pPr>
        <w:pStyle w:val="ListParagraph"/>
        <w:numPr>
          <w:ilvl w:val="0"/>
          <w:numId w:val="2"/>
        </w:numPr>
        <w:ind w:left="-58"/>
        <w:rPr>
          <w:rtl/>
        </w:rPr>
      </w:pPr>
      <w:r w:rsidRPr="00125F3A">
        <w:rPr>
          <w:rFonts w:hint="cs"/>
          <w:rtl/>
        </w:rPr>
        <w:t>הנאשמת הורשעה על יסוד הודאתה בכתב אישום מתוקן, הכולל שלושה אישומים כדלקמן:</w:t>
      </w:r>
    </w:p>
    <w:p w14:paraId="4D095311" w14:textId="77777777" w:rsidR="009205B0" w:rsidRPr="00125F3A" w:rsidRDefault="009205B0" w:rsidP="009205B0">
      <w:pPr>
        <w:pStyle w:val="ListParagraph"/>
        <w:numPr>
          <w:ilvl w:val="0"/>
          <w:numId w:val="3"/>
        </w:numPr>
        <w:ind w:left="302"/>
      </w:pPr>
      <w:bookmarkStart w:id="6" w:name="ABSTRACT_START"/>
      <w:bookmarkEnd w:id="6"/>
      <w:r w:rsidRPr="00125F3A">
        <w:rPr>
          <w:rFonts w:hint="cs"/>
          <w:rtl/>
        </w:rPr>
        <w:t>על פי הנטען באישום הראשון, ביום 03.05.2016, בשעה 17:18 או בסמוך לכך, התקשר אל הנאשמת סוכן סמוי שהופעל על ידי המשטרה (להלן:</w:t>
      </w:r>
      <w:r w:rsidRPr="00125F3A">
        <w:rPr>
          <w:rFonts w:hint="cs"/>
          <w:b/>
          <w:bCs/>
          <w:rtl/>
        </w:rPr>
        <w:t xml:space="preserve"> "הסוכן"</w:t>
      </w:r>
      <w:r w:rsidRPr="00125F3A">
        <w:rPr>
          <w:rFonts w:hint="cs"/>
          <w:rtl/>
        </w:rPr>
        <w:t xml:space="preserve">) וביקש לרכוש "משהו לשמח". השניים תיאמו להיפגש, וכעבור כמה דקות הסוכן התקשר אל הנאשמת והודיע לה כי הוא בדרכו אליה. מיד ובסמוך, ברחוב הפלמ"ח באשדוד, מסרה הנאשמת לסוכן סם מסוג </w:t>
      </w:r>
      <w:r w:rsidRPr="00125F3A">
        <w:t>MDMA</w:t>
      </w:r>
      <w:r w:rsidRPr="00125F3A">
        <w:rPr>
          <w:rFonts w:hint="cs"/>
          <w:rtl/>
        </w:rPr>
        <w:t xml:space="preserve"> במשקל 0.8978 גרם נטו, וקיבלה בעבורו סך של 500 ₪. </w:t>
      </w:r>
    </w:p>
    <w:p w14:paraId="79C49B53" w14:textId="77777777" w:rsidR="009205B0" w:rsidRPr="00125F3A" w:rsidRDefault="009205B0" w:rsidP="009205B0">
      <w:pPr>
        <w:pStyle w:val="ListParagraph"/>
        <w:ind w:left="302" w:firstLine="0"/>
      </w:pPr>
      <w:r w:rsidRPr="00125F3A">
        <w:rPr>
          <w:rFonts w:hint="cs"/>
          <w:rtl/>
        </w:rPr>
        <w:t xml:space="preserve">בגין אלה, הורשעה הנאשמת בעבירה של </w:t>
      </w:r>
      <w:r w:rsidRPr="00125F3A">
        <w:rPr>
          <w:rFonts w:hint="cs"/>
          <w:b/>
          <w:bCs/>
          <w:rtl/>
        </w:rPr>
        <w:t>סחר בסם מסוכן</w:t>
      </w:r>
      <w:r w:rsidRPr="00125F3A">
        <w:rPr>
          <w:rFonts w:hint="cs"/>
          <w:rtl/>
        </w:rPr>
        <w:t xml:space="preserve">, לפי </w:t>
      </w:r>
      <w:hyperlink r:id="rId22" w:history="1">
        <w:r w:rsidR="00B757FD" w:rsidRPr="00B757FD">
          <w:rPr>
            <w:rFonts w:hint="cs"/>
            <w:color w:val="0000FF"/>
            <w:u w:val="single"/>
            <w:rtl/>
          </w:rPr>
          <w:t>סעיפים</w:t>
        </w:r>
        <w:r w:rsidR="00B757FD" w:rsidRPr="00B757FD">
          <w:rPr>
            <w:color w:val="0000FF"/>
            <w:u w:val="single"/>
            <w:rtl/>
          </w:rPr>
          <w:t xml:space="preserve"> 13</w:t>
        </w:r>
      </w:hyperlink>
      <w:r w:rsidRPr="00125F3A">
        <w:rPr>
          <w:rFonts w:hint="cs"/>
          <w:rtl/>
        </w:rPr>
        <w:t xml:space="preserve"> ו- </w:t>
      </w:r>
      <w:hyperlink r:id="rId23" w:history="1">
        <w:r w:rsidR="00B757FD" w:rsidRPr="00B757FD">
          <w:rPr>
            <w:color w:val="0000FF"/>
            <w:u w:val="single"/>
            <w:rtl/>
          </w:rPr>
          <w:t>19</w:t>
        </w:r>
        <w:r w:rsidR="00B757FD" w:rsidRPr="00B757FD">
          <w:rPr>
            <w:rFonts w:hint="cs"/>
            <w:color w:val="0000FF"/>
            <w:u w:val="single"/>
            <w:rtl/>
          </w:rPr>
          <w:t>א</w:t>
        </w:r>
      </w:hyperlink>
      <w:r w:rsidRPr="00125F3A">
        <w:rPr>
          <w:rFonts w:hint="cs"/>
          <w:rtl/>
        </w:rPr>
        <w:t xml:space="preserve"> ל</w:t>
      </w:r>
      <w:hyperlink r:id="rId24" w:history="1">
        <w:r w:rsidR="00E15B85" w:rsidRPr="00E15B85">
          <w:rPr>
            <w:rFonts w:hint="cs"/>
            <w:color w:val="0000FF"/>
            <w:u w:val="single"/>
            <w:rtl/>
          </w:rPr>
          <w:t>פקודת</w:t>
        </w:r>
        <w:r w:rsidR="00E15B85" w:rsidRPr="00E15B85">
          <w:rPr>
            <w:color w:val="0000FF"/>
            <w:u w:val="single"/>
            <w:rtl/>
          </w:rPr>
          <w:t xml:space="preserve"> </w:t>
        </w:r>
        <w:r w:rsidR="00E15B85" w:rsidRPr="00E15B85">
          <w:rPr>
            <w:rFonts w:hint="cs"/>
            <w:color w:val="0000FF"/>
            <w:u w:val="single"/>
            <w:rtl/>
          </w:rPr>
          <w:t>הסמים</w:t>
        </w:r>
        <w:r w:rsidR="00E15B85" w:rsidRPr="00E15B85">
          <w:rPr>
            <w:color w:val="0000FF"/>
            <w:u w:val="single"/>
            <w:rtl/>
          </w:rPr>
          <w:t xml:space="preserve"> </w:t>
        </w:r>
        <w:r w:rsidR="00E15B85" w:rsidRPr="00E15B85">
          <w:rPr>
            <w:rFonts w:hint="cs"/>
            <w:color w:val="0000FF"/>
            <w:u w:val="single"/>
            <w:rtl/>
          </w:rPr>
          <w:t>המסוכנים</w:t>
        </w:r>
      </w:hyperlink>
      <w:r w:rsidRPr="00125F3A">
        <w:rPr>
          <w:rFonts w:hint="cs"/>
          <w:rtl/>
        </w:rPr>
        <w:t xml:space="preserve"> [נוסח חדש], התשל"ג-1973 (להלן: </w:t>
      </w:r>
      <w:r w:rsidRPr="00125F3A">
        <w:rPr>
          <w:rFonts w:hint="cs"/>
          <w:b/>
          <w:bCs/>
          <w:rtl/>
        </w:rPr>
        <w:t>"הפקודה"</w:t>
      </w:r>
      <w:r w:rsidRPr="00125F3A">
        <w:rPr>
          <w:rFonts w:hint="cs"/>
          <w:rtl/>
        </w:rPr>
        <w:t>).</w:t>
      </w:r>
    </w:p>
    <w:p w14:paraId="0687AB6D" w14:textId="77777777" w:rsidR="009205B0" w:rsidRPr="00125F3A" w:rsidRDefault="009205B0" w:rsidP="009205B0">
      <w:pPr>
        <w:pStyle w:val="ListParagraph"/>
        <w:numPr>
          <w:ilvl w:val="0"/>
          <w:numId w:val="3"/>
        </w:numPr>
        <w:ind w:left="302"/>
      </w:pPr>
      <w:bookmarkStart w:id="7" w:name="ABSTRACT_END"/>
      <w:bookmarkEnd w:id="7"/>
      <w:r w:rsidRPr="00125F3A">
        <w:rPr>
          <w:rFonts w:hint="cs"/>
          <w:rtl/>
        </w:rPr>
        <w:t xml:space="preserve">על פי הנטען באישום השני, ביום 11.05.2016, בשעה 16:22 או בסמוך לכך, התקשר הסוכן לנאשמת וביקש לרכוש "מים", כשכוונתו ל- </w:t>
      </w:r>
      <w:r w:rsidRPr="00125F3A">
        <w:t>MDMA</w:t>
      </w:r>
      <w:r w:rsidRPr="00125F3A">
        <w:rPr>
          <w:rFonts w:hint="cs"/>
          <w:rtl/>
        </w:rPr>
        <w:t xml:space="preserve">. בהמשך לכך, בסמוך לשעה 17:12, בפארק ברחוב הרצל, סחרה הנאשמת בסם מסוג </w:t>
      </w:r>
      <w:r w:rsidRPr="00125F3A">
        <w:t>MDMA</w:t>
      </w:r>
      <w:r w:rsidRPr="00125F3A">
        <w:rPr>
          <w:rFonts w:hint="cs"/>
          <w:rtl/>
        </w:rPr>
        <w:t xml:space="preserve"> במשקל 0.7157 גרם נטו, בתמורה ל- 500 ₪.</w:t>
      </w:r>
    </w:p>
    <w:p w14:paraId="1DC83A35" w14:textId="77777777" w:rsidR="009205B0" w:rsidRPr="00125F3A" w:rsidRDefault="009205B0" w:rsidP="009205B0">
      <w:pPr>
        <w:pStyle w:val="ListParagraph"/>
        <w:ind w:left="302" w:firstLine="0"/>
      </w:pPr>
      <w:r w:rsidRPr="00125F3A">
        <w:rPr>
          <w:rFonts w:hint="cs"/>
          <w:rtl/>
        </w:rPr>
        <w:t xml:space="preserve">בגין אלה, הורשעה הנאשמת בעבירה של </w:t>
      </w:r>
      <w:r w:rsidRPr="00125F3A">
        <w:rPr>
          <w:rFonts w:hint="cs"/>
          <w:b/>
          <w:bCs/>
          <w:rtl/>
        </w:rPr>
        <w:t>סחר בסם מסוכן</w:t>
      </w:r>
      <w:r w:rsidRPr="00125F3A">
        <w:rPr>
          <w:rFonts w:hint="cs"/>
          <w:rtl/>
        </w:rPr>
        <w:t xml:space="preserve">, לפי </w:t>
      </w:r>
      <w:hyperlink r:id="rId25" w:history="1">
        <w:r w:rsidR="00B757FD" w:rsidRPr="00B757FD">
          <w:rPr>
            <w:rFonts w:hint="cs"/>
            <w:color w:val="0000FF"/>
            <w:u w:val="single"/>
            <w:rtl/>
          </w:rPr>
          <w:t>סעיפים</w:t>
        </w:r>
        <w:r w:rsidR="00B757FD" w:rsidRPr="00B757FD">
          <w:rPr>
            <w:color w:val="0000FF"/>
            <w:u w:val="single"/>
            <w:rtl/>
          </w:rPr>
          <w:t xml:space="preserve"> 13</w:t>
        </w:r>
      </w:hyperlink>
      <w:r w:rsidRPr="00125F3A">
        <w:rPr>
          <w:rFonts w:hint="cs"/>
          <w:rtl/>
        </w:rPr>
        <w:t xml:space="preserve"> ו- </w:t>
      </w:r>
      <w:hyperlink r:id="rId26" w:history="1">
        <w:r w:rsidR="00B757FD" w:rsidRPr="00B757FD">
          <w:rPr>
            <w:color w:val="0000FF"/>
            <w:u w:val="single"/>
            <w:rtl/>
          </w:rPr>
          <w:t>19</w:t>
        </w:r>
        <w:r w:rsidR="00B757FD" w:rsidRPr="00B757FD">
          <w:rPr>
            <w:rFonts w:hint="cs"/>
            <w:color w:val="0000FF"/>
            <w:u w:val="single"/>
            <w:rtl/>
          </w:rPr>
          <w:t>א</w:t>
        </w:r>
      </w:hyperlink>
      <w:r w:rsidRPr="00125F3A">
        <w:rPr>
          <w:rFonts w:hint="cs"/>
          <w:rtl/>
        </w:rPr>
        <w:t xml:space="preserve"> לפקודה.</w:t>
      </w:r>
    </w:p>
    <w:p w14:paraId="256DD347" w14:textId="77777777" w:rsidR="009205B0" w:rsidRPr="00125F3A" w:rsidRDefault="009205B0" w:rsidP="009205B0">
      <w:pPr>
        <w:pStyle w:val="ListParagraph"/>
        <w:numPr>
          <w:ilvl w:val="0"/>
          <w:numId w:val="3"/>
        </w:numPr>
        <w:ind w:left="302"/>
      </w:pPr>
      <w:r w:rsidRPr="00125F3A">
        <w:rPr>
          <w:rFonts w:hint="cs"/>
          <w:rtl/>
        </w:rPr>
        <w:lastRenderedPageBreak/>
        <w:t xml:space="preserve">על פי הנטען באישום השלישי, ביום 20.06.2016, בשעה 05:30 או בסמוך לכך, החזיקה הנאשמת בביתה, בין מכשיר הטלפון הנייד שלה לבין מגן הטלפון, סם מסוג </w:t>
      </w:r>
      <w:r w:rsidRPr="00125F3A">
        <w:t>LSD</w:t>
      </w:r>
      <w:r w:rsidRPr="00125F3A">
        <w:rPr>
          <w:rFonts w:hint="cs"/>
          <w:rtl/>
        </w:rPr>
        <w:t xml:space="preserve"> בכמות של 7 בולים, וזאת לצריכתה העצמית.</w:t>
      </w:r>
    </w:p>
    <w:p w14:paraId="014F2456" w14:textId="77777777" w:rsidR="009205B0" w:rsidRPr="00125F3A" w:rsidRDefault="009205B0" w:rsidP="009205B0">
      <w:pPr>
        <w:pStyle w:val="ListParagraph"/>
        <w:ind w:left="302" w:firstLine="0"/>
      </w:pPr>
      <w:r w:rsidRPr="00125F3A">
        <w:rPr>
          <w:rFonts w:hint="cs"/>
          <w:rtl/>
        </w:rPr>
        <w:t xml:space="preserve">בגין אלה, הורשעה הנאשמת בעבירה של </w:t>
      </w:r>
      <w:r w:rsidRPr="00125F3A">
        <w:rPr>
          <w:rFonts w:hint="cs"/>
          <w:b/>
          <w:bCs/>
          <w:rtl/>
        </w:rPr>
        <w:t>החזקת סם לצריכה עצמית</w:t>
      </w:r>
      <w:r w:rsidRPr="00125F3A">
        <w:rPr>
          <w:rFonts w:hint="cs"/>
          <w:rtl/>
        </w:rPr>
        <w:t xml:space="preserve">, לפי </w:t>
      </w:r>
      <w:hyperlink r:id="rId27" w:history="1">
        <w:r w:rsidR="00B757FD" w:rsidRPr="00B757FD">
          <w:rPr>
            <w:rFonts w:hint="cs"/>
            <w:color w:val="0000FF"/>
            <w:u w:val="single"/>
            <w:rtl/>
          </w:rPr>
          <w:t>סעיפים</w:t>
        </w:r>
        <w:r w:rsidR="00B757FD" w:rsidRPr="00B757FD">
          <w:rPr>
            <w:color w:val="0000FF"/>
            <w:u w:val="single"/>
            <w:rtl/>
          </w:rPr>
          <w:t xml:space="preserve"> 7(</w:t>
        </w:r>
        <w:r w:rsidR="00B757FD" w:rsidRPr="00B757FD">
          <w:rPr>
            <w:rFonts w:hint="cs"/>
            <w:color w:val="0000FF"/>
            <w:u w:val="single"/>
            <w:rtl/>
          </w:rPr>
          <w:t>א</w:t>
        </w:r>
        <w:r w:rsidR="00B757FD" w:rsidRPr="00B757FD">
          <w:rPr>
            <w:color w:val="0000FF"/>
            <w:u w:val="single"/>
            <w:rtl/>
          </w:rPr>
          <w:t>)</w:t>
        </w:r>
      </w:hyperlink>
      <w:r w:rsidRPr="00125F3A">
        <w:rPr>
          <w:rFonts w:hint="cs"/>
          <w:rtl/>
        </w:rPr>
        <w:t xml:space="preserve"> ו- </w:t>
      </w:r>
      <w:hyperlink r:id="rId28" w:history="1">
        <w:r w:rsidR="00B757FD" w:rsidRPr="00B757FD">
          <w:rPr>
            <w:color w:val="0000FF"/>
            <w:u w:val="single"/>
            <w:rtl/>
          </w:rPr>
          <w:t>7(</w:t>
        </w:r>
        <w:r w:rsidR="00B757FD" w:rsidRPr="00B757FD">
          <w:rPr>
            <w:rFonts w:hint="cs"/>
            <w:color w:val="0000FF"/>
            <w:u w:val="single"/>
            <w:rtl/>
          </w:rPr>
          <w:t>ג</w:t>
        </w:r>
        <w:r w:rsidR="00B757FD" w:rsidRPr="00B757FD">
          <w:rPr>
            <w:color w:val="0000FF"/>
            <w:u w:val="single"/>
            <w:rtl/>
          </w:rPr>
          <w:t>)</w:t>
        </w:r>
      </w:hyperlink>
      <w:r w:rsidRPr="00125F3A">
        <w:rPr>
          <w:rFonts w:hint="cs"/>
          <w:rtl/>
        </w:rPr>
        <w:t xml:space="preserve"> סיפא לפקודה.</w:t>
      </w:r>
    </w:p>
    <w:p w14:paraId="5431AD0A" w14:textId="77777777" w:rsidR="009205B0" w:rsidRPr="00125F3A" w:rsidRDefault="009205B0" w:rsidP="009205B0">
      <w:pPr>
        <w:pStyle w:val="ListParagraph"/>
        <w:numPr>
          <w:ilvl w:val="0"/>
          <w:numId w:val="2"/>
        </w:numPr>
        <w:ind w:left="-58"/>
      </w:pPr>
      <w:r w:rsidRPr="00125F3A">
        <w:rPr>
          <w:rFonts w:hint="cs"/>
          <w:rtl/>
        </w:rPr>
        <w:t xml:space="preserve">הצדדים לא הגיעו להסדר בעניין העונש, אך הוסכם כי הנאשמת תופנה לשירות המבחן על מנת שיתקבל תסקיר בעניינה, תוך שהוצהר כי עמדתה של המאשימה בתיק זה היא למאסר בפועל; ואילו ההגנה תוכל לטעון לעונש כראות עיניה. </w:t>
      </w:r>
    </w:p>
    <w:p w14:paraId="10C84283" w14:textId="77777777" w:rsidR="009205B0" w:rsidRPr="00125F3A" w:rsidRDefault="009205B0" w:rsidP="009205B0">
      <w:pPr>
        <w:pStyle w:val="ListParagraph"/>
        <w:numPr>
          <w:ilvl w:val="0"/>
          <w:numId w:val="2"/>
        </w:numPr>
        <w:ind w:left="-58"/>
      </w:pPr>
      <w:r w:rsidRPr="00125F3A">
        <w:rPr>
          <w:rFonts w:hint="cs"/>
          <w:rtl/>
        </w:rPr>
        <w:t>בעניינה של הנאשמת התקבלו שלושה תסקירים, ובסופם המלצה להשית עליה מאסר לריצוי בעבודות שירות ומאסר מותנה. בגוף התסקירים, מפרט שירות המבחן אודות: קורותיה של הנאשמת וקורות משפחתה, הניסיונות הטיפוליים שנעשו בעניינה, מאפייניה האישיים, ועוד. מטעמים של צנעת הפרט, לא אעלה את כל אלה עלי גזר הדין, מלבד אותם נתונים הרלוונטיים לשאלת העונש, שאליהם אתייחס בהמשך.</w:t>
      </w:r>
    </w:p>
    <w:p w14:paraId="6DAC4D6A" w14:textId="77777777" w:rsidR="009205B0" w:rsidRPr="00125F3A" w:rsidRDefault="009205B0" w:rsidP="009205B0">
      <w:pPr>
        <w:pStyle w:val="ListParagraph"/>
        <w:numPr>
          <w:ilvl w:val="0"/>
          <w:numId w:val="2"/>
        </w:numPr>
        <w:ind w:left="-58"/>
      </w:pPr>
      <w:r w:rsidRPr="00125F3A">
        <w:rPr>
          <w:rFonts w:hint="cs"/>
          <w:rtl/>
        </w:rPr>
        <w:t xml:space="preserve">מחוות דעת הממונה על עבודות השירות, אשר התקבלה ביום 14.11.2017, עלה כי הנאשמת לא מסרה בדיקות שתן כנדרש ועזבה את משרדי הממונה ללא קבלת אישור וכי עלו סתירות בדבריה בפני הממונה בכל הנוגע לשימוש בסמים.  מטעמים אלה נמצא כי איננה מתאימה להשמה במסגרת עבודות השירות. </w:t>
      </w:r>
    </w:p>
    <w:p w14:paraId="0622D3B2" w14:textId="77777777" w:rsidR="009205B0" w:rsidRPr="00125F3A" w:rsidRDefault="009205B0" w:rsidP="009205B0">
      <w:pPr>
        <w:pStyle w:val="ListParagraph"/>
        <w:numPr>
          <w:ilvl w:val="0"/>
          <w:numId w:val="2"/>
        </w:numPr>
        <w:ind w:left="-58"/>
      </w:pPr>
      <w:r w:rsidRPr="00125F3A">
        <w:rPr>
          <w:rFonts w:hint="cs"/>
          <w:rtl/>
        </w:rPr>
        <w:t>לאחר שהנאשמת טענה בפני בית המשפט כי היא לא הובנה כהלכה מצאתי להפנותה פעם נוספת למשרדי הממונה ו</w:t>
      </w:r>
      <w:r w:rsidRPr="00125F3A">
        <w:rPr>
          <w:rFonts w:hint="cs"/>
          <w:b/>
          <w:bCs/>
          <w:rtl/>
        </w:rPr>
        <w:t xml:space="preserve">מחוות דעת הממונה על עבודות השירות, אשר התקבלה ביום 17.12.2017, </w:t>
      </w:r>
      <w:r w:rsidRPr="00125F3A">
        <w:rPr>
          <w:rFonts w:hint="cs"/>
          <w:rtl/>
        </w:rPr>
        <w:t xml:space="preserve">ולאחר שנמסרה על ידה בדיקת שתן נקייה מסם, עלה כי הנאשמת מתאימה לביצוע עבודות שירות. </w:t>
      </w:r>
    </w:p>
    <w:p w14:paraId="012014A2" w14:textId="77777777" w:rsidR="009205B0" w:rsidRPr="00125F3A" w:rsidRDefault="009205B0" w:rsidP="009205B0">
      <w:pPr>
        <w:pStyle w:val="1"/>
        <w:numPr>
          <w:ilvl w:val="0"/>
          <w:numId w:val="4"/>
        </w:numPr>
        <w:spacing w:after="160" w:line="360" w:lineRule="auto"/>
        <w:ind w:left="360"/>
        <w:jc w:val="both"/>
        <w:rPr>
          <w:rFonts w:cs="David"/>
          <w:b/>
          <w:bCs/>
          <w:color w:val="auto"/>
          <w:sz w:val="28"/>
          <w:szCs w:val="28"/>
        </w:rPr>
      </w:pPr>
      <w:r w:rsidRPr="00125F3A">
        <w:rPr>
          <w:rFonts w:cs="David" w:hint="cs"/>
          <w:b/>
          <w:bCs/>
          <w:color w:val="auto"/>
          <w:sz w:val="28"/>
          <w:szCs w:val="28"/>
          <w:rtl/>
        </w:rPr>
        <w:t>טיעוני הצדדים (עיקרי הדברים)</w:t>
      </w:r>
    </w:p>
    <w:p w14:paraId="46C42A79" w14:textId="77777777" w:rsidR="009205B0" w:rsidRPr="00125F3A" w:rsidRDefault="009205B0" w:rsidP="009205B0">
      <w:pPr>
        <w:pStyle w:val="ListParagraph"/>
        <w:numPr>
          <w:ilvl w:val="0"/>
          <w:numId w:val="2"/>
        </w:numPr>
        <w:ind w:left="-58"/>
      </w:pPr>
      <w:r w:rsidRPr="00125F3A">
        <w:rPr>
          <w:rFonts w:hint="cs"/>
          <w:rtl/>
        </w:rPr>
        <w:t>בא כוח המאשימה עמד על חומרת מעשיה של הנאשמת ועל הצורך לעקור את נגע הסמים מקרבנו. כמו כן, הלה עתר לקבוע מתחם עונש הולם נפרד בגין כל אישום, באופן בו בגין מעשיה בכל אחד מהאישומים 1 ו- 2 ינוע מתחם הענישה בין 8 ל- 18 חודשי מאסר, ואילו בגין מעשיה באישום השלישי, בין מאסר מותנה לבין 8 חודשי מאסר (לחילופין, נטען כי אם בית המשפט ימצא לקבוע מתחם עונש כולל, כי אז עליו לנוע בין 14 ל- 24 חודשי מאסר). בהמשך, הפנה התובע, בין היתר, לבדיקת השתן שמסרה הנאשמת ושנמצאו בה שרידי סם ולעובדה שזו אינה מוכנה לשנות את אורחות חייה. לאור אלה, הלה עתר להשית על הנאשמת עונש מאסר ברף הבינוני של מתחמי הענישה, לצד מאסר מותנה, קנס, התחייבות ופסילת רישיון נהיגה.</w:t>
      </w:r>
    </w:p>
    <w:p w14:paraId="6E9E3075" w14:textId="77777777" w:rsidR="009205B0" w:rsidRPr="00125F3A" w:rsidRDefault="009205B0" w:rsidP="009205B0">
      <w:pPr>
        <w:pStyle w:val="ListParagraph"/>
        <w:numPr>
          <w:ilvl w:val="0"/>
          <w:numId w:val="2"/>
        </w:numPr>
        <w:ind w:left="-58"/>
      </w:pPr>
      <w:r w:rsidRPr="00125F3A">
        <w:rPr>
          <w:rFonts w:hint="cs"/>
          <w:rtl/>
        </w:rPr>
        <w:t>מנגד, ההגנה הפנתה לכך שמאז ביצוע העבירות לא נפתחו נגד הנאשמת תיקים חדשים; להליך הטיפולי שעברה במסגרת שירות המבחן; לנסיבות חייה המורכבות; לעובדה כי זו הביעה חרטה על מעשיה והבינה את חומרתם; לפרק הזמן הארוך שבו היא שהתה תחת תנאים מגבילים, שאותם הקפידה לקיים; לכך שעסקינן בהסתבכות נקודתית בלבד עם החוק; ולבדיקות שמסרה ושנמצאו נקיות משרידי סם. לבסוף, נטען כי במקרה הנדון יש לקבוע מתחם ענישה כולל, שינוע בין מאסר לריצוי בעבודות שירות לבין 8 חודשים מאסר, ובהינתן אלה – עתרה באת כוח הנאשמת לאמץ את המלצת שירות המבחן ולגזור על הנאשמת עונש המצוי ברף התחתון של המתחם הנטען.</w:t>
      </w:r>
    </w:p>
    <w:p w14:paraId="45B5EF44" w14:textId="77777777" w:rsidR="009205B0" w:rsidRPr="00125F3A" w:rsidRDefault="009205B0" w:rsidP="009205B0">
      <w:pPr>
        <w:pStyle w:val="ListParagraph"/>
        <w:numPr>
          <w:ilvl w:val="0"/>
          <w:numId w:val="2"/>
        </w:numPr>
        <w:ind w:left="-58"/>
      </w:pPr>
      <w:r w:rsidRPr="00125F3A">
        <w:rPr>
          <w:rFonts w:hint="cs"/>
          <w:rtl/>
        </w:rPr>
        <w:lastRenderedPageBreak/>
        <w:t>הנאשמת מסרה כי אינה משתמשת עוד בסמים וטענה כי הייתה מוכנה להשתתף בכל הליך טיפולי ששירות המבחן ימצא לנכון. כמו כן, הלה קיבלה אחריות על מעשיה וטענה כי מאז ביצועם, היא יצאה לדרך חדשה.</w:t>
      </w:r>
    </w:p>
    <w:p w14:paraId="6FA8D9CB" w14:textId="77777777" w:rsidR="009205B0" w:rsidRPr="00125F3A" w:rsidRDefault="009205B0" w:rsidP="009205B0">
      <w:pPr>
        <w:pStyle w:val="1"/>
        <w:spacing w:after="160" w:line="360" w:lineRule="auto"/>
        <w:rPr>
          <w:rFonts w:cs="David"/>
          <w:b/>
          <w:bCs/>
          <w:color w:val="auto"/>
          <w:sz w:val="28"/>
          <w:szCs w:val="28"/>
          <w:u w:val="single"/>
        </w:rPr>
      </w:pPr>
      <w:r w:rsidRPr="00125F3A">
        <w:rPr>
          <w:rFonts w:cs="David" w:hint="cs"/>
          <w:b/>
          <w:bCs/>
          <w:color w:val="auto"/>
          <w:sz w:val="28"/>
          <w:szCs w:val="28"/>
          <w:u w:val="single"/>
          <w:rtl/>
        </w:rPr>
        <w:t>דיון והכרעה</w:t>
      </w:r>
    </w:p>
    <w:p w14:paraId="3BB835A3" w14:textId="77777777" w:rsidR="009205B0" w:rsidRPr="00125F3A" w:rsidRDefault="009205B0" w:rsidP="009205B0">
      <w:pPr>
        <w:pStyle w:val="ListParagraph"/>
        <w:numPr>
          <w:ilvl w:val="0"/>
          <w:numId w:val="2"/>
        </w:numPr>
        <w:ind w:left="-63" w:hanging="357"/>
        <w:rPr>
          <w:rtl/>
        </w:rPr>
      </w:pPr>
      <w:r w:rsidRPr="00125F3A">
        <w:rPr>
          <w:rFonts w:hint="cs"/>
          <w:rtl/>
        </w:rPr>
        <w:t>ראשית חוכמה, ועל אף שההגנה לא טענה בצורה סדורה בעניין זה, אדרש לשאלה אם יש לראות במכלול מעשיה של הנאשמת כ"אירוע אחד", שאז יש לקבוע מתחם עונש כולל, או שמא ככמה אירועים נפרדים, שבגין כל אחד מהם יש לקבוע מתחם עונש נפרד.</w:t>
      </w:r>
    </w:p>
    <w:p w14:paraId="24EE6F7B" w14:textId="77777777" w:rsidR="009205B0" w:rsidRPr="00125F3A" w:rsidRDefault="009205B0" w:rsidP="009205B0">
      <w:pPr>
        <w:pStyle w:val="ListParagraph"/>
        <w:numPr>
          <w:ilvl w:val="0"/>
          <w:numId w:val="2"/>
        </w:numPr>
        <w:ind w:left="-63" w:hanging="357"/>
      </w:pPr>
      <w:r w:rsidRPr="00125F3A">
        <w:rPr>
          <w:rFonts w:hint="cs"/>
          <w:rtl/>
        </w:rPr>
        <w:t xml:space="preserve">מששקלתי בדבר, ובשים לב ל"מבחן הקשר ההדוק" ויתר מבחני העזר אשר נקבעו לעניין זה בפסיקתו של בית המשפט העליון (ראו למשל, דעת הרוב </w:t>
      </w:r>
      <w:r w:rsidRPr="00125F3A">
        <w:rPr>
          <w:rFonts w:hint="cs"/>
          <w:u w:val="single"/>
          <w:rtl/>
        </w:rPr>
        <w:t>ב</w:t>
      </w:r>
      <w:hyperlink r:id="rId29" w:history="1">
        <w:r w:rsidR="00E15B85" w:rsidRPr="00E15B85">
          <w:rPr>
            <w:rFonts w:hint="cs"/>
            <w:color w:val="0000FF"/>
            <w:u w:val="single"/>
            <w:rtl/>
          </w:rPr>
          <w:t>ע</w:t>
        </w:r>
        <w:r w:rsidR="00E15B85" w:rsidRPr="00E15B85">
          <w:rPr>
            <w:color w:val="0000FF"/>
            <w:u w:val="single"/>
            <w:rtl/>
          </w:rPr>
          <w:t>"</w:t>
        </w:r>
        <w:r w:rsidR="00E15B85" w:rsidRPr="00E15B85">
          <w:rPr>
            <w:rFonts w:hint="cs"/>
            <w:color w:val="0000FF"/>
            <w:u w:val="single"/>
            <w:rtl/>
          </w:rPr>
          <w:t>פ</w:t>
        </w:r>
        <w:r w:rsidR="00E15B85" w:rsidRPr="00E15B85">
          <w:rPr>
            <w:color w:val="0000FF"/>
            <w:u w:val="single"/>
            <w:rtl/>
          </w:rPr>
          <w:t xml:space="preserve"> 4910/13</w:t>
        </w:r>
      </w:hyperlink>
      <w:r w:rsidRPr="00125F3A">
        <w:rPr>
          <w:rFonts w:hint="cs"/>
          <w:rtl/>
        </w:rPr>
        <w:t xml:space="preserve"> </w:t>
      </w:r>
      <w:r w:rsidRPr="00125F3A">
        <w:rPr>
          <w:rFonts w:hint="cs"/>
          <w:b/>
          <w:bCs/>
          <w:rtl/>
        </w:rPr>
        <w:t>‏אחמד בני ג'אבר נ' מדינת ישראל</w:t>
      </w:r>
      <w:r w:rsidRPr="00125F3A">
        <w:rPr>
          <w:rFonts w:hint="cs"/>
          <w:rtl/>
        </w:rPr>
        <w:t xml:space="preserve">, (29.10.2014) (להלן: </w:t>
      </w:r>
      <w:r w:rsidRPr="00125F3A">
        <w:rPr>
          <w:rFonts w:hint="cs"/>
          <w:b/>
          <w:bCs/>
          <w:rtl/>
        </w:rPr>
        <w:t>"עניין ג'אבר"</w:t>
      </w:r>
      <w:r w:rsidRPr="00125F3A">
        <w:rPr>
          <w:rFonts w:hint="cs"/>
          <w:rtl/>
        </w:rPr>
        <w:t xml:space="preserve">); </w:t>
      </w:r>
      <w:hyperlink r:id="rId30" w:history="1">
        <w:r w:rsidR="00E15B85" w:rsidRPr="00E15B85">
          <w:rPr>
            <w:rFonts w:hint="cs"/>
            <w:color w:val="0000FF"/>
            <w:u w:val="single"/>
            <w:rtl/>
          </w:rPr>
          <w:t>ע</w:t>
        </w:r>
        <w:r w:rsidR="00E15B85" w:rsidRPr="00E15B85">
          <w:rPr>
            <w:color w:val="0000FF"/>
            <w:u w:val="single"/>
            <w:rtl/>
          </w:rPr>
          <w:t>"</w:t>
        </w:r>
        <w:r w:rsidR="00E15B85" w:rsidRPr="00E15B85">
          <w:rPr>
            <w:rFonts w:hint="cs"/>
            <w:color w:val="0000FF"/>
            <w:u w:val="single"/>
            <w:rtl/>
          </w:rPr>
          <w:t>פ</w:t>
        </w:r>
        <w:r w:rsidR="00E15B85" w:rsidRPr="00E15B85">
          <w:rPr>
            <w:color w:val="0000FF"/>
            <w:u w:val="single"/>
            <w:rtl/>
          </w:rPr>
          <w:t xml:space="preserve"> 1261/15</w:t>
        </w:r>
      </w:hyperlink>
      <w:r w:rsidRPr="00125F3A">
        <w:rPr>
          <w:rFonts w:hint="cs"/>
          <w:rtl/>
        </w:rPr>
        <w:t xml:space="preserve"> </w:t>
      </w:r>
      <w:r w:rsidRPr="00125F3A">
        <w:rPr>
          <w:rFonts w:hint="cs"/>
          <w:b/>
          <w:bCs/>
          <w:rtl/>
        </w:rPr>
        <w:t>יוסף דלאל נ' מדינת ישראל</w:t>
      </w:r>
      <w:r w:rsidRPr="00125F3A">
        <w:rPr>
          <w:rFonts w:hint="cs"/>
          <w:rtl/>
        </w:rPr>
        <w:t xml:space="preserve">, (03.09.2015) (להלן: </w:t>
      </w:r>
      <w:r w:rsidRPr="00125F3A">
        <w:rPr>
          <w:rFonts w:hint="cs"/>
          <w:b/>
          <w:bCs/>
          <w:rtl/>
        </w:rPr>
        <w:t>"עניין דלאל"</w:t>
      </w:r>
      <w:r w:rsidRPr="00125F3A">
        <w:rPr>
          <w:rFonts w:hint="cs"/>
          <w:rtl/>
        </w:rPr>
        <w:t xml:space="preserve">); </w:t>
      </w:r>
      <w:hyperlink r:id="rId31" w:history="1">
        <w:r w:rsidR="00E15B85" w:rsidRPr="00E15B85">
          <w:rPr>
            <w:rFonts w:ascii="David" w:hAnsi="David"/>
            <w:color w:val="0000FF"/>
            <w:u w:val="single"/>
            <w:rtl/>
          </w:rPr>
          <w:t>ע"פ 3164/14</w:t>
        </w:r>
      </w:hyperlink>
      <w:r w:rsidRPr="00125F3A">
        <w:rPr>
          <w:rFonts w:ascii="David" w:hAnsi="David" w:hint="cs"/>
          <w:rtl/>
        </w:rPr>
        <w:t xml:space="preserve"> </w:t>
      </w:r>
      <w:r w:rsidRPr="00125F3A">
        <w:rPr>
          <w:rFonts w:ascii="David" w:hAnsi="David" w:hint="cs"/>
          <w:b/>
          <w:bCs/>
          <w:rtl/>
        </w:rPr>
        <w:t>גיא פן נ' מדינת ישראל</w:t>
      </w:r>
      <w:r w:rsidRPr="00125F3A">
        <w:rPr>
          <w:rFonts w:ascii="David" w:hAnsi="David" w:hint="cs"/>
          <w:rtl/>
        </w:rPr>
        <w:t>, (29.06.2015)</w:t>
      </w:r>
      <w:r w:rsidRPr="00125F3A">
        <w:rPr>
          <w:rFonts w:hint="cs"/>
          <w:rtl/>
        </w:rPr>
        <w:t>), מצאתי כי במקרה הנדון יש לקבוע מתחמי ענישה נפרדים בגין כל אירוע, ואנמק.</w:t>
      </w:r>
    </w:p>
    <w:p w14:paraId="6A377D2D" w14:textId="77777777" w:rsidR="009205B0" w:rsidRPr="00125F3A" w:rsidRDefault="009205B0" w:rsidP="009205B0">
      <w:pPr>
        <w:pStyle w:val="ListParagraph"/>
        <w:ind w:left="-58" w:firstLine="0"/>
      </w:pPr>
      <w:r w:rsidRPr="00125F3A">
        <w:rPr>
          <w:rFonts w:hint="cs"/>
          <w:rtl/>
        </w:rPr>
        <w:t xml:space="preserve">הגם שהמדובר בעבירות שכולן מתחום הסמים, ועל אף שבשתי עבירות הסחר מכרה הנאשמת סמים מסוג דומה לאותו סוכן משטרתי – עדיין, עסקינן בעבירות שבוצעו בהפרש זמנים זו מזו, במקומות שונים, וכאשר לכל עסקה תכנון מוקדם נפרד וסוף והתחלה ברורים ומבוחנים. </w:t>
      </w:r>
      <w:r w:rsidRPr="00125F3A">
        <w:rPr>
          <w:rFonts w:eastAsia="Times New Roman" w:hint="cs"/>
          <w:rtl/>
        </w:rPr>
        <w:t>בנסיבות אלה, סבורתני כי אין עסקינן בסדרה אחת של עבירות שהינן חלק מתכנית עבריינית אחת, כך שלא מתקיים ביניהן אותו "קשר הדוק" אשר יצדיק קביעת מתחם עונש כולל אחד בגין מכלול המעשים. וראו בעניין זה דבריו של בית המשפט</w:t>
      </w:r>
      <w:r w:rsidRPr="00125F3A">
        <w:rPr>
          <w:rFonts w:hint="cs"/>
          <w:rtl/>
        </w:rPr>
        <w:t xml:space="preserve"> המחוזי </w:t>
      </w:r>
      <w:r w:rsidRPr="00125F3A">
        <w:rPr>
          <w:rFonts w:eastAsia="Times New Roman" w:hint="cs"/>
          <w:u w:val="single"/>
          <w:rtl/>
        </w:rPr>
        <w:t>ב</w:t>
      </w:r>
      <w:hyperlink r:id="rId32" w:history="1">
        <w:r w:rsidR="00E15B85" w:rsidRPr="00E15B85">
          <w:rPr>
            <w:rFonts w:eastAsia="Times New Roman" w:hint="eastAsia"/>
            <w:color w:val="0000FF"/>
            <w:u w:val="single"/>
            <w:rtl/>
          </w:rPr>
          <w:t>ת</w:t>
        </w:r>
        <w:r w:rsidR="00E15B85" w:rsidRPr="00E15B85">
          <w:rPr>
            <w:rFonts w:eastAsia="Times New Roman"/>
            <w:color w:val="0000FF"/>
            <w:u w:val="single"/>
            <w:rtl/>
          </w:rPr>
          <w:t>"</w:t>
        </w:r>
        <w:r w:rsidR="00E15B85" w:rsidRPr="00E15B85">
          <w:rPr>
            <w:rFonts w:eastAsia="Times New Roman" w:hint="eastAsia"/>
            <w:color w:val="0000FF"/>
            <w:u w:val="single"/>
            <w:rtl/>
          </w:rPr>
          <w:t>פ</w:t>
        </w:r>
        <w:r w:rsidR="00E15B85" w:rsidRPr="00E15B85">
          <w:rPr>
            <w:rFonts w:eastAsia="Times New Roman"/>
            <w:color w:val="0000FF"/>
            <w:u w:val="single"/>
            <w:rtl/>
          </w:rPr>
          <w:t xml:space="preserve"> (</w:t>
        </w:r>
        <w:r w:rsidR="00E15B85" w:rsidRPr="00E15B85">
          <w:rPr>
            <w:rFonts w:eastAsia="Times New Roman" w:hint="eastAsia"/>
            <w:color w:val="0000FF"/>
            <w:u w:val="single"/>
            <w:rtl/>
          </w:rPr>
          <w:t>מחוזי</w:t>
        </w:r>
        <w:r w:rsidR="00E15B85" w:rsidRPr="00E15B85">
          <w:rPr>
            <w:rFonts w:eastAsia="Times New Roman"/>
            <w:color w:val="0000FF"/>
            <w:u w:val="single"/>
            <w:rtl/>
          </w:rPr>
          <w:t xml:space="preserve"> </w:t>
        </w:r>
        <w:r w:rsidR="00E15B85" w:rsidRPr="00E15B85">
          <w:rPr>
            <w:rFonts w:eastAsia="Times New Roman" w:hint="eastAsia"/>
            <w:color w:val="0000FF"/>
            <w:u w:val="single"/>
            <w:rtl/>
          </w:rPr>
          <w:t>חיפה</w:t>
        </w:r>
        <w:r w:rsidR="00E15B85" w:rsidRPr="00E15B85">
          <w:rPr>
            <w:rFonts w:eastAsia="Times New Roman"/>
            <w:color w:val="0000FF"/>
            <w:u w:val="single"/>
            <w:rtl/>
          </w:rPr>
          <w:t>) 1108-05-15</w:t>
        </w:r>
      </w:hyperlink>
      <w:r w:rsidRPr="00125F3A">
        <w:rPr>
          <w:rFonts w:eastAsia="Times New Roman" w:hint="cs"/>
          <w:rtl/>
        </w:rPr>
        <w:t xml:space="preserve"> </w:t>
      </w:r>
      <w:r w:rsidRPr="00125F3A">
        <w:rPr>
          <w:rFonts w:eastAsia="Times New Roman" w:hint="cs"/>
          <w:b/>
          <w:bCs/>
          <w:rtl/>
        </w:rPr>
        <w:t>מדינת ישראל נ' שמואל בן יאיר</w:t>
      </w:r>
      <w:r w:rsidRPr="00125F3A">
        <w:rPr>
          <w:rFonts w:eastAsia="Times New Roman" w:hint="cs"/>
          <w:rtl/>
        </w:rPr>
        <w:t>, (08.12.2015)</w:t>
      </w:r>
      <w:r w:rsidRPr="00125F3A">
        <w:rPr>
          <w:rFonts w:hint="cs"/>
          <w:rtl/>
        </w:rPr>
        <w:t>:</w:t>
      </w:r>
    </w:p>
    <w:p w14:paraId="6DCA09BA" w14:textId="77777777" w:rsidR="009205B0" w:rsidRPr="00125F3A" w:rsidRDefault="009205B0" w:rsidP="009205B0">
      <w:pPr>
        <w:pStyle w:val="ListParagraph"/>
        <w:ind w:left="-58" w:firstLine="0"/>
        <w:rPr>
          <w:rtl/>
        </w:rPr>
      </w:pPr>
      <w:r w:rsidRPr="00125F3A">
        <w:rPr>
          <w:rFonts w:hint="cs"/>
          <w:rtl/>
        </w:rPr>
        <w:t>"</w:t>
      </w:r>
      <w:r w:rsidRPr="00125F3A">
        <w:rPr>
          <w:rFonts w:eastAsia="Times New Roman" w:hint="cs"/>
          <w:b/>
          <w:bCs/>
          <w:rtl/>
        </w:rPr>
        <w:t>לגישתי, בעסקאות של סחר בסמים, כאשר לא קיים תכנון מוקדם מראש של סדרת העסקאות, כשהפרשי הזמן בהם הן נעשו משתרעים על מספר שבועות בין האחת לשנייה, וכאשר נדרשה בכל פעם היערכות חדשה, "הזמנה" חדשה של הסם, תכנון אחר ושונה של מקום המפגש – אין לראות בכל העסקאות יחד, בדיעבד, כ"אירוע" אחד לפי סעיף 40יג(א) ל</w:t>
      </w:r>
      <w:hyperlink r:id="rId33" w:history="1">
        <w:r w:rsidR="00E15B85" w:rsidRPr="00E15B85">
          <w:rPr>
            <w:rFonts w:eastAsia="Times New Roman" w:hint="eastAsia"/>
            <w:b/>
            <w:bCs/>
            <w:color w:val="0000FF"/>
            <w:u w:val="single"/>
            <w:rtl/>
          </w:rPr>
          <w:t>חוק</w:t>
        </w:r>
        <w:r w:rsidR="00E15B85" w:rsidRPr="00E15B85">
          <w:rPr>
            <w:rFonts w:eastAsia="Times New Roman"/>
            <w:b/>
            <w:bCs/>
            <w:color w:val="0000FF"/>
            <w:u w:val="single"/>
            <w:rtl/>
          </w:rPr>
          <w:t xml:space="preserve"> </w:t>
        </w:r>
        <w:r w:rsidR="00E15B85" w:rsidRPr="00E15B85">
          <w:rPr>
            <w:rFonts w:eastAsia="Times New Roman" w:hint="eastAsia"/>
            <w:b/>
            <w:bCs/>
            <w:color w:val="0000FF"/>
            <w:u w:val="single"/>
            <w:rtl/>
          </w:rPr>
          <w:t>העונשין</w:t>
        </w:r>
      </w:hyperlink>
      <w:r w:rsidRPr="00125F3A">
        <w:rPr>
          <w:rFonts w:hint="cs"/>
          <w:rtl/>
        </w:rPr>
        <w:t>".</w:t>
      </w:r>
    </w:p>
    <w:p w14:paraId="7AE4115D" w14:textId="77777777" w:rsidR="009205B0" w:rsidRPr="00125F3A" w:rsidRDefault="009205B0" w:rsidP="009205B0">
      <w:pPr>
        <w:pStyle w:val="ListParagraph"/>
        <w:ind w:left="-58" w:firstLine="0"/>
        <w:rPr>
          <w:rtl/>
        </w:rPr>
      </w:pPr>
      <w:r w:rsidRPr="00125F3A">
        <w:rPr>
          <w:rFonts w:hint="cs"/>
          <w:rtl/>
        </w:rPr>
        <w:t xml:space="preserve">אמנם, דובר שם בהפרש של כמה שבועות בין עסקה לעסקה, אך ברי כי הרציונל העומד מאחורי הדברים יפה גם לענייננו (כן ראו והשוו דבריו של בית המשפט המחוזי </w:t>
      </w:r>
      <w:r w:rsidRPr="00125F3A">
        <w:rPr>
          <w:rFonts w:hint="cs"/>
          <w:u w:val="single"/>
          <w:rtl/>
        </w:rPr>
        <w:t>ב</w:t>
      </w:r>
      <w:hyperlink r:id="rId34" w:history="1">
        <w:r w:rsidR="00E15B85" w:rsidRPr="00E15B85">
          <w:rPr>
            <w:rFonts w:eastAsia="Times New Roman" w:hint="eastAsia"/>
            <w:color w:val="0000FF"/>
            <w:u w:val="single"/>
            <w:rtl/>
          </w:rPr>
          <w:t>עפ</w:t>
        </w:r>
        <w:r w:rsidR="00E15B85" w:rsidRPr="00E15B85">
          <w:rPr>
            <w:rFonts w:eastAsia="Times New Roman"/>
            <w:color w:val="0000FF"/>
            <w:u w:val="single"/>
            <w:rtl/>
          </w:rPr>
          <w:t>"</w:t>
        </w:r>
        <w:r w:rsidR="00E15B85" w:rsidRPr="00E15B85">
          <w:rPr>
            <w:rFonts w:eastAsia="Times New Roman" w:hint="eastAsia"/>
            <w:color w:val="0000FF"/>
            <w:u w:val="single"/>
            <w:rtl/>
          </w:rPr>
          <w:t>ג</w:t>
        </w:r>
        <w:r w:rsidR="00E15B85" w:rsidRPr="00E15B85">
          <w:rPr>
            <w:rFonts w:eastAsia="Times New Roman"/>
            <w:color w:val="0000FF"/>
            <w:u w:val="single"/>
            <w:rtl/>
          </w:rPr>
          <w:t xml:space="preserve"> (</w:t>
        </w:r>
        <w:r w:rsidR="00E15B85" w:rsidRPr="00E15B85">
          <w:rPr>
            <w:rFonts w:eastAsia="Times New Roman" w:hint="eastAsia"/>
            <w:color w:val="0000FF"/>
            <w:u w:val="single"/>
            <w:rtl/>
          </w:rPr>
          <w:t>מחוזי</w:t>
        </w:r>
        <w:r w:rsidR="00E15B85" w:rsidRPr="00E15B85">
          <w:rPr>
            <w:rFonts w:eastAsia="Times New Roman"/>
            <w:color w:val="0000FF"/>
            <w:u w:val="single"/>
            <w:rtl/>
          </w:rPr>
          <w:t xml:space="preserve"> </w:t>
        </w:r>
        <w:r w:rsidR="00E15B85" w:rsidRPr="00E15B85">
          <w:rPr>
            <w:rFonts w:eastAsia="Times New Roman" w:hint="eastAsia"/>
            <w:color w:val="0000FF"/>
            <w:u w:val="single"/>
            <w:rtl/>
          </w:rPr>
          <w:t>באר</w:t>
        </w:r>
        <w:r w:rsidR="00E15B85" w:rsidRPr="00E15B85">
          <w:rPr>
            <w:rFonts w:eastAsia="Times New Roman"/>
            <w:color w:val="0000FF"/>
            <w:u w:val="single"/>
            <w:rtl/>
          </w:rPr>
          <w:t xml:space="preserve"> </w:t>
        </w:r>
        <w:r w:rsidR="00E15B85" w:rsidRPr="00E15B85">
          <w:rPr>
            <w:rFonts w:eastAsia="Times New Roman" w:hint="eastAsia"/>
            <w:color w:val="0000FF"/>
            <w:u w:val="single"/>
            <w:rtl/>
          </w:rPr>
          <w:t>שבע</w:t>
        </w:r>
        <w:r w:rsidR="00E15B85" w:rsidRPr="00E15B85">
          <w:rPr>
            <w:rFonts w:eastAsia="Times New Roman"/>
            <w:color w:val="0000FF"/>
            <w:u w:val="single"/>
            <w:rtl/>
          </w:rPr>
          <w:t>) 31724-10-13</w:t>
        </w:r>
      </w:hyperlink>
      <w:r w:rsidRPr="00125F3A">
        <w:rPr>
          <w:rFonts w:eastAsia="Times New Roman" w:hint="cs"/>
          <w:u w:val="single"/>
          <w:rtl/>
        </w:rPr>
        <w:t>‏ ‏</w:t>
      </w:r>
      <w:r w:rsidRPr="00125F3A">
        <w:rPr>
          <w:rFonts w:eastAsia="Times New Roman" w:hint="cs"/>
          <w:b/>
          <w:bCs/>
          <w:rtl/>
        </w:rPr>
        <w:t>ליאור מלכם נ' מדינת ישראל</w:t>
      </w:r>
      <w:r w:rsidRPr="00125F3A">
        <w:rPr>
          <w:rFonts w:eastAsia="Times New Roman" w:hint="cs"/>
          <w:rtl/>
        </w:rPr>
        <w:t>, (08.01.2014)</w:t>
      </w:r>
      <w:r w:rsidRPr="00125F3A">
        <w:rPr>
          <w:rFonts w:hint="cs"/>
          <w:rtl/>
        </w:rPr>
        <w:t>). לנוכח הפרמטרים שנמנו לעיל, מסקנתי לפיה יש לקבוע מתחם עונש נפרד אף מתחזקת ככל שעסקינן באישום השלישי, שם מיוחסת לנאשמת עבירה של החזקת סם לצריכה עצמית.</w:t>
      </w:r>
    </w:p>
    <w:p w14:paraId="1A7B1319" w14:textId="77777777" w:rsidR="009205B0" w:rsidRPr="00125F3A" w:rsidRDefault="009205B0" w:rsidP="009205B0">
      <w:pPr>
        <w:pStyle w:val="ListParagraph"/>
        <w:numPr>
          <w:ilvl w:val="0"/>
          <w:numId w:val="2"/>
        </w:numPr>
        <w:ind w:left="-58"/>
        <w:rPr>
          <w:rtl/>
        </w:rPr>
      </w:pPr>
      <w:r w:rsidRPr="00125F3A">
        <w:rPr>
          <w:rFonts w:hint="cs"/>
          <w:rtl/>
        </w:rPr>
        <w:t xml:space="preserve">לצד האמור, אציין כבר עתה כי לנוכח הזיקה החזקה בין העבירות והאישומים השונים, ובשים לב להוראות סעיפים </w:t>
      </w:r>
      <w:hyperlink r:id="rId35" w:history="1">
        <w:r w:rsidR="00B757FD" w:rsidRPr="00B757FD">
          <w:rPr>
            <w:color w:val="0000FF"/>
            <w:u w:val="single"/>
            <w:rtl/>
          </w:rPr>
          <w:t>40</w:t>
        </w:r>
        <w:r w:rsidR="00B757FD" w:rsidRPr="00B757FD">
          <w:rPr>
            <w:rFonts w:hint="cs"/>
            <w:color w:val="0000FF"/>
            <w:u w:val="single"/>
            <w:rtl/>
          </w:rPr>
          <w:t>יג</w:t>
        </w:r>
        <w:r w:rsidR="00B757FD" w:rsidRPr="00B757FD">
          <w:rPr>
            <w:color w:val="0000FF"/>
            <w:u w:val="single"/>
            <w:rtl/>
          </w:rPr>
          <w:t>(</w:t>
        </w:r>
        <w:r w:rsidR="00B757FD" w:rsidRPr="00B757FD">
          <w:rPr>
            <w:rFonts w:hint="cs"/>
            <w:color w:val="0000FF"/>
            <w:u w:val="single"/>
            <w:rtl/>
          </w:rPr>
          <w:t>ב</w:t>
        </w:r>
        <w:r w:rsidR="00B757FD" w:rsidRPr="00B757FD">
          <w:rPr>
            <w:color w:val="0000FF"/>
            <w:u w:val="single"/>
            <w:rtl/>
          </w:rPr>
          <w:t xml:space="preserve">) </w:t>
        </w:r>
        <w:r w:rsidR="00B757FD" w:rsidRPr="00B757FD">
          <w:rPr>
            <w:rFonts w:hint="cs"/>
            <w:color w:val="0000FF"/>
            <w:u w:val="single"/>
            <w:rtl/>
          </w:rPr>
          <w:t>ו</w:t>
        </w:r>
        <w:r w:rsidR="00B757FD" w:rsidRPr="00B757FD">
          <w:rPr>
            <w:color w:val="0000FF"/>
            <w:u w:val="single"/>
            <w:rtl/>
          </w:rPr>
          <w:t>- (</w:t>
        </w:r>
        <w:r w:rsidR="00B757FD" w:rsidRPr="00B757FD">
          <w:rPr>
            <w:rFonts w:hint="cs"/>
            <w:color w:val="0000FF"/>
            <w:u w:val="single"/>
            <w:rtl/>
          </w:rPr>
          <w:t>ג</w:t>
        </w:r>
        <w:r w:rsidR="00B757FD" w:rsidRPr="00B757FD">
          <w:rPr>
            <w:color w:val="0000FF"/>
            <w:u w:val="single"/>
            <w:rtl/>
          </w:rPr>
          <w:t>),</w:t>
        </w:r>
      </w:hyperlink>
      <w:r w:rsidRPr="00125F3A">
        <w:rPr>
          <w:rFonts w:hint="cs"/>
          <w:rtl/>
        </w:rPr>
        <w:t xml:space="preserve"> מצאתי לקבוע עונש כולל אחד לשלושת האירועים, ובכך גם יישמר יחס הולם בין חומרת מכלול מעשיה של הנאשמת לבין העונש שייגזר עליה בסופו של יום.</w:t>
      </w:r>
    </w:p>
    <w:p w14:paraId="7E9878B9" w14:textId="77777777" w:rsidR="009205B0" w:rsidRPr="00125F3A" w:rsidRDefault="009205B0" w:rsidP="009205B0">
      <w:pPr>
        <w:pStyle w:val="ListParagraph"/>
        <w:numPr>
          <w:ilvl w:val="0"/>
          <w:numId w:val="2"/>
        </w:numPr>
        <w:ind w:left="-58"/>
      </w:pPr>
      <w:r w:rsidRPr="00125F3A">
        <w:rPr>
          <w:rFonts w:hint="cs"/>
          <w:rtl/>
        </w:rPr>
        <w:t>לאור האמור, בהתאם למתווה שקבע המחוקק בתיקון 113 ל</w:t>
      </w:r>
      <w:hyperlink r:id="rId36" w:history="1">
        <w:r w:rsidR="00E15B85" w:rsidRPr="00E15B85">
          <w:rPr>
            <w:rFonts w:hint="cs"/>
            <w:color w:val="0000FF"/>
            <w:u w:val="single"/>
            <w:rtl/>
          </w:rPr>
          <w:t>חוק</w:t>
        </w:r>
        <w:r w:rsidR="00E15B85" w:rsidRPr="00E15B85">
          <w:rPr>
            <w:color w:val="0000FF"/>
            <w:u w:val="single"/>
            <w:rtl/>
          </w:rPr>
          <w:t xml:space="preserve"> </w:t>
        </w:r>
        <w:r w:rsidR="00E15B85" w:rsidRPr="00E15B85">
          <w:rPr>
            <w:rFonts w:hint="cs"/>
            <w:color w:val="0000FF"/>
            <w:u w:val="single"/>
            <w:rtl/>
          </w:rPr>
          <w:t>העונשין</w:t>
        </w:r>
      </w:hyperlink>
      <w:r w:rsidRPr="00125F3A">
        <w:rPr>
          <w:rFonts w:hint="cs"/>
          <w:rtl/>
        </w:rPr>
        <w:t xml:space="preserve">, התשל"ז-1977 (להלן: </w:t>
      </w:r>
      <w:r w:rsidRPr="00125F3A">
        <w:rPr>
          <w:rFonts w:hint="cs"/>
          <w:b/>
          <w:bCs/>
          <w:rtl/>
        </w:rPr>
        <w:t>"חוק העונשין"</w:t>
      </w:r>
      <w:r w:rsidRPr="00125F3A">
        <w:rPr>
          <w:rFonts w:hint="cs"/>
          <w:rtl/>
        </w:rPr>
        <w:t xml:space="preserve">), ופורש לאחר מכן בפסיקתו של בית המשפט העליון, בשלב הראשון יקבע בית המשפט את מתחם העונש ההולם בגין כל אירוע; ולאחר מכן יגזור את העונש המתאים לנאשמת, תוך בחינה אם יש מקום לסטות מהמתחמים שנקבעו או שמא יש לקבוע את העונש בגדרם (אודות המתווה לגזירת העונש, ראו למשל: </w:t>
      </w:r>
      <w:hyperlink r:id="rId37" w:history="1">
        <w:r w:rsidR="00E15B85" w:rsidRPr="00E15B85">
          <w:rPr>
            <w:rFonts w:hint="cs"/>
            <w:color w:val="0000FF"/>
            <w:u w:val="single"/>
            <w:rtl/>
          </w:rPr>
          <w:t>ע</w:t>
        </w:r>
        <w:r w:rsidR="00E15B85" w:rsidRPr="00E15B85">
          <w:rPr>
            <w:color w:val="0000FF"/>
            <w:u w:val="single"/>
            <w:rtl/>
          </w:rPr>
          <w:t>"</w:t>
        </w:r>
        <w:r w:rsidR="00E15B85" w:rsidRPr="00E15B85">
          <w:rPr>
            <w:rFonts w:hint="cs"/>
            <w:color w:val="0000FF"/>
            <w:u w:val="single"/>
            <w:rtl/>
          </w:rPr>
          <w:t>פ</w:t>
        </w:r>
        <w:r w:rsidR="00E15B85" w:rsidRPr="00E15B85">
          <w:rPr>
            <w:color w:val="0000FF"/>
            <w:u w:val="single"/>
            <w:rtl/>
          </w:rPr>
          <w:t xml:space="preserve"> 8641/12</w:t>
        </w:r>
      </w:hyperlink>
      <w:r w:rsidRPr="00125F3A">
        <w:rPr>
          <w:rFonts w:hint="cs"/>
          <w:rtl/>
        </w:rPr>
        <w:t xml:space="preserve"> </w:t>
      </w:r>
      <w:r w:rsidRPr="00125F3A">
        <w:rPr>
          <w:rFonts w:hint="cs"/>
          <w:b/>
          <w:bCs/>
          <w:rtl/>
        </w:rPr>
        <w:t>מוחמד סעד נ' מדינת ישראל</w:t>
      </w:r>
      <w:r w:rsidRPr="00125F3A">
        <w:rPr>
          <w:rFonts w:hint="cs"/>
          <w:rtl/>
        </w:rPr>
        <w:t>, (05.08.2013))</w:t>
      </w:r>
    </w:p>
    <w:p w14:paraId="3A5C5ED2" w14:textId="77777777" w:rsidR="009205B0" w:rsidRPr="00125F3A" w:rsidRDefault="009205B0" w:rsidP="009205B0">
      <w:pPr>
        <w:pStyle w:val="1"/>
        <w:numPr>
          <w:ilvl w:val="0"/>
          <w:numId w:val="4"/>
        </w:numPr>
        <w:spacing w:after="160" w:line="360" w:lineRule="auto"/>
        <w:ind w:left="360"/>
        <w:jc w:val="both"/>
        <w:rPr>
          <w:rFonts w:cs="David"/>
          <w:b/>
          <w:bCs/>
          <w:color w:val="auto"/>
          <w:sz w:val="28"/>
          <w:szCs w:val="28"/>
        </w:rPr>
      </w:pPr>
      <w:r w:rsidRPr="00125F3A">
        <w:rPr>
          <w:rFonts w:cs="David" w:hint="cs"/>
          <w:b/>
          <w:bCs/>
          <w:color w:val="auto"/>
          <w:sz w:val="28"/>
          <w:szCs w:val="28"/>
          <w:rtl/>
        </w:rPr>
        <w:t>קביעת מתחם העונש ההולם</w:t>
      </w:r>
    </w:p>
    <w:p w14:paraId="04AE83D2" w14:textId="77777777" w:rsidR="009205B0" w:rsidRPr="00125F3A" w:rsidRDefault="009205B0" w:rsidP="009205B0">
      <w:pPr>
        <w:pStyle w:val="ListParagraph"/>
        <w:numPr>
          <w:ilvl w:val="0"/>
          <w:numId w:val="2"/>
        </w:numPr>
        <w:ind w:left="-58"/>
        <w:rPr>
          <w:rtl/>
        </w:rPr>
      </w:pPr>
      <w:r w:rsidRPr="00125F3A">
        <w:rPr>
          <w:rFonts w:hint="cs"/>
          <w:rtl/>
        </w:rPr>
        <w:t xml:space="preserve">כאמור </w:t>
      </w:r>
      <w:hyperlink r:id="rId38" w:history="1">
        <w:r w:rsidR="00B757FD" w:rsidRPr="00B757FD">
          <w:rPr>
            <w:rFonts w:hint="cs"/>
            <w:color w:val="0000FF"/>
            <w:u w:val="single"/>
            <w:rtl/>
          </w:rPr>
          <w:t>בסעיף</w:t>
        </w:r>
        <w:r w:rsidR="00B757FD" w:rsidRPr="00B757FD">
          <w:rPr>
            <w:color w:val="0000FF"/>
            <w:u w:val="single"/>
            <w:rtl/>
          </w:rPr>
          <w:t xml:space="preserve"> 40</w:t>
        </w:r>
        <w:r w:rsidR="00B757FD" w:rsidRPr="00B757FD">
          <w:rPr>
            <w:rFonts w:hint="cs"/>
            <w:color w:val="0000FF"/>
            <w:u w:val="single"/>
            <w:rtl/>
          </w:rPr>
          <w:t>ג</w:t>
        </w:r>
        <w:r w:rsidR="00B757FD" w:rsidRPr="00B757FD">
          <w:rPr>
            <w:color w:val="0000FF"/>
            <w:u w:val="single"/>
            <w:rtl/>
          </w:rPr>
          <w:t>(</w:t>
        </w:r>
        <w:r w:rsidR="00B757FD" w:rsidRPr="00B757FD">
          <w:rPr>
            <w:rFonts w:hint="cs"/>
            <w:color w:val="0000FF"/>
            <w:u w:val="single"/>
            <w:rtl/>
          </w:rPr>
          <w:t>א</w:t>
        </w:r>
        <w:r w:rsidR="00B757FD" w:rsidRPr="00B757FD">
          <w:rPr>
            <w:color w:val="0000FF"/>
            <w:u w:val="single"/>
            <w:rtl/>
          </w:rPr>
          <w:t>)</w:t>
        </w:r>
      </w:hyperlink>
      <w:r w:rsidRPr="00125F3A">
        <w:rPr>
          <w:rFonts w:hint="cs"/>
          <w:rtl/>
        </w:rPr>
        <w:t xml:space="preserve"> ל</w:t>
      </w:r>
      <w:hyperlink r:id="rId39" w:history="1">
        <w:r w:rsidR="00E15B85" w:rsidRPr="00E15B85">
          <w:rPr>
            <w:rFonts w:hint="cs"/>
            <w:color w:val="0000FF"/>
            <w:u w:val="single"/>
            <w:rtl/>
          </w:rPr>
          <w:t>חוק</w:t>
        </w:r>
        <w:r w:rsidR="00E15B85" w:rsidRPr="00E15B85">
          <w:rPr>
            <w:color w:val="0000FF"/>
            <w:u w:val="single"/>
            <w:rtl/>
          </w:rPr>
          <w:t xml:space="preserve"> </w:t>
        </w:r>
        <w:r w:rsidR="00E15B85" w:rsidRPr="00E15B85">
          <w:rPr>
            <w:rFonts w:hint="cs"/>
            <w:color w:val="0000FF"/>
            <w:u w:val="single"/>
            <w:rtl/>
          </w:rPr>
          <w:t>העונשין</w:t>
        </w:r>
      </w:hyperlink>
      <w:r w:rsidRPr="00125F3A">
        <w:rPr>
          <w:rFonts w:hint="cs"/>
          <w:rtl/>
        </w:rPr>
        <w:t>, קביעת מתחמי הענישה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3603C77C" w14:textId="77777777" w:rsidR="009205B0" w:rsidRPr="00125F3A" w:rsidRDefault="009205B0" w:rsidP="009205B0">
      <w:pPr>
        <w:pStyle w:val="ListParagraph"/>
        <w:numPr>
          <w:ilvl w:val="0"/>
          <w:numId w:val="2"/>
        </w:numPr>
        <w:ind w:left="-58"/>
      </w:pPr>
      <w:r w:rsidRPr="00125F3A">
        <w:rPr>
          <w:rFonts w:ascii="Times New Roman" w:eastAsia="Times New Roman" w:hAnsi="Times New Roman" w:hint="cs"/>
          <w:rtl/>
        </w:rPr>
        <w:t xml:space="preserve">אשר </w:t>
      </w:r>
      <w:r w:rsidRPr="00125F3A">
        <w:rPr>
          <w:rFonts w:ascii="Times New Roman" w:eastAsia="Times New Roman" w:hAnsi="Times New Roman" w:hint="cs"/>
          <w:b/>
          <w:bCs/>
          <w:rtl/>
        </w:rPr>
        <w:t>לערכים החברתיים המוגנים</w:t>
      </w:r>
      <w:r w:rsidRPr="00125F3A">
        <w:rPr>
          <w:rFonts w:ascii="Times New Roman" w:eastAsia="Times New Roman" w:hAnsi="Times New Roman" w:hint="cs"/>
          <w:rtl/>
        </w:rPr>
        <w:t xml:space="preserve"> אשר נפגעו כתוצאה ממעשיה של הנאשמת, נדמה כי אין צורך להכביר מילים אודות החומרה הרבה הכרוכה בעבירות הסמים בכלל, ובעבירות הסחר בפרט. </w:t>
      </w:r>
      <w:hyperlink r:id="rId40" w:history="1">
        <w:r w:rsidR="00E15B85" w:rsidRPr="00E15B85">
          <w:rPr>
            <w:rFonts w:ascii="Times New Roman" w:eastAsia="Times New Roman" w:hAnsi="Times New Roman"/>
            <w:color w:val="0000FF"/>
            <w:u w:val="single"/>
            <w:rtl/>
          </w:rPr>
          <w:t>פקודת הסמים המסוכנים</w:t>
        </w:r>
      </w:hyperlink>
      <w:r w:rsidRPr="00125F3A">
        <w:rPr>
          <w:rFonts w:ascii="Times New Roman" w:eastAsia="Times New Roman" w:hAnsi="Times New Roman" w:hint="cs"/>
          <w:rtl/>
        </w:rPr>
        <w:t xml:space="preserve"> נחקקה על מנת להגן על ערכים חברתיים מרכזיים ובראשם החובה להגן על שלומו של הציבור, בריאותו, בטחונו האישי ועל רכושו</w:t>
      </w:r>
      <w:r w:rsidRPr="00125F3A">
        <w:rPr>
          <w:rFonts w:eastAsia="Times New Roman" w:hint="cs"/>
          <w:rtl/>
        </w:rPr>
        <w:t>. הסמים המופצים מעמידים בסכנה את בריאותם וביטחונם הן של המשתמש עצמו והן של הציבור בכללותו, וזאת משום שמעבר לנזקים הגופניים המשמעותיים העשויים להיגרם כתוצאה מהשימוש בסם, נגע ההתמכרות מביא בעקבותיו גם להרחבת מעגל הפשיעה, כאשר המכור לסם מתפתה לבצע עבירות נוספות כדי לממן לעצמו את מנת הסם הבאה.</w:t>
      </w:r>
      <w:r w:rsidRPr="00125F3A">
        <w:rPr>
          <w:rFonts w:hint="cs"/>
          <w:rtl/>
        </w:rPr>
        <w:t xml:space="preserve"> לאור אלה, אף נדמה כי לא בכדי מצא המחוקק לקבוע לצדה של עבירת הסחר בסם עונש מרבי חמור של 20 שנות מאסר.</w:t>
      </w:r>
    </w:p>
    <w:p w14:paraId="4A08C2BA" w14:textId="77777777" w:rsidR="009205B0" w:rsidRPr="00125F3A" w:rsidRDefault="009205B0" w:rsidP="009205B0">
      <w:pPr>
        <w:pStyle w:val="ListParagraph"/>
        <w:numPr>
          <w:ilvl w:val="0"/>
          <w:numId w:val="2"/>
        </w:numPr>
        <w:ind w:left="-58"/>
      </w:pPr>
      <w:r w:rsidRPr="00125F3A">
        <w:rPr>
          <w:rFonts w:hint="cs"/>
          <w:rtl/>
        </w:rPr>
        <w:t>לנוכח הנסיבות הקשורות בביצוע העבירות, כפי שיפורט להלן, ובייחוד בשים לב לסוג הסם שבו סחרה הנאשמת בשתי הזדמנויות שונות (והחזיקה בביתה בהזדמנות אחרת), משקלו, והתמורה שהתקבלה בעדו, מצאתי כי במקרה הנדון</w:t>
      </w:r>
      <w:r w:rsidRPr="00125F3A">
        <w:rPr>
          <w:rFonts w:hint="cs"/>
          <w:b/>
          <w:bCs/>
          <w:rtl/>
        </w:rPr>
        <w:t>, מידת הפגיעה</w:t>
      </w:r>
      <w:r w:rsidRPr="00125F3A">
        <w:rPr>
          <w:rFonts w:hint="cs"/>
          <w:rtl/>
        </w:rPr>
        <w:t xml:space="preserve"> בערכים המוגנים מצויה ברף בינוני.</w:t>
      </w:r>
    </w:p>
    <w:p w14:paraId="4D233BE0" w14:textId="77777777" w:rsidR="009205B0" w:rsidRPr="00125F3A" w:rsidRDefault="009205B0" w:rsidP="009205B0">
      <w:pPr>
        <w:pStyle w:val="ListParagraph"/>
        <w:numPr>
          <w:ilvl w:val="0"/>
          <w:numId w:val="2"/>
        </w:numPr>
        <w:ind w:left="-58"/>
      </w:pPr>
      <w:r w:rsidRPr="00125F3A">
        <w:rPr>
          <w:rFonts w:eastAsia="Times New Roman" w:hint="cs"/>
          <w:rtl/>
        </w:rPr>
        <w:t xml:space="preserve">בבחינת </w:t>
      </w:r>
      <w:r w:rsidRPr="00125F3A">
        <w:rPr>
          <w:rFonts w:eastAsia="Times New Roman" w:hint="cs"/>
          <w:b/>
          <w:bCs/>
          <w:rtl/>
        </w:rPr>
        <w:t>הנסיבות הקשורות בביצוע העבירות</w:t>
      </w:r>
      <w:r w:rsidRPr="00125F3A">
        <w:rPr>
          <w:rFonts w:eastAsia="Times New Roman" w:hint="cs"/>
          <w:rtl/>
        </w:rPr>
        <w:t xml:space="preserve">, נתתי דעתי לסוג הסם שבו סחרה הנאשמת בשתי ההזדמנויות, והחזיקה בביתה בהזדמנות אחרת. המדובר בסמים מסוג </w:t>
      </w:r>
      <w:r w:rsidRPr="00125F3A">
        <w:rPr>
          <w:rFonts w:eastAsia="Times New Roman"/>
        </w:rPr>
        <w:t>MDMA</w:t>
      </w:r>
      <w:r w:rsidRPr="00125F3A">
        <w:rPr>
          <w:rFonts w:eastAsia="Times New Roman" w:hint="cs"/>
          <w:rtl/>
        </w:rPr>
        <w:t xml:space="preserve"> ו- </w:t>
      </w:r>
      <w:r w:rsidRPr="00125F3A">
        <w:rPr>
          <w:rFonts w:eastAsia="Times New Roman"/>
        </w:rPr>
        <w:t>LSD</w:t>
      </w:r>
      <w:r w:rsidRPr="00125F3A">
        <w:rPr>
          <w:rFonts w:eastAsia="Times New Roman" w:hint="cs"/>
          <w:rtl/>
        </w:rPr>
        <w:t xml:space="preserve">, אשר מצד אחד, אין לזהותם עם הסמים ה"קלים" כגון מריחואנה או חשיש; ומצד שני, לא הוכרו כסמים "קשים", כמו הקוקאין או ההרואין. </w:t>
      </w:r>
      <w:r w:rsidRPr="00125F3A">
        <w:rPr>
          <w:rFonts w:hint="cs"/>
          <w:rtl/>
        </w:rPr>
        <w:t>כאן גם אציין, כי לא מצאתי לקבל את עמדת המאשימה, לפיה לסוג הסם הנסחר אין נפקות לעניין העונש. שכן, לא הרי סחר במריחואנה, הנמנית עם הסמים "הקלים", כהרי סחר בהרואין, ש</w:t>
      </w:r>
      <w:r w:rsidRPr="00125F3A">
        <w:rPr>
          <w:rFonts w:eastAsia="Times New Roman" w:hint="cs"/>
          <w:rtl/>
        </w:rPr>
        <w:t>שנים רבות של מחקרים מדעיים שנעשו בתחום לימדו אותנו כי הנזקים שסם זה מביא עמו קשים מהנזקים הנגרמים עקב השימוש בסמים ה"קלים".</w:t>
      </w:r>
      <w:r w:rsidRPr="00125F3A">
        <w:rPr>
          <w:rFonts w:hint="cs"/>
          <w:rtl/>
        </w:rPr>
        <w:t xml:space="preserve"> </w:t>
      </w:r>
      <w:r w:rsidRPr="00125F3A">
        <w:rPr>
          <w:rFonts w:eastAsia="Times New Roman" w:hint="cs"/>
          <w:rtl/>
        </w:rPr>
        <w:t xml:space="preserve">כן נתתי דעתי, לעובדה כי בשתי ההזדמנויות הנאשמת מכרה לסוכן </w:t>
      </w:r>
      <w:r w:rsidRPr="00125F3A">
        <w:t>MDMA</w:t>
      </w:r>
      <w:r w:rsidRPr="00125F3A">
        <w:rPr>
          <w:rFonts w:hint="cs"/>
          <w:rtl/>
        </w:rPr>
        <w:t xml:space="preserve"> במשקל של 0.89 ו- 0.71 גרם נטו, וזאת בתמורה ל- 500 ₪ בכל פעם. המדובר בכמויות ובסכומים שאינם חריגים מבחינת גובהם, אולם גם לא ניתן לומר שהמדובר במשקל ובתמורה של מה בכך. דברים דומים צריכים להיאמר גם בכל הנוגע לכמות הסם שהחזיקה הנאשמת בביתה – 7 בולים של </w:t>
      </w:r>
      <w:r w:rsidRPr="00125F3A">
        <w:t>LSD</w:t>
      </w:r>
      <w:r w:rsidRPr="00125F3A">
        <w:rPr>
          <w:rFonts w:hint="cs"/>
          <w:rtl/>
        </w:rPr>
        <w:t xml:space="preserve">. </w:t>
      </w:r>
      <w:r w:rsidRPr="00125F3A">
        <w:rPr>
          <w:rFonts w:eastAsia="Times New Roman" w:hint="cs"/>
          <w:rtl/>
        </w:rPr>
        <w:t>המדובר בכמות שהיא למעלה מכפולה מזו</w:t>
      </w:r>
      <w:r w:rsidRPr="00125F3A">
        <w:rPr>
          <w:rFonts w:hint="cs"/>
          <w:rtl/>
        </w:rPr>
        <w:t xml:space="preserve"> שנקבעה בפקודה כ"חזקת ההחזקה לצריכה העצמית", אולם עדיין אין המדובר בכמות גדולה באופן ניכר או בכמות סיטונאית שנועדה לצורך שימושם של מספר גדול של בני אדם (אף יש לזכור, כי הנאשמת לא הואשמה בעבירה של החזקת סם שלא לצריכה עצמית).</w:t>
      </w:r>
    </w:p>
    <w:p w14:paraId="5BBCE634" w14:textId="77777777" w:rsidR="009205B0" w:rsidRPr="00125F3A" w:rsidRDefault="009205B0" w:rsidP="009205B0">
      <w:pPr>
        <w:pStyle w:val="ListParagraph"/>
        <w:ind w:left="-58" w:firstLine="0"/>
      </w:pPr>
      <w:r w:rsidRPr="00125F3A">
        <w:rPr>
          <w:rFonts w:hint="cs"/>
          <w:rtl/>
        </w:rPr>
        <w:t>עוד במסגרת זו, נתתי דעתי לעובדה כי לעבירות הסחר קדם תכנון מוקדם מצדה של הנאשמת, ברמה כזו או אחרת.</w:t>
      </w:r>
      <w:r w:rsidRPr="00125F3A">
        <w:rPr>
          <w:rFonts w:eastAsia="Times New Roman" w:hint="cs"/>
          <w:rtl/>
        </w:rPr>
        <w:t xml:space="preserve"> אין המדובר במשתמש מכור לסמים אשר בספונטניות מנצל הזדמנות שבאה לפתחו ומוכר חלק ממנת הסם שלו, כדי לממן לעצמו את מנת הסם הבאה. במקרה הנדון, הסוכן התקשר אל הנאשמת בשתי הזדמנויות שונות, וביקש, באמצעות שימוש במילות קוד, לקנות סמים. בהמשך לשיחת הטלפון, נפגשו השניים במקומות שונים בכל פעם, ושם התבצעה העסקה. במעשים אלה, כאמור, יש כדי ללמד כי עבירות הסחר בוצעו שלא בצורה ספונטנית גרידא.</w:t>
      </w:r>
      <w:r w:rsidRPr="00125F3A">
        <w:rPr>
          <w:rFonts w:hint="cs"/>
          <w:rtl/>
        </w:rPr>
        <w:t xml:space="preserve"> גם לגבי השימוש של הסוכן באותם "קודים", כגון "משהו לשמח" ו"מים", ייאמר כי יש בכך כדי ללמד שהנאשמת </w:t>
      </w:r>
      <w:r w:rsidRPr="00125F3A">
        <w:rPr>
          <w:rFonts w:eastAsia="Times New Roman" w:hint="cs"/>
          <w:rtl/>
        </w:rPr>
        <w:t>בקיאה בסלנג העברייני של עולם המשתמשים בסמים, ונדמה כי עולם זה איננו זר לה כלל ועיקר. עוד ובהמשך לאמור, אף נתתי דעתי לעובדה כי בשתי ההזדמנויות, הנאשמת מכרה את הסם בחלוף פרק זמן קצר, שאינו עולה על שעה אחת, מרגע פנייתו של הסוכן אליה</w:t>
      </w:r>
      <w:r w:rsidRPr="00125F3A">
        <w:rPr>
          <w:rFonts w:hint="cs"/>
          <w:rtl/>
        </w:rPr>
        <w:t xml:space="preserve">, מה שמעיד אודות הנגישות הרבה שיש לה לסם המבוקש. </w:t>
      </w:r>
    </w:p>
    <w:p w14:paraId="78D82CF5" w14:textId="77777777" w:rsidR="009205B0" w:rsidRPr="00125F3A" w:rsidRDefault="009205B0" w:rsidP="009205B0">
      <w:pPr>
        <w:pStyle w:val="ListParagraph"/>
        <w:ind w:left="-58" w:firstLine="0"/>
        <w:rPr>
          <w:rtl/>
        </w:rPr>
      </w:pPr>
      <w:r w:rsidRPr="00125F3A">
        <w:rPr>
          <w:rFonts w:hint="cs"/>
          <w:rtl/>
        </w:rPr>
        <w:t>בכל הנוגע לסיבות שהביאו את הנאשמת לבצע את עבירת הסחר, הלה נטתה בשירות המבחן להשליך זאת על עצם היותה משתמשת בסמים בתקופה הרלוונטית ועל אורח החיים השולי שהיא ניהלה באותה עת. שירות המבחן עצמו, הסיק כי הנאשמת ביצעה את העבירות מתוך כוונה לשפר את מצבה הכלכלי. למעשה, בדברים אחרונים אלה יש כדי ללמד שהנאשמת</w:t>
      </w:r>
      <w:r w:rsidRPr="00125F3A">
        <w:rPr>
          <w:rFonts w:eastAsia="Times New Roman" w:hint="cs"/>
          <w:rtl/>
        </w:rPr>
        <w:t xml:space="preserve"> פעלה מתוך בצע כסף</w:t>
      </w:r>
      <w:r w:rsidRPr="00125F3A">
        <w:rPr>
          <w:rFonts w:hint="cs"/>
          <w:rtl/>
        </w:rPr>
        <w:t xml:space="preserve">, עת ביקשה לסחור בסמים </w:t>
      </w:r>
      <w:r w:rsidRPr="00125F3A">
        <w:rPr>
          <w:rFonts w:eastAsia="Times New Roman" w:hint="cs"/>
          <w:rtl/>
        </w:rPr>
        <w:t>מתוך מטרה להשגת רווח כספי מהיר וקל על</w:t>
      </w:r>
      <w:r w:rsidRPr="00125F3A">
        <w:rPr>
          <w:rFonts w:hint="cs"/>
          <w:rtl/>
        </w:rPr>
        <w:t xml:space="preserve"> גבם של המכורים לסם ועל חשבון ביטחונו של כלל הציבור. </w:t>
      </w:r>
    </w:p>
    <w:p w14:paraId="1841AB91" w14:textId="77777777" w:rsidR="009205B0" w:rsidRPr="00125F3A" w:rsidRDefault="009205B0" w:rsidP="009205B0">
      <w:pPr>
        <w:pStyle w:val="ListParagraph"/>
        <w:ind w:left="-58" w:firstLine="0"/>
        <w:rPr>
          <w:rtl/>
        </w:rPr>
      </w:pPr>
      <w:r w:rsidRPr="00125F3A">
        <w:rPr>
          <w:rFonts w:hint="cs"/>
          <w:rtl/>
        </w:rPr>
        <w:t>לצד האמור,</w:t>
      </w:r>
      <w:r w:rsidRPr="00125F3A">
        <w:rPr>
          <w:rFonts w:eastAsia="Times New Roman" w:hint="cs"/>
          <w:rtl/>
        </w:rPr>
        <w:t xml:space="preserve"> בכל הנוגע לעבירת הסחר, יש ליתן את הדעת לכך שהסוכן הוא שהתקשר אל הנאשמת והוא שביקש לקנות ממנה סמים. ברי כי אין בכך כדי לפטור את הנאשמת מאחריותה בפלילים (והדבר אף לא נטען), אך נדמה כי ניתן להעניק לכך משקל מסוים במסגרת </w:t>
      </w:r>
      <w:hyperlink r:id="rId41" w:history="1">
        <w:r w:rsidR="00B757FD" w:rsidRPr="00B757FD">
          <w:rPr>
            <w:rFonts w:eastAsia="Times New Roman" w:hint="eastAsia"/>
            <w:color w:val="0000FF"/>
            <w:u w:val="single"/>
            <w:rtl/>
          </w:rPr>
          <w:t>סעיפים</w:t>
        </w:r>
        <w:r w:rsidR="00B757FD" w:rsidRPr="00B757FD">
          <w:rPr>
            <w:rFonts w:eastAsia="Times New Roman"/>
            <w:color w:val="0000FF"/>
            <w:u w:val="single"/>
            <w:rtl/>
          </w:rPr>
          <w:t xml:space="preserve"> 40</w:t>
        </w:r>
        <w:r w:rsidR="00B757FD" w:rsidRPr="00B757FD">
          <w:rPr>
            <w:rFonts w:eastAsia="Times New Roman" w:hint="eastAsia"/>
            <w:color w:val="0000FF"/>
            <w:u w:val="single"/>
            <w:rtl/>
          </w:rPr>
          <w:t>ט</w:t>
        </w:r>
        <w:r w:rsidR="00B757FD" w:rsidRPr="00B757FD">
          <w:rPr>
            <w:rFonts w:eastAsia="Times New Roman"/>
            <w:color w:val="0000FF"/>
            <w:u w:val="single"/>
            <w:rtl/>
          </w:rPr>
          <w:t>(</w:t>
        </w:r>
        <w:r w:rsidR="00B757FD" w:rsidRPr="00B757FD">
          <w:rPr>
            <w:rFonts w:eastAsia="Times New Roman" w:hint="eastAsia"/>
            <w:color w:val="0000FF"/>
            <w:u w:val="single"/>
            <w:rtl/>
          </w:rPr>
          <w:t>א</w:t>
        </w:r>
        <w:r w:rsidR="00B757FD" w:rsidRPr="00B757FD">
          <w:rPr>
            <w:rFonts w:eastAsia="Times New Roman"/>
            <w:color w:val="0000FF"/>
            <w:u w:val="single"/>
            <w:rtl/>
          </w:rPr>
          <w:t>)(2)</w:t>
        </w:r>
      </w:hyperlink>
      <w:r w:rsidRPr="00125F3A">
        <w:rPr>
          <w:rFonts w:eastAsia="Times New Roman" w:hint="cs"/>
          <w:rtl/>
        </w:rPr>
        <w:t xml:space="preserve"> ו- </w:t>
      </w:r>
      <w:hyperlink r:id="rId42" w:history="1">
        <w:r w:rsidR="00B757FD" w:rsidRPr="00B757FD">
          <w:rPr>
            <w:rFonts w:eastAsia="Times New Roman"/>
            <w:color w:val="0000FF"/>
            <w:u w:val="single"/>
            <w:rtl/>
          </w:rPr>
          <w:t>40</w:t>
        </w:r>
        <w:r w:rsidR="00B757FD" w:rsidRPr="00B757FD">
          <w:rPr>
            <w:rFonts w:eastAsia="Times New Roman" w:hint="eastAsia"/>
            <w:color w:val="0000FF"/>
            <w:u w:val="single"/>
            <w:rtl/>
          </w:rPr>
          <w:t>ט</w:t>
        </w:r>
        <w:r w:rsidR="00B757FD" w:rsidRPr="00B757FD">
          <w:rPr>
            <w:rFonts w:eastAsia="Times New Roman"/>
            <w:color w:val="0000FF"/>
            <w:u w:val="single"/>
            <w:rtl/>
          </w:rPr>
          <w:t>(</w:t>
        </w:r>
        <w:r w:rsidR="00B757FD" w:rsidRPr="00B757FD">
          <w:rPr>
            <w:rFonts w:eastAsia="Times New Roman" w:hint="eastAsia"/>
            <w:color w:val="0000FF"/>
            <w:u w:val="single"/>
            <w:rtl/>
          </w:rPr>
          <w:t>א</w:t>
        </w:r>
        <w:r w:rsidR="00B757FD" w:rsidRPr="00B757FD">
          <w:rPr>
            <w:rFonts w:eastAsia="Times New Roman"/>
            <w:color w:val="0000FF"/>
            <w:u w:val="single"/>
            <w:rtl/>
          </w:rPr>
          <w:t>)(5)</w:t>
        </w:r>
      </w:hyperlink>
      <w:r w:rsidRPr="00125F3A">
        <w:rPr>
          <w:rFonts w:eastAsia="Times New Roman" w:hint="cs"/>
          <w:rtl/>
        </w:rPr>
        <w:t xml:space="preserve"> ל</w:t>
      </w:r>
      <w:hyperlink r:id="rId43" w:history="1">
        <w:r w:rsidR="00E15B85" w:rsidRPr="00E15B85">
          <w:rPr>
            <w:rFonts w:eastAsia="Times New Roman" w:hint="eastAsia"/>
            <w:color w:val="0000FF"/>
            <w:u w:val="single"/>
            <w:rtl/>
          </w:rPr>
          <w:t>חוק</w:t>
        </w:r>
        <w:r w:rsidR="00E15B85" w:rsidRPr="00E15B85">
          <w:rPr>
            <w:rFonts w:eastAsia="Times New Roman"/>
            <w:color w:val="0000FF"/>
            <w:u w:val="single"/>
            <w:rtl/>
          </w:rPr>
          <w:t xml:space="preserve"> </w:t>
        </w:r>
        <w:r w:rsidR="00E15B85" w:rsidRPr="00E15B85">
          <w:rPr>
            <w:rFonts w:eastAsia="Times New Roman" w:hint="eastAsia"/>
            <w:color w:val="0000FF"/>
            <w:u w:val="single"/>
            <w:rtl/>
          </w:rPr>
          <w:t>העונשין</w:t>
        </w:r>
      </w:hyperlink>
      <w:r w:rsidRPr="00125F3A">
        <w:rPr>
          <w:rFonts w:eastAsia="Times New Roman" w:hint="cs"/>
          <w:rtl/>
        </w:rPr>
        <w:t xml:space="preserve"> (וראו גם </w:t>
      </w:r>
      <w:hyperlink r:id="rId44" w:history="1">
        <w:r w:rsidR="00E15B85" w:rsidRPr="00E15B85">
          <w:rPr>
            <w:rFonts w:eastAsia="Times New Roman" w:hint="eastAsia"/>
            <w:color w:val="0000FF"/>
            <w:u w:val="single"/>
            <w:rtl/>
          </w:rPr>
          <w:t>ע</w:t>
        </w:r>
        <w:r w:rsidR="00E15B85" w:rsidRPr="00E15B85">
          <w:rPr>
            <w:rFonts w:eastAsia="Times New Roman"/>
            <w:color w:val="0000FF"/>
            <w:u w:val="single"/>
            <w:rtl/>
          </w:rPr>
          <w:t>"</w:t>
        </w:r>
        <w:r w:rsidR="00E15B85" w:rsidRPr="00E15B85">
          <w:rPr>
            <w:rFonts w:eastAsia="Times New Roman" w:hint="eastAsia"/>
            <w:color w:val="0000FF"/>
            <w:u w:val="single"/>
            <w:rtl/>
          </w:rPr>
          <w:t>פ</w:t>
        </w:r>
        <w:r w:rsidR="00E15B85" w:rsidRPr="00E15B85">
          <w:rPr>
            <w:rFonts w:eastAsia="Times New Roman"/>
            <w:color w:val="0000FF"/>
            <w:u w:val="single"/>
            <w:rtl/>
          </w:rPr>
          <w:t xml:space="preserve"> 1224/07</w:t>
        </w:r>
      </w:hyperlink>
      <w:r w:rsidRPr="00125F3A">
        <w:rPr>
          <w:rFonts w:eastAsia="Times New Roman" w:hint="cs"/>
          <w:rtl/>
        </w:rPr>
        <w:t xml:space="preserve"> </w:t>
      </w:r>
      <w:r w:rsidRPr="00125F3A">
        <w:rPr>
          <w:rFonts w:eastAsia="Times New Roman" w:hint="cs"/>
          <w:b/>
          <w:bCs/>
          <w:rtl/>
        </w:rPr>
        <w:t>אברהם בלדב נ' מדינת ישראל</w:t>
      </w:r>
      <w:r w:rsidRPr="00125F3A">
        <w:rPr>
          <w:rFonts w:eastAsia="Times New Roman" w:hint="cs"/>
          <w:rtl/>
        </w:rPr>
        <w:t xml:space="preserve">, (10.02.2010); </w:t>
      </w:r>
      <w:r w:rsidRPr="00125F3A">
        <w:rPr>
          <w:rFonts w:eastAsia="Times New Roman" w:hint="cs"/>
          <w:u w:val="single"/>
          <w:rtl/>
        </w:rPr>
        <w:t>ו</w:t>
      </w:r>
      <w:hyperlink r:id="rId45" w:history="1">
        <w:r w:rsidR="00E15B85" w:rsidRPr="00E15B85">
          <w:rPr>
            <w:rFonts w:eastAsia="Times New Roman" w:hint="eastAsia"/>
            <w:color w:val="0000FF"/>
            <w:u w:val="single"/>
            <w:rtl/>
          </w:rPr>
          <w:t>ע</w:t>
        </w:r>
        <w:r w:rsidR="00E15B85" w:rsidRPr="00E15B85">
          <w:rPr>
            <w:rFonts w:eastAsia="Times New Roman"/>
            <w:color w:val="0000FF"/>
            <w:u w:val="single"/>
            <w:rtl/>
          </w:rPr>
          <w:t>"</w:t>
        </w:r>
        <w:r w:rsidR="00E15B85" w:rsidRPr="00E15B85">
          <w:rPr>
            <w:rFonts w:eastAsia="Times New Roman" w:hint="eastAsia"/>
            <w:color w:val="0000FF"/>
            <w:u w:val="single"/>
            <w:rtl/>
          </w:rPr>
          <w:t>פ</w:t>
        </w:r>
        <w:r w:rsidR="00E15B85" w:rsidRPr="00E15B85">
          <w:rPr>
            <w:rFonts w:eastAsia="Times New Roman"/>
            <w:color w:val="0000FF"/>
            <w:u w:val="single"/>
            <w:rtl/>
          </w:rPr>
          <w:t xml:space="preserve"> 5268/04</w:t>
        </w:r>
      </w:hyperlink>
      <w:r w:rsidRPr="00125F3A">
        <w:rPr>
          <w:rFonts w:eastAsia="Times New Roman" w:hint="cs"/>
          <w:rtl/>
        </w:rPr>
        <w:t xml:space="preserve"> </w:t>
      </w:r>
      <w:r w:rsidRPr="00125F3A">
        <w:rPr>
          <w:rFonts w:eastAsia="Times New Roman" w:hint="cs"/>
          <w:b/>
          <w:bCs/>
          <w:rtl/>
        </w:rPr>
        <w:t>ליודמילה מינין נ' מדינת ישראל</w:t>
      </w:r>
      <w:r w:rsidRPr="00125F3A">
        <w:rPr>
          <w:rFonts w:eastAsia="Times New Roman" w:hint="cs"/>
          <w:rtl/>
        </w:rPr>
        <w:t>, (07.11.2005)). אם כי, המשקל שיינתן לנסיבה זו לא יהיה גבוה. שכן, אף אם היה זה הסוכן ששתל את הרעיון בראשה של הנאשמת, הרי שהוא לא הפעיל עליה כל לחץ ממשי, תוך שהנאשמת הייתה חופשיה כל העת לסרב לבקשתו.</w:t>
      </w:r>
    </w:p>
    <w:p w14:paraId="2A5F9732" w14:textId="77777777" w:rsidR="009205B0" w:rsidRPr="00125F3A" w:rsidRDefault="009205B0" w:rsidP="009205B0">
      <w:pPr>
        <w:pStyle w:val="ListParagraph"/>
        <w:ind w:left="-58" w:firstLine="0"/>
        <w:rPr>
          <w:rFonts w:eastAsia="Times New Roman"/>
          <w:rtl/>
        </w:rPr>
      </w:pPr>
      <w:r w:rsidRPr="00125F3A">
        <w:rPr>
          <w:rFonts w:eastAsia="Times New Roman" w:hint="cs"/>
          <w:rtl/>
        </w:rPr>
        <w:t xml:space="preserve">לבסוף, כתוצאה מביצוע עבירת הסחר לא נגרם נזק ממשי כלשהו, אולם זאת אך משום ש"הקונה" של הסם היה סוכן שהופעל על ידי משטרת ישראל. אשר על כן, אין להעניק משקל של ממש לקולא לנסיבה אחרונה זו. דברים דומים אף צריכים להיאמר בכל הנוגע להיעדר הנזק כתוצאה מביצוע העבירה של החזקת סם לצריכה עצמית, שאותה ביצעה הנאשמת. שכן, אלו הן דרכן של עבירות הסמים, כאשר פעמים רבות לא ניתן להצביע על נזק מוחשי ומידי שנגרם כתוצאה מביצוען, מה שאינו מפחית כהוא זה מהנזק הרב וארוך הטווח שהן גורמות. אותו נזק ארוך טווח, אף ראוי לו שיישקל ויובא בחשבון בבחינת הנזק הפוטנציאלי הטמון בעבירות הסמים. </w:t>
      </w:r>
    </w:p>
    <w:p w14:paraId="30381183" w14:textId="77777777" w:rsidR="009205B0" w:rsidRPr="00125F3A" w:rsidRDefault="009205B0" w:rsidP="009205B0">
      <w:pPr>
        <w:pStyle w:val="ListParagraph"/>
        <w:numPr>
          <w:ilvl w:val="0"/>
          <w:numId w:val="2"/>
        </w:numPr>
        <w:ind w:left="-58"/>
        <w:rPr>
          <w:rtl/>
        </w:rPr>
      </w:pPr>
      <w:r w:rsidRPr="00125F3A">
        <w:rPr>
          <w:rFonts w:hint="cs"/>
          <w:rtl/>
        </w:rPr>
        <w:t xml:space="preserve">בכל הנוגע </w:t>
      </w:r>
      <w:r w:rsidRPr="00125F3A">
        <w:rPr>
          <w:rFonts w:hint="cs"/>
          <w:b/>
          <w:bCs/>
          <w:rtl/>
        </w:rPr>
        <w:t>למדיניות הענישה הנוהגת</w:t>
      </w:r>
      <w:r w:rsidRPr="00125F3A">
        <w:rPr>
          <w:rFonts w:hint="cs"/>
          <w:rtl/>
        </w:rPr>
        <w:t xml:space="preserve">, ייאמר תחילה כי </w:t>
      </w:r>
      <w:r w:rsidRPr="00125F3A">
        <w:rPr>
          <w:rFonts w:eastAsia="Times New Roman" w:hint="cs"/>
          <w:rtl/>
        </w:rPr>
        <w:t xml:space="preserve">על בתי המשפט לתרום את חלקם במלחמה בנגע הסמים, וזאת באמצעות הטלת עונשים חמורים ומרתיעים. כך, שומה על בתי המשפט להעביר את המסר כי מי שנגרר אחרי מעשי עבירה המסכנים חיי אדם בצורה מפליגה, צריך לדעת אל-נכון כי אם ייתפס יטופל עניינו בכל חומרת הדין (ראו דבריו של כב' השופט מ' חשין </w:t>
      </w:r>
      <w:r w:rsidRPr="00125F3A">
        <w:rPr>
          <w:rFonts w:eastAsia="Times New Roman" w:hint="cs"/>
          <w:u w:val="single"/>
          <w:rtl/>
        </w:rPr>
        <w:t>ב</w:t>
      </w:r>
      <w:hyperlink r:id="rId46" w:history="1">
        <w:r w:rsidR="00E15B85" w:rsidRPr="00E15B85">
          <w:rPr>
            <w:rFonts w:eastAsia="Times New Roman" w:hint="eastAsia"/>
            <w:color w:val="0000FF"/>
            <w:u w:val="single"/>
            <w:rtl/>
          </w:rPr>
          <w:t>ע</w:t>
        </w:r>
        <w:r w:rsidR="00E15B85" w:rsidRPr="00E15B85">
          <w:rPr>
            <w:rFonts w:eastAsia="Times New Roman"/>
            <w:color w:val="0000FF"/>
            <w:u w:val="single"/>
            <w:rtl/>
          </w:rPr>
          <w:t>"</w:t>
        </w:r>
        <w:r w:rsidR="00E15B85" w:rsidRPr="00E15B85">
          <w:rPr>
            <w:rFonts w:eastAsia="Times New Roman" w:hint="eastAsia"/>
            <w:color w:val="0000FF"/>
            <w:u w:val="single"/>
            <w:rtl/>
          </w:rPr>
          <w:t>פ</w:t>
        </w:r>
        <w:r w:rsidR="00E15B85" w:rsidRPr="00E15B85">
          <w:rPr>
            <w:rFonts w:eastAsia="Times New Roman"/>
            <w:color w:val="0000FF"/>
            <w:u w:val="single"/>
            <w:rtl/>
          </w:rPr>
          <w:t xml:space="preserve"> 6029/03 </w:t>
        </w:r>
        <w:r w:rsidR="00E15B85" w:rsidRPr="00E15B85">
          <w:rPr>
            <w:rFonts w:eastAsia="Times New Roman" w:hint="eastAsia"/>
            <w:color w:val="0000FF"/>
            <w:u w:val="single"/>
            <w:rtl/>
          </w:rPr>
          <w:t>מדינת</w:t>
        </w:r>
        <w:r w:rsidR="00E15B85" w:rsidRPr="00E15B85">
          <w:rPr>
            <w:rFonts w:eastAsia="Times New Roman"/>
            <w:color w:val="0000FF"/>
            <w:u w:val="single"/>
            <w:rtl/>
          </w:rPr>
          <w:t xml:space="preserve"> </w:t>
        </w:r>
        <w:r w:rsidR="00E15B85" w:rsidRPr="00E15B85">
          <w:rPr>
            <w:rFonts w:eastAsia="Times New Roman" w:hint="eastAsia"/>
            <w:color w:val="0000FF"/>
            <w:u w:val="single"/>
            <w:rtl/>
          </w:rPr>
          <w:t>ישראל</w:t>
        </w:r>
        <w:r w:rsidR="00E15B85" w:rsidRPr="00E15B85">
          <w:rPr>
            <w:rFonts w:eastAsia="Times New Roman"/>
            <w:color w:val="0000FF"/>
            <w:u w:val="single"/>
            <w:rtl/>
          </w:rPr>
          <w:t xml:space="preserve"> </w:t>
        </w:r>
        <w:r w:rsidR="00E15B85" w:rsidRPr="00E15B85">
          <w:rPr>
            <w:rFonts w:eastAsia="Times New Roman" w:hint="eastAsia"/>
            <w:color w:val="0000FF"/>
            <w:u w:val="single"/>
            <w:rtl/>
          </w:rPr>
          <w:t>נ</w:t>
        </w:r>
        <w:r w:rsidR="00E15B85" w:rsidRPr="00E15B85">
          <w:rPr>
            <w:rFonts w:eastAsia="Times New Roman"/>
            <w:color w:val="0000FF"/>
            <w:u w:val="single"/>
            <w:rtl/>
          </w:rPr>
          <w:t xml:space="preserve">' </w:t>
        </w:r>
        <w:r w:rsidR="00E15B85" w:rsidRPr="00E15B85">
          <w:rPr>
            <w:rFonts w:eastAsia="Times New Roman" w:hint="eastAsia"/>
            <w:color w:val="0000FF"/>
            <w:u w:val="single"/>
            <w:rtl/>
          </w:rPr>
          <w:t>גולן</w:t>
        </w:r>
        <w:r w:rsidR="00E15B85" w:rsidRPr="00E15B85">
          <w:rPr>
            <w:rFonts w:eastAsia="Times New Roman"/>
            <w:color w:val="0000FF"/>
            <w:u w:val="single"/>
            <w:rtl/>
          </w:rPr>
          <w:t xml:space="preserve"> </w:t>
        </w:r>
        <w:r w:rsidR="00E15B85" w:rsidRPr="00E15B85">
          <w:rPr>
            <w:rFonts w:eastAsia="Times New Roman" w:hint="eastAsia"/>
            <w:color w:val="0000FF"/>
            <w:u w:val="single"/>
            <w:rtl/>
          </w:rPr>
          <w:t>שמאי</w:t>
        </w:r>
        <w:r w:rsidR="00E15B85" w:rsidRPr="00E15B85">
          <w:rPr>
            <w:rFonts w:eastAsia="Times New Roman"/>
            <w:color w:val="0000FF"/>
            <w:u w:val="single"/>
            <w:rtl/>
          </w:rPr>
          <w:t xml:space="preserve"> , </w:t>
        </w:r>
        <w:r w:rsidR="00E15B85" w:rsidRPr="00E15B85">
          <w:rPr>
            <w:rFonts w:eastAsia="Times New Roman" w:hint="eastAsia"/>
            <w:color w:val="0000FF"/>
            <w:u w:val="single"/>
            <w:rtl/>
          </w:rPr>
          <w:t>פ</w:t>
        </w:r>
        <w:r w:rsidR="00E15B85" w:rsidRPr="00E15B85">
          <w:rPr>
            <w:rFonts w:eastAsia="Times New Roman"/>
            <w:color w:val="0000FF"/>
            <w:u w:val="single"/>
            <w:rtl/>
          </w:rPr>
          <w:t>"</w:t>
        </w:r>
        <w:r w:rsidR="00E15B85" w:rsidRPr="00E15B85">
          <w:rPr>
            <w:rFonts w:eastAsia="Times New Roman" w:hint="eastAsia"/>
            <w:color w:val="0000FF"/>
            <w:u w:val="single"/>
            <w:rtl/>
          </w:rPr>
          <w:t>ד</w:t>
        </w:r>
        <w:r w:rsidR="00E15B85" w:rsidRPr="00E15B85">
          <w:rPr>
            <w:rFonts w:eastAsia="Times New Roman"/>
            <w:color w:val="0000FF"/>
            <w:u w:val="single"/>
            <w:rtl/>
          </w:rPr>
          <w:t xml:space="preserve"> </w:t>
        </w:r>
        <w:r w:rsidR="00E15B85" w:rsidRPr="00E15B85">
          <w:rPr>
            <w:rFonts w:eastAsia="Times New Roman" w:hint="eastAsia"/>
            <w:color w:val="0000FF"/>
            <w:u w:val="single"/>
            <w:rtl/>
          </w:rPr>
          <w:t>נח</w:t>
        </w:r>
      </w:hyperlink>
      <w:r w:rsidRPr="00125F3A">
        <w:rPr>
          <w:rFonts w:eastAsia="Times New Roman" w:hint="cs"/>
          <w:rtl/>
        </w:rPr>
        <w:t xml:space="preserve"> (2) 734, 739 (2004); ודבריו של כב' השופט א' לוי </w:t>
      </w:r>
      <w:r w:rsidRPr="00125F3A">
        <w:rPr>
          <w:rFonts w:eastAsia="Times New Roman" w:hint="cs"/>
          <w:u w:val="single"/>
          <w:rtl/>
        </w:rPr>
        <w:t>ב</w:t>
      </w:r>
      <w:hyperlink r:id="rId47" w:history="1">
        <w:r w:rsidR="00E15B85" w:rsidRPr="00E15B85">
          <w:rPr>
            <w:rFonts w:eastAsia="Times New Roman" w:hint="eastAsia"/>
            <w:color w:val="0000FF"/>
            <w:u w:val="single"/>
            <w:rtl/>
          </w:rPr>
          <w:t>ע</w:t>
        </w:r>
        <w:r w:rsidR="00E15B85" w:rsidRPr="00E15B85">
          <w:rPr>
            <w:rFonts w:eastAsia="Times New Roman"/>
            <w:color w:val="0000FF"/>
            <w:u w:val="single"/>
            <w:rtl/>
          </w:rPr>
          <w:t>"</w:t>
        </w:r>
        <w:r w:rsidR="00E15B85" w:rsidRPr="00E15B85">
          <w:rPr>
            <w:rFonts w:eastAsia="Times New Roman" w:hint="eastAsia"/>
            <w:color w:val="0000FF"/>
            <w:u w:val="single"/>
            <w:rtl/>
          </w:rPr>
          <w:t>פ</w:t>
        </w:r>
        <w:r w:rsidR="00E15B85" w:rsidRPr="00E15B85">
          <w:rPr>
            <w:rFonts w:eastAsia="Times New Roman"/>
            <w:color w:val="0000FF"/>
            <w:u w:val="single"/>
            <w:rtl/>
          </w:rPr>
          <w:t xml:space="preserve"> 7070/03</w:t>
        </w:r>
      </w:hyperlink>
      <w:r w:rsidRPr="00125F3A">
        <w:rPr>
          <w:rFonts w:eastAsia="Times New Roman" w:hint="cs"/>
          <w:rtl/>
        </w:rPr>
        <w:t xml:space="preserve"> </w:t>
      </w:r>
      <w:r w:rsidRPr="00125F3A">
        <w:rPr>
          <w:rFonts w:eastAsia="Times New Roman" w:hint="cs"/>
          <w:b/>
          <w:bCs/>
          <w:rtl/>
        </w:rPr>
        <w:t>עליאן זניד נ' מדינת ישראל</w:t>
      </w:r>
      <w:r w:rsidRPr="00125F3A">
        <w:rPr>
          <w:rFonts w:eastAsia="Times New Roman" w:hint="cs"/>
          <w:rtl/>
        </w:rPr>
        <w:t>, (03.04.2006))</w:t>
      </w:r>
      <w:r w:rsidRPr="00125F3A">
        <w:rPr>
          <w:rFonts w:hint="cs"/>
          <w:rtl/>
        </w:rPr>
        <w:t>. דברים אלו נאמרו אך באופן כללי, כאשר ברי כי שיקול ההרתעה לא יישקל לצורך קביעת מתחם העונש ההולם.</w:t>
      </w:r>
    </w:p>
    <w:p w14:paraId="720498D7" w14:textId="77777777" w:rsidR="009205B0" w:rsidRPr="00125F3A" w:rsidRDefault="009205B0" w:rsidP="009205B0">
      <w:pPr>
        <w:pStyle w:val="ListParagraph"/>
        <w:ind w:left="-58" w:firstLine="0"/>
      </w:pPr>
      <w:r w:rsidRPr="00125F3A">
        <w:rPr>
          <w:rFonts w:hint="cs"/>
          <w:rtl/>
        </w:rPr>
        <w:t xml:space="preserve">לגופם של דברים, סקירת הפסיקה מעלה כי מקום בו דובר בנאשמים אשר הורשעו בעבירת סחר בסם מסוג </w:t>
      </w:r>
      <w:r w:rsidRPr="00125F3A">
        <w:t>MDMA</w:t>
      </w:r>
      <w:r w:rsidRPr="00125F3A">
        <w:rPr>
          <w:rFonts w:hint="cs"/>
          <w:rtl/>
        </w:rPr>
        <w:t xml:space="preserve"> במשקל ובתמורה דומים לאלו שבמקרה שבפניי, </w:t>
      </w:r>
      <w:r w:rsidRPr="00125F3A">
        <w:rPr>
          <w:rFonts w:hint="cs"/>
          <w:b/>
          <w:bCs/>
          <w:rtl/>
        </w:rPr>
        <w:t>בדרך כלל</w:t>
      </w:r>
      <w:r w:rsidRPr="00125F3A">
        <w:rPr>
          <w:rFonts w:hint="cs"/>
          <w:rtl/>
        </w:rPr>
        <w:t xml:space="preserve">, נקבעו בעניינם מתחמי ענישה שהרף התחתון שלהם הועמד על מאסר שבשים לב לאורכו, ניתן לרצותו בעבודות שירות, לבין עונשי מאסר ארוכים יותר, לתקופות הנעות סביב 12 חודשים. כדוגמא למנעד ענישה זה, ראו למשל: </w:t>
      </w:r>
      <w:hyperlink r:id="rId48" w:history="1">
        <w:r w:rsidR="00E15B85" w:rsidRPr="00E15B85">
          <w:rPr>
            <w:rFonts w:hint="cs"/>
            <w:color w:val="0000FF"/>
            <w:u w:val="single"/>
            <w:rtl/>
          </w:rPr>
          <w:t>עפ</w:t>
        </w:r>
        <w:r w:rsidR="00E15B85" w:rsidRPr="00E15B85">
          <w:rPr>
            <w:color w:val="0000FF"/>
            <w:u w:val="single"/>
            <w:rtl/>
          </w:rPr>
          <w:t>"</w:t>
        </w:r>
        <w:r w:rsidR="00E15B85" w:rsidRPr="00E15B85">
          <w:rPr>
            <w:rFonts w:hint="cs"/>
            <w:color w:val="0000FF"/>
            <w:u w:val="single"/>
            <w:rtl/>
          </w:rPr>
          <w:t>ג</w:t>
        </w:r>
        <w:r w:rsidR="00E15B85" w:rsidRPr="00E15B85">
          <w:rPr>
            <w:color w:val="0000FF"/>
            <w:u w:val="single"/>
            <w:rtl/>
          </w:rPr>
          <w:t xml:space="preserve"> (</w:t>
        </w:r>
        <w:r w:rsidR="00E15B85" w:rsidRPr="00E15B85">
          <w:rPr>
            <w:rFonts w:hint="cs"/>
            <w:color w:val="0000FF"/>
            <w:u w:val="single"/>
            <w:rtl/>
          </w:rPr>
          <w:t>מחוזי</w:t>
        </w:r>
        <w:r w:rsidR="00E15B85" w:rsidRPr="00E15B85">
          <w:rPr>
            <w:color w:val="0000FF"/>
            <w:u w:val="single"/>
            <w:rtl/>
          </w:rPr>
          <w:t xml:space="preserve"> </w:t>
        </w:r>
        <w:r w:rsidR="00E15B85" w:rsidRPr="00E15B85">
          <w:rPr>
            <w:rFonts w:hint="cs"/>
            <w:color w:val="0000FF"/>
            <w:u w:val="single"/>
            <w:rtl/>
          </w:rPr>
          <w:t>ירושלים</w:t>
        </w:r>
        <w:r w:rsidR="00E15B85" w:rsidRPr="00E15B85">
          <w:rPr>
            <w:color w:val="0000FF"/>
            <w:u w:val="single"/>
            <w:rtl/>
          </w:rPr>
          <w:t>) 59106-03-14</w:t>
        </w:r>
      </w:hyperlink>
      <w:r w:rsidRPr="00125F3A">
        <w:rPr>
          <w:rFonts w:hint="cs"/>
          <w:rtl/>
        </w:rPr>
        <w:t xml:space="preserve"> </w:t>
      </w:r>
      <w:r w:rsidRPr="00125F3A">
        <w:rPr>
          <w:rFonts w:hint="cs"/>
          <w:b/>
          <w:bCs/>
          <w:rtl/>
        </w:rPr>
        <w:t>מדינת ישראל נ' מחמוד סליימה</w:t>
      </w:r>
      <w:r w:rsidRPr="00125F3A">
        <w:rPr>
          <w:rFonts w:hint="cs"/>
          <w:rtl/>
        </w:rPr>
        <w:t xml:space="preserve">, (08.05.2014); </w:t>
      </w:r>
      <w:hyperlink r:id="rId49" w:history="1">
        <w:r w:rsidR="00E15B85" w:rsidRPr="00E15B85">
          <w:rPr>
            <w:rFonts w:hint="cs"/>
            <w:color w:val="0000FF"/>
            <w:u w:val="single"/>
            <w:rtl/>
          </w:rPr>
          <w:t>ת</w:t>
        </w:r>
        <w:r w:rsidR="00E15B85" w:rsidRPr="00E15B85">
          <w:rPr>
            <w:color w:val="0000FF"/>
            <w:u w:val="single"/>
            <w:rtl/>
          </w:rPr>
          <w:t>"</w:t>
        </w:r>
        <w:r w:rsidR="00E15B85" w:rsidRPr="00E15B85">
          <w:rPr>
            <w:rFonts w:hint="cs"/>
            <w:color w:val="0000FF"/>
            <w:u w:val="single"/>
            <w:rtl/>
          </w:rPr>
          <w:t>פ</w:t>
        </w:r>
        <w:r w:rsidR="00E15B85" w:rsidRPr="00E15B85">
          <w:rPr>
            <w:color w:val="0000FF"/>
            <w:u w:val="single"/>
            <w:rtl/>
          </w:rPr>
          <w:t xml:space="preserve"> (</w:t>
        </w:r>
        <w:r w:rsidR="00E15B85" w:rsidRPr="00E15B85">
          <w:rPr>
            <w:rFonts w:hint="cs"/>
            <w:color w:val="0000FF"/>
            <w:u w:val="single"/>
            <w:rtl/>
          </w:rPr>
          <w:t>שלום</w:t>
        </w:r>
        <w:r w:rsidR="00E15B85" w:rsidRPr="00E15B85">
          <w:rPr>
            <w:color w:val="0000FF"/>
            <w:u w:val="single"/>
            <w:rtl/>
          </w:rPr>
          <w:t xml:space="preserve"> </w:t>
        </w:r>
        <w:r w:rsidR="00E15B85" w:rsidRPr="00E15B85">
          <w:rPr>
            <w:rFonts w:hint="cs"/>
            <w:color w:val="0000FF"/>
            <w:u w:val="single"/>
            <w:rtl/>
          </w:rPr>
          <w:t>קריית</w:t>
        </w:r>
        <w:r w:rsidR="00E15B85" w:rsidRPr="00E15B85">
          <w:rPr>
            <w:color w:val="0000FF"/>
            <w:u w:val="single"/>
            <w:rtl/>
          </w:rPr>
          <w:t xml:space="preserve"> </w:t>
        </w:r>
        <w:r w:rsidR="00E15B85" w:rsidRPr="00E15B85">
          <w:rPr>
            <w:rFonts w:hint="cs"/>
            <w:color w:val="0000FF"/>
            <w:u w:val="single"/>
            <w:rtl/>
          </w:rPr>
          <w:t>שמונה</w:t>
        </w:r>
        <w:r w:rsidR="00E15B85" w:rsidRPr="00E15B85">
          <w:rPr>
            <w:color w:val="0000FF"/>
            <w:u w:val="single"/>
            <w:rtl/>
          </w:rPr>
          <w:t>) 42006-10-16</w:t>
        </w:r>
      </w:hyperlink>
      <w:r w:rsidRPr="00125F3A">
        <w:rPr>
          <w:rFonts w:hint="cs"/>
          <w:rtl/>
        </w:rPr>
        <w:t xml:space="preserve"> </w:t>
      </w:r>
      <w:r w:rsidRPr="00125F3A">
        <w:rPr>
          <w:rFonts w:hint="cs"/>
          <w:b/>
          <w:bCs/>
          <w:rtl/>
        </w:rPr>
        <w:t>מדינת ישראל נ' יובל ישראל ורסנו</w:t>
      </w:r>
      <w:r w:rsidRPr="00125F3A">
        <w:rPr>
          <w:rFonts w:hint="cs"/>
          <w:rtl/>
        </w:rPr>
        <w:t xml:space="preserve">, (20.07.2017); </w:t>
      </w:r>
      <w:hyperlink r:id="rId50" w:history="1">
        <w:r w:rsidR="00E15B85" w:rsidRPr="00E15B85">
          <w:rPr>
            <w:rFonts w:hint="cs"/>
            <w:color w:val="0000FF"/>
            <w:u w:val="single"/>
            <w:rtl/>
          </w:rPr>
          <w:t>ת</w:t>
        </w:r>
        <w:r w:rsidR="00E15B85" w:rsidRPr="00E15B85">
          <w:rPr>
            <w:color w:val="0000FF"/>
            <w:u w:val="single"/>
            <w:rtl/>
          </w:rPr>
          <w:t>"</w:t>
        </w:r>
        <w:r w:rsidR="00E15B85" w:rsidRPr="00E15B85">
          <w:rPr>
            <w:rFonts w:hint="cs"/>
            <w:color w:val="0000FF"/>
            <w:u w:val="single"/>
            <w:rtl/>
          </w:rPr>
          <w:t>פ</w:t>
        </w:r>
        <w:r w:rsidR="00E15B85" w:rsidRPr="00E15B85">
          <w:rPr>
            <w:color w:val="0000FF"/>
            <w:u w:val="single"/>
            <w:rtl/>
          </w:rPr>
          <w:t xml:space="preserve"> (</w:t>
        </w:r>
        <w:r w:rsidR="00E15B85" w:rsidRPr="00E15B85">
          <w:rPr>
            <w:rFonts w:hint="cs"/>
            <w:color w:val="0000FF"/>
            <w:u w:val="single"/>
            <w:rtl/>
          </w:rPr>
          <w:t>שלום</w:t>
        </w:r>
        <w:r w:rsidR="00E15B85" w:rsidRPr="00E15B85">
          <w:rPr>
            <w:color w:val="0000FF"/>
            <w:u w:val="single"/>
            <w:rtl/>
          </w:rPr>
          <w:t xml:space="preserve"> </w:t>
        </w:r>
        <w:r w:rsidR="00E15B85" w:rsidRPr="00E15B85">
          <w:rPr>
            <w:rFonts w:hint="cs"/>
            <w:color w:val="0000FF"/>
            <w:u w:val="single"/>
            <w:rtl/>
          </w:rPr>
          <w:t>תל</w:t>
        </w:r>
        <w:r w:rsidR="00E15B85" w:rsidRPr="00E15B85">
          <w:rPr>
            <w:color w:val="0000FF"/>
            <w:u w:val="single"/>
            <w:rtl/>
          </w:rPr>
          <w:t xml:space="preserve"> </w:t>
        </w:r>
        <w:r w:rsidR="00E15B85" w:rsidRPr="00E15B85">
          <w:rPr>
            <w:rFonts w:hint="cs"/>
            <w:color w:val="0000FF"/>
            <w:u w:val="single"/>
            <w:rtl/>
          </w:rPr>
          <w:t>אביב</w:t>
        </w:r>
        <w:r w:rsidR="00E15B85" w:rsidRPr="00E15B85">
          <w:rPr>
            <w:color w:val="0000FF"/>
            <w:u w:val="single"/>
            <w:rtl/>
          </w:rPr>
          <w:t xml:space="preserve"> </w:t>
        </w:r>
        <w:r w:rsidR="00E15B85" w:rsidRPr="00E15B85">
          <w:rPr>
            <w:rFonts w:hint="cs"/>
            <w:color w:val="0000FF"/>
            <w:u w:val="single"/>
            <w:rtl/>
          </w:rPr>
          <w:t>יפו</w:t>
        </w:r>
        <w:r w:rsidR="00E15B85" w:rsidRPr="00E15B85">
          <w:rPr>
            <w:color w:val="0000FF"/>
            <w:u w:val="single"/>
            <w:rtl/>
          </w:rPr>
          <w:t>) 45180-02-13</w:t>
        </w:r>
      </w:hyperlink>
      <w:r w:rsidRPr="00125F3A">
        <w:rPr>
          <w:rFonts w:hint="cs"/>
          <w:rtl/>
        </w:rPr>
        <w:t xml:space="preserve"> </w:t>
      </w:r>
      <w:r w:rsidRPr="00125F3A">
        <w:rPr>
          <w:rFonts w:hint="cs"/>
          <w:b/>
          <w:bCs/>
          <w:rtl/>
        </w:rPr>
        <w:t>מדינת ישראל נ' פלוני</w:t>
      </w:r>
      <w:r w:rsidRPr="00125F3A">
        <w:rPr>
          <w:rFonts w:hint="cs"/>
          <w:rtl/>
        </w:rPr>
        <w:t xml:space="preserve">, (06.06.2016); </w:t>
      </w:r>
      <w:r w:rsidRPr="00125F3A">
        <w:rPr>
          <w:rFonts w:hint="cs"/>
          <w:u w:val="single"/>
          <w:rtl/>
        </w:rPr>
        <w:t>ו</w:t>
      </w:r>
      <w:hyperlink r:id="rId51" w:history="1">
        <w:r w:rsidR="00E15B85" w:rsidRPr="00E15B85">
          <w:rPr>
            <w:rFonts w:hint="cs"/>
            <w:color w:val="0000FF"/>
            <w:u w:val="single"/>
            <w:rtl/>
          </w:rPr>
          <w:t>ת</w:t>
        </w:r>
        <w:r w:rsidR="00E15B85" w:rsidRPr="00E15B85">
          <w:rPr>
            <w:color w:val="0000FF"/>
            <w:u w:val="single"/>
            <w:rtl/>
          </w:rPr>
          <w:t>"</w:t>
        </w:r>
        <w:r w:rsidR="00E15B85" w:rsidRPr="00E15B85">
          <w:rPr>
            <w:rFonts w:hint="cs"/>
            <w:color w:val="0000FF"/>
            <w:u w:val="single"/>
            <w:rtl/>
          </w:rPr>
          <w:t>פ</w:t>
        </w:r>
        <w:r w:rsidR="00E15B85" w:rsidRPr="00E15B85">
          <w:rPr>
            <w:color w:val="0000FF"/>
            <w:u w:val="single"/>
            <w:rtl/>
          </w:rPr>
          <w:t xml:space="preserve"> (</w:t>
        </w:r>
        <w:r w:rsidR="00E15B85" w:rsidRPr="00E15B85">
          <w:rPr>
            <w:rFonts w:hint="cs"/>
            <w:color w:val="0000FF"/>
            <w:u w:val="single"/>
            <w:rtl/>
          </w:rPr>
          <w:t>שלום</w:t>
        </w:r>
        <w:r w:rsidR="00E15B85" w:rsidRPr="00E15B85">
          <w:rPr>
            <w:color w:val="0000FF"/>
            <w:u w:val="single"/>
            <w:rtl/>
          </w:rPr>
          <w:t xml:space="preserve"> </w:t>
        </w:r>
        <w:r w:rsidR="00E15B85" w:rsidRPr="00E15B85">
          <w:rPr>
            <w:rFonts w:hint="cs"/>
            <w:color w:val="0000FF"/>
            <w:u w:val="single"/>
            <w:rtl/>
          </w:rPr>
          <w:t>תל</w:t>
        </w:r>
        <w:r w:rsidR="00E15B85" w:rsidRPr="00E15B85">
          <w:rPr>
            <w:color w:val="0000FF"/>
            <w:u w:val="single"/>
            <w:rtl/>
          </w:rPr>
          <w:t xml:space="preserve"> </w:t>
        </w:r>
        <w:r w:rsidR="00E15B85" w:rsidRPr="00E15B85">
          <w:rPr>
            <w:rFonts w:hint="cs"/>
            <w:color w:val="0000FF"/>
            <w:u w:val="single"/>
            <w:rtl/>
          </w:rPr>
          <w:t>אביב</w:t>
        </w:r>
        <w:r w:rsidR="00E15B85" w:rsidRPr="00E15B85">
          <w:rPr>
            <w:color w:val="0000FF"/>
            <w:u w:val="single"/>
            <w:rtl/>
          </w:rPr>
          <w:t xml:space="preserve"> </w:t>
        </w:r>
        <w:r w:rsidR="00E15B85" w:rsidRPr="00E15B85">
          <w:rPr>
            <w:rFonts w:hint="cs"/>
            <w:color w:val="0000FF"/>
            <w:u w:val="single"/>
            <w:rtl/>
          </w:rPr>
          <w:t>יפו</w:t>
        </w:r>
        <w:r w:rsidR="00E15B85" w:rsidRPr="00E15B85">
          <w:rPr>
            <w:color w:val="0000FF"/>
            <w:u w:val="single"/>
            <w:rtl/>
          </w:rPr>
          <w:t>) 41061-11-14</w:t>
        </w:r>
      </w:hyperlink>
      <w:r w:rsidRPr="00125F3A">
        <w:rPr>
          <w:rFonts w:hint="cs"/>
          <w:u w:val="single"/>
          <w:rtl/>
        </w:rPr>
        <w:t>‏</w:t>
      </w:r>
      <w:r w:rsidRPr="00125F3A">
        <w:rPr>
          <w:rFonts w:hint="cs"/>
          <w:rtl/>
        </w:rPr>
        <w:t xml:space="preserve"> </w:t>
      </w:r>
      <w:r w:rsidRPr="00125F3A">
        <w:rPr>
          <w:rFonts w:hint="cs"/>
          <w:b/>
          <w:bCs/>
          <w:rtl/>
        </w:rPr>
        <w:t>מדינת ישראל נ' אברהים הלון</w:t>
      </w:r>
      <w:r w:rsidRPr="00125F3A">
        <w:rPr>
          <w:rFonts w:hint="cs"/>
          <w:rtl/>
        </w:rPr>
        <w:t>, (02.02.2015).</w:t>
      </w:r>
    </w:p>
    <w:p w14:paraId="35687089" w14:textId="77777777" w:rsidR="009205B0" w:rsidRPr="00125F3A" w:rsidRDefault="009205B0" w:rsidP="009205B0">
      <w:pPr>
        <w:pStyle w:val="ListParagraph"/>
        <w:ind w:left="-58" w:firstLine="0"/>
        <w:rPr>
          <w:rtl/>
        </w:rPr>
      </w:pPr>
      <w:r w:rsidRPr="00125F3A">
        <w:rPr>
          <w:rFonts w:hint="cs"/>
          <w:rtl/>
        </w:rPr>
        <w:t xml:space="preserve">אשר לעבירות של החזקת סם לצריכה עצמית, סקירת הפסיקה מלמדת כי במקרים שבהם דובר בנאשם שהחזיקו לצריכתם העצמית, הן סם מסוג חשיש, הן מסוג </w:t>
      </w:r>
      <w:r w:rsidRPr="00125F3A">
        <w:t>MDMA</w:t>
      </w:r>
      <w:r w:rsidRPr="00125F3A">
        <w:rPr>
          <w:rFonts w:hint="cs"/>
          <w:rtl/>
        </w:rPr>
        <w:t xml:space="preserve"> והן מסוג קוקאין – נקבעו מתחמי ענישה הנעים בין מאסר מותנה לבין עונשי מאסר שאורכם נמדד בחודשים, וראו בעניין זה, למשל: </w:t>
      </w:r>
      <w:r w:rsidRPr="00125F3A">
        <w:rPr>
          <w:rFonts w:hint="cs"/>
          <w:u w:val="single"/>
          <w:rtl/>
        </w:rPr>
        <w:t>ע"פ (מחוזי מרכז) 18937-02-16</w:t>
      </w:r>
      <w:r w:rsidRPr="00125F3A">
        <w:rPr>
          <w:rFonts w:hint="cs"/>
          <w:rtl/>
        </w:rPr>
        <w:t xml:space="preserve"> </w:t>
      </w:r>
      <w:r w:rsidRPr="00125F3A">
        <w:rPr>
          <w:rFonts w:hint="cs"/>
          <w:b/>
          <w:bCs/>
          <w:rtl/>
        </w:rPr>
        <w:t>אלמסימי נ' מדינת ישראל</w:t>
      </w:r>
      <w:r w:rsidRPr="00125F3A">
        <w:rPr>
          <w:rFonts w:hint="cs"/>
          <w:rtl/>
        </w:rPr>
        <w:t xml:space="preserve">, (14.06.2016, טרם פורסם במאגרים המשפטיים); </w:t>
      </w:r>
      <w:hyperlink r:id="rId52" w:history="1">
        <w:r w:rsidR="00E15B85" w:rsidRPr="00E15B85">
          <w:rPr>
            <w:rFonts w:hint="cs"/>
            <w:color w:val="0000FF"/>
            <w:u w:val="single"/>
            <w:rtl/>
          </w:rPr>
          <w:t>ת</w:t>
        </w:r>
        <w:r w:rsidR="00E15B85" w:rsidRPr="00E15B85">
          <w:rPr>
            <w:color w:val="0000FF"/>
            <w:u w:val="single"/>
            <w:rtl/>
          </w:rPr>
          <w:t>"</w:t>
        </w:r>
        <w:r w:rsidR="00E15B85" w:rsidRPr="00E15B85">
          <w:rPr>
            <w:rFonts w:hint="cs"/>
            <w:color w:val="0000FF"/>
            <w:u w:val="single"/>
            <w:rtl/>
          </w:rPr>
          <w:t>פ</w:t>
        </w:r>
        <w:r w:rsidR="00E15B85" w:rsidRPr="00E15B85">
          <w:rPr>
            <w:color w:val="0000FF"/>
            <w:u w:val="single"/>
            <w:rtl/>
          </w:rPr>
          <w:t xml:space="preserve"> (</w:t>
        </w:r>
        <w:r w:rsidR="00E15B85" w:rsidRPr="00E15B85">
          <w:rPr>
            <w:rFonts w:hint="cs"/>
            <w:color w:val="0000FF"/>
            <w:u w:val="single"/>
            <w:rtl/>
          </w:rPr>
          <w:t>שלום</w:t>
        </w:r>
        <w:r w:rsidR="00E15B85" w:rsidRPr="00E15B85">
          <w:rPr>
            <w:color w:val="0000FF"/>
            <w:u w:val="single"/>
            <w:rtl/>
          </w:rPr>
          <w:t xml:space="preserve"> </w:t>
        </w:r>
        <w:r w:rsidR="00E15B85" w:rsidRPr="00E15B85">
          <w:rPr>
            <w:rFonts w:hint="cs"/>
            <w:color w:val="0000FF"/>
            <w:u w:val="single"/>
            <w:rtl/>
          </w:rPr>
          <w:t>קריית</w:t>
        </w:r>
        <w:r w:rsidR="00E15B85" w:rsidRPr="00E15B85">
          <w:rPr>
            <w:color w:val="0000FF"/>
            <w:u w:val="single"/>
            <w:rtl/>
          </w:rPr>
          <w:t xml:space="preserve"> </w:t>
        </w:r>
        <w:r w:rsidR="00E15B85" w:rsidRPr="00E15B85">
          <w:rPr>
            <w:rFonts w:hint="cs"/>
            <w:color w:val="0000FF"/>
            <w:u w:val="single"/>
            <w:rtl/>
          </w:rPr>
          <w:t>שמונה</w:t>
        </w:r>
        <w:r w:rsidR="00E15B85" w:rsidRPr="00E15B85">
          <w:rPr>
            <w:color w:val="0000FF"/>
            <w:u w:val="single"/>
            <w:rtl/>
          </w:rPr>
          <w:t>) 4603-02-15</w:t>
        </w:r>
      </w:hyperlink>
      <w:r w:rsidRPr="00125F3A">
        <w:rPr>
          <w:rFonts w:hint="cs"/>
          <w:rtl/>
        </w:rPr>
        <w:t xml:space="preserve"> </w:t>
      </w:r>
      <w:r w:rsidRPr="00125F3A">
        <w:rPr>
          <w:rFonts w:hint="cs"/>
          <w:b/>
          <w:bCs/>
          <w:rtl/>
        </w:rPr>
        <w:t>מדינת ישראל נ' יאיר אלמוג</w:t>
      </w:r>
      <w:r w:rsidRPr="00125F3A">
        <w:rPr>
          <w:rFonts w:hint="cs"/>
          <w:rtl/>
        </w:rPr>
        <w:t xml:space="preserve">, (23.11.2016); </w:t>
      </w:r>
      <w:hyperlink r:id="rId53" w:history="1">
        <w:r w:rsidR="00E15B85" w:rsidRPr="00E15B85">
          <w:rPr>
            <w:rFonts w:hint="cs"/>
            <w:color w:val="0000FF"/>
            <w:u w:val="single"/>
            <w:rtl/>
          </w:rPr>
          <w:t>ת</w:t>
        </w:r>
        <w:r w:rsidR="00E15B85" w:rsidRPr="00E15B85">
          <w:rPr>
            <w:color w:val="0000FF"/>
            <w:u w:val="single"/>
            <w:rtl/>
          </w:rPr>
          <w:t>"</w:t>
        </w:r>
        <w:r w:rsidR="00E15B85" w:rsidRPr="00E15B85">
          <w:rPr>
            <w:rFonts w:hint="cs"/>
            <w:color w:val="0000FF"/>
            <w:u w:val="single"/>
            <w:rtl/>
          </w:rPr>
          <w:t>פ</w:t>
        </w:r>
        <w:r w:rsidR="00E15B85" w:rsidRPr="00E15B85">
          <w:rPr>
            <w:color w:val="0000FF"/>
            <w:u w:val="single"/>
            <w:rtl/>
          </w:rPr>
          <w:t xml:space="preserve"> (</w:t>
        </w:r>
        <w:r w:rsidR="00E15B85" w:rsidRPr="00E15B85">
          <w:rPr>
            <w:rFonts w:hint="cs"/>
            <w:color w:val="0000FF"/>
            <w:u w:val="single"/>
            <w:rtl/>
          </w:rPr>
          <w:t>שלום</w:t>
        </w:r>
        <w:r w:rsidR="00E15B85" w:rsidRPr="00E15B85">
          <w:rPr>
            <w:color w:val="0000FF"/>
            <w:u w:val="single"/>
            <w:rtl/>
          </w:rPr>
          <w:t xml:space="preserve"> </w:t>
        </w:r>
        <w:r w:rsidR="00E15B85" w:rsidRPr="00E15B85">
          <w:rPr>
            <w:rFonts w:hint="cs"/>
            <w:color w:val="0000FF"/>
            <w:u w:val="single"/>
            <w:rtl/>
          </w:rPr>
          <w:t>ראשון</w:t>
        </w:r>
        <w:r w:rsidR="00E15B85" w:rsidRPr="00E15B85">
          <w:rPr>
            <w:color w:val="0000FF"/>
            <w:u w:val="single"/>
            <w:rtl/>
          </w:rPr>
          <w:t xml:space="preserve"> </w:t>
        </w:r>
        <w:r w:rsidR="00E15B85" w:rsidRPr="00E15B85">
          <w:rPr>
            <w:rFonts w:hint="cs"/>
            <w:color w:val="0000FF"/>
            <w:u w:val="single"/>
            <w:rtl/>
          </w:rPr>
          <w:t>לציון</w:t>
        </w:r>
        <w:r w:rsidR="00E15B85" w:rsidRPr="00E15B85">
          <w:rPr>
            <w:color w:val="0000FF"/>
            <w:u w:val="single"/>
            <w:rtl/>
          </w:rPr>
          <w:t>) 11342-09-15</w:t>
        </w:r>
      </w:hyperlink>
      <w:r w:rsidRPr="00125F3A">
        <w:rPr>
          <w:rFonts w:hint="cs"/>
          <w:rtl/>
        </w:rPr>
        <w:t xml:space="preserve"> </w:t>
      </w:r>
      <w:r w:rsidRPr="00125F3A">
        <w:rPr>
          <w:rFonts w:hint="cs"/>
          <w:b/>
          <w:bCs/>
          <w:rtl/>
        </w:rPr>
        <w:t>מדינת ישראל</w:t>
      </w:r>
      <w:r w:rsidRPr="00125F3A">
        <w:rPr>
          <w:rFonts w:hint="cs"/>
          <w:rtl/>
        </w:rPr>
        <w:t xml:space="preserve"> </w:t>
      </w:r>
      <w:r w:rsidRPr="00125F3A">
        <w:rPr>
          <w:rFonts w:hint="cs"/>
          <w:b/>
          <w:bCs/>
          <w:rtl/>
        </w:rPr>
        <w:t>נ'</w:t>
      </w:r>
      <w:r w:rsidRPr="00125F3A">
        <w:rPr>
          <w:rFonts w:hint="cs"/>
          <w:rtl/>
        </w:rPr>
        <w:t xml:space="preserve"> </w:t>
      </w:r>
      <w:r w:rsidRPr="00125F3A">
        <w:rPr>
          <w:rFonts w:hint="cs"/>
          <w:b/>
          <w:bCs/>
          <w:rtl/>
        </w:rPr>
        <w:t>מתניה גונן</w:t>
      </w:r>
      <w:r w:rsidRPr="00125F3A">
        <w:rPr>
          <w:rFonts w:hint="cs"/>
          <w:rtl/>
        </w:rPr>
        <w:t xml:space="preserve">, (24.03.2016); </w:t>
      </w:r>
      <w:hyperlink r:id="rId54" w:history="1">
        <w:r w:rsidR="00E15B85" w:rsidRPr="00E15B85">
          <w:rPr>
            <w:rFonts w:hint="cs"/>
            <w:color w:val="0000FF"/>
            <w:u w:val="single"/>
            <w:rtl/>
          </w:rPr>
          <w:t>ת</w:t>
        </w:r>
        <w:r w:rsidR="00E15B85" w:rsidRPr="00E15B85">
          <w:rPr>
            <w:color w:val="0000FF"/>
            <w:u w:val="single"/>
            <w:rtl/>
          </w:rPr>
          <w:t>"</w:t>
        </w:r>
        <w:r w:rsidR="00E15B85" w:rsidRPr="00E15B85">
          <w:rPr>
            <w:rFonts w:hint="cs"/>
            <w:color w:val="0000FF"/>
            <w:u w:val="single"/>
            <w:rtl/>
          </w:rPr>
          <w:t>פ</w:t>
        </w:r>
        <w:r w:rsidR="00E15B85" w:rsidRPr="00E15B85">
          <w:rPr>
            <w:color w:val="0000FF"/>
            <w:u w:val="single"/>
            <w:rtl/>
          </w:rPr>
          <w:t xml:space="preserve"> (</w:t>
        </w:r>
        <w:r w:rsidR="00E15B85" w:rsidRPr="00E15B85">
          <w:rPr>
            <w:rFonts w:hint="cs"/>
            <w:color w:val="0000FF"/>
            <w:u w:val="single"/>
            <w:rtl/>
          </w:rPr>
          <w:t>שלום</w:t>
        </w:r>
        <w:r w:rsidR="00E15B85" w:rsidRPr="00E15B85">
          <w:rPr>
            <w:color w:val="0000FF"/>
            <w:u w:val="single"/>
            <w:rtl/>
          </w:rPr>
          <w:t xml:space="preserve"> </w:t>
        </w:r>
        <w:r w:rsidR="00E15B85" w:rsidRPr="00E15B85">
          <w:rPr>
            <w:rFonts w:hint="cs"/>
            <w:color w:val="0000FF"/>
            <w:u w:val="single"/>
            <w:rtl/>
          </w:rPr>
          <w:t>ראשון</w:t>
        </w:r>
        <w:r w:rsidR="00E15B85" w:rsidRPr="00E15B85">
          <w:rPr>
            <w:color w:val="0000FF"/>
            <w:u w:val="single"/>
            <w:rtl/>
          </w:rPr>
          <w:t xml:space="preserve"> </w:t>
        </w:r>
        <w:r w:rsidR="00E15B85" w:rsidRPr="00E15B85">
          <w:rPr>
            <w:rFonts w:hint="cs"/>
            <w:color w:val="0000FF"/>
            <w:u w:val="single"/>
            <w:rtl/>
          </w:rPr>
          <w:t>לציון</w:t>
        </w:r>
        <w:r w:rsidR="00E15B85" w:rsidRPr="00E15B85">
          <w:rPr>
            <w:color w:val="0000FF"/>
            <w:u w:val="single"/>
            <w:rtl/>
          </w:rPr>
          <w:t>) 2147-04-15</w:t>
        </w:r>
      </w:hyperlink>
      <w:r w:rsidRPr="00125F3A">
        <w:rPr>
          <w:rFonts w:hint="cs"/>
          <w:rtl/>
        </w:rPr>
        <w:t xml:space="preserve"> </w:t>
      </w:r>
      <w:r w:rsidRPr="00125F3A">
        <w:rPr>
          <w:rFonts w:hint="cs"/>
          <w:b/>
          <w:bCs/>
          <w:rtl/>
        </w:rPr>
        <w:t>מדינת ישראל</w:t>
      </w:r>
      <w:r w:rsidRPr="00125F3A">
        <w:rPr>
          <w:rFonts w:hint="cs"/>
          <w:rtl/>
        </w:rPr>
        <w:t xml:space="preserve"> </w:t>
      </w:r>
      <w:r w:rsidRPr="00125F3A">
        <w:rPr>
          <w:rFonts w:hint="cs"/>
          <w:b/>
          <w:bCs/>
          <w:rtl/>
        </w:rPr>
        <w:t>נ'</w:t>
      </w:r>
      <w:r w:rsidRPr="00125F3A">
        <w:rPr>
          <w:rFonts w:hint="cs"/>
          <w:rtl/>
        </w:rPr>
        <w:t xml:space="preserve"> </w:t>
      </w:r>
      <w:r w:rsidRPr="00125F3A">
        <w:rPr>
          <w:rFonts w:hint="cs"/>
          <w:b/>
          <w:bCs/>
          <w:rtl/>
        </w:rPr>
        <w:t>אריס פרץ</w:t>
      </w:r>
      <w:r w:rsidRPr="00125F3A">
        <w:rPr>
          <w:rFonts w:hint="cs"/>
          <w:rtl/>
        </w:rPr>
        <w:t xml:space="preserve">, (16.07.2015); </w:t>
      </w:r>
      <w:hyperlink r:id="rId55" w:history="1">
        <w:r w:rsidR="00E15B85" w:rsidRPr="00E15B85">
          <w:rPr>
            <w:rFonts w:hint="cs"/>
            <w:color w:val="0000FF"/>
            <w:u w:val="single"/>
            <w:rtl/>
          </w:rPr>
          <w:t>ת</w:t>
        </w:r>
        <w:r w:rsidR="00E15B85" w:rsidRPr="00E15B85">
          <w:rPr>
            <w:color w:val="0000FF"/>
            <w:u w:val="single"/>
            <w:rtl/>
          </w:rPr>
          <w:t>"</w:t>
        </w:r>
        <w:r w:rsidR="00E15B85" w:rsidRPr="00E15B85">
          <w:rPr>
            <w:rFonts w:hint="cs"/>
            <w:color w:val="0000FF"/>
            <w:u w:val="single"/>
            <w:rtl/>
          </w:rPr>
          <w:t>פ</w:t>
        </w:r>
        <w:r w:rsidR="00E15B85" w:rsidRPr="00E15B85">
          <w:rPr>
            <w:color w:val="0000FF"/>
            <w:u w:val="single"/>
            <w:rtl/>
          </w:rPr>
          <w:t xml:space="preserve"> (</w:t>
        </w:r>
        <w:r w:rsidR="00E15B85" w:rsidRPr="00E15B85">
          <w:rPr>
            <w:rFonts w:hint="cs"/>
            <w:color w:val="0000FF"/>
            <w:u w:val="single"/>
            <w:rtl/>
          </w:rPr>
          <w:t>שלום</w:t>
        </w:r>
        <w:r w:rsidR="00E15B85" w:rsidRPr="00E15B85">
          <w:rPr>
            <w:color w:val="0000FF"/>
            <w:u w:val="single"/>
            <w:rtl/>
          </w:rPr>
          <w:t xml:space="preserve"> </w:t>
        </w:r>
        <w:r w:rsidR="00E15B85" w:rsidRPr="00E15B85">
          <w:rPr>
            <w:rFonts w:hint="cs"/>
            <w:color w:val="0000FF"/>
            <w:u w:val="single"/>
            <w:rtl/>
          </w:rPr>
          <w:t>תל</w:t>
        </w:r>
        <w:r w:rsidR="00E15B85" w:rsidRPr="00E15B85">
          <w:rPr>
            <w:color w:val="0000FF"/>
            <w:u w:val="single"/>
            <w:rtl/>
          </w:rPr>
          <w:t xml:space="preserve"> </w:t>
        </w:r>
        <w:r w:rsidR="00E15B85" w:rsidRPr="00E15B85">
          <w:rPr>
            <w:rFonts w:hint="cs"/>
            <w:color w:val="0000FF"/>
            <w:u w:val="single"/>
            <w:rtl/>
          </w:rPr>
          <w:t>אביב</w:t>
        </w:r>
        <w:r w:rsidR="00E15B85" w:rsidRPr="00E15B85">
          <w:rPr>
            <w:color w:val="0000FF"/>
            <w:u w:val="single"/>
            <w:rtl/>
          </w:rPr>
          <w:t xml:space="preserve"> </w:t>
        </w:r>
        <w:r w:rsidR="00E15B85" w:rsidRPr="00E15B85">
          <w:rPr>
            <w:rFonts w:hint="cs"/>
            <w:color w:val="0000FF"/>
            <w:u w:val="single"/>
            <w:rtl/>
          </w:rPr>
          <w:t>יפו</w:t>
        </w:r>
        <w:r w:rsidR="00E15B85" w:rsidRPr="00E15B85">
          <w:rPr>
            <w:color w:val="0000FF"/>
            <w:u w:val="single"/>
            <w:rtl/>
          </w:rPr>
          <w:t>) 41105-10-10</w:t>
        </w:r>
      </w:hyperlink>
      <w:r w:rsidRPr="00125F3A">
        <w:rPr>
          <w:rFonts w:hint="cs"/>
          <w:rtl/>
        </w:rPr>
        <w:t xml:space="preserve"> </w:t>
      </w:r>
      <w:r w:rsidRPr="00125F3A">
        <w:rPr>
          <w:rFonts w:hint="cs"/>
          <w:b/>
          <w:bCs/>
          <w:rtl/>
        </w:rPr>
        <w:t>מדינת ישראל נ' מוסטפה אלמגרבי</w:t>
      </w:r>
      <w:r w:rsidRPr="00125F3A">
        <w:rPr>
          <w:rFonts w:hint="cs"/>
          <w:rtl/>
        </w:rPr>
        <w:t>, (03.12.2014).</w:t>
      </w:r>
    </w:p>
    <w:p w14:paraId="02B1F823" w14:textId="77777777" w:rsidR="009205B0" w:rsidRPr="00125F3A" w:rsidRDefault="009205B0" w:rsidP="009205B0">
      <w:pPr>
        <w:pStyle w:val="ListParagraph"/>
        <w:ind w:left="-58" w:firstLine="0"/>
        <w:rPr>
          <w:rtl/>
        </w:rPr>
      </w:pPr>
      <w:r w:rsidRPr="00125F3A">
        <w:rPr>
          <w:rFonts w:hint="cs"/>
          <w:rtl/>
        </w:rPr>
        <w:t xml:space="preserve">ויוער, בסקירת הפסיקה שלעיל הפניתי למתחמי הענישה שנקבעו במקרים השונים, בעוד כי ברי שהעונשים שהושתו בכל מקרה ומקרה, בגדרי המתחמים או מחוצה להם, הושפעו ממאפייניו האישיים והייחודיים של כל נאשם ונאשם. כמו כן, אציין כי לא התעלמתי מהפסיקה שהוצגה לי,  אולם זאת עשיתי תוך ביצוע האבחנות המתבקשות בין המקרים שנדונו שם לבין המקרה שבפניי. בכל מקרה, ברי כי כמו העונשים עצמם, גם מתחמי העונש משתנים ממקרה למקרה, ומושפעים מהנסיבות הקשורות בעבירות, כגון סוג הסם הנסחר, כמותו, התמורה שהתקבלה בעדו, מידת התחכום והתכנון המוקדם שהיו כרוכים בביצוע העבירות, ועוד. ומכאן שנהיר לבית המשפט כי קיימים מקרים שבהם הושתו עונשים החורגים, לקולא או לחומרה, ממנעד הענישה שעליו עמדתי זה עתה. הדבר אך טבעי הוא, שכן כידוע, הענישה היא לעולם אינדיווידואלית </w:t>
      </w:r>
      <w:r w:rsidRPr="00125F3A">
        <w:rPr>
          <w:rFonts w:hint="cs"/>
          <w:b/>
          <w:bCs/>
          <w:rtl/>
        </w:rPr>
        <w:t>ו"אין עסקינן בשיטת ניקוד, או באריתמטיקה. ענישה היא מלאכת מחשבת – ולא מלאכת מחשב"</w:t>
      </w:r>
      <w:r w:rsidRPr="00125F3A">
        <w:rPr>
          <w:rFonts w:hint="cs"/>
          <w:rtl/>
        </w:rPr>
        <w:t xml:space="preserve"> (</w:t>
      </w:r>
      <w:hyperlink r:id="rId56" w:history="1">
        <w:r w:rsidR="00E15B85" w:rsidRPr="00E15B85">
          <w:rPr>
            <w:rFonts w:hint="cs"/>
            <w:color w:val="0000FF"/>
            <w:u w:val="single"/>
            <w:rtl/>
          </w:rPr>
          <w:t>ע</w:t>
        </w:r>
        <w:r w:rsidR="00E15B85" w:rsidRPr="00E15B85">
          <w:rPr>
            <w:color w:val="0000FF"/>
            <w:u w:val="single"/>
            <w:rtl/>
          </w:rPr>
          <w:t>"</w:t>
        </w:r>
        <w:r w:rsidR="00E15B85" w:rsidRPr="00E15B85">
          <w:rPr>
            <w:rFonts w:hint="cs"/>
            <w:color w:val="0000FF"/>
            <w:u w:val="single"/>
            <w:rtl/>
          </w:rPr>
          <w:t>פ</w:t>
        </w:r>
        <w:r w:rsidR="00E15B85" w:rsidRPr="00E15B85">
          <w:rPr>
            <w:color w:val="0000FF"/>
            <w:u w:val="single"/>
            <w:rtl/>
          </w:rPr>
          <w:t xml:space="preserve"> 5768/10</w:t>
        </w:r>
      </w:hyperlink>
      <w:r w:rsidRPr="00125F3A">
        <w:rPr>
          <w:rFonts w:hint="cs"/>
          <w:rtl/>
        </w:rPr>
        <w:t xml:space="preserve"> </w:t>
      </w:r>
      <w:r w:rsidRPr="00125F3A">
        <w:rPr>
          <w:rFonts w:hint="cs"/>
          <w:b/>
          <w:bCs/>
          <w:rtl/>
        </w:rPr>
        <w:t>פלוני נ' מדינת ישראל</w:t>
      </w:r>
      <w:r w:rsidRPr="00125F3A">
        <w:rPr>
          <w:rFonts w:hint="cs"/>
          <w:rtl/>
        </w:rPr>
        <w:t xml:space="preserve">, (08.06.2015)). לעולם אין לגזור עונשו של נאשם על סמך כותרות העבירות שבהן הוא הורשע, ויש להתחשב במכלול הנסיבות בכל מקרה לגופו. כך גם, ממילא עלינו לזכור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57" w:history="1">
        <w:r w:rsidR="00E15B85" w:rsidRPr="00E15B85">
          <w:rPr>
            <w:rFonts w:hint="cs"/>
            <w:color w:val="0000FF"/>
            <w:u w:val="single"/>
            <w:rtl/>
          </w:rPr>
          <w:t>ע</w:t>
        </w:r>
        <w:r w:rsidR="00E15B85" w:rsidRPr="00E15B85">
          <w:rPr>
            <w:color w:val="0000FF"/>
            <w:u w:val="single"/>
            <w:rtl/>
          </w:rPr>
          <w:t>"</w:t>
        </w:r>
        <w:r w:rsidR="00E15B85" w:rsidRPr="00E15B85">
          <w:rPr>
            <w:rFonts w:hint="cs"/>
            <w:color w:val="0000FF"/>
            <w:u w:val="single"/>
            <w:rtl/>
          </w:rPr>
          <w:t>פ</w:t>
        </w:r>
        <w:r w:rsidR="00E15B85" w:rsidRPr="00E15B85">
          <w:rPr>
            <w:color w:val="0000FF"/>
            <w:u w:val="single"/>
            <w:rtl/>
          </w:rPr>
          <w:t xml:space="preserve"> 1903/13</w:t>
        </w:r>
      </w:hyperlink>
      <w:r w:rsidRPr="00125F3A">
        <w:rPr>
          <w:rFonts w:hint="cs"/>
          <w:rtl/>
        </w:rPr>
        <w:t xml:space="preserve"> </w:t>
      </w:r>
      <w:r w:rsidRPr="00125F3A">
        <w:rPr>
          <w:rFonts w:hint="cs"/>
          <w:b/>
          <w:bCs/>
          <w:rtl/>
        </w:rPr>
        <w:t>חמודה עיאשה נ' מדינת ישראל</w:t>
      </w:r>
      <w:r w:rsidRPr="00125F3A">
        <w:rPr>
          <w:rFonts w:hint="cs"/>
          <w:rtl/>
        </w:rPr>
        <w:t>, (25.06.2013)).</w:t>
      </w:r>
    </w:p>
    <w:p w14:paraId="00890B52" w14:textId="77777777" w:rsidR="009205B0" w:rsidRPr="00125F3A" w:rsidRDefault="009205B0" w:rsidP="009205B0">
      <w:pPr>
        <w:pStyle w:val="ListParagraph"/>
        <w:numPr>
          <w:ilvl w:val="0"/>
          <w:numId w:val="2"/>
        </w:numPr>
        <w:ind w:left="-58"/>
        <w:rPr>
          <w:rtl/>
        </w:rPr>
      </w:pPr>
      <w:r w:rsidRPr="00125F3A">
        <w:rPr>
          <w:rFonts w:hint="cs"/>
          <w:rtl/>
        </w:rPr>
        <w:t xml:space="preserve">כללם של דברים, בשים לב לעקרון המנחה בענישה, לערכים המוגנים שפגעו ולמידת הפגיעה בהם, למדיניות הענישה הנוהגת, ולנסיבות הקשורות בביצוע העבירות, הריני לקבוע כי </w:t>
      </w:r>
      <w:r w:rsidRPr="00125F3A">
        <w:rPr>
          <w:rFonts w:hint="cs"/>
          <w:b/>
          <w:bCs/>
          <w:rtl/>
        </w:rPr>
        <w:t xml:space="preserve">מתחם העונש ההולם </w:t>
      </w:r>
      <w:r w:rsidRPr="00125F3A">
        <w:rPr>
          <w:rFonts w:hint="cs"/>
          <w:b/>
          <w:bCs/>
          <w:u w:val="single"/>
          <w:rtl/>
        </w:rPr>
        <w:t>בכל אחד מהאישומים 1 ו- 2</w:t>
      </w:r>
      <w:r w:rsidRPr="00125F3A">
        <w:rPr>
          <w:rFonts w:hint="cs"/>
          <w:b/>
          <w:bCs/>
          <w:rtl/>
        </w:rPr>
        <w:t xml:space="preserve"> ינוע בין 6 חודשי מאסר, שניתן לרצותם בעבודות שירות, לבין 16 חודשי מאסר;</w:t>
      </w:r>
      <w:r w:rsidRPr="00125F3A">
        <w:rPr>
          <w:rFonts w:hint="cs"/>
          <w:rtl/>
        </w:rPr>
        <w:t xml:space="preserve"> </w:t>
      </w:r>
      <w:r w:rsidRPr="00125F3A">
        <w:rPr>
          <w:rFonts w:hint="cs"/>
          <w:b/>
          <w:bCs/>
          <w:u w:val="single"/>
          <w:rtl/>
        </w:rPr>
        <w:t>באישום השלישי</w:t>
      </w:r>
      <w:r w:rsidRPr="00125F3A">
        <w:rPr>
          <w:rFonts w:hint="cs"/>
          <w:b/>
          <w:bCs/>
          <w:rtl/>
        </w:rPr>
        <w:t>, ינוע מתחם העונש ההולם בין מאסר מותנה לבין 8 חודשי מאסר.</w:t>
      </w:r>
    </w:p>
    <w:p w14:paraId="2483E989" w14:textId="77777777" w:rsidR="009205B0" w:rsidRPr="00125F3A" w:rsidRDefault="009205B0" w:rsidP="009205B0">
      <w:pPr>
        <w:pStyle w:val="1"/>
        <w:numPr>
          <w:ilvl w:val="0"/>
          <w:numId w:val="4"/>
        </w:numPr>
        <w:spacing w:after="160" w:line="360" w:lineRule="auto"/>
        <w:ind w:left="360"/>
        <w:jc w:val="both"/>
        <w:rPr>
          <w:rFonts w:cs="David"/>
          <w:b/>
          <w:bCs/>
          <w:color w:val="auto"/>
          <w:sz w:val="28"/>
          <w:szCs w:val="28"/>
          <w:rtl/>
        </w:rPr>
      </w:pPr>
      <w:r w:rsidRPr="00125F3A">
        <w:rPr>
          <w:rFonts w:cs="David" w:hint="cs"/>
          <w:b/>
          <w:bCs/>
          <w:color w:val="auto"/>
          <w:sz w:val="28"/>
          <w:szCs w:val="28"/>
          <w:rtl/>
        </w:rPr>
        <w:t>גזירת העונש המתאים לנאשמת</w:t>
      </w:r>
    </w:p>
    <w:p w14:paraId="73A305B3" w14:textId="77777777" w:rsidR="009205B0" w:rsidRPr="00125F3A" w:rsidRDefault="009205B0" w:rsidP="009205B0">
      <w:pPr>
        <w:pStyle w:val="ListParagraph"/>
        <w:numPr>
          <w:ilvl w:val="0"/>
          <w:numId w:val="2"/>
        </w:numPr>
        <w:ind w:left="-58"/>
      </w:pPr>
      <w:r w:rsidRPr="00125F3A">
        <w:rPr>
          <w:rFonts w:hint="cs"/>
          <w:rtl/>
        </w:rPr>
        <w:t xml:space="preserve">אשר לגזירת העונש המתאים לנאשמת, הרי שזו צריכה להיעשות בהתחשב בנסיבות שאינן קשורות בביצוע העבירות, כפי שאלו מפורטות </w:t>
      </w:r>
      <w:hyperlink r:id="rId58" w:history="1">
        <w:r w:rsidR="00B757FD" w:rsidRPr="00B757FD">
          <w:rPr>
            <w:rFonts w:hint="cs"/>
            <w:color w:val="0000FF"/>
            <w:u w:val="single"/>
            <w:rtl/>
          </w:rPr>
          <w:t>בסעיף</w:t>
        </w:r>
        <w:r w:rsidR="00B757FD" w:rsidRPr="00B757FD">
          <w:rPr>
            <w:color w:val="0000FF"/>
            <w:u w:val="single"/>
            <w:rtl/>
          </w:rPr>
          <w:t xml:space="preserve"> 40</w:t>
        </w:r>
        <w:r w:rsidR="00B757FD" w:rsidRPr="00B757FD">
          <w:rPr>
            <w:rFonts w:hint="cs"/>
            <w:color w:val="0000FF"/>
            <w:u w:val="single"/>
            <w:rtl/>
          </w:rPr>
          <w:t>יא</w:t>
        </w:r>
      </w:hyperlink>
      <w:r w:rsidRPr="00125F3A">
        <w:rPr>
          <w:rFonts w:hint="cs"/>
          <w:rtl/>
        </w:rPr>
        <w:t xml:space="preserve"> ל</w:t>
      </w:r>
      <w:hyperlink r:id="rId59" w:history="1">
        <w:r w:rsidR="00E15B85" w:rsidRPr="00E15B85">
          <w:rPr>
            <w:rFonts w:hint="cs"/>
            <w:color w:val="0000FF"/>
            <w:u w:val="single"/>
            <w:rtl/>
          </w:rPr>
          <w:t>חוק</w:t>
        </w:r>
        <w:r w:rsidR="00E15B85" w:rsidRPr="00E15B85">
          <w:rPr>
            <w:color w:val="0000FF"/>
            <w:u w:val="single"/>
            <w:rtl/>
          </w:rPr>
          <w:t xml:space="preserve"> </w:t>
        </w:r>
        <w:r w:rsidR="00E15B85" w:rsidRPr="00E15B85">
          <w:rPr>
            <w:rFonts w:hint="cs"/>
            <w:color w:val="0000FF"/>
            <w:u w:val="single"/>
            <w:rtl/>
          </w:rPr>
          <w:t>העונשין</w:t>
        </w:r>
      </w:hyperlink>
      <w:r w:rsidRPr="00125F3A">
        <w:rPr>
          <w:rFonts w:hint="cs"/>
          <w:rtl/>
        </w:rPr>
        <w:t>.</w:t>
      </w:r>
    </w:p>
    <w:p w14:paraId="501EA863" w14:textId="77777777" w:rsidR="009205B0" w:rsidRPr="00125F3A" w:rsidRDefault="009205B0" w:rsidP="009205B0">
      <w:pPr>
        <w:pStyle w:val="ListParagraph"/>
        <w:ind w:left="-58" w:firstLine="0"/>
      </w:pPr>
      <w:r w:rsidRPr="00125F3A">
        <w:rPr>
          <w:rFonts w:hint="cs"/>
          <w:rtl/>
        </w:rPr>
        <w:t>בעניין זה, נתתי דעתי לעובדה כי לנאשמת עבר פלילי נקי ולכך שזו הסתבכותה הראשונה עם החוק. כן שקלתי את הפגיעה שעלולה להיגרם לה ולמשפחתה אם יושת עליה עונש מאסר בפועל, וזאת בשים לב לעובדה שהיא מטופלת בשני ילדיה הקטינים ולאור כך שהיא לא ריצתה עונשי מאסר בעברה, כך שהכלא זר לה. עוד ולקולא, יש ליתן את הדעת לכך שהנאשמת הודתה בביצוע העבירות, ובכך הביאה לחיסכון בזמן שיפוטי יקר, ואף ייתרה את הצורך בהעדתו של הסוכן. בהמשך לאמור, הרי שבמקרה הנדון ההודאה אף משקפת קבלת אחריות על המעשים מצדה של הנאשמת, וניכר כי היא מצטערת ומביעה עליהם חרטה כנה.</w:t>
      </w:r>
    </w:p>
    <w:p w14:paraId="432EC60A" w14:textId="77777777" w:rsidR="009205B0" w:rsidRPr="00125F3A" w:rsidRDefault="009205B0" w:rsidP="009205B0">
      <w:pPr>
        <w:pStyle w:val="ListParagraph"/>
        <w:ind w:left="-58" w:firstLine="0"/>
        <w:rPr>
          <w:rtl/>
        </w:rPr>
      </w:pPr>
      <w:r w:rsidRPr="00125F3A">
        <w:rPr>
          <w:rFonts w:hint="cs"/>
          <w:rtl/>
        </w:rPr>
        <w:t xml:space="preserve">עוד יש ליתן את הדעת, לעובדה שהנאשמת שהתה כשלושה שבועות במעצר מאחורי סורג ובריח ובמשך תקופה ארוכה נוספת שהתה תחת תנאים מגבילים. ברי כי הליך המעצר אינו עונש או "מקדמה על חשבון העונש", אך כמו שירות המבחן, גם אני שוכנעתי כי היה בכך כדי להבהיר לנאשמת את חומרת מעשיה ולהרתיעה מפני ביצוע עבירות נוספות. מה גם, שיש לראות במעצרה של הנאשמת ובתקופת שהייתה תחת תנאים מגבילים כנסיבה שניתן לשוקלה במסגרת </w:t>
      </w:r>
      <w:hyperlink r:id="rId60" w:history="1">
        <w:r w:rsidR="00B757FD" w:rsidRPr="00B757FD">
          <w:rPr>
            <w:rFonts w:hint="cs"/>
            <w:color w:val="0000FF"/>
            <w:u w:val="single"/>
            <w:rtl/>
          </w:rPr>
          <w:t>סעיף</w:t>
        </w:r>
        <w:r w:rsidR="00B757FD" w:rsidRPr="00B757FD">
          <w:rPr>
            <w:color w:val="0000FF"/>
            <w:u w:val="single"/>
            <w:rtl/>
          </w:rPr>
          <w:t xml:space="preserve"> 40</w:t>
        </w:r>
        <w:r w:rsidR="00B757FD" w:rsidRPr="00B757FD">
          <w:rPr>
            <w:rFonts w:hint="cs"/>
            <w:color w:val="0000FF"/>
            <w:u w:val="single"/>
            <w:rtl/>
          </w:rPr>
          <w:t>יא</w:t>
        </w:r>
        <w:r w:rsidR="00B757FD" w:rsidRPr="00B757FD">
          <w:rPr>
            <w:color w:val="0000FF"/>
            <w:u w:val="single"/>
            <w:rtl/>
          </w:rPr>
          <w:t>(3)</w:t>
        </w:r>
      </w:hyperlink>
      <w:r w:rsidRPr="00125F3A">
        <w:rPr>
          <w:rFonts w:hint="cs"/>
          <w:rtl/>
        </w:rPr>
        <w:t xml:space="preserve"> ל</w:t>
      </w:r>
      <w:hyperlink r:id="rId61" w:history="1">
        <w:r w:rsidR="00E15B85" w:rsidRPr="00E15B85">
          <w:rPr>
            <w:rFonts w:hint="cs"/>
            <w:color w:val="0000FF"/>
            <w:u w:val="single"/>
            <w:rtl/>
          </w:rPr>
          <w:t>חוק</w:t>
        </w:r>
        <w:r w:rsidR="00E15B85" w:rsidRPr="00E15B85">
          <w:rPr>
            <w:color w:val="0000FF"/>
            <w:u w:val="single"/>
            <w:rtl/>
          </w:rPr>
          <w:t xml:space="preserve"> </w:t>
        </w:r>
        <w:r w:rsidR="00E15B85" w:rsidRPr="00E15B85">
          <w:rPr>
            <w:rFonts w:hint="cs"/>
            <w:color w:val="0000FF"/>
            <w:u w:val="single"/>
            <w:rtl/>
          </w:rPr>
          <w:t>העונשין</w:t>
        </w:r>
      </w:hyperlink>
      <w:r w:rsidRPr="00125F3A">
        <w:rPr>
          <w:rFonts w:hint="cs"/>
          <w:rtl/>
        </w:rPr>
        <w:t>.</w:t>
      </w:r>
    </w:p>
    <w:p w14:paraId="747052EF" w14:textId="77777777" w:rsidR="009205B0" w:rsidRPr="00125F3A" w:rsidRDefault="009205B0" w:rsidP="009205B0">
      <w:pPr>
        <w:pStyle w:val="ListParagraph"/>
        <w:ind w:left="-58" w:firstLine="0"/>
        <w:rPr>
          <w:rtl/>
        </w:rPr>
      </w:pPr>
      <w:r w:rsidRPr="00125F3A">
        <w:rPr>
          <w:rFonts w:hint="cs"/>
          <w:rtl/>
        </w:rPr>
        <w:t xml:space="preserve">בנוסף, בית המשפט נותן דעתו לנסיבות חייה המורכבות של הנאשמת – כפי שאלו נפרסו בהרחבה בתסקירי שירות המבחן ובטיעוני ההגנה לעונש – ושנדמה כי הייתה להן השפעה על ביצוע העבירות שבמוקד כתב האישום המתוקן. על מנת לשמור על כבודה ופרטיותה של הנאשמת, לא אפרט כאן את מכלול התלאות שעברה בחייה, אך אציין כי בפניי אחד מאותם מקרים מכמירי לב, כאשר ניכר כי למן ראשית התבגרותה, נאלצה הנאשמת להתמודד עם מכשולים רבים שהחיים הציבו בפניה, הן בפן המשפחתי, הן בפן הכלכלי והן בפן המנטלי. כאמור, לא אפרוס כאן את מכלול הנסיבות שאליהן מכוון בית המשפט, ודי בכך שאומר כי את בתה הבכורה, היא ילדה עת הייתה בת 14 בלבד.  </w:t>
      </w:r>
    </w:p>
    <w:p w14:paraId="142A8AD8" w14:textId="77777777" w:rsidR="009205B0" w:rsidRPr="00125F3A" w:rsidRDefault="009205B0" w:rsidP="009205B0">
      <w:pPr>
        <w:pStyle w:val="ListParagraph"/>
        <w:numPr>
          <w:ilvl w:val="0"/>
          <w:numId w:val="2"/>
        </w:numPr>
        <w:ind w:left="-58"/>
        <w:rPr>
          <w:rtl/>
        </w:rPr>
      </w:pPr>
      <w:r w:rsidRPr="00125F3A">
        <w:rPr>
          <w:rFonts w:hint="cs"/>
          <w:rtl/>
        </w:rPr>
        <w:t>זאת ועוד, ייאמר כי לא נעלמה מעיניי העובדה שהנאשמת שללה נזקקות טיפולית בתחום הסמים – שכן, לטענתה היא נגמלה משימוש בסמים באופן עצמאי – ומשכך לא נרתמה לטיפול כלשהו בהתמכרויותיה. כמו כן, בית המשפט שת ליבו לכך שבאחת מבדיקות השתן שמסרה הנאשמת נמצאו שרידי סם מסוג קוקאין; ולהערכתו של שירות המבחן, לפיה נשקף הימנה סיכון ברמה בינונית-נמוכה להישנות התנהגות עוברת חוק. דא עקא, ולצד כל האמור, הרי שגם לא ניתן להתעלם מהעובדה שהנאשמת שיתפה פעולה עם שירות המבחן ואף השתלבה בקבוצה טיפולית לנשים, אליה היא התמידה להגיע במשך כחמישה חודשים. בהמשך לאמור, יצוין כי על אף הקושי שחוותה בתחילת דרכה הטיפולית, מגורמי הטיפול נמסר כי ככל שחלף הזמן, הנאשמת עברה תהליך שבמסגרתו שיפרה את יכולת הגעתה בזמן, וכי ניכר שחל מיתון בתגובותיה ושהיא עורכת מאמצים לשיתוף והקשבה ומתנסה בחשיפה. לא בכדי, התרשם שירות המבחן כי הנאשמת נתרמת מהטיפול ואף מקבלת מחברות הקבוצה תגובות חיוביות באשר לשינוי שחל בנוכחותה ולאווירה שהיא יוצרת סביבה.</w:t>
      </w:r>
    </w:p>
    <w:p w14:paraId="3F1D4939" w14:textId="77777777" w:rsidR="009205B0" w:rsidRPr="00125F3A" w:rsidRDefault="009205B0" w:rsidP="009205B0">
      <w:pPr>
        <w:pStyle w:val="ListParagraph"/>
        <w:ind w:left="-58" w:firstLine="0"/>
      </w:pPr>
      <w:r w:rsidRPr="00125F3A">
        <w:rPr>
          <w:rFonts w:hint="cs"/>
          <w:rtl/>
        </w:rPr>
        <w:t>כמו כן, יש ליתן את הדעת לכך שהנאשמת טענה בתוקף כי אינה יודעת מדוע בבדיקה שמסרה נמצאו שרידי סם, שכן לדבריה היא אינה משתמשת עוד בסמים, והתעקשה על ביצוע בדיקה נוספת. ואכן, בבדיקה האחרונה שהיא מסרה (כמו גם בדיקה אחת נוספת שמסרה קודם לכן), לא נמצאו שרידי סם. לאלו אף יש להוסיף, ככל שהדבר נוגע לסיכון שנשקף מהנאשמת, כי להתרשמותו של שירות המבחן, שעליה הוא חזר כמה פעמים, ההליכים הפליליים המתנהלים נגד הנאשמת מהווים עבורה גורם מרתיע.</w:t>
      </w:r>
    </w:p>
    <w:p w14:paraId="618EF7DB" w14:textId="77777777" w:rsidR="009205B0" w:rsidRPr="00125F3A" w:rsidRDefault="009205B0" w:rsidP="009205B0">
      <w:pPr>
        <w:pStyle w:val="ListParagraph"/>
        <w:numPr>
          <w:ilvl w:val="0"/>
          <w:numId w:val="2"/>
        </w:numPr>
        <w:ind w:left="-58"/>
      </w:pPr>
      <w:r w:rsidRPr="00125F3A">
        <w:rPr>
          <w:rFonts w:hint="cs"/>
          <w:rtl/>
        </w:rPr>
        <w:t xml:space="preserve">אכן, ידוע הכלל לפיו בעבירות סמים נסוגים האינטרס של הנאשם ונסיבותיו האישיות מפני האינטרס הציבורי בהשתת ענישה מחמירה על עברייני הסמים (וראו דבריו של בית המשפט העליון </w:t>
      </w:r>
      <w:r w:rsidRPr="00125F3A">
        <w:rPr>
          <w:rFonts w:hint="cs"/>
          <w:b/>
          <w:bCs/>
          <w:rtl/>
        </w:rPr>
        <w:t>בעניין זניד</w:t>
      </w:r>
      <w:r w:rsidRPr="00125F3A">
        <w:rPr>
          <w:rFonts w:hint="cs"/>
          <w:rtl/>
        </w:rPr>
        <w:t>, אשר אוזכר קודם לכן). יחד עם זאת, במצבור הנסיבות שבתיק זה, ובייחוד בשים לב לעברה הפלילי הנקי של הנאשמת ולעובדה שזו הסתבכותה הראשונה עם החוק; לנסיבות חייה המורכבות; לכך שהיא רווקה המטופלת בשני ילדים קטינים; לנוכח העובדה שבכל זאת היא נרתמה ועברה הליך טיפולי במסגרת שירות המבחן, המעיד אודות המוטיבציה שלה לחזור לדרך הישר; ולאור כך שמאז ביצוע העבירות היא לא חזרה לסורה ולא שבה לעבור עוד על החוק – מצאתי כי ניתן בזו הפעם להשית עליה ענישה ברף התחתון של מתחמי הענישה שנקבעו על ידי, קרי 6 חודשים מאסר לריצוי בעבודות שירות (עונש מהסוג שעליו גם המליץ שירות המבחן), ובכך למעשה להימנע משליחתה אל מאחורי סורג ובריח.</w:t>
      </w:r>
    </w:p>
    <w:p w14:paraId="44C778D4" w14:textId="77777777" w:rsidR="009205B0" w:rsidRPr="00125F3A" w:rsidRDefault="009205B0" w:rsidP="009205B0">
      <w:pPr>
        <w:pStyle w:val="ListParagraph"/>
        <w:ind w:left="-58" w:firstLine="0"/>
      </w:pPr>
      <w:r w:rsidRPr="00125F3A">
        <w:rPr>
          <w:rFonts w:hint="cs"/>
          <w:rtl/>
        </w:rPr>
        <w:t xml:space="preserve">ודוק, </w:t>
      </w:r>
      <w:r w:rsidRPr="00125F3A">
        <w:rPr>
          <w:rFonts w:eastAsia="Times New Roman" w:hint="cs"/>
          <w:rtl/>
        </w:rPr>
        <w:t xml:space="preserve">סבורתני שהשתת עונש כולל אשר אינו פוחת מהרף התחתון של מתחם העונש המחמיר ביותר שנקבע – אינו מהווה חריגה לקולא ממתחם העונש, כמשמעה </w:t>
      </w:r>
      <w:hyperlink r:id="rId62" w:history="1">
        <w:r w:rsidR="00B757FD" w:rsidRPr="00B757FD">
          <w:rPr>
            <w:rFonts w:eastAsia="Times New Roman" w:hint="eastAsia"/>
            <w:color w:val="0000FF"/>
            <w:u w:val="single"/>
            <w:rtl/>
          </w:rPr>
          <w:t>בסעיפים</w:t>
        </w:r>
        <w:r w:rsidR="00B757FD" w:rsidRPr="00B757FD">
          <w:rPr>
            <w:rFonts w:eastAsia="Times New Roman"/>
            <w:color w:val="0000FF"/>
            <w:u w:val="single"/>
            <w:rtl/>
          </w:rPr>
          <w:t xml:space="preserve"> 40</w:t>
        </w:r>
        <w:r w:rsidR="00B757FD" w:rsidRPr="00B757FD">
          <w:rPr>
            <w:rFonts w:eastAsia="Times New Roman" w:hint="eastAsia"/>
            <w:color w:val="0000FF"/>
            <w:u w:val="single"/>
            <w:rtl/>
          </w:rPr>
          <w:t>ג</w:t>
        </w:r>
        <w:r w:rsidR="00B757FD" w:rsidRPr="00B757FD">
          <w:rPr>
            <w:rFonts w:eastAsia="Times New Roman"/>
            <w:color w:val="0000FF"/>
            <w:u w:val="single"/>
            <w:rtl/>
          </w:rPr>
          <w:t>(</w:t>
        </w:r>
        <w:r w:rsidR="00B757FD" w:rsidRPr="00B757FD">
          <w:rPr>
            <w:rFonts w:eastAsia="Times New Roman" w:hint="eastAsia"/>
            <w:color w:val="0000FF"/>
            <w:u w:val="single"/>
            <w:rtl/>
          </w:rPr>
          <w:t>ב</w:t>
        </w:r>
        <w:r w:rsidR="00B757FD" w:rsidRPr="00B757FD">
          <w:rPr>
            <w:rFonts w:eastAsia="Times New Roman"/>
            <w:color w:val="0000FF"/>
            <w:u w:val="single"/>
            <w:rtl/>
          </w:rPr>
          <w:t>)</w:t>
        </w:r>
      </w:hyperlink>
      <w:r w:rsidRPr="00125F3A">
        <w:rPr>
          <w:rFonts w:eastAsia="Times New Roman" w:hint="cs"/>
          <w:rtl/>
        </w:rPr>
        <w:t xml:space="preserve"> ו- </w:t>
      </w:r>
      <w:hyperlink r:id="rId63" w:history="1">
        <w:r w:rsidR="00B757FD" w:rsidRPr="00B757FD">
          <w:rPr>
            <w:rStyle w:val="Hyperlink"/>
            <w:rFonts w:eastAsia="Times New Roman"/>
            <w:color w:val="0000FF"/>
            <w:rtl/>
          </w:rPr>
          <w:t>40</w:t>
        </w:r>
        <w:r w:rsidR="00B757FD" w:rsidRPr="00B757FD">
          <w:rPr>
            <w:rStyle w:val="Hyperlink"/>
            <w:rFonts w:eastAsia="Times New Roman" w:hint="eastAsia"/>
            <w:color w:val="0000FF"/>
            <w:rtl/>
          </w:rPr>
          <w:t>ד</w:t>
        </w:r>
        <w:r w:rsidR="00B757FD" w:rsidRPr="00B757FD">
          <w:rPr>
            <w:rStyle w:val="Hyperlink"/>
            <w:rFonts w:eastAsia="Times New Roman"/>
            <w:color w:val="0000FF"/>
            <w:rtl/>
          </w:rPr>
          <w:t>(</w:t>
        </w:r>
        <w:r w:rsidR="00B757FD" w:rsidRPr="00B757FD">
          <w:rPr>
            <w:rStyle w:val="Hyperlink"/>
            <w:rFonts w:eastAsia="Times New Roman" w:hint="eastAsia"/>
            <w:color w:val="0000FF"/>
            <w:rtl/>
          </w:rPr>
          <w:t>א</w:t>
        </w:r>
        <w:r w:rsidR="00B757FD" w:rsidRPr="00B757FD">
          <w:rPr>
            <w:rStyle w:val="Hyperlink"/>
            <w:rFonts w:eastAsia="Times New Roman"/>
            <w:color w:val="0000FF"/>
            <w:rtl/>
          </w:rPr>
          <w:t>)</w:t>
        </w:r>
      </w:hyperlink>
      <w:r w:rsidRPr="00125F3A">
        <w:rPr>
          <w:rFonts w:eastAsia="Times New Roman" w:hint="cs"/>
          <w:rtl/>
        </w:rPr>
        <w:t xml:space="preserve"> ל</w:t>
      </w:r>
      <w:hyperlink r:id="rId64" w:history="1">
        <w:r w:rsidR="00E15B85" w:rsidRPr="00E15B85">
          <w:rPr>
            <w:rFonts w:eastAsia="Times New Roman" w:hint="eastAsia"/>
            <w:color w:val="0000FF"/>
            <w:u w:val="single"/>
            <w:rtl/>
          </w:rPr>
          <w:t>חוק</w:t>
        </w:r>
        <w:r w:rsidR="00E15B85" w:rsidRPr="00E15B85">
          <w:rPr>
            <w:rFonts w:eastAsia="Times New Roman"/>
            <w:color w:val="0000FF"/>
            <w:u w:val="single"/>
            <w:rtl/>
          </w:rPr>
          <w:t xml:space="preserve"> </w:t>
        </w:r>
        <w:r w:rsidR="00E15B85" w:rsidRPr="00E15B85">
          <w:rPr>
            <w:rFonts w:eastAsia="Times New Roman" w:hint="eastAsia"/>
            <w:color w:val="0000FF"/>
            <w:u w:val="single"/>
            <w:rtl/>
          </w:rPr>
          <w:t>העונשין</w:t>
        </w:r>
      </w:hyperlink>
      <w:r w:rsidRPr="00125F3A">
        <w:rPr>
          <w:rFonts w:eastAsia="Times New Roman" w:hint="cs"/>
          <w:rtl/>
        </w:rPr>
        <w:t xml:space="preserve">. למשל, במקרה הנדון נקבעו שלושה מתחמי ענישה, שהרף התחתון של המתחם המחמיר ביותר הוא 6 חודשי מאסר. בהינתן האמור, כך לדידי, השתת עונש כולל של 6 חודשי מאסר אינו מהווה חריגה לקולא מהמתחמים. למסקנה זו הגעתי בשים לב לסיפא של </w:t>
      </w:r>
      <w:hyperlink r:id="rId65" w:history="1">
        <w:r w:rsidR="00B757FD" w:rsidRPr="00B757FD">
          <w:rPr>
            <w:rStyle w:val="Hyperlink"/>
            <w:rFonts w:eastAsia="Times New Roman" w:hint="eastAsia"/>
            <w:color w:val="0000FF"/>
            <w:rtl/>
          </w:rPr>
          <w:t>סעיף</w:t>
        </w:r>
        <w:r w:rsidR="00B757FD" w:rsidRPr="00B757FD">
          <w:rPr>
            <w:rStyle w:val="Hyperlink"/>
            <w:rFonts w:eastAsia="Times New Roman"/>
            <w:color w:val="0000FF"/>
            <w:rtl/>
          </w:rPr>
          <w:t xml:space="preserve"> 40</w:t>
        </w:r>
        <w:r w:rsidR="00B757FD" w:rsidRPr="00B757FD">
          <w:rPr>
            <w:rStyle w:val="Hyperlink"/>
            <w:rFonts w:eastAsia="Times New Roman" w:hint="eastAsia"/>
            <w:color w:val="0000FF"/>
            <w:rtl/>
          </w:rPr>
          <w:t>יג</w:t>
        </w:r>
        <w:r w:rsidR="00B757FD" w:rsidRPr="00B757FD">
          <w:rPr>
            <w:rStyle w:val="Hyperlink"/>
            <w:rFonts w:eastAsia="Times New Roman"/>
            <w:color w:val="0000FF"/>
            <w:rtl/>
          </w:rPr>
          <w:t>(</w:t>
        </w:r>
        <w:r w:rsidR="00B757FD" w:rsidRPr="00B757FD">
          <w:rPr>
            <w:rStyle w:val="Hyperlink"/>
            <w:rFonts w:eastAsia="Times New Roman" w:hint="eastAsia"/>
            <w:color w:val="0000FF"/>
            <w:rtl/>
          </w:rPr>
          <w:t>ב</w:t>
        </w:r>
        <w:r w:rsidR="00B757FD" w:rsidRPr="00B757FD">
          <w:rPr>
            <w:rStyle w:val="Hyperlink"/>
            <w:rFonts w:eastAsia="Times New Roman"/>
            <w:color w:val="0000FF"/>
            <w:rtl/>
          </w:rPr>
          <w:t>)</w:t>
        </w:r>
      </w:hyperlink>
      <w:r w:rsidRPr="00125F3A">
        <w:rPr>
          <w:rFonts w:eastAsia="Times New Roman" w:hint="cs"/>
          <w:rtl/>
        </w:rPr>
        <w:t xml:space="preserve"> ל</w:t>
      </w:r>
      <w:hyperlink r:id="rId66" w:history="1">
        <w:r w:rsidR="00E15B85" w:rsidRPr="00E15B85">
          <w:rPr>
            <w:rFonts w:eastAsia="Times New Roman" w:hint="eastAsia"/>
            <w:color w:val="0000FF"/>
            <w:u w:val="single"/>
            <w:rtl/>
          </w:rPr>
          <w:t>חוק</w:t>
        </w:r>
        <w:r w:rsidR="00E15B85" w:rsidRPr="00E15B85">
          <w:rPr>
            <w:rFonts w:eastAsia="Times New Roman"/>
            <w:color w:val="0000FF"/>
            <w:u w:val="single"/>
            <w:rtl/>
          </w:rPr>
          <w:t xml:space="preserve"> </w:t>
        </w:r>
        <w:r w:rsidR="00E15B85" w:rsidRPr="00E15B85">
          <w:rPr>
            <w:rFonts w:eastAsia="Times New Roman" w:hint="eastAsia"/>
            <w:color w:val="0000FF"/>
            <w:u w:val="single"/>
            <w:rtl/>
          </w:rPr>
          <w:t>העונשין</w:t>
        </w:r>
      </w:hyperlink>
      <w:r w:rsidRPr="00125F3A">
        <w:rPr>
          <w:rFonts w:eastAsia="Times New Roman" w:hint="cs"/>
          <w:rtl/>
        </w:rPr>
        <w:t>, הקובע כי בית משפט שגזר עונש נפרד לכל אירוע, יקבע את מידת החפיפה בין העונשים או הצטברותם. לאמור, ניתן להשית על הנאשם עונש של 6 חודשי מאסר בכל מתחם, מה שבוודאי אינו מהווה חריגה ממנו לקולא, להורות על חפיפת העונשים, ובעצם כך להגיע לעונש סופי של 6 חודשי מאסר מבלי שבית המשפט חרג לקולא ממתחם עונש כלשהו</w:t>
      </w:r>
      <w:r w:rsidRPr="00125F3A">
        <w:rPr>
          <w:rFonts w:hint="cs"/>
          <w:rtl/>
        </w:rPr>
        <w:t xml:space="preserve">. </w:t>
      </w:r>
    </w:p>
    <w:p w14:paraId="337348EA" w14:textId="77777777" w:rsidR="009205B0" w:rsidRPr="00125F3A" w:rsidRDefault="009205B0" w:rsidP="009205B0">
      <w:pPr>
        <w:pStyle w:val="ListParagraph"/>
        <w:ind w:left="-58" w:firstLine="0"/>
        <w:rPr>
          <w:rFonts w:eastAsia="Times New Roman"/>
          <w:rtl/>
        </w:rPr>
      </w:pPr>
      <w:r w:rsidRPr="00125F3A">
        <w:rPr>
          <w:rFonts w:hint="cs"/>
          <w:rtl/>
        </w:rPr>
        <w:t xml:space="preserve">ועדיין, על אף האמור ובבחינת למעלה מהצורך, אציין </w:t>
      </w:r>
      <w:r w:rsidRPr="00125F3A">
        <w:rPr>
          <w:rFonts w:eastAsia="Times New Roman" w:hint="cs"/>
          <w:rtl/>
        </w:rPr>
        <w:t>כי אף אם ייטען שיש לראות בעונש הנמוך מהצטברותם של עונשי המינימום בכל מתחם ומתחם כחריגה ממתחם העונש, הרי שעדיין במקרה הנדון ניתן לעשות כן, וזאת לנוכח אותו מצבור של נסיבות חריגות אשר פורט לעיל, ומשנדמה כי ישנו סיכוי של ממש שהנאשמת תשתקם באופן מלא בעתיד, בשים לב להליך הטיפולי – הגם אם הוא חלקי – שהיא עברה במסגרת שירות המבחן, ולאור העובדה כי מאז ביצוע העבירות שבגינן היא נותנת את הדין כיום, היא שבה לדרך הישר ולא הסתבכה עוד בפלילים.</w:t>
      </w:r>
    </w:p>
    <w:p w14:paraId="68C10210" w14:textId="77777777" w:rsidR="009205B0" w:rsidRPr="00125F3A" w:rsidRDefault="009205B0" w:rsidP="009205B0">
      <w:pPr>
        <w:pStyle w:val="ListParagraph"/>
        <w:numPr>
          <w:ilvl w:val="0"/>
          <w:numId w:val="2"/>
        </w:numPr>
        <w:ind w:left="-58"/>
        <w:rPr>
          <w:rtl/>
        </w:rPr>
      </w:pPr>
      <w:r w:rsidRPr="00125F3A">
        <w:rPr>
          <w:rFonts w:hint="cs"/>
          <w:rtl/>
        </w:rPr>
        <w:t>כאן יצוין, כי בשים לב לעובדה שהעונש שיושת על הנאשמת מגלם בתוכו מלכתחילה את אותה התחשבות ואת מוכנותו של בית המשפט ללכת לקראתה בזו הפעם, מצאתי שלא לנכות את הימים בהם שהתה במעצר מאחורי סורג ובריח. כידוע, הגם שהכלל הוא ניכוי של ימי המעצר מעונש המאסר שנגזר, אין לנאשמת זכות קנויה לכך, ושאלת הניכוי מהווה למעשה שיקול משיקולי הענישה, בעוד שהשתת עונש שהוא מקל מלכתחילה, יכולה להביא את בית המשפט למסקנה לפיה אין מקום לנכות את ימי המעצר (</w:t>
      </w:r>
      <w:hyperlink r:id="rId67" w:history="1">
        <w:r w:rsidR="00E15B85" w:rsidRPr="00E15B85">
          <w:rPr>
            <w:rFonts w:hint="cs"/>
            <w:color w:val="0000FF"/>
            <w:u w:val="single"/>
            <w:rtl/>
          </w:rPr>
          <w:t>רע</w:t>
        </w:r>
        <w:r w:rsidR="00E15B85" w:rsidRPr="00E15B85">
          <w:rPr>
            <w:color w:val="0000FF"/>
            <w:u w:val="single"/>
            <w:rtl/>
          </w:rPr>
          <w:t>"</w:t>
        </w:r>
        <w:r w:rsidR="00E15B85" w:rsidRPr="00E15B85">
          <w:rPr>
            <w:rFonts w:hint="cs"/>
            <w:color w:val="0000FF"/>
            <w:u w:val="single"/>
            <w:rtl/>
          </w:rPr>
          <w:t>פ</w:t>
        </w:r>
        <w:r w:rsidR="00E15B85" w:rsidRPr="00E15B85">
          <w:rPr>
            <w:color w:val="0000FF"/>
            <w:u w:val="single"/>
            <w:rtl/>
          </w:rPr>
          <w:t xml:space="preserve"> 7584/14</w:t>
        </w:r>
      </w:hyperlink>
      <w:r w:rsidRPr="00125F3A">
        <w:rPr>
          <w:rFonts w:hint="cs"/>
          <w:rtl/>
        </w:rPr>
        <w:t xml:space="preserve"> </w:t>
      </w:r>
      <w:r w:rsidRPr="00125F3A">
        <w:rPr>
          <w:rFonts w:hint="cs"/>
          <w:b/>
          <w:bCs/>
          <w:rtl/>
        </w:rPr>
        <w:t>פלוני נ' מדינת ישראל</w:t>
      </w:r>
      <w:r w:rsidRPr="00125F3A">
        <w:rPr>
          <w:rFonts w:hint="cs"/>
          <w:rtl/>
        </w:rPr>
        <w:t xml:space="preserve">, (02.12.2014); </w:t>
      </w:r>
      <w:hyperlink r:id="rId68" w:history="1">
        <w:r w:rsidR="00E15B85" w:rsidRPr="00E15B85">
          <w:rPr>
            <w:rFonts w:hint="cs"/>
            <w:color w:val="0000FF"/>
            <w:u w:val="single"/>
            <w:rtl/>
          </w:rPr>
          <w:t>ע</w:t>
        </w:r>
        <w:r w:rsidR="00E15B85" w:rsidRPr="00E15B85">
          <w:rPr>
            <w:color w:val="0000FF"/>
            <w:u w:val="single"/>
            <w:rtl/>
          </w:rPr>
          <w:t>"</w:t>
        </w:r>
        <w:r w:rsidR="00E15B85" w:rsidRPr="00E15B85">
          <w:rPr>
            <w:rFonts w:hint="cs"/>
            <w:color w:val="0000FF"/>
            <w:u w:val="single"/>
            <w:rtl/>
          </w:rPr>
          <w:t>פ</w:t>
        </w:r>
        <w:r w:rsidR="00E15B85" w:rsidRPr="00E15B85">
          <w:rPr>
            <w:color w:val="0000FF"/>
            <w:u w:val="single"/>
            <w:rtl/>
          </w:rPr>
          <w:t xml:space="preserve"> 3924/17</w:t>
        </w:r>
      </w:hyperlink>
      <w:r w:rsidRPr="00125F3A">
        <w:rPr>
          <w:rFonts w:hint="cs"/>
          <w:b/>
          <w:bCs/>
          <w:rtl/>
        </w:rPr>
        <w:t xml:space="preserve"> גיל אלבז נ' מדינת ישראל</w:t>
      </w:r>
      <w:r w:rsidRPr="00125F3A">
        <w:rPr>
          <w:rFonts w:hint="cs"/>
          <w:rtl/>
        </w:rPr>
        <w:t xml:space="preserve">, (27.07.2017)). ובוודאי שהדברים האמורים נכונים מקום בו נגזר עונש לריצוי בעבודות שירות, שאז ניכוי ימי המעצר הוא בבחינת צעד שאיננו טריוויאלי (ראו </w:t>
      </w:r>
      <w:r w:rsidRPr="00125F3A">
        <w:rPr>
          <w:rFonts w:hint="cs"/>
          <w:b/>
          <w:bCs/>
          <w:rtl/>
        </w:rPr>
        <w:t>עניין פלוני</w:t>
      </w:r>
      <w:r w:rsidRPr="00125F3A">
        <w:rPr>
          <w:rFonts w:hint="cs"/>
          <w:rtl/>
        </w:rPr>
        <w:t xml:space="preserve"> שאוזכר זה עתה; ודבריו של בית המשפט המחוזי </w:t>
      </w:r>
      <w:r w:rsidRPr="00125F3A">
        <w:rPr>
          <w:rFonts w:hint="cs"/>
          <w:u w:val="single"/>
          <w:rtl/>
        </w:rPr>
        <w:t>ב</w:t>
      </w:r>
      <w:hyperlink r:id="rId69" w:history="1">
        <w:r w:rsidR="00E15B85" w:rsidRPr="00E15B85">
          <w:rPr>
            <w:rFonts w:hint="cs"/>
            <w:color w:val="0000FF"/>
            <w:u w:val="single"/>
            <w:rtl/>
          </w:rPr>
          <w:t>ע</w:t>
        </w:r>
        <w:r w:rsidR="00E15B85" w:rsidRPr="00E15B85">
          <w:rPr>
            <w:color w:val="0000FF"/>
            <w:u w:val="single"/>
            <w:rtl/>
          </w:rPr>
          <w:t>"</w:t>
        </w:r>
        <w:r w:rsidR="00E15B85" w:rsidRPr="00E15B85">
          <w:rPr>
            <w:rFonts w:hint="cs"/>
            <w:color w:val="0000FF"/>
            <w:u w:val="single"/>
            <w:rtl/>
          </w:rPr>
          <w:t>פ</w:t>
        </w:r>
        <w:r w:rsidR="00E15B85" w:rsidRPr="00E15B85">
          <w:rPr>
            <w:color w:val="0000FF"/>
            <w:u w:val="single"/>
            <w:rtl/>
          </w:rPr>
          <w:t xml:space="preserve"> (</w:t>
        </w:r>
        <w:r w:rsidR="00E15B85" w:rsidRPr="00E15B85">
          <w:rPr>
            <w:rFonts w:hint="cs"/>
            <w:color w:val="0000FF"/>
            <w:u w:val="single"/>
            <w:rtl/>
          </w:rPr>
          <w:t>מחוזי</w:t>
        </w:r>
        <w:r w:rsidR="00E15B85" w:rsidRPr="00E15B85">
          <w:rPr>
            <w:color w:val="0000FF"/>
            <w:u w:val="single"/>
            <w:rtl/>
          </w:rPr>
          <w:t xml:space="preserve"> </w:t>
        </w:r>
        <w:r w:rsidR="00E15B85" w:rsidRPr="00E15B85">
          <w:rPr>
            <w:rFonts w:hint="cs"/>
            <w:color w:val="0000FF"/>
            <w:u w:val="single"/>
            <w:rtl/>
          </w:rPr>
          <w:t>מרכז</w:t>
        </w:r>
        <w:r w:rsidR="00E15B85" w:rsidRPr="00E15B85">
          <w:rPr>
            <w:color w:val="0000FF"/>
            <w:u w:val="single"/>
            <w:rtl/>
          </w:rPr>
          <w:t>) 20799-04-17</w:t>
        </w:r>
      </w:hyperlink>
      <w:r w:rsidRPr="00125F3A">
        <w:rPr>
          <w:rFonts w:hint="cs"/>
          <w:rtl/>
        </w:rPr>
        <w:t xml:space="preserve"> </w:t>
      </w:r>
      <w:r w:rsidRPr="00125F3A">
        <w:rPr>
          <w:rFonts w:hint="cs"/>
          <w:b/>
          <w:bCs/>
          <w:rtl/>
        </w:rPr>
        <w:t>מרתה פירר נ' מדינת ישראל</w:t>
      </w:r>
      <w:r w:rsidRPr="00125F3A">
        <w:rPr>
          <w:rFonts w:hint="cs"/>
          <w:rtl/>
        </w:rPr>
        <w:t>, (27.06.2017)). אם כי, כפי שכבר צוין לעיל, התקופה בה שהתה הנאשמת במעצר ותחת תנאים מגבילים הובאה בחשבון כשיקול לקולא במסגרת בחינת הנסיבות שאינן קשורות בביצוע העבירות.</w:t>
      </w:r>
    </w:p>
    <w:p w14:paraId="4F78FD79" w14:textId="77777777" w:rsidR="009205B0" w:rsidRPr="00125F3A" w:rsidRDefault="009205B0" w:rsidP="009205B0">
      <w:pPr>
        <w:pStyle w:val="ListParagraph"/>
        <w:ind w:left="-58" w:firstLine="0"/>
      </w:pPr>
      <w:r w:rsidRPr="00125F3A">
        <w:rPr>
          <w:rFonts w:hint="cs"/>
          <w:rtl/>
        </w:rPr>
        <w:t>אשר לעתירה לפסילת רישיון הנהיגה של הנאשמת, בשים לב לאותן נסיבות שיש לשקול לקולא, ומאחר שבפסילת רישיונה, כך יש להניח, יהיה כדי להרע את מצבה הכלכלי, שממילא אינו שפיר ושעתיד להיפגע עוד יותר כתוצאה מעונש המאסר שיושת עליה בתיק זה – ובעיקר לאור העובדה שזו הסתבכותה הראשונה עם החוק, מצאתי כי ניתן ליתן לה הזדמנות נוספת ולהסתפק בפסילת רישיון מותנית בלבד.</w:t>
      </w:r>
    </w:p>
    <w:p w14:paraId="6FA0E6BE" w14:textId="77777777" w:rsidR="009205B0" w:rsidRPr="00125F3A" w:rsidRDefault="009205B0" w:rsidP="009205B0">
      <w:pPr>
        <w:pStyle w:val="ListParagraph"/>
        <w:numPr>
          <w:ilvl w:val="0"/>
          <w:numId w:val="2"/>
        </w:numPr>
        <w:ind w:left="-58"/>
      </w:pPr>
      <w:r w:rsidRPr="00125F3A">
        <w:rPr>
          <w:rFonts w:hint="cs"/>
          <w:rtl/>
        </w:rPr>
        <w:t xml:space="preserve">בטרם אחתום את גזר הדין, אשוב ואעיר כי אכן מלאכת גזירת הדין איננה קלה כלל ועיקר, וכאמור, בית המשפט מודע לפסיקה המורה כי בעניינם של נאשמים שהורשעו בעבירות ממין אלו שבהן הורשעה הנאשמת, צריך האינטרס האישי של הנאשמים לסגת מפני שיקולי הענישה האחרים. יחד עם זאת, כפי שצוין זה מכבר, הענישה לעולם צריכה להיות אינדיווידואלית, ולא בכדי ניתן למצוא בפסיקתם של בתי המשפט השונים מקרים שבהם הושתו על נאשמים שהורשעו בביצוע עבירות של סחר בסם מסוכן, אפילו מסוג קוקאין, עונשי מאסר לריצוי בעבודות שירות, ולעיתים, בנסיבות חריגות ביותר, אף עונשי מאסר מותנים בלבד (בין אם לצד צווי של"צ ובין אם לאו. וראו בעניין זה, למשל: </w:t>
      </w:r>
      <w:hyperlink r:id="rId70" w:history="1">
        <w:r w:rsidR="00E15B85" w:rsidRPr="00E15B85">
          <w:rPr>
            <w:rFonts w:hint="cs"/>
            <w:color w:val="0000FF"/>
            <w:u w:val="single"/>
            <w:rtl/>
          </w:rPr>
          <w:t>עפ</w:t>
        </w:r>
        <w:r w:rsidR="00E15B85" w:rsidRPr="00E15B85">
          <w:rPr>
            <w:color w:val="0000FF"/>
            <w:u w:val="single"/>
            <w:rtl/>
          </w:rPr>
          <w:t>"</w:t>
        </w:r>
        <w:r w:rsidR="00E15B85" w:rsidRPr="00E15B85">
          <w:rPr>
            <w:rFonts w:hint="cs"/>
            <w:color w:val="0000FF"/>
            <w:u w:val="single"/>
            <w:rtl/>
          </w:rPr>
          <w:t>ג</w:t>
        </w:r>
        <w:r w:rsidR="00E15B85" w:rsidRPr="00E15B85">
          <w:rPr>
            <w:color w:val="0000FF"/>
            <w:u w:val="single"/>
            <w:rtl/>
          </w:rPr>
          <w:t xml:space="preserve"> (</w:t>
        </w:r>
        <w:r w:rsidR="00E15B85" w:rsidRPr="00E15B85">
          <w:rPr>
            <w:rFonts w:hint="cs"/>
            <w:color w:val="0000FF"/>
            <w:u w:val="single"/>
            <w:rtl/>
          </w:rPr>
          <w:t>מחוזי</w:t>
        </w:r>
        <w:r w:rsidR="00E15B85" w:rsidRPr="00E15B85">
          <w:rPr>
            <w:color w:val="0000FF"/>
            <w:u w:val="single"/>
            <w:rtl/>
          </w:rPr>
          <w:t xml:space="preserve"> </w:t>
        </w:r>
        <w:r w:rsidR="00E15B85" w:rsidRPr="00E15B85">
          <w:rPr>
            <w:rFonts w:hint="cs"/>
            <w:color w:val="0000FF"/>
            <w:u w:val="single"/>
            <w:rtl/>
          </w:rPr>
          <w:t>באר</w:t>
        </w:r>
        <w:r w:rsidR="00E15B85" w:rsidRPr="00E15B85">
          <w:rPr>
            <w:color w:val="0000FF"/>
            <w:u w:val="single"/>
            <w:rtl/>
          </w:rPr>
          <w:t xml:space="preserve"> </w:t>
        </w:r>
        <w:r w:rsidR="00E15B85" w:rsidRPr="00E15B85">
          <w:rPr>
            <w:rFonts w:hint="cs"/>
            <w:color w:val="0000FF"/>
            <w:u w:val="single"/>
            <w:rtl/>
          </w:rPr>
          <w:t>שבע</w:t>
        </w:r>
        <w:r w:rsidR="00E15B85" w:rsidRPr="00E15B85">
          <w:rPr>
            <w:color w:val="0000FF"/>
            <w:u w:val="single"/>
            <w:rtl/>
          </w:rPr>
          <w:t>) 30178-01-17</w:t>
        </w:r>
      </w:hyperlink>
      <w:r w:rsidRPr="00125F3A">
        <w:rPr>
          <w:rFonts w:hint="cs"/>
          <w:rtl/>
        </w:rPr>
        <w:t xml:space="preserve"> </w:t>
      </w:r>
      <w:r w:rsidRPr="00125F3A">
        <w:rPr>
          <w:rFonts w:hint="cs"/>
          <w:b/>
          <w:bCs/>
          <w:rtl/>
        </w:rPr>
        <w:t>חוסאם עוקבי נ' מדינת ישראל</w:t>
      </w:r>
      <w:r w:rsidRPr="00125F3A">
        <w:rPr>
          <w:rFonts w:hint="cs"/>
          <w:rtl/>
        </w:rPr>
        <w:t xml:space="preserve">, (01.03.2017). פסק דין זה, טרם פורסם במאגרים המשפטיים. לפסק דינו של בית משפט השלום, ראו </w:t>
      </w:r>
      <w:hyperlink r:id="rId71" w:history="1">
        <w:r w:rsidR="00E15B85" w:rsidRPr="00E15B85">
          <w:rPr>
            <w:rFonts w:hint="cs"/>
            <w:color w:val="0000FF"/>
            <w:u w:val="single"/>
            <w:rtl/>
          </w:rPr>
          <w:t>ת</w:t>
        </w:r>
        <w:r w:rsidR="00E15B85" w:rsidRPr="00E15B85">
          <w:rPr>
            <w:color w:val="0000FF"/>
            <w:u w:val="single"/>
            <w:rtl/>
          </w:rPr>
          <w:t>"</w:t>
        </w:r>
        <w:r w:rsidR="00E15B85" w:rsidRPr="00E15B85">
          <w:rPr>
            <w:rFonts w:hint="cs"/>
            <w:color w:val="0000FF"/>
            <w:u w:val="single"/>
            <w:rtl/>
          </w:rPr>
          <w:t>פ</w:t>
        </w:r>
        <w:r w:rsidR="00E15B85" w:rsidRPr="00E15B85">
          <w:rPr>
            <w:color w:val="0000FF"/>
            <w:u w:val="single"/>
            <w:rtl/>
          </w:rPr>
          <w:t xml:space="preserve"> (</w:t>
        </w:r>
        <w:r w:rsidR="00E15B85" w:rsidRPr="00E15B85">
          <w:rPr>
            <w:rFonts w:hint="cs"/>
            <w:color w:val="0000FF"/>
            <w:u w:val="single"/>
            <w:rtl/>
          </w:rPr>
          <w:t>שלום</w:t>
        </w:r>
        <w:r w:rsidR="00E15B85" w:rsidRPr="00E15B85">
          <w:rPr>
            <w:color w:val="0000FF"/>
            <w:u w:val="single"/>
            <w:rtl/>
          </w:rPr>
          <w:t xml:space="preserve"> </w:t>
        </w:r>
        <w:r w:rsidR="00E15B85" w:rsidRPr="00E15B85">
          <w:rPr>
            <w:rFonts w:hint="cs"/>
            <w:color w:val="0000FF"/>
            <w:u w:val="single"/>
            <w:rtl/>
          </w:rPr>
          <w:t>קריית</w:t>
        </w:r>
        <w:r w:rsidR="00E15B85" w:rsidRPr="00E15B85">
          <w:rPr>
            <w:color w:val="0000FF"/>
            <w:u w:val="single"/>
            <w:rtl/>
          </w:rPr>
          <w:t xml:space="preserve"> </w:t>
        </w:r>
        <w:r w:rsidR="00E15B85" w:rsidRPr="00E15B85">
          <w:rPr>
            <w:rFonts w:hint="cs"/>
            <w:color w:val="0000FF"/>
            <w:u w:val="single"/>
            <w:rtl/>
          </w:rPr>
          <w:t>גת</w:t>
        </w:r>
        <w:r w:rsidR="00E15B85" w:rsidRPr="00E15B85">
          <w:rPr>
            <w:color w:val="0000FF"/>
            <w:u w:val="single"/>
            <w:rtl/>
          </w:rPr>
          <w:t>) 19214-08-15</w:t>
        </w:r>
      </w:hyperlink>
      <w:r w:rsidRPr="00125F3A">
        <w:rPr>
          <w:rFonts w:hint="cs"/>
          <w:rtl/>
        </w:rPr>
        <w:t xml:space="preserve"> </w:t>
      </w:r>
      <w:r w:rsidRPr="00125F3A">
        <w:rPr>
          <w:rFonts w:hint="cs"/>
          <w:b/>
          <w:bCs/>
          <w:rtl/>
        </w:rPr>
        <w:t>מדינת ישראל נ' חוסאם עוקבי ואח'</w:t>
      </w:r>
      <w:r w:rsidRPr="00125F3A">
        <w:rPr>
          <w:rFonts w:hint="cs"/>
          <w:rtl/>
        </w:rPr>
        <w:t xml:space="preserve">, (29.11.2016); </w:t>
      </w:r>
      <w:hyperlink r:id="rId72" w:history="1">
        <w:r w:rsidR="00E15B85" w:rsidRPr="00E15B85">
          <w:rPr>
            <w:rFonts w:hint="cs"/>
            <w:color w:val="0000FF"/>
            <w:u w:val="single"/>
            <w:rtl/>
          </w:rPr>
          <w:t>עפ</w:t>
        </w:r>
        <w:r w:rsidR="00E15B85" w:rsidRPr="00E15B85">
          <w:rPr>
            <w:color w:val="0000FF"/>
            <w:u w:val="single"/>
            <w:rtl/>
          </w:rPr>
          <w:t>"</w:t>
        </w:r>
        <w:r w:rsidR="00E15B85" w:rsidRPr="00E15B85">
          <w:rPr>
            <w:rFonts w:hint="cs"/>
            <w:color w:val="0000FF"/>
            <w:u w:val="single"/>
            <w:rtl/>
          </w:rPr>
          <w:t>ג</w:t>
        </w:r>
        <w:r w:rsidR="00E15B85" w:rsidRPr="00E15B85">
          <w:rPr>
            <w:color w:val="0000FF"/>
            <w:u w:val="single"/>
            <w:rtl/>
          </w:rPr>
          <w:t xml:space="preserve"> (</w:t>
        </w:r>
        <w:r w:rsidR="00E15B85" w:rsidRPr="00E15B85">
          <w:rPr>
            <w:rFonts w:hint="cs"/>
            <w:color w:val="0000FF"/>
            <w:u w:val="single"/>
            <w:rtl/>
          </w:rPr>
          <w:t>מחוזי</w:t>
        </w:r>
        <w:r w:rsidR="00E15B85" w:rsidRPr="00E15B85">
          <w:rPr>
            <w:color w:val="0000FF"/>
            <w:u w:val="single"/>
            <w:rtl/>
          </w:rPr>
          <w:t xml:space="preserve"> </w:t>
        </w:r>
        <w:r w:rsidR="00E15B85" w:rsidRPr="00E15B85">
          <w:rPr>
            <w:rFonts w:hint="cs"/>
            <w:color w:val="0000FF"/>
            <w:u w:val="single"/>
            <w:rtl/>
          </w:rPr>
          <w:t>מרכז</w:t>
        </w:r>
        <w:r w:rsidR="00E15B85" w:rsidRPr="00E15B85">
          <w:rPr>
            <w:color w:val="0000FF"/>
            <w:u w:val="single"/>
            <w:rtl/>
          </w:rPr>
          <w:t>) 4327-09-14</w:t>
        </w:r>
      </w:hyperlink>
      <w:r w:rsidRPr="00125F3A">
        <w:rPr>
          <w:rFonts w:hint="cs"/>
          <w:rtl/>
        </w:rPr>
        <w:t xml:space="preserve"> </w:t>
      </w:r>
      <w:r w:rsidRPr="00125F3A">
        <w:rPr>
          <w:rFonts w:hint="cs"/>
          <w:b/>
          <w:bCs/>
          <w:rtl/>
        </w:rPr>
        <w:t>טארק ערפאת נ' מדינת ישראל</w:t>
      </w:r>
      <w:r w:rsidRPr="00125F3A">
        <w:rPr>
          <w:rFonts w:hint="cs"/>
          <w:rtl/>
        </w:rPr>
        <w:t xml:space="preserve">, (02.11.2014); </w:t>
      </w:r>
      <w:hyperlink r:id="rId73" w:history="1">
        <w:r w:rsidR="00E15B85" w:rsidRPr="00E15B85">
          <w:rPr>
            <w:rFonts w:hint="cs"/>
            <w:color w:val="0000FF"/>
            <w:u w:val="single"/>
            <w:rtl/>
          </w:rPr>
          <w:t>ת</w:t>
        </w:r>
        <w:r w:rsidR="00E15B85" w:rsidRPr="00E15B85">
          <w:rPr>
            <w:color w:val="0000FF"/>
            <w:u w:val="single"/>
            <w:rtl/>
          </w:rPr>
          <w:t>"</w:t>
        </w:r>
        <w:r w:rsidR="00E15B85" w:rsidRPr="00E15B85">
          <w:rPr>
            <w:rFonts w:hint="cs"/>
            <w:color w:val="0000FF"/>
            <w:u w:val="single"/>
            <w:rtl/>
          </w:rPr>
          <w:t>פ</w:t>
        </w:r>
        <w:r w:rsidR="00E15B85" w:rsidRPr="00E15B85">
          <w:rPr>
            <w:color w:val="0000FF"/>
            <w:u w:val="single"/>
            <w:rtl/>
          </w:rPr>
          <w:t xml:space="preserve"> (</w:t>
        </w:r>
        <w:r w:rsidR="00E15B85" w:rsidRPr="00E15B85">
          <w:rPr>
            <w:rFonts w:hint="cs"/>
            <w:color w:val="0000FF"/>
            <w:u w:val="single"/>
            <w:rtl/>
          </w:rPr>
          <w:t>שלום</w:t>
        </w:r>
        <w:r w:rsidR="00E15B85" w:rsidRPr="00E15B85">
          <w:rPr>
            <w:color w:val="0000FF"/>
            <w:u w:val="single"/>
            <w:rtl/>
          </w:rPr>
          <w:t xml:space="preserve"> </w:t>
        </w:r>
        <w:r w:rsidR="00E15B85" w:rsidRPr="00E15B85">
          <w:rPr>
            <w:rFonts w:hint="cs"/>
            <w:color w:val="0000FF"/>
            <w:u w:val="single"/>
            <w:rtl/>
          </w:rPr>
          <w:t>תל</w:t>
        </w:r>
        <w:r w:rsidR="00E15B85" w:rsidRPr="00E15B85">
          <w:rPr>
            <w:color w:val="0000FF"/>
            <w:u w:val="single"/>
            <w:rtl/>
          </w:rPr>
          <w:t xml:space="preserve"> </w:t>
        </w:r>
        <w:r w:rsidR="00E15B85" w:rsidRPr="00E15B85">
          <w:rPr>
            <w:rFonts w:hint="cs"/>
            <w:color w:val="0000FF"/>
            <w:u w:val="single"/>
            <w:rtl/>
          </w:rPr>
          <w:t>אביב</w:t>
        </w:r>
        <w:r w:rsidR="00E15B85" w:rsidRPr="00E15B85">
          <w:rPr>
            <w:color w:val="0000FF"/>
            <w:u w:val="single"/>
            <w:rtl/>
          </w:rPr>
          <w:t xml:space="preserve"> </w:t>
        </w:r>
        <w:r w:rsidR="00E15B85" w:rsidRPr="00E15B85">
          <w:rPr>
            <w:rFonts w:hint="cs"/>
            <w:color w:val="0000FF"/>
            <w:u w:val="single"/>
            <w:rtl/>
          </w:rPr>
          <w:t>יפו</w:t>
        </w:r>
        <w:r w:rsidR="00E15B85" w:rsidRPr="00E15B85">
          <w:rPr>
            <w:color w:val="0000FF"/>
            <w:u w:val="single"/>
            <w:rtl/>
          </w:rPr>
          <w:t>) 60882-12-14</w:t>
        </w:r>
      </w:hyperlink>
      <w:r w:rsidRPr="00125F3A">
        <w:rPr>
          <w:rFonts w:hint="cs"/>
          <w:rtl/>
        </w:rPr>
        <w:t xml:space="preserve"> </w:t>
      </w:r>
      <w:r w:rsidRPr="00125F3A">
        <w:rPr>
          <w:rFonts w:hint="cs"/>
          <w:b/>
          <w:bCs/>
          <w:rtl/>
        </w:rPr>
        <w:t>מדינת ישראל נ' עמיקם בן שטרית</w:t>
      </w:r>
      <w:r w:rsidRPr="00125F3A">
        <w:rPr>
          <w:rFonts w:hint="cs"/>
          <w:rtl/>
        </w:rPr>
        <w:t>, (04.02.2016).</w:t>
      </w:r>
    </w:p>
    <w:p w14:paraId="0AC0F46C" w14:textId="77777777" w:rsidR="009205B0" w:rsidRPr="00125F3A" w:rsidRDefault="009205B0" w:rsidP="009205B0">
      <w:pPr>
        <w:pStyle w:val="ListParagraph"/>
        <w:ind w:left="-58" w:firstLine="0"/>
        <w:rPr>
          <w:rtl/>
        </w:rPr>
      </w:pPr>
      <w:r w:rsidRPr="00125F3A">
        <w:rPr>
          <w:rFonts w:hint="cs"/>
          <w:rtl/>
        </w:rPr>
        <w:t xml:space="preserve">במקרה הנדון, בית המשפט אינו מקל ראש בחומרת מעשיה של הנאשמת, ומביע מהם סלידה רבתי. אולם, באיזון הראוי בין מכלול השיקולים והנסיבות אשר פורטו בהרחבה לעיל, הגם אם לא בלי התלבטות, מצאתי כי ניתן להימנע משליחתה אל מאחורי סורג ובריח. עם זאת, מובהר ומודגש בפני הנאשמת שבמהלך ביצוע עבודות השירות יהא עליה למסור מעת לעת בדיקות שתן לאיתור שרידי סם, כך שאם יימצא חלילה שהיא עודנה משתמשת בסמים (חשש שעלה לנוכח אחת הבדיקות שמסרה בשירות המבחן ולאור התנהלותה אל מול הממונה על עבודות השירות), כי אז עבודות השירות יופקעו, ויהיה עליה לרצות את המשך העונש מאחורי סורג ובריח. </w:t>
      </w:r>
    </w:p>
    <w:p w14:paraId="276D8E34" w14:textId="77777777" w:rsidR="009205B0" w:rsidRPr="00125F3A" w:rsidRDefault="009205B0" w:rsidP="009205B0">
      <w:pPr>
        <w:pStyle w:val="ListParagraph"/>
        <w:numPr>
          <w:ilvl w:val="0"/>
          <w:numId w:val="2"/>
        </w:numPr>
        <w:ind w:left="-58"/>
        <w:rPr>
          <w:rtl/>
        </w:rPr>
      </w:pPr>
      <w:r w:rsidRPr="00125F3A">
        <w:rPr>
          <w:rFonts w:eastAsia="Times New Roman" w:hint="cs"/>
          <w:b/>
          <w:bCs/>
          <w:rtl/>
        </w:rPr>
        <w:t xml:space="preserve">מכל המקובץ לעיל, אני </w:t>
      </w:r>
      <w:r w:rsidRPr="00125F3A">
        <w:rPr>
          <w:rFonts w:hint="cs"/>
          <w:b/>
          <w:bCs/>
          <w:rtl/>
        </w:rPr>
        <w:t>גוזרת על הנאשמת את העונשים הבאים:</w:t>
      </w:r>
    </w:p>
    <w:p w14:paraId="30F538DC" w14:textId="77777777" w:rsidR="009205B0" w:rsidRPr="00125F3A" w:rsidRDefault="009205B0" w:rsidP="009205B0">
      <w:pPr>
        <w:pStyle w:val="ListParagraph"/>
        <w:numPr>
          <w:ilvl w:val="0"/>
          <w:numId w:val="5"/>
        </w:numPr>
        <w:ind w:right="142"/>
        <w:rPr>
          <w:rFonts w:eastAsia="Times New Roman"/>
        </w:rPr>
      </w:pPr>
      <w:r w:rsidRPr="00125F3A">
        <w:rPr>
          <w:rFonts w:eastAsia="Times New Roman" w:hint="cs"/>
          <w:b/>
          <w:bCs/>
          <w:rtl/>
        </w:rPr>
        <w:t>6 חודשי מאסר, שירוצו בעבודות שירות</w:t>
      </w:r>
      <w:r w:rsidRPr="00125F3A">
        <w:rPr>
          <w:rFonts w:eastAsia="Times New Roman" w:hint="cs"/>
          <w:rtl/>
        </w:rPr>
        <w:t>.</w:t>
      </w:r>
    </w:p>
    <w:p w14:paraId="4A930CD7" w14:textId="77777777" w:rsidR="009205B0" w:rsidRDefault="009205B0" w:rsidP="009205B0">
      <w:pPr>
        <w:pStyle w:val="ListParagraph"/>
        <w:ind w:right="142" w:firstLine="0"/>
        <w:rPr>
          <w:rFonts w:eastAsia="Times New Roman"/>
          <w:rtl/>
        </w:rPr>
      </w:pPr>
      <w:r w:rsidRPr="00125F3A">
        <w:rPr>
          <w:rFonts w:eastAsia="Times New Roman" w:hint="cs"/>
          <w:rtl/>
        </w:rPr>
        <w:t xml:space="preserve">בהתאם לאמור בחוות דעת הממונה מיום 17.12.2017, הנאשמת תחל בריצוי עונש המאסר ביום 31.01.2018, או בכל מועד אחר אשר יקבע הממונה על עבודות השירות. </w:t>
      </w:r>
    </w:p>
    <w:p w14:paraId="0660616F" w14:textId="77777777" w:rsidR="009205B0" w:rsidRPr="00125F3A" w:rsidRDefault="009205B0" w:rsidP="009205B0">
      <w:pPr>
        <w:pStyle w:val="ListParagraph"/>
        <w:ind w:right="142" w:firstLine="0"/>
        <w:rPr>
          <w:rFonts w:eastAsia="Times New Roman"/>
        </w:rPr>
      </w:pPr>
      <w:r w:rsidRPr="00125F3A">
        <w:rPr>
          <w:rFonts w:eastAsia="Times New Roman" w:hint="cs"/>
          <w:rtl/>
        </w:rPr>
        <w:t>עבודות השירות תבוצענה בבית התמחוי זכות וצדקת חסידי אריה ברחוב הראשונים 5 באשדוד בימים א'-ה'</w:t>
      </w:r>
      <w:r>
        <w:rPr>
          <w:rFonts w:eastAsia="Times New Roman" w:hint="cs"/>
          <w:rtl/>
        </w:rPr>
        <w:t>,</w:t>
      </w:r>
      <w:r w:rsidRPr="00125F3A">
        <w:rPr>
          <w:rFonts w:eastAsia="Times New Roman" w:hint="cs"/>
          <w:rtl/>
        </w:rPr>
        <w:t xml:space="preserve"> בין השעות 08:00-16:30. </w:t>
      </w:r>
    </w:p>
    <w:p w14:paraId="3A86A42F" w14:textId="77777777" w:rsidR="009205B0" w:rsidRPr="00125F3A" w:rsidRDefault="009205B0" w:rsidP="009205B0">
      <w:pPr>
        <w:pStyle w:val="ListParagraph"/>
        <w:ind w:right="142" w:firstLine="0"/>
        <w:rPr>
          <w:rFonts w:eastAsia="Times New Roman"/>
          <w:rtl/>
        </w:rPr>
      </w:pPr>
      <w:r w:rsidRPr="00125F3A">
        <w:rPr>
          <w:rFonts w:eastAsia="Times New Roman" w:hint="cs"/>
          <w:rtl/>
        </w:rPr>
        <w:t>על הנאשמת להתייצב לריצוי המאסר במועד הנקוב, בשעה 08:00, במפקדת גוש דרום של שב"ס ביחידה לעבודות השירות, אלא אם כאמור, הממונה על עבודות השירות יודיע לו על מועד תחילה אחר.</w:t>
      </w:r>
    </w:p>
    <w:p w14:paraId="5A557624" w14:textId="77777777" w:rsidR="009205B0" w:rsidRPr="00125F3A" w:rsidRDefault="009205B0" w:rsidP="009205B0">
      <w:pPr>
        <w:pStyle w:val="ListParagraph"/>
        <w:ind w:right="142" w:firstLine="0"/>
        <w:rPr>
          <w:rFonts w:eastAsia="Times New Roman"/>
          <w:rtl/>
        </w:rPr>
      </w:pPr>
      <w:r w:rsidRPr="00125F3A">
        <w:rPr>
          <w:rFonts w:eastAsia="Times New Roman" w:hint="cs"/>
          <w:rtl/>
        </w:rPr>
        <w:t xml:space="preserve">הנני מתירה לממונה על עבודות השירות לערוך לנאשמת בדיקות לגילוי שרידי סם ככל שימצא לנכון. </w:t>
      </w:r>
    </w:p>
    <w:p w14:paraId="1BA21F78" w14:textId="77777777" w:rsidR="009205B0" w:rsidRPr="00125F3A" w:rsidRDefault="009205B0" w:rsidP="009205B0">
      <w:pPr>
        <w:pStyle w:val="ListParagraph"/>
        <w:ind w:right="142" w:firstLine="0"/>
        <w:rPr>
          <w:rFonts w:eastAsia="Times New Roman"/>
          <w:rtl/>
        </w:rPr>
      </w:pPr>
      <w:r w:rsidRPr="00125F3A">
        <w:rPr>
          <w:rFonts w:eastAsia="Times New Roman" w:hint="cs"/>
          <w:rtl/>
        </w:rPr>
        <w:t>מוסבר לנאשמת כי עליה לעמוד בתנאי העבודה, וכי כל הפרה של תנאי עבודות השירות עלולה להביא להפסקה מנהלית של העבודות ולריצוי יתרת התקופה במאסר ממש.</w:t>
      </w:r>
    </w:p>
    <w:p w14:paraId="359DF0A6" w14:textId="77777777" w:rsidR="009205B0" w:rsidRPr="00125F3A" w:rsidRDefault="009205B0" w:rsidP="009205B0">
      <w:pPr>
        <w:pStyle w:val="ListParagraph"/>
        <w:ind w:right="142" w:firstLine="0"/>
        <w:rPr>
          <w:rFonts w:eastAsia="Times New Roman"/>
          <w:rtl/>
        </w:rPr>
      </w:pPr>
      <w:r w:rsidRPr="00125F3A">
        <w:rPr>
          <w:rFonts w:eastAsia="Times New Roman" w:hint="cs"/>
          <w:b/>
          <w:bCs/>
          <w:u w:val="single"/>
          <w:rtl/>
        </w:rPr>
        <w:t>העתק ההחלטה בדחיפות לממונה על עבודות השירות</w:t>
      </w:r>
      <w:r>
        <w:rPr>
          <w:rFonts w:eastAsia="Times New Roman" w:hint="cs"/>
          <w:rtl/>
        </w:rPr>
        <w:t>.</w:t>
      </w:r>
    </w:p>
    <w:p w14:paraId="0725D0AC" w14:textId="77777777" w:rsidR="009205B0" w:rsidRPr="00125F3A" w:rsidRDefault="009205B0" w:rsidP="009205B0">
      <w:pPr>
        <w:pStyle w:val="ListParagraph"/>
        <w:numPr>
          <w:ilvl w:val="0"/>
          <w:numId w:val="5"/>
        </w:numPr>
        <w:ind w:right="142"/>
        <w:rPr>
          <w:rFonts w:eastAsia="Times New Roman"/>
        </w:rPr>
      </w:pPr>
      <w:r w:rsidRPr="00125F3A">
        <w:rPr>
          <w:rFonts w:hint="cs"/>
          <w:b/>
          <w:bCs/>
          <w:rtl/>
        </w:rPr>
        <w:t>מאסר מותנה למשך 10 חודשים, אשר יופעל אם תוך תקופה של 3 שנים מהיום תעבור הנאשמת עבירה בניגוד לפקודת הסמים, מסוג פשע</w:t>
      </w:r>
      <w:r w:rsidRPr="00125F3A">
        <w:rPr>
          <w:rFonts w:eastAsia="Times New Roman" w:hint="cs"/>
          <w:rtl/>
        </w:rPr>
        <w:t>.</w:t>
      </w:r>
    </w:p>
    <w:p w14:paraId="50C30B15" w14:textId="77777777" w:rsidR="009205B0" w:rsidRPr="00125F3A" w:rsidRDefault="009205B0" w:rsidP="009205B0">
      <w:pPr>
        <w:pStyle w:val="ListParagraph"/>
        <w:numPr>
          <w:ilvl w:val="0"/>
          <w:numId w:val="5"/>
        </w:numPr>
        <w:ind w:right="142"/>
        <w:rPr>
          <w:rFonts w:eastAsia="Times New Roman"/>
        </w:rPr>
      </w:pPr>
      <w:r w:rsidRPr="00125F3A">
        <w:rPr>
          <w:rFonts w:hint="cs"/>
          <w:b/>
          <w:bCs/>
          <w:rtl/>
        </w:rPr>
        <w:t>מאסר מותנה למשך 4 חודשים, אשר יופעל אם תוך תקופה של 3 שנים מהיום תעבור הנאשמת עבירה בניגוד לפקודת הסמים, מסוג עוון.</w:t>
      </w:r>
    </w:p>
    <w:p w14:paraId="658D1219" w14:textId="77777777" w:rsidR="009205B0" w:rsidRPr="00125F3A" w:rsidRDefault="009205B0" w:rsidP="009205B0">
      <w:pPr>
        <w:pStyle w:val="ListParagraph"/>
        <w:numPr>
          <w:ilvl w:val="0"/>
          <w:numId w:val="5"/>
        </w:numPr>
        <w:ind w:right="142"/>
        <w:rPr>
          <w:rFonts w:eastAsia="Times New Roman"/>
        </w:rPr>
      </w:pPr>
      <w:r w:rsidRPr="00125F3A">
        <w:rPr>
          <w:rFonts w:eastAsia="Times New Roman" w:hint="cs"/>
          <w:b/>
          <w:bCs/>
          <w:rtl/>
        </w:rPr>
        <w:t>קנס בסך 3,000 ₪ או 30 ימים מאסר תמורתו</w:t>
      </w:r>
      <w:r w:rsidRPr="00125F3A">
        <w:rPr>
          <w:rFonts w:eastAsia="Times New Roman" w:hint="cs"/>
          <w:rtl/>
        </w:rPr>
        <w:t>.</w:t>
      </w:r>
    </w:p>
    <w:p w14:paraId="6FFC3161" w14:textId="77777777" w:rsidR="009205B0" w:rsidRPr="00125F3A" w:rsidRDefault="009205B0" w:rsidP="009205B0">
      <w:pPr>
        <w:pStyle w:val="ListParagraph"/>
        <w:ind w:right="142" w:firstLine="0"/>
        <w:rPr>
          <w:rFonts w:eastAsia="Times New Roman"/>
        </w:rPr>
      </w:pPr>
      <w:r w:rsidRPr="00125F3A">
        <w:rPr>
          <w:rFonts w:eastAsia="Times New Roman" w:hint="cs"/>
          <w:rtl/>
        </w:rPr>
        <w:t>הקנס ישולם ב</w:t>
      </w:r>
      <w:r>
        <w:rPr>
          <w:rFonts w:eastAsia="Times New Roman" w:hint="cs"/>
          <w:rtl/>
        </w:rPr>
        <w:t>- 4</w:t>
      </w:r>
      <w:r w:rsidRPr="00125F3A">
        <w:rPr>
          <w:rFonts w:eastAsia="Times New Roman" w:hint="cs"/>
          <w:rtl/>
        </w:rPr>
        <w:t xml:space="preserve"> שיעורי</w:t>
      </w:r>
      <w:r>
        <w:rPr>
          <w:rFonts w:eastAsia="Times New Roman" w:hint="cs"/>
          <w:rtl/>
        </w:rPr>
        <w:t xml:space="preserve">ם שווים ורצופים, שהראשון שבהם בתוך 60 יום מהיום. </w:t>
      </w:r>
    </w:p>
    <w:p w14:paraId="38FF5072" w14:textId="77777777" w:rsidR="009205B0" w:rsidRPr="00125F3A" w:rsidRDefault="009205B0" w:rsidP="009205B0">
      <w:pPr>
        <w:pStyle w:val="ListParagraph"/>
        <w:numPr>
          <w:ilvl w:val="0"/>
          <w:numId w:val="5"/>
        </w:numPr>
        <w:ind w:right="142"/>
        <w:rPr>
          <w:rFonts w:eastAsia="Times New Roman"/>
        </w:rPr>
      </w:pPr>
      <w:r w:rsidRPr="00125F3A">
        <w:rPr>
          <w:rFonts w:eastAsia="Times New Roman" w:hint="cs"/>
          <w:rtl/>
        </w:rPr>
        <w:t>התחייבות על סך 7,500 ₪ שלא לעבור כל עבירה בניגוד לפקודת הסמים, וזאת למשך שלוש שנים מהיום.</w:t>
      </w:r>
    </w:p>
    <w:p w14:paraId="35BE0925" w14:textId="77777777" w:rsidR="009205B0" w:rsidRPr="00125F3A" w:rsidRDefault="009205B0" w:rsidP="009205B0">
      <w:pPr>
        <w:pStyle w:val="ListParagraph"/>
        <w:ind w:right="142" w:firstLine="0"/>
        <w:rPr>
          <w:rFonts w:eastAsia="Times New Roman"/>
        </w:rPr>
      </w:pPr>
      <w:r w:rsidRPr="00125F3A">
        <w:rPr>
          <w:rFonts w:eastAsia="Times New Roman" w:hint="cs"/>
          <w:rtl/>
        </w:rPr>
        <w:t xml:space="preserve">אם לא תיחתם ההתחייבות תוך </w:t>
      </w:r>
      <w:r>
        <w:rPr>
          <w:rFonts w:eastAsia="Times New Roman" w:hint="cs"/>
          <w:rtl/>
        </w:rPr>
        <w:t>7</w:t>
      </w:r>
      <w:r w:rsidRPr="00125F3A">
        <w:rPr>
          <w:rFonts w:eastAsia="Times New Roman" w:hint="cs"/>
          <w:rtl/>
        </w:rPr>
        <w:t xml:space="preserve"> ימים מהיום – תיאסר הנאשמת למשך 7 ימים.</w:t>
      </w:r>
    </w:p>
    <w:p w14:paraId="5671A137" w14:textId="77777777" w:rsidR="009205B0" w:rsidRPr="00125F3A" w:rsidRDefault="009205B0" w:rsidP="009205B0">
      <w:pPr>
        <w:pStyle w:val="ListParagraph"/>
        <w:numPr>
          <w:ilvl w:val="0"/>
          <w:numId w:val="5"/>
        </w:numPr>
        <w:ind w:right="142"/>
        <w:rPr>
          <w:rFonts w:eastAsia="Times New Roman"/>
        </w:rPr>
      </w:pPr>
      <w:r w:rsidRPr="00125F3A">
        <w:rPr>
          <w:rFonts w:hint="cs"/>
          <w:b/>
          <w:bCs/>
          <w:rtl/>
        </w:rPr>
        <w:t>אני פוסלת את הנאשמת מלקבל או מלהחזיק רישיון נהיגה למשך 12 חודשים, וזאת על תנאי שלא תעבור כל עבירה בניגוד ל</w:t>
      </w:r>
      <w:hyperlink r:id="rId74" w:history="1">
        <w:r w:rsidR="00E15B85" w:rsidRPr="00E15B85">
          <w:rPr>
            <w:rFonts w:hint="cs"/>
            <w:b/>
            <w:bCs/>
            <w:color w:val="0000FF"/>
            <w:u w:val="single"/>
            <w:rtl/>
          </w:rPr>
          <w:t>פקודת</w:t>
        </w:r>
        <w:r w:rsidR="00E15B85" w:rsidRPr="00E15B85">
          <w:rPr>
            <w:b/>
            <w:bCs/>
            <w:color w:val="0000FF"/>
            <w:u w:val="single"/>
            <w:rtl/>
          </w:rPr>
          <w:t xml:space="preserve"> </w:t>
        </w:r>
        <w:r w:rsidR="00E15B85" w:rsidRPr="00E15B85">
          <w:rPr>
            <w:rFonts w:hint="cs"/>
            <w:b/>
            <w:bCs/>
            <w:color w:val="0000FF"/>
            <w:u w:val="single"/>
            <w:rtl/>
          </w:rPr>
          <w:t>הסמים</w:t>
        </w:r>
        <w:r w:rsidR="00E15B85" w:rsidRPr="00E15B85">
          <w:rPr>
            <w:b/>
            <w:bCs/>
            <w:color w:val="0000FF"/>
            <w:u w:val="single"/>
            <w:rtl/>
          </w:rPr>
          <w:t xml:space="preserve"> </w:t>
        </w:r>
        <w:r w:rsidR="00E15B85" w:rsidRPr="00E15B85">
          <w:rPr>
            <w:rFonts w:hint="cs"/>
            <w:b/>
            <w:bCs/>
            <w:color w:val="0000FF"/>
            <w:u w:val="single"/>
            <w:rtl/>
          </w:rPr>
          <w:t>המסוכנים</w:t>
        </w:r>
      </w:hyperlink>
      <w:r w:rsidRPr="00125F3A">
        <w:rPr>
          <w:rFonts w:hint="cs"/>
          <w:b/>
          <w:bCs/>
          <w:rtl/>
        </w:rPr>
        <w:t>, במשך שנתיים מהיום.</w:t>
      </w:r>
    </w:p>
    <w:p w14:paraId="60428D7A" w14:textId="77777777" w:rsidR="009205B0" w:rsidRPr="009205B0" w:rsidRDefault="009205B0" w:rsidP="009205B0">
      <w:pPr>
        <w:spacing w:line="360" w:lineRule="auto"/>
        <w:ind w:firstLine="5"/>
        <w:rPr>
          <w:rFonts w:eastAsia="Calibri"/>
        </w:rPr>
      </w:pPr>
      <w:r w:rsidRPr="00125F3A">
        <w:rPr>
          <w:rFonts w:hint="cs"/>
          <w:rtl/>
        </w:rPr>
        <w:t>מורה על השמדת המוצגים – סמים, בכפוף לחלוף תקופת הערעור.</w:t>
      </w:r>
    </w:p>
    <w:p w14:paraId="743A5AA2" w14:textId="77777777" w:rsidR="009205B0" w:rsidRDefault="009205B0" w:rsidP="009205B0">
      <w:pPr>
        <w:spacing w:line="360" w:lineRule="auto"/>
        <w:ind w:firstLine="5"/>
        <w:rPr>
          <w:b/>
          <w:bCs/>
          <w:rtl/>
        </w:rPr>
      </w:pPr>
    </w:p>
    <w:p w14:paraId="7DB3E678" w14:textId="77777777" w:rsidR="009205B0" w:rsidRPr="009A4D7C" w:rsidRDefault="009205B0" w:rsidP="009205B0">
      <w:pPr>
        <w:spacing w:line="360" w:lineRule="auto"/>
        <w:ind w:firstLine="5"/>
        <w:rPr>
          <w:sz w:val="28"/>
          <w:szCs w:val="28"/>
          <w:rtl/>
        </w:rPr>
      </w:pPr>
      <w:r w:rsidRPr="009A4D7C">
        <w:rPr>
          <w:rFonts w:hint="cs"/>
          <w:b/>
          <w:bCs/>
          <w:sz w:val="28"/>
          <w:szCs w:val="28"/>
          <w:rtl/>
        </w:rPr>
        <w:t>זכות ערעור כחוק</w:t>
      </w:r>
      <w:r w:rsidRPr="009A4D7C">
        <w:rPr>
          <w:rFonts w:hint="cs"/>
          <w:sz w:val="28"/>
          <w:szCs w:val="28"/>
          <w:rtl/>
        </w:rPr>
        <w:t>.</w:t>
      </w:r>
    </w:p>
    <w:p w14:paraId="799D7FE7" w14:textId="77777777" w:rsidR="009205B0" w:rsidRPr="00125F3A" w:rsidRDefault="009205B0" w:rsidP="009205B0">
      <w:pPr>
        <w:spacing w:line="360" w:lineRule="auto"/>
        <w:jc w:val="both"/>
        <w:rPr>
          <w:rFonts w:ascii="Arial" w:hAnsi="Arial"/>
          <w:noProof w:val="0"/>
          <w:rtl/>
        </w:rPr>
      </w:pPr>
    </w:p>
    <w:p w14:paraId="2A40B9EE" w14:textId="77777777" w:rsidR="009205B0" w:rsidRPr="00125F3A" w:rsidRDefault="009205B0" w:rsidP="009205B0">
      <w:pPr>
        <w:spacing w:line="360" w:lineRule="auto"/>
        <w:jc w:val="both"/>
        <w:rPr>
          <w:rFonts w:ascii="Arial" w:hAnsi="Arial"/>
          <w:b/>
          <w:bCs/>
          <w:noProof w:val="0"/>
          <w:rtl/>
        </w:rPr>
      </w:pPr>
      <w:r w:rsidRPr="00125F3A">
        <w:rPr>
          <w:rFonts w:ascii="Arial" w:hAnsi="Arial"/>
          <w:b/>
          <w:bCs/>
          <w:noProof w:val="0"/>
          <w:rtl/>
        </w:rPr>
        <w:t>נית</w:t>
      </w:r>
      <w:r w:rsidRPr="00125F3A">
        <w:rPr>
          <w:rFonts w:ascii="Arial" w:hAnsi="Arial" w:hint="cs"/>
          <w:b/>
          <w:bCs/>
          <w:noProof w:val="0"/>
          <w:rtl/>
        </w:rPr>
        <w:t>ן והודע</w:t>
      </w:r>
      <w:r w:rsidRPr="00125F3A">
        <w:rPr>
          <w:rFonts w:ascii="Arial" w:hAnsi="Arial"/>
          <w:b/>
          <w:bCs/>
          <w:noProof w:val="0"/>
          <w:rtl/>
        </w:rPr>
        <w:t xml:space="preserve"> היום,  </w:t>
      </w:r>
      <w:r>
        <w:rPr>
          <w:rFonts w:ascii="Arial" w:hAnsi="Arial"/>
          <w:b/>
          <w:bCs/>
          <w:noProof w:val="0"/>
          <w:rtl/>
        </w:rPr>
        <w:t>ח' טבת תשע"ח</w:t>
      </w:r>
      <w:r w:rsidRPr="00125F3A">
        <w:rPr>
          <w:rFonts w:ascii="Arial" w:hAnsi="Arial"/>
          <w:b/>
          <w:bCs/>
          <w:noProof w:val="0"/>
          <w:rtl/>
        </w:rPr>
        <w:t xml:space="preserve">, </w:t>
      </w:r>
      <w:r>
        <w:rPr>
          <w:rFonts w:ascii="Arial" w:hAnsi="Arial"/>
          <w:b/>
          <w:bCs/>
          <w:noProof w:val="0"/>
          <w:rtl/>
        </w:rPr>
        <w:t>26 דצמבר 2017</w:t>
      </w:r>
      <w:r w:rsidRPr="00125F3A">
        <w:rPr>
          <w:rFonts w:ascii="Arial" w:hAnsi="Arial"/>
          <w:b/>
          <w:bCs/>
          <w:noProof w:val="0"/>
          <w:rtl/>
        </w:rPr>
        <w:t>, ב</w:t>
      </w:r>
      <w:r w:rsidRPr="00125F3A">
        <w:rPr>
          <w:rFonts w:ascii="Arial" w:hAnsi="Arial" w:hint="cs"/>
          <w:b/>
          <w:bCs/>
          <w:noProof w:val="0"/>
          <w:rtl/>
        </w:rPr>
        <w:t>מעמד</w:t>
      </w:r>
      <w:r w:rsidRPr="00125F3A">
        <w:rPr>
          <w:rFonts w:ascii="Arial" w:hAnsi="Arial"/>
          <w:b/>
          <w:bCs/>
          <w:noProof w:val="0"/>
          <w:rtl/>
        </w:rPr>
        <w:t xml:space="preserve"> הצדדים.</w:t>
      </w:r>
    </w:p>
    <w:p w14:paraId="1029A06D" w14:textId="77777777" w:rsidR="009205B0" w:rsidRPr="00125F3A" w:rsidRDefault="009205B0" w:rsidP="009205B0">
      <w:pPr>
        <w:spacing w:line="360" w:lineRule="auto"/>
        <w:jc w:val="both"/>
        <w:rPr>
          <w:rFonts w:ascii="Arial" w:hAnsi="Arial"/>
          <w:noProof w:val="0"/>
          <w:rtl/>
        </w:rPr>
      </w:pPr>
    </w:p>
    <w:p w14:paraId="27FC3B95" w14:textId="77777777" w:rsidR="009205B0" w:rsidRDefault="009205B0" w:rsidP="009205B0">
      <w:pPr>
        <w:spacing w:line="360" w:lineRule="auto"/>
        <w:ind w:left="3600" w:firstLine="720"/>
        <w:jc w:val="both"/>
      </w:pPr>
      <w:r>
        <w:rPr>
          <w:rtl/>
        </w:rPr>
        <w:t xml:space="preserve">     </w:t>
      </w:r>
    </w:p>
    <w:p w14:paraId="12868FA2" w14:textId="77777777" w:rsidR="009205B0" w:rsidRDefault="009205B0" w:rsidP="009205B0">
      <w:pPr>
        <w:spacing w:line="360" w:lineRule="auto"/>
        <w:ind w:left="3600" w:firstLine="720"/>
        <w:jc w:val="both"/>
        <w:rPr>
          <w:rFonts w:ascii="Arial" w:hAnsi="Arial"/>
          <w:noProof w:val="0"/>
          <w:rtl/>
        </w:rPr>
      </w:pPr>
    </w:p>
    <w:p w14:paraId="4F40FEC9" w14:textId="77777777" w:rsidR="009205B0" w:rsidRPr="002323AC" w:rsidRDefault="009205B0" w:rsidP="009205B0">
      <w:pPr>
        <w:spacing w:line="360" w:lineRule="auto"/>
        <w:rPr>
          <w:rFonts w:ascii="Arial" w:hAnsi="Arial"/>
          <w:rtl/>
        </w:rPr>
      </w:pPr>
    </w:p>
    <w:p w14:paraId="0B7B430F" w14:textId="77777777" w:rsidR="009205B0" w:rsidRDefault="009205B0" w:rsidP="009205B0">
      <w:pPr>
        <w:spacing w:line="360" w:lineRule="auto"/>
        <w:jc w:val="both"/>
        <w:rPr>
          <w:b/>
          <w:bCs/>
          <w:u w:val="single"/>
          <w:rtl/>
        </w:rPr>
      </w:pPr>
    </w:p>
    <w:p w14:paraId="12C8485B" w14:textId="77777777" w:rsidR="009205B0" w:rsidRDefault="009205B0" w:rsidP="009205B0">
      <w:pPr>
        <w:spacing w:line="360" w:lineRule="auto"/>
        <w:jc w:val="both"/>
        <w:rPr>
          <w:b/>
          <w:bCs/>
          <w:u w:val="single"/>
          <w:rtl/>
        </w:rPr>
      </w:pPr>
    </w:p>
    <w:p w14:paraId="288C7D7D" w14:textId="77777777" w:rsidR="009205B0" w:rsidRDefault="009205B0" w:rsidP="009205B0">
      <w:pPr>
        <w:spacing w:line="360" w:lineRule="auto"/>
        <w:jc w:val="both"/>
        <w:rPr>
          <w:b/>
          <w:bCs/>
          <w:noProof w:val="0"/>
          <w:szCs w:val="26"/>
          <w:u w:val="single"/>
        </w:rPr>
      </w:pPr>
      <w:r>
        <w:rPr>
          <w:rFonts w:hint="cs"/>
          <w:b/>
          <w:bCs/>
          <w:u w:val="single"/>
          <w:rtl/>
        </w:rPr>
        <w:t>באת כח המאשימה:</w:t>
      </w:r>
    </w:p>
    <w:p w14:paraId="30B6E141" w14:textId="77777777" w:rsidR="009205B0" w:rsidRDefault="009205B0" w:rsidP="009205B0">
      <w:pPr>
        <w:spacing w:line="360" w:lineRule="auto"/>
        <w:jc w:val="both"/>
        <w:rPr>
          <w:rtl/>
        </w:rPr>
      </w:pPr>
      <w:r>
        <w:rPr>
          <w:rFonts w:hint="cs"/>
          <w:rtl/>
        </w:rPr>
        <w:t>אבקש עיכוב ביצוע רכיב עבודות השירות למשך 45 ימים, לצורך שקילת הגשת ערעור לביהמ"ש המחוזי. ככל שתתקבל החלטה כי לא יוגש ערעור, אודיע לביהמ"ש.</w:t>
      </w:r>
    </w:p>
    <w:p w14:paraId="72EC40F8" w14:textId="77777777" w:rsidR="009205B0" w:rsidRDefault="009205B0" w:rsidP="009205B0">
      <w:pPr>
        <w:spacing w:line="360" w:lineRule="auto"/>
        <w:jc w:val="both"/>
        <w:rPr>
          <w:rtl/>
        </w:rPr>
      </w:pPr>
    </w:p>
    <w:p w14:paraId="6C85596F" w14:textId="77777777" w:rsidR="009205B0" w:rsidRDefault="009205B0" w:rsidP="009205B0">
      <w:pPr>
        <w:spacing w:line="360" w:lineRule="auto"/>
        <w:jc w:val="both"/>
        <w:rPr>
          <w:b/>
          <w:bCs/>
          <w:u w:val="single"/>
          <w:rtl/>
        </w:rPr>
      </w:pPr>
      <w:r>
        <w:rPr>
          <w:rFonts w:hint="cs"/>
          <w:b/>
          <w:bCs/>
          <w:u w:val="single"/>
          <w:rtl/>
        </w:rPr>
        <w:t>באת כח הנאשמת:</w:t>
      </w:r>
    </w:p>
    <w:p w14:paraId="52C4F487" w14:textId="77777777" w:rsidR="009205B0" w:rsidRDefault="009205B0" w:rsidP="009205B0">
      <w:pPr>
        <w:spacing w:line="360" w:lineRule="auto"/>
        <w:jc w:val="both"/>
        <w:rPr>
          <w:rtl/>
        </w:rPr>
      </w:pPr>
      <w:r w:rsidRPr="002323AC">
        <w:rPr>
          <w:rFonts w:hint="cs"/>
          <w:rtl/>
        </w:rPr>
        <w:t xml:space="preserve">מתנגדת. </w:t>
      </w:r>
    </w:p>
    <w:p w14:paraId="68E5CCF6" w14:textId="77777777" w:rsidR="009205B0" w:rsidRDefault="009205B0" w:rsidP="009205B0">
      <w:pPr>
        <w:spacing w:line="360" w:lineRule="auto"/>
        <w:jc w:val="both"/>
        <w:rPr>
          <w:rtl/>
        </w:rPr>
      </w:pPr>
    </w:p>
    <w:p w14:paraId="52F4E51D" w14:textId="77777777" w:rsidR="009205B0" w:rsidRDefault="009205B0" w:rsidP="009205B0">
      <w:pPr>
        <w:spacing w:line="360" w:lineRule="auto"/>
        <w:jc w:val="both"/>
        <w:rPr>
          <w:rtl/>
        </w:rPr>
      </w:pPr>
    </w:p>
    <w:p w14:paraId="18066B05" w14:textId="77777777" w:rsidR="009205B0" w:rsidRDefault="009205B0" w:rsidP="009205B0">
      <w:pPr>
        <w:spacing w:line="360" w:lineRule="auto"/>
        <w:jc w:val="both"/>
        <w:rPr>
          <w:rtl/>
        </w:rPr>
      </w:pPr>
    </w:p>
    <w:p w14:paraId="49445E5B" w14:textId="77777777" w:rsidR="009205B0" w:rsidRDefault="009205B0" w:rsidP="009205B0">
      <w:pPr>
        <w:spacing w:line="360" w:lineRule="auto"/>
        <w:jc w:val="both"/>
        <w:rPr>
          <w:rtl/>
        </w:rPr>
      </w:pPr>
    </w:p>
    <w:p w14:paraId="5EE4A418" w14:textId="77777777" w:rsidR="009205B0" w:rsidRDefault="009205B0" w:rsidP="009205B0">
      <w:pPr>
        <w:spacing w:line="360" w:lineRule="auto"/>
        <w:jc w:val="both"/>
        <w:rPr>
          <w:rtl/>
        </w:rPr>
      </w:pPr>
    </w:p>
    <w:p w14:paraId="04782129" w14:textId="77777777" w:rsidR="009205B0" w:rsidRDefault="009205B0" w:rsidP="009205B0">
      <w:pPr>
        <w:spacing w:line="360" w:lineRule="auto"/>
        <w:jc w:val="both"/>
        <w:rPr>
          <w:rtl/>
        </w:rPr>
      </w:pPr>
    </w:p>
    <w:p w14:paraId="0F9CDFB7" w14:textId="77777777" w:rsidR="009205B0" w:rsidRDefault="009205B0" w:rsidP="009205B0">
      <w:pPr>
        <w:spacing w:line="360" w:lineRule="auto"/>
        <w:jc w:val="both"/>
        <w:rPr>
          <w:rtl/>
        </w:rPr>
      </w:pPr>
    </w:p>
    <w:p w14:paraId="103F1D57" w14:textId="77777777" w:rsidR="009205B0" w:rsidRDefault="009205B0" w:rsidP="009205B0">
      <w:pPr>
        <w:spacing w:line="360" w:lineRule="auto"/>
        <w:jc w:val="both"/>
        <w:rPr>
          <w:rtl/>
        </w:rPr>
      </w:pPr>
    </w:p>
    <w:p w14:paraId="60554C60" w14:textId="77777777" w:rsidR="009205B0" w:rsidRPr="002323AC" w:rsidRDefault="009205B0" w:rsidP="009205B0">
      <w:pPr>
        <w:spacing w:line="360" w:lineRule="auto"/>
        <w:jc w:val="both"/>
        <w:rPr>
          <w:rtl/>
        </w:rPr>
      </w:pPr>
    </w:p>
    <w:p w14:paraId="435FDA70" w14:textId="77777777" w:rsidR="009205B0" w:rsidRDefault="009205B0" w:rsidP="009205B0">
      <w:pPr>
        <w:suppressLineNumbers/>
        <w:spacing w:line="360" w:lineRule="auto"/>
        <w:jc w:val="both"/>
        <w:rPr>
          <w:b/>
          <w:bCs/>
          <w:rtl/>
        </w:rPr>
      </w:pPr>
    </w:p>
    <w:p w14:paraId="4F4BD32D" w14:textId="77777777" w:rsidR="009205B0" w:rsidRDefault="009205B0" w:rsidP="009205B0">
      <w:pPr>
        <w:suppressLineNumbers/>
        <w:spacing w:line="360" w:lineRule="auto"/>
        <w:jc w:val="both"/>
        <w:rPr>
          <w:b/>
          <w:bCs/>
          <w:sz w:val="6"/>
          <w:szCs w:val="6"/>
          <w:rtl/>
        </w:rPr>
      </w:pPr>
      <w:r>
        <w:rPr>
          <w:rFonts w:hint="cs"/>
          <w:b/>
          <w:bCs/>
          <w:sz w:val="6"/>
          <w:szCs w:val="6"/>
          <w:rtl/>
        </w:rPr>
        <w:t>&lt;#7#&gt;</w:t>
      </w:r>
    </w:p>
    <w:p w14:paraId="2AF1530B" w14:textId="77777777" w:rsidR="009205B0" w:rsidRDefault="009205B0" w:rsidP="009205B0">
      <w:pPr>
        <w:spacing w:line="360" w:lineRule="auto"/>
        <w:jc w:val="center"/>
        <w:rPr>
          <w:rFonts w:ascii="Arial" w:hAnsi="Arial"/>
          <w:b/>
          <w:bCs/>
          <w:sz w:val="28"/>
          <w:szCs w:val="28"/>
          <w:u w:val="single"/>
          <w:rtl/>
        </w:rPr>
      </w:pPr>
      <w:r>
        <w:rPr>
          <w:rFonts w:ascii="Arial" w:hAnsi="Arial" w:hint="cs"/>
          <w:b/>
          <w:bCs/>
          <w:sz w:val="28"/>
          <w:szCs w:val="28"/>
          <w:u w:val="single"/>
          <w:rtl/>
        </w:rPr>
        <w:t>החלטה</w:t>
      </w:r>
    </w:p>
    <w:p w14:paraId="070BA3D7" w14:textId="77777777" w:rsidR="009205B0" w:rsidRDefault="009205B0" w:rsidP="009205B0">
      <w:pPr>
        <w:suppressLineNumbers/>
        <w:spacing w:line="360" w:lineRule="auto"/>
        <w:jc w:val="both"/>
        <w:rPr>
          <w:rtl/>
        </w:rPr>
      </w:pPr>
    </w:p>
    <w:p w14:paraId="64993696" w14:textId="77777777" w:rsidR="009205B0" w:rsidRDefault="009205B0" w:rsidP="009205B0">
      <w:pPr>
        <w:suppressLineNumbers/>
        <w:spacing w:line="360" w:lineRule="auto"/>
        <w:jc w:val="both"/>
        <w:rPr>
          <w:rtl/>
        </w:rPr>
      </w:pPr>
      <w:r>
        <w:rPr>
          <w:rFonts w:hint="cs"/>
          <w:rtl/>
        </w:rPr>
        <w:t xml:space="preserve">על מנת לאפשר למאשימה להגיש ערעור על רכיב עבודות השירות בגזר הדין , ועל מנת שלא להעמיד את ערכאת הערעור בפני עובדה מוגמרת, הנני מורה על עיכוב רכיב עבודות השירות למשך 45 יום. </w:t>
      </w:r>
    </w:p>
    <w:p w14:paraId="64CFFD45" w14:textId="77777777" w:rsidR="009205B0" w:rsidRDefault="009205B0" w:rsidP="009205B0">
      <w:pPr>
        <w:suppressLineNumbers/>
        <w:spacing w:line="360" w:lineRule="auto"/>
        <w:jc w:val="both"/>
        <w:rPr>
          <w:rtl/>
        </w:rPr>
      </w:pPr>
    </w:p>
    <w:p w14:paraId="1A3425AC" w14:textId="77777777" w:rsidR="009205B0" w:rsidRDefault="009205B0" w:rsidP="009205B0">
      <w:pPr>
        <w:suppressLineNumbers/>
        <w:spacing w:line="360" w:lineRule="auto"/>
        <w:jc w:val="both"/>
        <w:rPr>
          <w:sz w:val="6"/>
          <w:szCs w:val="6"/>
          <w:rtl/>
        </w:rPr>
      </w:pPr>
      <w:r>
        <w:rPr>
          <w:rFonts w:hint="cs"/>
          <w:rtl/>
        </w:rPr>
        <w:t xml:space="preserve">אם לאחר עיון נוסף, תחליט המאשימה שלא לערער על רכיב עבודות השירות בגזר הדין, תודיע על ך מידית לבאת כח הנאשמת ולביהמ"ש. </w:t>
      </w:r>
      <w:r>
        <w:rPr>
          <w:rFonts w:hint="cs"/>
          <w:sz w:val="6"/>
          <w:szCs w:val="6"/>
          <w:rtl/>
        </w:rPr>
        <w:t>&lt;#3#&gt;</w:t>
      </w:r>
    </w:p>
    <w:p w14:paraId="5D95F6A6" w14:textId="77777777" w:rsidR="009205B0" w:rsidRDefault="009205B0" w:rsidP="009205B0">
      <w:pPr>
        <w:spacing w:line="360" w:lineRule="auto"/>
        <w:jc w:val="both"/>
        <w:rPr>
          <w:szCs w:val="26"/>
          <w:rtl/>
        </w:rPr>
      </w:pPr>
    </w:p>
    <w:p w14:paraId="5D241CDD" w14:textId="77777777" w:rsidR="009205B0" w:rsidRDefault="00E15B85" w:rsidP="009205B0">
      <w:pPr>
        <w:spacing w:line="360" w:lineRule="auto"/>
        <w:rPr>
          <w:rtl/>
        </w:rPr>
      </w:pPr>
      <w:r w:rsidRPr="00E15B85">
        <w:rPr>
          <w:b/>
          <w:bCs/>
          <w:color w:val="FFFFFF"/>
          <w:sz w:val="2"/>
          <w:szCs w:val="2"/>
          <w:rtl/>
        </w:rPr>
        <w:t>5129371</w:t>
      </w:r>
      <w:r>
        <w:rPr>
          <w:b/>
          <w:bCs/>
          <w:rtl/>
        </w:rPr>
        <w:t xml:space="preserve">ניתנה והודעה היום ח' טבת תשע"ח, 26/12/2017 במעמד הנוכחים. </w:t>
      </w:r>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9205B0" w14:paraId="7CEDE208" w14:textId="77777777" w:rsidTr="009205B0">
        <w:trPr>
          <w:trHeight w:val="316"/>
        </w:trPr>
        <w:tc>
          <w:tcPr>
            <w:tcW w:w="3936" w:type="dxa"/>
            <w:tcBorders>
              <w:top w:val="nil"/>
              <w:left w:val="nil"/>
              <w:bottom w:val="single" w:sz="4" w:space="0" w:color="auto"/>
              <w:right w:val="nil"/>
            </w:tcBorders>
            <w:shd w:val="clear" w:color="auto" w:fill="auto"/>
          </w:tcPr>
          <w:p w14:paraId="4D742CF7" w14:textId="77777777" w:rsidR="009205B0" w:rsidRPr="00E15B85" w:rsidRDefault="00E15B85" w:rsidP="009205B0">
            <w:pPr>
              <w:spacing w:line="360" w:lineRule="auto"/>
              <w:jc w:val="center"/>
              <w:rPr>
                <w:color w:val="FFFFFF"/>
                <w:sz w:val="2"/>
                <w:szCs w:val="2"/>
              </w:rPr>
            </w:pPr>
            <w:r w:rsidRPr="00E15B85">
              <w:rPr>
                <w:rFonts w:cs="Times New Roman"/>
                <w:color w:val="FFFFFF"/>
                <w:sz w:val="2"/>
                <w:szCs w:val="2"/>
                <w:rtl/>
              </w:rPr>
              <w:t>54678313</w:t>
            </w:r>
            <w:r w:rsidR="009205B0" w:rsidRPr="00E15B85">
              <w:rPr>
                <w:rFonts w:cs="Times New Roman"/>
                <w:color w:val="FFFFFF"/>
                <w:sz w:val="2"/>
                <w:szCs w:val="2"/>
                <w:rtl/>
              </w:rPr>
              <w:t xml:space="preserve">     </w:t>
            </w:r>
          </w:p>
        </w:tc>
      </w:tr>
      <w:tr w:rsidR="009205B0" w14:paraId="38D4D23C" w14:textId="77777777" w:rsidTr="009205B0">
        <w:trPr>
          <w:trHeight w:val="361"/>
        </w:trPr>
        <w:tc>
          <w:tcPr>
            <w:tcW w:w="3936" w:type="dxa"/>
            <w:tcBorders>
              <w:top w:val="single" w:sz="4" w:space="0" w:color="auto"/>
              <w:left w:val="nil"/>
              <w:bottom w:val="nil"/>
              <w:right w:val="nil"/>
            </w:tcBorders>
            <w:shd w:val="clear" w:color="auto" w:fill="auto"/>
          </w:tcPr>
          <w:p w14:paraId="4D055919" w14:textId="77777777" w:rsidR="009205B0" w:rsidRPr="009205B0" w:rsidRDefault="009205B0" w:rsidP="009205B0">
            <w:pPr>
              <w:spacing w:line="360" w:lineRule="auto"/>
              <w:jc w:val="center"/>
              <w:rPr>
                <w:b/>
                <w:bCs/>
                <w:rtl/>
              </w:rPr>
            </w:pPr>
            <w:r w:rsidRPr="009205B0">
              <w:rPr>
                <w:rFonts w:hint="cs"/>
                <w:b/>
                <w:bCs/>
                <w:rtl/>
              </w:rPr>
              <w:t xml:space="preserve">נגה שמואלי </w:t>
            </w:r>
            <w:r w:rsidRPr="009205B0">
              <w:rPr>
                <w:rFonts w:hint="cs"/>
                <w:b/>
                <w:bCs/>
                <w:vertAlign w:val="superscript"/>
                <w:rtl/>
              </w:rPr>
              <w:t>–</w:t>
            </w:r>
            <w:r w:rsidRPr="009205B0">
              <w:rPr>
                <w:rFonts w:hint="cs"/>
                <w:b/>
                <w:bCs/>
                <w:rtl/>
              </w:rPr>
              <w:t xml:space="preserve"> מאייר, שופטת </w:t>
            </w:r>
          </w:p>
          <w:p w14:paraId="6137E83A" w14:textId="77777777" w:rsidR="009205B0" w:rsidRPr="009205B0" w:rsidRDefault="009205B0" w:rsidP="009205B0">
            <w:pPr>
              <w:spacing w:line="360" w:lineRule="auto"/>
              <w:jc w:val="center"/>
              <w:rPr>
                <w:b/>
                <w:bCs/>
                <w:rtl/>
              </w:rPr>
            </w:pPr>
            <w:r w:rsidRPr="009205B0">
              <w:rPr>
                <w:rFonts w:hint="cs"/>
                <w:b/>
                <w:bCs/>
                <w:rtl/>
              </w:rPr>
              <w:t>סגנית נשיאה</w:t>
            </w:r>
          </w:p>
        </w:tc>
      </w:tr>
    </w:tbl>
    <w:p w14:paraId="5792277B" w14:textId="77777777" w:rsidR="009205B0" w:rsidRDefault="009205B0" w:rsidP="009205B0">
      <w:pPr>
        <w:spacing w:line="360" w:lineRule="auto"/>
        <w:jc w:val="right"/>
        <w:rPr>
          <w:rFonts w:ascii="David" w:hAnsi="David"/>
          <w:szCs w:val="26"/>
          <w:rtl/>
        </w:rPr>
      </w:pPr>
    </w:p>
    <w:p w14:paraId="1D0171CD" w14:textId="77777777" w:rsidR="003F0D11" w:rsidRPr="00E15B85" w:rsidRDefault="003F0D11" w:rsidP="00E15B85">
      <w:pPr>
        <w:keepNext/>
        <w:rPr>
          <w:rFonts w:ascii="David" w:hAnsi="David"/>
          <w:color w:val="000000"/>
          <w:sz w:val="22"/>
          <w:szCs w:val="22"/>
          <w:rtl/>
        </w:rPr>
      </w:pPr>
    </w:p>
    <w:p w14:paraId="5B779053" w14:textId="77777777" w:rsidR="00E15B85" w:rsidRPr="00E15B85" w:rsidRDefault="00E15B85" w:rsidP="00E15B85">
      <w:pPr>
        <w:keepNext/>
        <w:rPr>
          <w:rFonts w:ascii="David" w:hAnsi="David"/>
          <w:color w:val="000000"/>
          <w:sz w:val="22"/>
          <w:szCs w:val="22"/>
          <w:rtl/>
        </w:rPr>
      </w:pPr>
      <w:r w:rsidRPr="00E15B85">
        <w:rPr>
          <w:rFonts w:ascii="David" w:hAnsi="David"/>
          <w:color w:val="000000"/>
          <w:sz w:val="22"/>
          <w:szCs w:val="22"/>
          <w:rtl/>
        </w:rPr>
        <w:t>הה נגה שמואלי מאייר 54678313</w:t>
      </w:r>
    </w:p>
    <w:p w14:paraId="14E8AB9A" w14:textId="77777777" w:rsidR="00E15B85" w:rsidRDefault="00E15B85" w:rsidP="00E15B85">
      <w:r w:rsidRPr="00E15B85">
        <w:rPr>
          <w:color w:val="000000"/>
          <w:rtl/>
        </w:rPr>
        <w:t>נוסח מסמך זה כפוף לשינויי ניסוח ועריכה</w:t>
      </w:r>
    </w:p>
    <w:p w14:paraId="3D0BF88E" w14:textId="77777777" w:rsidR="00E15B85" w:rsidRDefault="00E15B85" w:rsidP="00E15B85">
      <w:pPr>
        <w:rPr>
          <w:rtl/>
        </w:rPr>
      </w:pPr>
    </w:p>
    <w:p w14:paraId="0F4B2F9D" w14:textId="77777777" w:rsidR="00E15B85" w:rsidRDefault="00E15B85" w:rsidP="00E15B85">
      <w:pPr>
        <w:jc w:val="center"/>
        <w:rPr>
          <w:color w:val="0000FF"/>
          <w:u w:val="single"/>
        </w:rPr>
      </w:pPr>
      <w:hyperlink r:id="rId75" w:history="1">
        <w:r>
          <w:rPr>
            <w:color w:val="0000FF"/>
            <w:u w:val="single"/>
            <w:rtl/>
          </w:rPr>
          <w:t>בעניין עריכה ושינויים במסמכי פסיקה, חקיקה ועוד באתר נבו – הקש כאן</w:t>
        </w:r>
      </w:hyperlink>
    </w:p>
    <w:p w14:paraId="526E4D36" w14:textId="77777777" w:rsidR="00E15B85" w:rsidRPr="00E15B85" w:rsidRDefault="00E15B85" w:rsidP="00E15B85">
      <w:pPr>
        <w:jc w:val="center"/>
        <w:rPr>
          <w:color w:val="0000FF"/>
          <w:u w:val="single"/>
        </w:rPr>
      </w:pPr>
    </w:p>
    <w:sectPr w:rsidR="00E15B85" w:rsidRPr="00E15B85" w:rsidSect="00E15B85">
      <w:headerReference w:type="even" r:id="rId76"/>
      <w:headerReference w:type="default" r:id="rId77"/>
      <w:footerReference w:type="even" r:id="rId78"/>
      <w:footerReference w:type="default" r:id="rId79"/>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B59B4" w14:textId="77777777" w:rsidR="000F150E" w:rsidRDefault="000F150E" w:rsidP="00070FA1">
      <w:r>
        <w:separator/>
      </w:r>
    </w:p>
  </w:endnote>
  <w:endnote w:type="continuationSeparator" w:id="0">
    <w:p w14:paraId="7B970149" w14:textId="77777777" w:rsidR="000F150E" w:rsidRDefault="000F150E" w:rsidP="00070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50A7F" w14:textId="77777777" w:rsidR="000F150E" w:rsidRDefault="000F150E" w:rsidP="00E15B8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5906927" w14:textId="77777777" w:rsidR="000F150E" w:rsidRPr="00E15B85" w:rsidRDefault="000F150E" w:rsidP="00E15B8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9A94E" w14:textId="77777777" w:rsidR="000F150E" w:rsidRDefault="000F150E" w:rsidP="00E15B85">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5D2B80">
      <w:rPr>
        <w:rStyle w:val="a8"/>
        <w:rFonts w:ascii="FrankRuehl" w:hAnsi="FrankRuehl" w:cs="FrankRuehl"/>
        <w:rtl/>
      </w:rPr>
      <w:t>1</w:t>
    </w:r>
    <w:r>
      <w:rPr>
        <w:rStyle w:val="a8"/>
        <w:rFonts w:ascii="FrankRuehl" w:hAnsi="FrankRuehl" w:cs="FrankRuehl"/>
        <w:rtl/>
      </w:rPr>
      <w:fldChar w:fldCharType="end"/>
    </w:r>
  </w:p>
  <w:p w14:paraId="4B70F6E4" w14:textId="77777777" w:rsidR="000F150E" w:rsidRPr="00E15B85" w:rsidRDefault="000F150E" w:rsidP="00E15B85">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1C0854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C782B" w14:textId="77777777" w:rsidR="000F150E" w:rsidRDefault="000F150E" w:rsidP="00070FA1">
      <w:r>
        <w:separator/>
      </w:r>
    </w:p>
  </w:footnote>
  <w:footnote w:type="continuationSeparator" w:id="0">
    <w:p w14:paraId="6CF0CE0A" w14:textId="77777777" w:rsidR="000F150E" w:rsidRDefault="000F150E" w:rsidP="00070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BDF1D" w14:textId="77777777" w:rsidR="000F150E" w:rsidRPr="00E15B85" w:rsidRDefault="000F150E" w:rsidP="00E15B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53127-06-16</w:t>
    </w:r>
    <w:r>
      <w:rPr>
        <w:rFonts w:ascii="David" w:hAnsi="David"/>
        <w:color w:val="000000"/>
        <w:sz w:val="22"/>
        <w:szCs w:val="22"/>
        <w:rtl/>
      </w:rPr>
      <w:tab/>
      <w:t xml:space="preserve"> מדינת ישראל נ' מרסל ליברטי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EC765" w14:textId="77777777" w:rsidR="000F150E" w:rsidRPr="00E15B85" w:rsidRDefault="000F150E" w:rsidP="00E15B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53127-06-16</w:t>
    </w:r>
    <w:r>
      <w:rPr>
        <w:rFonts w:ascii="David" w:hAnsi="David"/>
        <w:color w:val="000000"/>
        <w:sz w:val="22"/>
        <w:szCs w:val="22"/>
        <w:rtl/>
      </w:rPr>
      <w:tab/>
      <w:t xml:space="preserve"> מדינת ישראל נ' מרסל ליברטי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71790A"/>
    <w:multiLevelType w:val="hybridMultilevel"/>
    <w:tmpl w:val="1930C8F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C060F99"/>
    <w:multiLevelType w:val="hybridMultilevel"/>
    <w:tmpl w:val="3A8A1648"/>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cs="Courier New" w:hint="default"/>
      </w:rPr>
    </w:lvl>
    <w:lvl w:ilvl="2" w:tplc="04090005">
      <w:start w:val="1"/>
      <w:numFmt w:val="bullet"/>
      <w:lvlText w:val=""/>
      <w:lvlJc w:val="left"/>
      <w:pPr>
        <w:ind w:left="2102" w:hanging="360"/>
      </w:pPr>
      <w:rPr>
        <w:rFonts w:ascii="Wingdings" w:hAnsi="Wingdings" w:hint="default"/>
      </w:rPr>
    </w:lvl>
    <w:lvl w:ilvl="3" w:tplc="04090001">
      <w:start w:val="1"/>
      <w:numFmt w:val="bullet"/>
      <w:lvlText w:val=""/>
      <w:lvlJc w:val="left"/>
      <w:pPr>
        <w:ind w:left="2822" w:hanging="360"/>
      </w:pPr>
      <w:rPr>
        <w:rFonts w:ascii="Symbol" w:hAnsi="Symbol" w:hint="default"/>
      </w:rPr>
    </w:lvl>
    <w:lvl w:ilvl="4" w:tplc="04090003">
      <w:start w:val="1"/>
      <w:numFmt w:val="bullet"/>
      <w:lvlText w:val="o"/>
      <w:lvlJc w:val="left"/>
      <w:pPr>
        <w:ind w:left="3542" w:hanging="360"/>
      </w:pPr>
      <w:rPr>
        <w:rFonts w:ascii="Courier New" w:hAnsi="Courier New" w:cs="Courier New" w:hint="default"/>
      </w:rPr>
    </w:lvl>
    <w:lvl w:ilvl="5" w:tplc="04090005">
      <w:start w:val="1"/>
      <w:numFmt w:val="bullet"/>
      <w:lvlText w:val=""/>
      <w:lvlJc w:val="left"/>
      <w:pPr>
        <w:ind w:left="4262" w:hanging="360"/>
      </w:pPr>
      <w:rPr>
        <w:rFonts w:ascii="Wingdings" w:hAnsi="Wingdings" w:hint="default"/>
      </w:rPr>
    </w:lvl>
    <w:lvl w:ilvl="6" w:tplc="04090001">
      <w:start w:val="1"/>
      <w:numFmt w:val="bullet"/>
      <w:lvlText w:val=""/>
      <w:lvlJc w:val="left"/>
      <w:pPr>
        <w:ind w:left="4982" w:hanging="360"/>
      </w:pPr>
      <w:rPr>
        <w:rFonts w:ascii="Symbol" w:hAnsi="Symbol" w:hint="default"/>
      </w:rPr>
    </w:lvl>
    <w:lvl w:ilvl="7" w:tplc="04090003">
      <w:start w:val="1"/>
      <w:numFmt w:val="bullet"/>
      <w:lvlText w:val="o"/>
      <w:lvlJc w:val="left"/>
      <w:pPr>
        <w:ind w:left="5702" w:hanging="360"/>
      </w:pPr>
      <w:rPr>
        <w:rFonts w:ascii="Courier New" w:hAnsi="Courier New" w:cs="Courier New" w:hint="default"/>
      </w:rPr>
    </w:lvl>
    <w:lvl w:ilvl="8" w:tplc="04090005">
      <w:start w:val="1"/>
      <w:numFmt w:val="bullet"/>
      <w:lvlText w:val=""/>
      <w:lvlJc w:val="left"/>
      <w:pPr>
        <w:ind w:left="6422" w:hanging="360"/>
      </w:pPr>
      <w:rPr>
        <w:rFonts w:ascii="Wingdings" w:hAnsi="Wingdings" w:hint="default"/>
      </w:rPr>
    </w:lvl>
  </w:abstractNum>
  <w:abstractNum w:abstractNumId="2" w15:restartNumberingAfterBreak="0">
    <w:nsid w:val="606F5F9C"/>
    <w:multiLevelType w:val="hybridMultilevel"/>
    <w:tmpl w:val="4F6EC82C"/>
    <w:lvl w:ilvl="0" w:tplc="84B8F21C">
      <w:start w:val="2"/>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AB55F74"/>
    <w:multiLevelType w:val="hybridMultilevel"/>
    <w:tmpl w:val="FBCEB638"/>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A236552"/>
    <w:multiLevelType w:val="hybridMultilevel"/>
    <w:tmpl w:val="52DE6F7C"/>
    <w:lvl w:ilvl="0" w:tplc="1FF2DCBC">
      <w:start w:val="1"/>
      <w:numFmt w:val="decimal"/>
      <w:lvlText w:val="%1."/>
      <w:lvlJc w:val="left"/>
      <w:pPr>
        <w:ind w:left="662" w:hanging="360"/>
      </w:pPr>
      <w:rPr>
        <w:lang w:bidi="he-IL"/>
      </w:rPr>
    </w:lvl>
    <w:lvl w:ilvl="1" w:tplc="04090019">
      <w:start w:val="1"/>
      <w:numFmt w:val="lowerLetter"/>
      <w:lvlText w:val="%2."/>
      <w:lvlJc w:val="left"/>
      <w:pPr>
        <w:ind w:left="1382" w:hanging="360"/>
      </w:pPr>
    </w:lvl>
    <w:lvl w:ilvl="2" w:tplc="0409001B">
      <w:start w:val="1"/>
      <w:numFmt w:val="lowerRoman"/>
      <w:lvlText w:val="%3."/>
      <w:lvlJc w:val="right"/>
      <w:pPr>
        <w:ind w:left="2102" w:hanging="180"/>
      </w:pPr>
    </w:lvl>
    <w:lvl w:ilvl="3" w:tplc="0409000F">
      <w:start w:val="1"/>
      <w:numFmt w:val="decimal"/>
      <w:lvlText w:val="%4."/>
      <w:lvlJc w:val="left"/>
      <w:pPr>
        <w:ind w:left="2822" w:hanging="360"/>
      </w:pPr>
    </w:lvl>
    <w:lvl w:ilvl="4" w:tplc="04090019">
      <w:start w:val="1"/>
      <w:numFmt w:val="lowerLetter"/>
      <w:lvlText w:val="%5."/>
      <w:lvlJc w:val="left"/>
      <w:pPr>
        <w:ind w:left="3542" w:hanging="360"/>
      </w:pPr>
    </w:lvl>
    <w:lvl w:ilvl="5" w:tplc="0409001B">
      <w:start w:val="1"/>
      <w:numFmt w:val="lowerRoman"/>
      <w:lvlText w:val="%6."/>
      <w:lvlJc w:val="right"/>
      <w:pPr>
        <w:ind w:left="4262" w:hanging="180"/>
      </w:pPr>
    </w:lvl>
    <w:lvl w:ilvl="6" w:tplc="0409000F">
      <w:start w:val="1"/>
      <w:numFmt w:val="decimal"/>
      <w:lvlText w:val="%7."/>
      <w:lvlJc w:val="left"/>
      <w:pPr>
        <w:ind w:left="4982" w:hanging="360"/>
      </w:pPr>
    </w:lvl>
    <w:lvl w:ilvl="7" w:tplc="04090019">
      <w:start w:val="1"/>
      <w:numFmt w:val="lowerLetter"/>
      <w:lvlText w:val="%8."/>
      <w:lvlJc w:val="left"/>
      <w:pPr>
        <w:ind w:left="5702" w:hanging="360"/>
      </w:pPr>
    </w:lvl>
    <w:lvl w:ilvl="8" w:tplc="0409001B">
      <w:start w:val="1"/>
      <w:numFmt w:val="lowerRoman"/>
      <w:lvlText w:val="%9."/>
      <w:lvlJc w:val="right"/>
      <w:pPr>
        <w:ind w:left="6422" w:hanging="180"/>
      </w:pPr>
    </w:lvl>
  </w:abstractNum>
  <w:num w:numId="1" w16cid:durableId="10890374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89608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1156784">
    <w:abstractNumId w:val="1"/>
  </w:num>
  <w:num w:numId="4" w16cid:durableId="128419081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54056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05B0"/>
    <w:rsid w:val="00037B97"/>
    <w:rsid w:val="00070FA1"/>
    <w:rsid w:val="000F150E"/>
    <w:rsid w:val="003F0D11"/>
    <w:rsid w:val="005D2B80"/>
    <w:rsid w:val="006970FD"/>
    <w:rsid w:val="007B3E73"/>
    <w:rsid w:val="009205B0"/>
    <w:rsid w:val="00B01952"/>
    <w:rsid w:val="00B757FD"/>
    <w:rsid w:val="00E15B85"/>
    <w:rsid w:val="00F771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3495907"/>
  <w15:chartTrackingRefBased/>
  <w15:docId w15:val="{3ED883FD-5FF1-44C3-BE9A-7D114485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05B0"/>
    <w:pPr>
      <w:bidi/>
    </w:pPr>
    <w:rPr>
      <w:rFonts w:ascii="Times New Roman" w:eastAsia="Times New Roman" w:hAnsi="Times New Roman" w:cs="David"/>
      <w:noProof/>
      <w:sz w:val="24"/>
      <w:szCs w:val="24"/>
    </w:rPr>
  </w:style>
  <w:style w:type="paragraph" w:styleId="1">
    <w:name w:val="heading 1"/>
    <w:basedOn w:val="a"/>
    <w:next w:val="a"/>
    <w:link w:val="10"/>
    <w:qFormat/>
    <w:rsid w:val="009205B0"/>
    <w:pPr>
      <w:keepNext/>
      <w:keepLines/>
      <w:spacing w:before="240"/>
      <w:outlineLvl w:val="0"/>
    </w:pPr>
    <w:rPr>
      <w:rFonts w:ascii="Calibri Light" w:hAnsi="Calibri Light" w:cs="Times New Roman"/>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205B0"/>
    <w:rPr>
      <w:rFonts w:ascii="Calibri Light" w:eastAsia="Times New Roman" w:hAnsi="Calibri Light" w:cs="Times New Roman"/>
      <w:noProof/>
      <w:color w:val="2E74B5"/>
      <w:sz w:val="32"/>
      <w:szCs w:val="32"/>
    </w:rPr>
  </w:style>
  <w:style w:type="paragraph" w:styleId="a3">
    <w:name w:val="header"/>
    <w:basedOn w:val="a"/>
    <w:link w:val="a4"/>
    <w:rsid w:val="009205B0"/>
    <w:pPr>
      <w:tabs>
        <w:tab w:val="center" w:pos="4153"/>
        <w:tab w:val="right" w:pos="8306"/>
      </w:tabs>
    </w:pPr>
  </w:style>
  <w:style w:type="character" w:customStyle="1" w:styleId="a4">
    <w:name w:val="כותרת עליונה תו"/>
    <w:link w:val="a3"/>
    <w:rsid w:val="009205B0"/>
    <w:rPr>
      <w:rFonts w:ascii="Times New Roman" w:eastAsia="Times New Roman" w:hAnsi="Times New Roman" w:cs="David"/>
      <w:noProof/>
      <w:sz w:val="24"/>
      <w:szCs w:val="24"/>
    </w:rPr>
  </w:style>
  <w:style w:type="paragraph" w:styleId="a5">
    <w:name w:val="footer"/>
    <w:basedOn w:val="a"/>
    <w:link w:val="a6"/>
    <w:rsid w:val="009205B0"/>
    <w:pPr>
      <w:tabs>
        <w:tab w:val="center" w:pos="4153"/>
        <w:tab w:val="right" w:pos="8306"/>
      </w:tabs>
    </w:pPr>
  </w:style>
  <w:style w:type="character" w:customStyle="1" w:styleId="a6">
    <w:name w:val="כותרת תחתונה תו"/>
    <w:link w:val="a5"/>
    <w:rsid w:val="009205B0"/>
    <w:rPr>
      <w:rFonts w:ascii="Times New Roman" w:eastAsia="Times New Roman" w:hAnsi="Times New Roman" w:cs="David"/>
      <w:noProof/>
      <w:sz w:val="24"/>
      <w:szCs w:val="24"/>
    </w:rPr>
  </w:style>
  <w:style w:type="table" w:styleId="a7">
    <w:name w:val="Table Grid"/>
    <w:basedOn w:val="a1"/>
    <w:rsid w:val="009205B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205B0"/>
  </w:style>
  <w:style w:type="paragraph" w:customStyle="1" w:styleId="ListParagraph">
    <w:name w:val="List Paragraph"/>
    <w:basedOn w:val="a"/>
    <w:qFormat/>
    <w:rsid w:val="009205B0"/>
    <w:pPr>
      <w:spacing w:after="160" w:line="360" w:lineRule="auto"/>
      <w:ind w:left="720" w:hanging="357"/>
      <w:contextualSpacing/>
      <w:jc w:val="both"/>
    </w:pPr>
    <w:rPr>
      <w:rFonts w:ascii="Calibri" w:eastAsia="Calibri" w:hAnsi="Calibri"/>
      <w:noProof w:val="0"/>
    </w:rPr>
  </w:style>
  <w:style w:type="character" w:styleId="Hyperlink">
    <w:name w:val="Hyperlink"/>
    <w:rsid w:val="00E15B8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9a" TargetMode="External"/><Relationship Id="rId21" Type="http://schemas.openxmlformats.org/officeDocument/2006/relationships/hyperlink" Target="http://www.nevo.co.il/law/70301/40jc.c" TargetMode="External"/><Relationship Id="rId42" Type="http://schemas.openxmlformats.org/officeDocument/2006/relationships/hyperlink" Target="http://www.nevo.co.il/law/70301/40i.a.5" TargetMode="External"/><Relationship Id="rId47" Type="http://schemas.openxmlformats.org/officeDocument/2006/relationships/hyperlink" Target="http://www.nevo.co.il/case/6094597" TargetMode="External"/><Relationship Id="rId63" Type="http://schemas.openxmlformats.org/officeDocument/2006/relationships/hyperlink" Target="http://www.nevo.co.il/law/70301/40d.a" TargetMode="External"/><Relationship Id="rId68" Type="http://schemas.openxmlformats.org/officeDocument/2006/relationships/hyperlink" Target="http://www.nevo.co.il/case/22688077" TargetMode="External"/><Relationship Id="rId16" Type="http://schemas.openxmlformats.org/officeDocument/2006/relationships/hyperlink" Target="http://www.nevo.co.il/law/70301/40i.a.2" TargetMode="External"/><Relationship Id="rId11" Type="http://schemas.openxmlformats.org/officeDocument/2006/relationships/hyperlink" Target="http://www.nevo.co.il/law/4216/19a" TargetMode="External"/><Relationship Id="rId32" Type="http://schemas.openxmlformats.org/officeDocument/2006/relationships/hyperlink" Target="http://www.nevo.co.il/case/20240530" TargetMode="External"/><Relationship Id="rId37" Type="http://schemas.openxmlformats.org/officeDocument/2006/relationships/hyperlink" Target="http://www.nevo.co.il/case/5573417" TargetMode="External"/><Relationship Id="rId53" Type="http://schemas.openxmlformats.org/officeDocument/2006/relationships/hyperlink" Target="http://www.nevo.co.il/case/20556511" TargetMode="External"/><Relationship Id="rId58" Type="http://schemas.openxmlformats.org/officeDocument/2006/relationships/hyperlink" Target="http://www.nevo.co.il/law/70301/40ja" TargetMode="External"/><Relationship Id="rId74" Type="http://schemas.openxmlformats.org/officeDocument/2006/relationships/hyperlink" Target="http://www.nevo.co.il/law/4216"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70301/40ja.3" TargetMode="External"/><Relationship Id="rId14" Type="http://schemas.openxmlformats.org/officeDocument/2006/relationships/hyperlink" Target="http://www.nevo.co.il/law/70301/40c.b"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4216/7.a" TargetMode="External"/><Relationship Id="rId30" Type="http://schemas.openxmlformats.org/officeDocument/2006/relationships/hyperlink" Target="http://www.nevo.co.il/case/20033641" TargetMode="External"/><Relationship Id="rId35" Type="http://schemas.openxmlformats.org/officeDocument/2006/relationships/hyperlink" Target="http://www.nevo.co.il/law/70301/40jc.b.;40jc.c"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13090102" TargetMode="External"/><Relationship Id="rId56" Type="http://schemas.openxmlformats.org/officeDocument/2006/relationships/hyperlink" Target="http://www.nevo.co.il/case/6032057"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22531518" TargetMode="External"/><Relationship Id="rId77"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case/18169626" TargetMode="External"/><Relationship Id="rId72" Type="http://schemas.openxmlformats.org/officeDocument/2006/relationships/hyperlink" Target="http://www.nevo.co.il/case/17997710"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i.a.5" TargetMode="External"/><Relationship Id="rId25" Type="http://schemas.openxmlformats.org/officeDocument/2006/relationships/hyperlink" Target="http://www.nevo.co.il/law/4216/13"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c.a" TargetMode="External"/><Relationship Id="rId46" Type="http://schemas.openxmlformats.org/officeDocument/2006/relationships/hyperlink" Target="http://www.nevo.co.il/case/5786821" TargetMode="External"/><Relationship Id="rId59" Type="http://schemas.openxmlformats.org/officeDocument/2006/relationships/hyperlink" Target="http://www.nevo.co.il/law/70301" TargetMode="External"/><Relationship Id="rId67" Type="http://schemas.openxmlformats.org/officeDocument/2006/relationships/hyperlink" Target="http://www.nevo.co.il/case/18653810" TargetMode="External"/><Relationship Id="rId20" Type="http://schemas.openxmlformats.org/officeDocument/2006/relationships/hyperlink" Target="http://www.nevo.co.il/law/70301/40jc.b." TargetMode="External"/><Relationship Id="rId41" Type="http://schemas.openxmlformats.org/officeDocument/2006/relationships/hyperlink" Target="http://www.nevo.co.il/law/70301/40i.a.2" TargetMode="External"/><Relationship Id="rId54" Type="http://schemas.openxmlformats.org/officeDocument/2006/relationships/hyperlink" Target="http://www.nevo.co.il/case/20155030" TargetMode="External"/><Relationship Id="rId62" Type="http://schemas.openxmlformats.org/officeDocument/2006/relationships/hyperlink" Target="http://www.nevo.co.il/law/70301/40c.b" TargetMode="External"/><Relationship Id="rId70" Type="http://schemas.openxmlformats.org/officeDocument/2006/relationships/hyperlink" Target="http://www.nevo.co.il/case/22140787" TargetMode="External"/><Relationship Id="rId75"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a"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4216/7.c"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2017740" TargetMode="External"/><Relationship Id="rId57" Type="http://schemas.openxmlformats.org/officeDocument/2006/relationships/hyperlink" Target="http://www.nevo.co.il/case/6824952"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16904503" TargetMode="External"/><Relationship Id="rId44" Type="http://schemas.openxmlformats.org/officeDocument/2006/relationships/hyperlink" Target="http://www.nevo.co.il/case/5704648" TargetMode="External"/><Relationship Id="rId52" Type="http://schemas.openxmlformats.org/officeDocument/2006/relationships/hyperlink" Target="http://www.nevo.co.il/case/20093836" TargetMode="External"/><Relationship Id="rId60" Type="http://schemas.openxmlformats.org/officeDocument/2006/relationships/hyperlink" Target="http://www.nevo.co.il/law/70301/40ja.3" TargetMode="External"/><Relationship Id="rId65" Type="http://schemas.openxmlformats.org/officeDocument/2006/relationships/hyperlink" Target="http://www.nevo.co.il/law/70301/40jc.b" TargetMode="External"/><Relationship Id="rId73" Type="http://schemas.openxmlformats.org/officeDocument/2006/relationships/hyperlink" Target="http://www.nevo.co.il/case/18768481"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c.a"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8441178" TargetMode="External"/><Relationship Id="rId50" Type="http://schemas.openxmlformats.org/officeDocument/2006/relationships/hyperlink" Target="http://www.nevo.co.il/case/6793477" TargetMode="External"/><Relationship Id="rId55" Type="http://schemas.openxmlformats.org/officeDocument/2006/relationships/hyperlink" Target="http://www.nevo.co.il/case/4216871" TargetMode="External"/><Relationship Id="rId76" Type="http://schemas.openxmlformats.org/officeDocument/2006/relationships/header" Target="header1.xml"/><Relationship Id="rId7" Type="http://schemas.openxmlformats.org/officeDocument/2006/relationships/hyperlink" Target="http://www.nevo.co.il/law/4216" TargetMode="External"/><Relationship Id="rId71" Type="http://schemas.openxmlformats.org/officeDocument/2006/relationships/hyperlink" Target="http://www.nevo.co.il/case/20498074" TargetMode="External"/><Relationship Id="rId2" Type="http://schemas.openxmlformats.org/officeDocument/2006/relationships/styles" Target="styles.xml"/><Relationship Id="rId29" Type="http://schemas.openxmlformats.org/officeDocument/2006/relationships/hyperlink" Target="http://www.nevo.co.il/case/13093721" TargetMode="External"/><Relationship Id="rId24" Type="http://schemas.openxmlformats.org/officeDocument/2006/relationships/hyperlink" Target="http://www.nevo.co.il/law/4216" TargetMode="External"/><Relationship Id="rId40" Type="http://schemas.openxmlformats.org/officeDocument/2006/relationships/hyperlink" Target="http://www.nevo.co.il/law/4216" TargetMode="External"/><Relationship Id="rId45" Type="http://schemas.openxmlformats.org/officeDocument/2006/relationships/hyperlink" Target="http://www.nevo.co.il/case/5878649" TargetMode="External"/><Relationship Id="rId6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4753</Words>
  <Characters>23769</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28466</CharactersWithSpaces>
  <SharedDoc>false</SharedDoc>
  <HLinks>
    <vt:vector size="414" baseType="variant">
      <vt:variant>
        <vt:i4>393283</vt:i4>
      </vt:variant>
      <vt:variant>
        <vt:i4>204</vt:i4>
      </vt:variant>
      <vt:variant>
        <vt:i4>0</vt:i4>
      </vt:variant>
      <vt:variant>
        <vt:i4>5</vt:i4>
      </vt:variant>
      <vt:variant>
        <vt:lpwstr>http://www.nevo.co.il/advertisements/nevo-100.doc</vt:lpwstr>
      </vt:variant>
      <vt:variant>
        <vt:lpwstr/>
      </vt:variant>
      <vt:variant>
        <vt:i4>8257637</vt:i4>
      </vt:variant>
      <vt:variant>
        <vt:i4>201</vt:i4>
      </vt:variant>
      <vt:variant>
        <vt:i4>0</vt:i4>
      </vt:variant>
      <vt:variant>
        <vt:i4>5</vt:i4>
      </vt:variant>
      <vt:variant>
        <vt:lpwstr>http://www.nevo.co.il/law/4216</vt:lpwstr>
      </vt:variant>
      <vt:variant>
        <vt:lpwstr/>
      </vt:variant>
      <vt:variant>
        <vt:i4>3539070</vt:i4>
      </vt:variant>
      <vt:variant>
        <vt:i4>198</vt:i4>
      </vt:variant>
      <vt:variant>
        <vt:i4>0</vt:i4>
      </vt:variant>
      <vt:variant>
        <vt:i4>5</vt:i4>
      </vt:variant>
      <vt:variant>
        <vt:lpwstr>http://www.nevo.co.il/case/18768481</vt:lpwstr>
      </vt:variant>
      <vt:variant>
        <vt:lpwstr/>
      </vt:variant>
      <vt:variant>
        <vt:i4>4063357</vt:i4>
      </vt:variant>
      <vt:variant>
        <vt:i4>195</vt:i4>
      </vt:variant>
      <vt:variant>
        <vt:i4>0</vt:i4>
      </vt:variant>
      <vt:variant>
        <vt:i4>5</vt:i4>
      </vt:variant>
      <vt:variant>
        <vt:lpwstr>http://www.nevo.co.il/case/17997710</vt:lpwstr>
      </vt:variant>
      <vt:variant>
        <vt:lpwstr/>
      </vt:variant>
      <vt:variant>
        <vt:i4>3735677</vt:i4>
      </vt:variant>
      <vt:variant>
        <vt:i4>192</vt:i4>
      </vt:variant>
      <vt:variant>
        <vt:i4>0</vt:i4>
      </vt:variant>
      <vt:variant>
        <vt:i4>5</vt:i4>
      </vt:variant>
      <vt:variant>
        <vt:lpwstr>http://www.nevo.co.il/case/20498074</vt:lpwstr>
      </vt:variant>
      <vt:variant>
        <vt:lpwstr/>
      </vt:variant>
      <vt:variant>
        <vt:i4>3866741</vt:i4>
      </vt:variant>
      <vt:variant>
        <vt:i4>189</vt:i4>
      </vt:variant>
      <vt:variant>
        <vt:i4>0</vt:i4>
      </vt:variant>
      <vt:variant>
        <vt:i4>5</vt:i4>
      </vt:variant>
      <vt:variant>
        <vt:lpwstr>http://www.nevo.co.il/case/22140787</vt:lpwstr>
      </vt:variant>
      <vt:variant>
        <vt:lpwstr/>
      </vt:variant>
      <vt:variant>
        <vt:i4>3604592</vt:i4>
      </vt:variant>
      <vt:variant>
        <vt:i4>186</vt:i4>
      </vt:variant>
      <vt:variant>
        <vt:i4>0</vt:i4>
      </vt:variant>
      <vt:variant>
        <vt:i4>5</vt:i4>
      </vt:variant>
      <vt:variant>
        <vt:lpwstr>http://www.nevo.co.il/case/22531518</vt:lpwstr>
      </vt:variant>
      <vt:variant>
        <vt:lpwstr/>
      </vt:variant>
      <vt:variant>
        <vt:i4>3866750</vt:i4>
      </vt:variant>
      <vt:variant>
        <vt:i4>183</vt:i4>
      </vt:variant>
      <vt:variant>
        <vt:i4>0</vt:i4>
      </vt:variant>
      <vt:variant>
        <vt:i4>5</vt:i4>
      </vt:variant>
      <vt:variant>
        <vt:lpwstr>http://www.nevo.co.il/case/22688077</vt:lpwstr>
      </vt:variant>
      <vt:variant>
        <vt:lpwstr/>
      </vt:variant>
      <vt:variant>
        <vt:i4>3473521</vt:i4>
      </vt:variant>
      <vt:variant>
        <vt:i4>180</vt:i4>
      </vt:variant>
      <vt:variant>
        <vt:i4>0</vt:i4>
      </vt:variant>
      <vt:variant>
        <vt:i4>5</vt:i4>
      </vt:variant>
      <vt:variant>
        <vt:lpwstr>http://www.nevo.co.il/case/18653810</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6553637</vt:i4>
      </vt:variant>
      <vt:variant>
        <vt:i4>174</vt:i4>
      </vt:variant>
      <vt:variant>
        <vt:i4>0</vt:i4>
      </vt:variant>
      <vt:variant>
        <vt:i4>5</vt:i4>
      </vt:variant>
      <vt:variant>
        <vt:lpwstr>http://www.nevo.co.il/law/70301/40jc.b</vt:lpwstr>
      </vt:variant>
      <vt:variant>
        <vt:lpwstr/>
      </vt:variant>
      <vt:variant>
        <vt:i4>7995492</vt:i4>
      </vt:variant>
      <vt:variant>
        <vt:i4>171</vt:i4>
      </vt:variant>
      <vt:variant>
        <vt:i4>0</vt:i4>
      </vt:variant>
      <vt:variant>
        <vt:i4>5</vt:i4>
      </vt:variant>
      <vt:variant>
        <vt:lpwstr>http://www.nevo.co.il/law/70301</vt:lpwstr>
      </vt:variant>
      <vt:variant>
        <vt:lpwstr/>
      </vt:variant>
      <vt:variant>
        <vt:i4>4915205</vt:i4>
      </vt:variant>
      <vt:variant>
        <vt:i4>168</vt:i4>
      </vt:variant>
      <vt:variant>
        <vt:i4>0</vt:i4>
      </vt:variant>
      <vt:variant>
        <vt:i4>5</vt:i4>
      </vt:variant>
      <vt:variant>
        <vt:lpwstr>http://www.nevo.co.il/law/70301/40d.a</vt:lpwstr>
      </vt:variant>
      <vt:variant>
        <vt:lpwstr/>
      </vt:variant>
      <vt:variant>
        <vt:i4>4915202</vt:i4>
      </vt:variant>
      <vt:variant>
        <vt:i4>165</vt:i4>
      </vt:variant>
      <vt:variant>
        <vt:i4>0</vt:i4>
      </vt:variant>
      <vt:variant>
        <vt:i4>5</vt:i4>
      </vt:variant>
      <vt:variant>
        <vt:lpwstr>http://www.nevo.co.il/law/70301/40c.b</vt:lpwstr>
      </vt:variant>
      <vt:variant>
        <vt:lpwstr/>
      </vt:variant>
      <vt:variant>
        <vt:i4>7995492</vt:i4>
      </vt:variant>
      <vt:variant>
        <vt:i4>162</vt:i4>
      </vt:variant>
      <vt:variant>
        <vt:i4>0</vt:i4>
      </vt:variant>
      <vt:variant>
        <vt:i4>5</vt:i4>
      </vt:variant>
      <vt:variant>
        <vt:lpwstr>http://www.nevo.co.il/law/70301</vt:lpwstr>
      </vt:variant>
      <vt:variant>
        <vt:lpwstr/>
      </vt:variant>
      <vt:variant>
        <vt:i4>3604517</vt:i4>
      </vt:variant>
      <vt:variant>
        <vt:i4>159</vt:i4>
      </vt:variant>
      <vt:variant>
        <vt:i4>0</vt:i4>
      </vt:variant>
      <vt:variant>
        <vt:i4>5</vt:i4>
      </vt:variant>
      <vt:variant>
        <vt:lpwstr>http://www.nevo.co.il/law/70301/40ja.3</vt:lpwstr>
      </vt:variant>
      <vt:variant>
        <vt:lpwstr/>
      </vt:variant>
      <vt:variant>
        <vt:i4>7995492</vt:i4>
      </vt:variant>
      <vt:variant>
        <vt:i4>156</vt:i4>
      </vt:variant>
      <vt:variant>
        <vt:i4>0</vt:i4>
      </vt:variant>
      <vt:variant>
        <vt:i4>5</vt:i4>
      </vt:variant>
      <vt:variant>
        <vt:lpwstr>http://www.nevo.co.il/law/70301</vt:lpwstr>
      </vt:variant>
      <vt:variant>
        <vt:lpwstr/>
      </vt:variant>
      <vt:variant>
        <vt:i4>262155</vt:i4>
      </vt:variant>
      <vt:variant>
        <vt:i4>153</vt:i4>
      </vt:variant>
      <vt:variant>
        <vt:i4>0</vt:i4>
      </vt:variant>
      <vt:variant>
        <vt:i4>5</vt:i4>
      </vt:variant>
      <vt:variant>
        <vt:lpwstr>http://www.nevo.co.il/law/70301/40ja</vt:lpwstr>
      </vt:variant>
      <vt:variant>
        <vt:lpwstr/>
      </vt:variant>
      <vt:variant>
        <vt:i4>4128893</vt:i4>
      </vt:variant>
      <vt:variant>
        <vt:i4>150</vt:i4>
      </vt:variant>
      <vt:variant>
        <vt:i4>0</vt:i4>
      </vt:variant>
      <vt:variant>
        <vt:i4>5</vt:i4>
      </vt:variant>
      <vt:variant>
        <vt:lpwstr>http://www.nevo.co.il/case/6824952</vt:lpwstr>
      </vt:variant>
      <vt:variant>
        <vt:lpwstr/>
      </vt:variant>
      <vt:variant>
        <vt:i4>3276915</vt:i4>
      </vt:variant>
      <vt:variant>
        <vt:i4>147</vt:i4>
      </vt:variant>
      <vt:variant>
        <vt:i4>0</vt:i4>
      </vt:variant>
      <vt:variant>
        <vt:i4>5</vt:i4>
      </vt:variant>
      <vt:variant>
        <vt:lpwstr>http://www.nevo.co.il/case/6032057</vt:lpwstr>
      </vt:variant>
      <vt:variant>
        <vt:lpwstr/>
      </vt:variant>
      <vt:variant>
        <vt:i4>3932279</vt:i4>
      </vt:variant>
      <vt:variant>
        <vt:i4>144</vt:i4>
      </vt:variant>
      <vt:variant>
        <vt:i4>0</vt:i4>
      </vt:variant>
      <vt:variant>
        <vt:i4>5</vt:i4>
      </vt:variant>
      <vt:variant>
        <vt:lpwstr>http://www.nevo.co.il/case/4216871</vt:lpwstr>
      </vt:variant>
      <vt:variant>
        <vt:lpwstr/>
      </vt:variant>
      <vt:variant>
        <vt:i4>3473521</vt:i4>
      </vt:variant>
      <vt:variant>
        <vt:i4>141</vt:i4>
      </vt:variant>
      <vt:variant>
        <vt:i4>0</vt:i4>
      </vt:variant>
      <vt:variant>
        <vt:i4>5</vt:i4>
      </vt:variant>
      <vt:variant>
        <vt:lpwstr>http://www.nevo.co.il/case/20155030</vt:lpwstr>
      </vt:variant>
      <vt:variant>
        <vt:lpwstr/>
      </vt:variant>
      <vt:variant>
        <vt:i4>3145844</vt:i4>
      </vt:variant>
      <vt:variant>
        <vt:i4>138</vt:i4>
      </vt:variant>
      <vt:variant>
        <vt:i4>0</vt:i4>
      </vt:variant>
      <vt:variant>
        <vt:i4>5</vt:i4>
      </vt:variant>
      <vt:variant>
        <vt:lpwstr>http://www.nevo.co.il/case/20556511</vt:lpwstr>
      </vt:variant>
      <vt:variant>
        <vt:lpwstr/>
      </vt:variant>
      <vt:variant>
        <vt:i4>3276917</vt:i4>
      </vt:variant>
      <vt:variant>
        <vt:i4>135</vt:i4>
      </vt:variant>
      <vt:variant>
        <vt:i4>0</vt:i4>
      </vt:variant>
      <vt:variant>
        <vt:i4>5</vt:i4>
      </vt:variant>
      <vt:variant>
        <vt:lpwstr>http://www.nevo.co.il/case/20093836</vt:lpwstr>
      </vt:variant>
      <vt:variant>
        <vt:lpwstr/>
      </vt:variant>
      <vt:variant>
        <vt:i4>3866748</vt:i4>
      </vt:variant>
      <vt:variant>
        <vt:i4>132</vt:i4>
      </vt:variant>
      <vt:variant>
        <vt:i4>0</vt:i4>
      </vt:variant>
      <vt:variant>
        <vt:i4>5</vt:i4>
      </vt:variant>
      <vt:variant>
        <vt:lpwstr>http://www.nevo.co.il/case/18169626</vt:lpwstr>
      </vt:variant>
      <vt:variant>
        <vt:lpwstr/>
      </vt:variant>
      <vt:variant>
        <vt:i4>3932279</vt:i4>
      </vt:variant>
      <vt:variant>
        <vt:i4>129</vt:i4>
      </vt:variant>
      <vt:variant>
        <vt:i4>0</vt:i4>
      </vt:variant>
      <vt:variant>
        <vt:i4>5</vt:i4>
      </vt:variant>
      <vt:variant>
        <vt:lpwstr>http://www.nevo.co.il/case/6793477</vt:lpwstr>
      </vt:variant>
      <vt:variant>
        <vt:lpwstr/>
      </vt:variant>
      <vt:variant>
        <vt:i4>3211376</vt:i4>
      </vt:variant>
      <vt:variant>
        <vt:i4>126</vt:i4>
      </vt:variant>
      <vt:variant>
        <vt:i4>0</vt:i4>
      </vt:variant>
      <vt:variant>
        <vt:i4>5</vt:i4>
      </vt:variant>
      <vt:variant>
        <vt:lpwstr>http://www.nevo.co.il/case/22017740</vt:lpwstr>
      </vt:variant>
      <vt:variant>
        <vt:lpwstr/>
      </vt:variant>
      <vt:variant>
        <vt:i4>3211391</vt:i4>
      </vt:variant>
      <vt:variant>
        <vt:i4>123</vt:i4>
      </vt:variant>
      <vt:variant>
        <vt:i4>0</vt:i4>
      </vt:variant>
      <vt:variant>
        <vt:i4>5</vt:i4>
      </vt:variant>
      <vt:variant>
        <vt:lpwstr>http://www.nevo.co.il/case/13090102</vt:lpwstr>
      </vt:variant>
      <vt:variant>
        <vt:lpwstr/>
      </vt:variant>
      <vt:variant>
        <vt:i4>3997817</vt:i4>
      </vt:variant>
      <vt:variant>
        <vt:i4>120</vt:i4>
      </vt:variant>
      <vt:variant>
        <vt:i4>0</vt:i4>
      </vt:variant>
      <vt:variant>
        <vt:i4>5</vt:i4>
      </vt:variant>
      <vt:variant>
        <vt:lpwstr>http://www.nevo.co.il/case/6094597</vt:lpwstr>
      </vt:variant>
      <vt:variant>
        <vt:lpwstr/>
      </vt:variant>
      <vt:variant>
        <vt:i4>3407991</vt:i4>
      </vt:variant>
      <vt:variant>
        <vt:i4>117</vt:i4>
      </vt:variant>
      <vt:variant>
        <vt:i4>0</vt:i4>
      </vt:variant>
      <vt:variant>
        <vt:i4>5</vt:i4>
      </vt:variant>
      <vt:variant>
        <vt:lpwstr>http://www.nevo.co.il/case/5786821</vt:lpwstr>
      </vt:variant>
      <vt:variant>
        <vt:lpwstr/>
      </vt:variant>
      <vt:variant>
        <vt:i4>3997808</vt:i4>
      </vt:variant>
      <vt:variant>
        <vt:i4>114</vt:i4>
      </vt:variant>
      <vt:variant>
        <vt:i4>0</vt:i4>
      </vt:variant>
      <vt:variant>
        <vt:i4>5</vt:i4>
      </vt:variant>
      <vt:variant>
        <vt:lpwstr>http://www.nevo.co.il/case/5878649</vt:lpwstr>
      </vt:variant>
      <vt:variant>
        <vt:lpwstr/>
      </vt:variant>
      <vt:variant>
        <vt:i4>3866739</vt:i4>
      </vt:variant>
      <vt:variant>
        <vt:i4>111</vt:i4>
      </vt:variant>
      <vt:variant>
        <vt:i4>0</vt:i4>
      </vt:variant>
      <vt:variant>
        <vt:i4>5</vt:i4>
      </vt:variant>
      <vt:variant>
        <vt:lpwstr>http://www.nevo.co.il/case/5704648</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6619241</vt:i4>
      </vt:variant>
      <vt:variant>
        <vt:i4>105</vt:i4>
      </vt:variant>
      <vt:variant>
        <vt:i4>0</vt:i4>
      </vt:variant>
      <vt:variant>
        <vt:i4>5</vt:i4>
      </vt:variant>
      <vt:variant>
        <vt:lpwstr>http://www.nevo.co.il/law/70301/40i.a.5</vt:lpwstr>
      </vt:variant>
      <vt:variant>
        <vt:lpwstr/>
      </vt:variant>
      <vt:variant>
        <vt:i4>6619241</vt:i4>
      </vt:variant>
      <vt:variant>
        <vt:i4>102</vt:i4>
      </vt:variant>
      <vt:variant>
        <vt:i4>0</vt:i4>
      </vt:variant>
      <vt:variant>
        <vt:i4>5</vt:i4>
      </vt:variant>
      <vt:variant>
        <vt:lpwstr>http://www.nevo.co.il/law/70301/40i.a.2</vt:lpwstr>
      </vt:variant>
      <vt:variant>
        <vt:lpwstr/>
      </vt:variant>
      <vt:variant>
        <vt:i4>8257637</vt:i4>
      </vt:variant>
      <vt:variant>
        <vt:i4>99</vt:i4>
      </vt:variant>
      <vt:variant>
        <vt:i4>0</vt:i4>
      </vt:variant>
      <vt:variant>
        <vt:i4>5</vt:i4>
      </vt:variant>
      <vt:variant>
        <vt:lpwstr>http://www.nevo.co.il/law/4216</vt:lpwstr>
      </vt:variant>
      <vt:variant>
        <vt:lpwstr/>
      </vt:variant>
      <vt:variant>
        <vt:i4>7995492</vt:i4>
      </vt:variant>
      <vt:variant>
        <vt:i4>96</vt:i4>
      </vt:variant>
      <vt:variant>
        <vt:i4>0</vt:i4>
      </vt:variant>
      <vt:variant>
        <vt:i4>5</vt:i4>
      </vt:variant>
      <vt:variant>
        <vt:lpwstr>http://www.nevo.co.il/law/70301</vt:lpwstr>
      </vt:variant>
      <vt:variant>
        <vt:lpwstr/>
      </vt:variant>
      <vt:variant>
        <vt:i4>4915202</vt:i4>
      </vt:variant>
      <vt:variant>
        <vt:i4>93</vt:i4>
      </vt:variant>
      <vt:variant>
        <vt:i4>0</vt:i4>
      </vt:variant>
      <vt:variant>
        <vt:i4>5</vt:i4>
      </vt:variant>
      <vt:variant>
        <vt:lpwstr>http://www.nevo.co.il/law/70301/40c.a</vt:lpwstr>
      </vt:variant>
      <vt:variant>
        <vt:lpwstr/>
      </vt:variant>
      <vt:variant>
        <vt:i4>3211379</vt:i4>
      </vt:variant>
      <vt:variant>
        <vt:i4>90</vt:i4>
      </vt:variant>
      <vt:variant>
        <vt:i4>0</vt:i4>
      </vt:variant>
      <vt:variant>
        <vt:i4>5</vt:i4>
      </vt:variant>
      <vt:variant>
        <vt:lpwstr>http://www.nevo.co.il/case/5573417</vt:lpwstr>
      </vt:variant>
      <vt:variant>
        <vt:lpwstr/>
      </vt:variant>
      <vt:variant>
        <vt:i4>7995492</vt:i4>
      </vt:variant>
      <vt:variant>
        <vt:i4>87</vt:i4>
      </vt:variant>
      <vt:variant>
        <vt:i4>0</vt:i4>
      </vt:variant>
      <vt:variant>
        <vt:i4>5</vt:i4>
      </vt:variant>
      <vt:variant>
        <vt:lpwstr>http://www.nevo.co.il/law/70301</vt:lpwstr>
      </vt:variant>
      <vt:variant>
        <vt:lpwstr/>
      </vt:variant>
      <vt:variant>
        <vt:i4>7274619</vt:i4>
      </vt:variant>
      <vt:variant>
        <vt:i4>84</vt:i4>
      </vt:variant>
      <vt:variant>
        <vt:i4>0</vt:i4>
      </vt:variant>
      <vt:variant>
        <vt:i4>5</vt:i4>
      </vt:variant>
      <vt:variant>
        <vt:lpwstr>http://www.nevo.co.il/law/70301/40jc.b.;40jc.c</vt:lpwstr>
      </vt:variant>
      <vt:variant>
        <vt:lpwstr/>
      </vt:variant>
      <vt:variant>
        <vt:i4>3473526</vt:i4>
      </vt:variant>
      <vt:variant>
        <vt:i4>81</vt:i4>
      </vt:variant>
      <vt:variant>
        <vt:i4>0</vt:i4>
      </vt:variant>
      <vt:variant>
        <vt:i4>5</vt:i4>
      </vt:variant>
      <vt:variant>
        <vt:lpwstr>http://www.nevo.co.il/case/8441178</vt:lpwstr>
      </vt:variant>
      <vt:variant>
        <vt:lpwstr/>
      </vt:variant>
      <vt:variant>
        <vt:i4>7995492</vt:i4>
      </vt:variant>
      <vt:variant>
        <vt:i4>78</vt:i4>
      </vt:variant>
      <vt:variant>
        <vt:i4>0</vt:i4>
      </vt:variant>
      <vt:variant>
        <vt:i4>5</vt:i4>
      </vt:variant>
      <vt:variant>
        <vt:lpwstr>http://www.nevo.co.il/law/70301</vt:lpwstr>
      </vt:variant>
      <vt:variant>
        <vt:lpwstr/>
      </vt:variant>
      <vt:variant>
        <vt:i4>3342453</vt:i4>
      </vt:variant>
      <vt:variant>
        <vt:i4>75</vt:i4>
      </vt:variant>
      <vt:variant>
        <vt:i4>0</vt:i4>
      </vt:variant>
      <vt:variant>
        <vt:i4>5</vt:i4>
      </vt:variant>
      <vt:variant>
        <vt:lpwstr>http://www.nevo.co.il/case/20240530</vt:lpwstr>
      </vt:variant>
      <vt:variant>
        <vt:lpwstr/>
      </vt:variant>
      <vt:variant>
        <vt:i4>3932279</vt:i4>
      </vt:variant>
      <vt:variant>
        <vt:i4>72</vt:i4>
      </vt:variant>
      <vt:variant>
        <vt:i4>0</vt:i4>
      </vt:variant>
      <vt:variant>
        <vt:i4>5</vt:i4>
      </vt:variant>
      <vt:variant>
        <vt:lpwstr>http://www.nevo.co.il/case/16904503</vt:lpwstr>
      </vt:variant>
      <vt:variant>
        <vt:lpwstr/>
      </vt:variant>
      <vt:variant>
        <vt:i4>3473521</vt:i4>
      </vt:variant>
      <vt:variant>
        <vt:i4>69</vt:i4>
      </vt:variant>
      <vt:variant>
        <vt:i4>0</vt:i4>
      </vt:variant>
      <vt:variant>
        <vt:i4>5</vt:i4>
      </vt:variant>
      <vt:variant>
        <vt:lpwstr>http://www.nevo.co.il/case/20033641</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2752612</vt:i4>
      </vt:variant>
      <vt:variant>
        <vt:i4>63</vt:i4>
      </vt:variant>
      <vt:variant>
        <vt:i4>0</vt:i4>
      </vt:variant>
      <vt:variant>
        <vt:i4>5</vt:i4>
      </vt:variant>
      <vt:variant>
        <vt:lpwstr>http://www.nevo.co.il/law/4216/7.c</vt:lpwstr>
      </vt:variant>
      <vt:variant>
        <vt:lpwstr/>
      </vt:variant>
      <vt:variant>
        <vt:i4>2621540</vt:i4>
      </vt:variant>
      <vt:variant>
        <vt:i4>60</vt:i4>
      </vt:variant>
      <vt:variant>
        <vt:i4>0</vt:i4>
      </vt:variant>
      <vt:variant>
        <vt:i4>5</vt:i4>
      </vt:variant>
      <vt:variant>
        <vt:lpwstr>http://www.nevo.co.il/law/4216/7.a</vt:lpwstr>
      </vt:variant>
      <vt:variant>
        <vt:lpwstr/>
      </vt:variant>
      <vt:variant>
        <vt:i4>3014771</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8257637</vt:i4>
      </vt:variant>
      <vt:variant>
        <vt:i4>51</vt:i4>
      </vt:variant>
      <vt:variant>
        <vt:i4>0</vt:i4>
      </vt:variant>
      <vt:variant>
        <vt:i4>5</vt:i4>
      </vt:variant>
      <vt:variant>
        <vt:lpwstr>http://www.nevo.co.il/law/4216</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6619173</vt:i4>
      </vt:variant>
      <vt:variant>
        <vt:i4>42</vt:i4>
      </vt:variant>
      <vt:variant>
        <vt:i4>0</vt:i4>
      </vt:variant>
      <vt:variant>
        <vt:i4>5</vt:i4>
      </vt:variant>
      <vt:variant>
        <vt:lpwstr>http://www.nevo.co.il/law/70301/40jc.c</vt:lpwstr>
      </vt:variant>
      <vt:variant>
        <vt:lpwstr/>
      </vt:variant>
      <vt:variant>
        <vt:i4>6553637</vt:i4>
      </vt:variant>
      <vt:variant>
        <vt:i4>39</vt:i4>
      </vt:variant>
      <vt:variant>
        <vt:i4>0</vt:i4>
      </vt:variant>
      <vt:variant>
        <vt:i4>5</vt:i4>
      </vt:variant>
      <vt:variant>
        <vt:lpwstr>http://www.nevo.co.il/law/70301/40jc.b.</vt:lpwstr>
      </vt:variant>
      <vt:variant>
        <vt:lpwstr/>
      </vt:variant>
      <vt:variant>
        <vt:i4>3604517</vt:i4>
      </vt:variant>
      <vt:variant>
        <vt:i4>36</vt:i4>
      </vt:variant>
      <vt:variant>
        <vt:i4>0</vt:i4>
      </vt:variant>
      <vt:variant>
        <vt:i4>5</vt:i4>
      </vt:variant>
      <vt:variant>
        <vt:lpwstr>http://www.nevo.co.il/law/70301/40ja.3</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6619241</vt:i4>
      </vt:variant>
      <vt:variant>
        <vt:i4>30</vt:i4>
      </vt:variant>
      <vt:variant>
        <vt:i4>0</vt:i4>
      </vt:variant>
      <vt:variant>
        <vt:i4>5</vt:i4>
      </vt:variant>
      <vt:variant>
        <vt:lpwstr>http://www.nevo.co.il/law/70301/40i.a.5</vt:lpwstr>
      </vt:variant>
      <vt:variant>
        <vt:lpwstr/>
      </vt:variant>
      <vt:variant>
        <vt:i4>6619241</vt:i4>
      </vt:variant>
      <vt:variant>
        <vt:i4>27</vt:i4>
      </vt:variant>
      <vt:variant>
        <vt:i4>0</vt:i4>
      </vt:variant>
      <vt:variant>
        <vt:i4>5</vt:i4>
      </vt:variant>
      <vt:variant>
        <vt:lpwstr>http://www.nevo.co.il/law/70301/40i.a.2</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4915202</vt:i4>
      </vt:variant>
      <vt:variant>
        <vt:i4>21</vt:i4>
      </vt:variant>
      <vt:variant>
        <vt:i4>0</vt:i4>
      </vt:variant>
      <vt:variant>
        <vt:i4>5</vt:i4>
      </vt:variant>
      <vt:variant>
        <vt:lpwstr>http://www.nevo.co.il/law/70301/40c.b</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2025-04-22T23:06:00Z</dcterms:created>
  <dcterms:modified xsi:type="dcterms:W3CDTF">2025-04-22T23:06:00Z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53127</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מרסל ליברטי</vt:lpwstr>
  </property>
  <property fmtid="{D5CDD505-2E9C-101B-9397-08002B2CF9AE}" pid="10" name="LAWYER">
    <vt:lpwstr>עדי זלמן;ג'אנה זייצב</vt:lpwstr>
  </property>
  <property fmtid="{D5CDD505-2E9C-101B-9397-08002B2CF9AE}" pid="11" name="JUDGE">
    <vt:lpwstr> נגה שמואלי מאייר</vt:lpwstr>
  </property>
  <property fmtid="{D5CDD505-2E9C-101B-9397-08002B2CF9AE}" pid="12" name="CITY">
    <vt:lpwstr>ק"ג</vt:lpwstr>
  </property>
  <property fmtid="{D5CDD505-2E9C-101B-9397-08002B2CF9AE}" pid="13" name="DATE">
    <vt:lpwstr>20171226</vt:lpwstr>
  </property>
  <property fmtid="{D5CDD505-2E9C-101B-9397-08002B2CF9AE}" pid="14" name="TYPE_N_DATE">
    <vt:lpwstr>38020171226</vt:lpwstr>
  </property>
  <property fmtid="{D5CDD505-2E9C-101B-9397-08002B2CF9AE}" pid="15" name="CASESLISTTMP1">
    <vt:lpwstr>13093721;20033641;16904503;20240530;8441178;5573417;5704648;5878649;5786821;6094597;13090102;22017740;6793477;18169626;20093836;20556511;20155030;4216871;6032057;6824952;18653810;22688077;22531518;22140787;20498074;17997710;18768481</vt:lpwstr>
  </property>
  <property fmtid="{D5CDD505-2E9C-101B-9397-08002B2CF9AE}" pid="16" name="CASENOTES1">
    <vt:lpwstr>ProcID=133;209&amp;PartA=18937&amp;PartB=02&amp;PartC=16</vt:lpwstr>
  </property>
  <property fmtid="{D5CDD505-2E9C-101B-9397-08002B2CF9AE}" pid="17" name="WORDNUMPAGES">
    <vt:lpwstr>11</vt:lpwstr>
  </property>
  <property fmtid="{D5CDD505-2E9C-101B-9397-08002B2CF9AE}" pid="18" name="TYPE_ABS_DATE">
    <vt:lpwstr>380020171226</vt:lpwstr>
  </property>
  <property fmtid="{D5CDD505-2E9C-101B-9397-08002B2CF9AE}" pid="19" name="ISABSTRACT">
    <vt:lpwstr>Y</vt:lpwstr>
  </property>
  <property fmtid="{D5CDD505-2E9C-101B-9397-08002B2CF9AE}" pid="20" name="LAWLISTTMP1">
    <vt:lpwstr>4216/013:2;019a:2;007.a;007.c</vt:lpwstr>
  </property>
  <property fmtid="{D5CDD505-2E9C-101B-9397-08002B2CF9AE}" pid="21" name="LAWLISTTMP2">
    <vt:lpwstr>70301/40jc.b:2;40jc.c;040c.a;040i.a.2;040i.a.5;40ja;40ja.3;040c.b;040d.a</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