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376648" w:rsidRPr="00855CC5" w14:paraId="357712C5" w14:textId="77777777" w:rsidTr="00FB598B">
        <w:trPr>
          <w:trHeight w:hRule="exact" w:val="418"/>
          <w:jc w:val="center"/>
        </w:trPr>
        <w:tc>
          <w:tcPr>
            <w:tcW w:w="8721" w:type="dxa"/>
            <w:gridSpan w:val="2"/>
          </w:tcPr>
          <w:p w14:paraId="0AA34ABE" w14:textId="77777777" w:rsidR="00376648" w:rsidRPr="00855CC5" w:rsidRDefault="00376648" w:rsidP="008A4C53">
            <w:pPr>
              <w:pStyle w:val="a3"/>
              <w:jc w:val="center"/>
              <w:rPr>
                <w:rFonts w:ascii="Tahoma" w:hAnsi="Tahoma" w:cs="Tahoma"/>
                <w:color w:val="000080"/>
                <w:rtl/>
              </w:rPr>
            </w:pPr>
            <w:bookmarkStart w:id="0" w:name="LastJudge"/>
            <w:r w:rsidRPr="00855CC5">
              <w:rPr>
                <w:rFonts w:ascii="Tahoma" w:hAnsi="Tahoma" w:cs="Tahoma"/>
                <w:b/>
                <w:bCs/>
                <w:color w:val="000080"/>
                <w:rtl/>
              </w:rPr>
              <w:t>בית משפט השלום בירושלים</w:t>
            </w:r>
          </w:p>
        </w:tc>
      </w:tr>
      <w:tr w:rsidR="00376648" w:rsidRPr="00855CC5" w14:paraId="44FF472C" w14:textId="77777777" w:rsidTr="00FB598B">
        <w:trPr>
          <w:trHeight w:val="337"/>
          <w:jc w:val="center"/>
        </w:trPr>
        <w:tc>
          <w:tcPr>
            <w:tcW w:w="5050" w:type="dxa"/>
          </w:tcPr>
          <w:p w14:paraId="3417EECD" w14:textId="77777777" w:rsidR="00376648" w:rsidRPr="00855CC5" w:rsidRDefault="00376648" w:rsidP="008A4C53">
            <w:pPr>
              <w:rPr>
                <w:rFonts w:cs="FrankRuehl"/>
                <w:sz w:val="28"/>
                <w:szCs w:val="28"/>
                <w:rtl/>
              </w:rPr>
            </w:pPr>
            <w:r w:rsidRPr="00855CC5">
              <w:rPr>
                <w:rFonts w:cs="FrankRuehl"/>
                <w:sz w:val="28"/>
                <w:szCs w:val="28"/>
                <w:rtl/>
              </w:rPr>
              <w:t>ת"פ</w:t>
            </w:r>
            <w:r w:rsidRPr="00855CC5">
              <w:rPr>
                <w:rFonts w:cs="FrankRuehl" w:hint="cs"/>
                <w:sz w:val="28"/>
                <w:szCs w:val="28"/>
                <w:rtl/>
              </w:rPr>
              <w:t xml:space="preserve"> </w:t>
            </w:r>
            <w:r w:rsidRPr="00855CC5">
              <w:rPr>
                <w:rFonts w:cs="FrankRuehl"/>
                <w:sz w:val="28"/>
                <w:szCs w:val="28"/>
                <w:rtl/>
              </w:rPr>
              <w:t>14829-07-16</w:t>
            </w:r>
            <w:r w:rsidRPr="00855CC5">
              <w:rPr>
                <w:rFonts w:cs="FrankRuehl" w:hint="cs"/>
                <w:sz w:val="28"/>
                <w:szCs w:val="28"/>
                <w:rtl/>
              </w:rPr>
              <w:t xml:space="preserve"> </w:t>
            </w:r>
            <w:r w:rsidRPr="00855CC5">
              <w:rPr>
                <w:rFonts w:cs="FrankRuehl"/>
                <w:sz w:val="28"/>
                <w:szCs w:val="28"/>
                <w:rtl/>
              </w:rPr>
              <w:t>מדינת ישראל נ' בן ישי</w:t>
            </w:r>
          </w:p>
          <w:p w14:paraId="15310325" w14:textId="77777777" w:rsidR="00376648" w:rsidRPr="00855CC5" w:rsidRDefault="00376648" w:rsidP="008A4C53">
            <w:pPr>
              <w:pStyle w:val="a3"/>
              <w:rPr>
                <w:rtl/>
              </w:rPr>
            </w:pPr>
          </w:p>
          <w:p w14:paraId="14525FA9" w14:textId="77777777" w:rsidR="00376648" w:rsidRPr="00855CC5" w:rsidRDefault="00376648" w:rsidP="008A4C53">
            <w:pPr>
              <w:pStyle w:val="a3"/>
              <w:rPr>
                <w:rFonts w:cs="FrankRuehl"/>
                <w:sz w:val="28"/>
                <w:szCs w:val="28"/>
                <w:rtl/>
              </w:rPr>
            </w:pPr>
          </w:p>
        </w:tc>
        <w:tc>
          <w:tcPr>
            <w:tcW w:w="3671" w:type="dxa"/>
          </w:tcPr>
          <w:p w14:paraId="372C993B" w14:textId="77777777" w:rsidR="00376648" w:rsidRPr="00855CC5" w:rsidRDefault="00376648" w:rsidP="008A4C53">
            <w:pPr>
              <w:pStyle w:val="a3"/>
              <w:jc w:val="right"/>
              <w:rPr>
                <w:rFonts w:cs="FrankRuehl"/>
                <w:sz w:val="28"/>
                <w:szCs w:val="28"/>
                <w:rtl/>
              </w:rPr>
            </w:pPr>
            <w:r w:rsidRPr="00855CC5">
              <w:rPr>
                <w:rtl/>
              </w:rPr>
              <w:t>04 יולי 2018</w:t>
            </w:r>
          </w:p>
        </w:tc>
      </w:tr>
      <w:tr w:rsidR="00376648" w:rsidRPr="00855CC5" w14:paraId="79560D66" w14:textId="77777777" w:rsidTr="00FB598B">
        <w:trPr>
          <w:trHeight w:val="337"/>
          <w:jc w:val="center"/>
        </w:trPr>
        <w:tc>
          <w:tcPr>
            <w:tcW w:w="5050" w:type="dxa"/>
          </w:tcPr>
          <w:p w14:paraId="105A3B8E" w14:textId="77777777" w:rsidR="00376648" w:rsidRPr="00855CC5" w:rsidRDefault="00376648" w:rsidP="008A4C53">
            <w:pPr>
              <w:rPr>
                <w:rtl/>
              </w:rPr>
            </w:pPr>
            <w:r w:rsidRPr="00855CC5">
              <w:rPr>
                <w:rFonts w:ascii="Arial" w:hAnsi="Arial" w:cs="FrankRuehl" w:hint="cs"/>
                <w:sz w:val="28"/>
                <w:szCs w:val="28"/>
                <w:rtl/>
              </w:rPr>
              <w:t>ב</w:t>
            </w:r>
            <w:r w:rsidRPr="00855CC5">
              <w:rPr>
                <w:rFonts w:ascii="Arial" w:hAnsi="Arial" w:cs="FrankRuehl"/>
                <w:sz w:val="28"/>
                <w:szCs w:val="28"/>
                <w:rtl/>
              </w:rPr>
              <w:t xml:space="preserve">פני </w:t>
            </w:r>
            <w:r w:rsidRPr="00855CC5">
              <w:rPr>
                <w:rFonts w:ascii="Arial" w:hAnsi="Arial" w:cs="FrankRuehl" w:hint="cs"/>
                <w:sz w:val="28"/>
                <w:szCs w:val="28"/>
                <w:rtl/>
              </w:rPr>
              <w:t>כב' השופט יצחק שמעוני</w:t>
            </w:r>
          </w:p>
        </w:tc>
        <w:tc>
          <w:tcPr>
            <w:tcW w:w="3671" w:type="dxa"/>
          </w:tcPr>
          <w:p w14:paraId="70AB5E85" w14:textId="77777777" w:rsidR="00376648" w:rsidRPr="00855CC5" w:rsidRDefault="00376648" w:rsidP="008A4C53">
            <w:pPr>
              <w:pStyle w:val="a3"/>
              <w:jc w:val="right"/>
              <w:rPr>
                <w:rtl/>
              </w:rPr>
            </w:pPr>
          </w:p>
        </w:tc>
      </w:tr>
    </w:tbl>
    <w:p w14:paraId="754CF045" w14:textId="77777777" w:rsidR="00376648" w:rsidRPr="00855CC5" w:rsidRDefault="00376648" w:rsidP="00376648">
      <w:pPr>
        <w:pStyle w:val="a3"/>
        <w:rPr>
          <w:rtl/>
        </w:rPr>
      </w:pPr>
      <w:r w:rsidRPr="00855CC5">
        <w:rPr>
          <w:rFonts w:hint="cs"/>
          <w:rtl/>
        </w:rPr>
        <w:t xml:space="preserve"> </w:t>
      </w:r>
    </w:p>
    <w:p w14:paraId="23AA8EC3" w14:textId="77777777" w:rsidR="00376648" w:rsidRPr="00855CC5" w:rsidRDefault="00376648" w:rsidP="00376648">
      <w:pPr>
        <w:pStyle w:val="a3"/>
        <w:rPr>
          <w:rFonts w:hint="cs"/>
        </w:rPr>
      </w:pPr>
      <w:r w:rsidRPr="00855CC5">
        <w:rPr>
          <w:rFonts w:cs="Times New Roman" w:hint="cs"/>
          <w:b/>
          <w:bCs/>
          <w:sz w:val="26"/>
          <w:szCs w:val="28"/>
          <w:rtl/>
        </w:rPr>
        <w:t xml:space="preserve"> </w:t>
      </w:r>
      <w:r w:rsidR="004116B1">
        <w:rPr>
          <w:rFonts w:hint="cs"/>
          <w:rtl/>
        </w:rPr>
        <w:t xml:space="preserve"> </w:t>
      </w:r>
    </w:p>
    <w:p w14:paraId="6133A6E1" w14:textId="77777777" w:rsidR="00376648" w:rsidRPr="00855CC5" w:rsidRDefault="00376648" w:rsidP="00376648">
      <w:pPr>
        <w:spacing w:line="480" w:lineRule="auto"/>
        <w:jc w:val="center"/>
        <w:rPr>
          <w:rFonts w:cs="FrankRuehl"/>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76648" w:rsidRPr="00855CC5" w14:paraId="54BCA069" w14:textId="77777777" w:rsidTr="00376648">
        <w:trPr>
          <w:trHeight w:val="355"/>
          <w:jc w:val="center"/>
        </w:trPr>
        <w:tc>
          <w:tcPr>
            <w:tcW w:w="923" w:type="dxa"/>
            <w:tcBorders>
              <w:top w:val="nil"/>
              <w:left w:val="nil"/>
              <w:bottom w:val="nil"/>
              <w:right w:val="nil"/>
            </w:tcBorders>
            <w:shd w:val="clear" w:color="auto" w:fill="auto"/>
          </w:tcPr>
          <w:p w14:paraId="1595EFFD" w14:textId="77777777" w:rsidR="00376648" w:rsidRPr="00855CC5" w:rsidRDefault="00376648" w:rsidP="00376648">
            <w:pPr>
              <w:spacing w:line="480" w:lineRule="auto"/>
              <w:jc w:val="both"/>
              <w:rPr>
                <w:rFonts w:ascii="Arial" w:hAnsi="Arial" w:cs="FrankRuehl"/>
                <w:sz w:val="28"/>
                <w:szCs w:val="28"/>
                <w:rtl/>
              </w:rPr>
            </w:pPr>
            <w:bookmarkStart w:id="1" w:name="FirstAppellant"/>
            <w:r w:rsidRPr="00855CC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424861E" w14:textId="77777777" w:rsidR="00376648" w:rsidRPr="00855CC5" w:rsidRDefault="00376648" w:rsidP="00376648">
            <w:pPr>
              <w:spacing w:line="480" w:lineRule="auto"/>
              <w:jc w:val="both"/>
              <w:rPr>
                <w:rFonts w:ascii="Arial" w:hAnsi="Arial" w:cs="FrankRuehl"/>
                <w:b/>
                <w:bCs/>
                <w:sz w:val="28"/>
                <w:szCs w:val="28"/>
                <w:rtl/>
              </w:rPr>
            </w:pPr>
            <w:r w:rsidRPr="00855CC5">
              <w:rPr>
                <w:rFonts w:ascii="Arial" w:hAnsi="Arial" w:cs="FrankRuehl" w:hint="cs"/>
                <w:b/>
                <w:bCs/>
                <w:sz w:val="28"/>
                <w:szCs w:val="28"/>
                <w:rtl/>
              </w:rPr>
              <w:t>מדינת ישראל</w:t>
            </w:r>
          </w:p>
          <w:p w14:paraId="7839F221" w14:textId="77777777" w:rsidR="00376648" w:rsidRPr="00855CC5" w:rsidRDefault="00376648" w:rsidP="00376648">
            <w:pPr>
              <w:spacing w:line="480" w:lineRule="auto"/>
              <w:jc w:val="both"/>
              <w:rPr>
                <w:rFonts w:ascii="Arial" w:hAnsi="Arial" w:cs="FrankRuehl"/>
                <w:b/>
                <w:bCs/>
                <w:sz w:val="28"/>
                <w:szCs w:val="28"/>
              </w:rPr>
            </w:pPr>
            <w:r w:rsidRPr="00855CC5">
              <w:rPr>
                <w:rFonts w:ascii="Arial" w:hAnsi="Arial" w:cs="FrankRuehl" w:hint="cs"/>
                <w:b/>
                <w:bCs/>
                <w:sz w:val="28"/>
                <w:szCs w:val="28"/>
                <w:rtl/>
              </w:rPr>
              <w:t>על ידי יחידת תביעות משטרת ישראל</w:t>
            </w:r>
          </w:p>
        </w:tc>
        <w:tc>
          <w:tcPr>
            <w:tcW w:w="3771" w:type="dxa"/>
            <w:tcBorders>
              <w:top w:val="nil"/>
              <w:left w:val="nil"/>
              <w:bottom w:val="nil"/>
              <w:right w:val="nil"/>
            </w:tcBorders>
            <w:shd w:val="clear" w:color="auto" w:fill="auto"/>
          </w:tcPr>
          <w:p w14:paraId="620AD5E5" w14:textId="77777777" w:rsidR="00376648" w:rsidRPr="00855CC5" w:rsidRDefault="00376648" w:rsidP="00376648">
            <w:pPr>
              <w:spacing w:line="480" w:lineRule="auto"/>
              <w:jc w:val="both"/>
              <w:rPr>
                <w:rFonts w:ascii="Arial" w:hAnsi="Arial" w:cs="FrankRuehl"/>
                <w:b/>
                <w:bCs/>
                <w:sz w:val="28"/>
                <w:szCs w:val="28"/>
              </w:rPr>
            </w:pPr>
          </w:p>
        </w:tc>
      </w:tr>
      <w:bookmarkEnd w:id="1"/>
      <w:tr w:rsidR="00376648" w:rsidRPr="00855CC5" w14:paraId="7A7EAD98" w14:textId="77777777" w:rsidTr="00376648">
        <w:trPr>
          <w:trHeight w:val="355"/>
          <w:jc w:val="center"/>
        </w:trPr>
        <w:tc>
          <w:tcPr>
            <w:tcW w:w="923" w:type="dxa"/>
            <w:tcBorders>
              <w:top w:val="nil"/>
              <w:left w:val="nil"/>
              <w:bottom w:val="nil"/>
              <w:right w:val="nil"/>
            </w:tcBorders>
            <w:shd w:val="clear" w:color="auto" w:fill="auto"/>
          </w:tcPr>
          <w:p w14:paraId="6362BD66" w14:textId="77777777" w:rsidR="00376648" w:rsidRPr="00855CC5" w:rsidRDefault="00376648" w:rsidP="00376648">
            <w:pPr>
              <w:spacing w:line="480" w:lineRule="auto"/>
              <w:jc w:val="both"/>
              <w:rPr>
                <w:rFonts w:ascii="Arial" w:hAnsi="Arial" w:cs="FrankRuehl"/>
                <w:sz w:val="28"/>
                <w:szCs w:val="28"/>
              </w:rPr>
            </w:pPr>
          </w:p>
        </w:tc>
        <w:tc>
          <w:tcPr>
            <w:tcW w:w="4126" w:type="dxa"/>
            <w:tcBorders>
              <w:top w:val="nil"/>
              <w:left w:val="nil"/>
              <w:bottom w:val="nil"/>
              <w:right w:val="nil"/>
            </w:tcBorders>
            <w:shd w:val="clear" w:color="auto" w:fill="auto"/>
          </w:tcPr>
          <w:p w14:paraId="5E08E96A" w14:textId="77777777" w:rsidR="00376648" w:rsidRPr="00855CC5" w:rsidRDefault="00376648" w:rsidP="00376648">
            <w:pPr>
              <w:spacing w:line="480" w:lineRule="auto"/>
              <w:jc w:val="both"/>
              <w:rPr>
                <w:b/>
                <w:bCs/>
                <w:rtl/>
              </w:rPr>
            </w:pPr>
          </w:p>
        </w:tc>
        <w:tc>
          <w:tcPr>
            <w:tcW w:w="3771" w:type="dxa"/>
            <w:tcBorders>
              <w:top w:val="nil"/>
              <w:left w:val="nil"/>
              <w:bottom w:val="nil"/>
              <w:right w:val="nil"/>
            </w:tcBorders>
            <w:shd w:val="clear" w:color="auto" w:fill="auto"/>
          </w:tcPr>
          <w:p w14:paraId="16EF6EE9" w14:textId="77777777" w:rsidR="00376648" w:rsidRPr="00855CC5" w:rsidRDefault="00376648" w:rsidP="00376648">
            <w:pPr>
              <w:spacing w:line="480" w:lineRule="auto"/>
              <w:jc w:val="both"/>
              <w:rPr>
                <w:rFonts w:ascii="Arial" w:hAnsi="Arial" w:cs="FrankRuehl"/>
                <w:b/>
                <w:bCs/>
                <w:sz w:val="28"/>
                <w:szCs w:val="28"/>
                <w:rtl/>
              </w:rPr>
            </w:pPr>
            <w:r w:rsidRPr="00855CC5">
              <w:rPr>
                <w:rFonts w:ascii="Arial" w:hAnsi="Arial" w:cs="FrankRuehl" w:hint="cs"/>
                <w:b/>
                <w:bCs/>
                <w:sz w:val="28"/>
                <w:szCs w:val="28"/>
                <w:rtl/>
              </w:rPr>
              <w:t>המאשימה</w:t>
            </w:r>
          </w:p>
        </w:tc>
      </w:tr>
      <w:tr w:rsidR="00376648" w:rsidRPr="00855CC5" w14:paraId="73CD564C" w14:textId="77777777" w:rsidTr="00376648">
        <w:trPr>
          <w:trHeight w:val="355"/>
          <w:jc w:val="center"/>
        </w:trPr>
        <w:tc>
          <w:tcPr>
            <w:tcW w:w="923" w:type="dxa"/>
            <w:tcBorders>
              <w:top w:val="nil"/>
              <w:left w:val="nil"/>
              <w:bottom w:val="nil"/>
              <w:right w:val="nil"/>
            </w:tcBorders>
            <w:shd w:val="clear" w:color="auto" w:fill="auto"/>
          </w:tcPr>
          <w:p w14:paraId="68D68EF6" w14:textId="77777777" w:rsidR="00376648" w:rsidRPr="00855CC5" w:rsidRDefault="00376648" w:rsidP="00376648">
            <w:pPr>
              <w:spacing w:line="480" w:lineRule="auto"/>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A375F31" w14:textId="77777777" w:rsidR="00376648" w:rsidRPr="00855CC5" w:rsidRDefault="00376648" w:rsidP="00376648">
            <w:pPr>
              <w:spacing w:line="480" w:lineRule="auto"/>
              <w:jc w:val="both"/>
              <w:rPr>
                <w:rFonts w:ascii="Arial" w:hAnsi="Arial" w:cs="FrankRuehl"/>
                <w:b/>
                <w:bCs/>
                <w:sz w:val="28"/>
                <w:szCs w:val="28"/>
                <w:rtl/>
              </w:rPr>
            </w:pPr>
          </w:p>
          <w:p w14:paraId="094B9CE4" w14:textId="77777777" w:rsidR="00376648" w:rsidRPr="00855CC5" w:rsidRDefault="00376648" w:rsidP="00376648">
            <w:pPr>
              <w:spacing w:line="480" w:lineRule="auto"/>
              <w:jc w:val="center"/>
              <w:rPr>
                <w:rFonts w:ascii="Arial" w:hAnsi="Arial" w:cs="FrankRuehl"/>
                <w:b/>
                <w:bCs/>
                <w:sz w:val="28"/>
                <w:szCs w:val="28"/>
                <w:rtl/>
              </w:rPr>
            </w:pPr>
            <w:r w:rsidRPr="00855CC5">
              <w:rPr>
                <w:rFonts w:ascii="Arial" w:hAnsi="Arial" w:cs="FrankRuehl" w:hint="cs"/>
                <w:b/>
                <w:bCs/>
                <w:sz w:val="28"/>
                <w:szCs w:val="28"/>
                <w:rtl/>
              </w:rPr>
              <w:t>נגד</w:t>
            </w:r>
          </w:p>
          <w:p w14:paraId="34CE923F" w14:textId="77777777" w:rsidR="00376648" w:rsidRPr="00855CC5" w:rsidRDefault="00376648" w:rsidP="00376648">
            <w:pPr>
              <w:spacing w:line="480" w:lineRule="auto"/>
              <w:jc w:val="both"/>
              <w:rPr>
                <w:rFonts w:ascii="Arial" w:hAnsi="Arial" w:cs="FrankRuehl"/>
                <w:b/>
                <w:bCs/>
                <w:sz w:val="28"/>
                <w:szCs w:val="28"/>
                <w:rtl/>
              </w:rPr>
            </w:pPr>
          </w:p>
        </w:tc>
      </w:tr>
      <w:tr w:rsidR="00376648" w:rsidRPr="00855CC5" w14:paraId="25C56531" w14:textId="77777777" w:rsidTr="00376648">
        <w:trPr>
          <w:trHeight w:val="355"/>
          <w:jc w:val="center"/>
        </w:trPr>
        <w:tc>
          <w:tcPr>
            <w:tcW w:w="923" w:type="dxa"/>
            <w:tcBorders>
              <w:top w:val="nil"/>
              <w:left w:val="nil"/>
              <w:bottom w:val="nil"/>
              <w:right w:val="nil"/>
            </w:tcBorders>
            <w:shd w:val="clear" w:color="auto" w:fill="auto"/>
          </w:tcPr>
          <w:p w14:paraId="27749287" w14:textId="77777777" w:rsidR="00376648" w:rsidRPr="00855CC5" w:rsidRDefault="00376648" w:rsidP="00376648">
            <w:pPr>
              <w:spacing w:line="480" w:lineRule="auto"/>
              <w:jc w:val="both"/>
              <w:rPr>
                <w:rFonts w:ascii="Arial" w:hAnsi="Arial" w:cs="FrankRuehl"/>
                <w:sz w:val="28"/>
                <w:szCs w:val="28"/>
              </w:rPr>
            </w:pPr>
          </w:p>
        </w:tc>
        <w:tc>
          <w:tcPr>
            <w:tcW w:w="4126" w:type="dxa"/>
            <w:tcBorders>
              <w:top w:val="nil"/>
              <w:left w:val="nil"/>
              <w:bottom w:val="nil"/>
              <w:right w:val="nil"/>
            </w:tcBorders>
            <w:shd w:val="clear" w:color="auto" w:fill="auto"/>
          </w:tcPr>
          <w:p w14:paraId="3E2614B1" w14:textId="77777777" w:rsidR="00376648" w:rsidRPr="00855CC5" w:rsidRDefault="00376648" w:rsidP="00376648">
            <w:pPr>
              <w:spacing w:line="480" w:lineRule="auto"/>
              <w:jc w:val="both"/>
              <w:rPr>
                <w:b/>
                <w:bCs/>
                <w:rtl/>
              </w:rPr>
            </w:pPr>
            <w:r w:rsidRPr="00855CC5">
              <w:rPr>
                <w:b/>
                <w:bCs/>
                <w:rtl/>
              </w:rPr>
              <w:t xml:space="preserve">     </w:t>
            </w:r>
          </w:p>
        </w:tc>
        <w:tc>
          <w:tcPr>
            <w:tcW w:w="3771" w:type="dxa"/>
            <w:tcBorders>
              <w:top w:val="nil"/>
              <w:left w:val="nil"/>
              <w:bottom w:val="nil"/>
              <w:right w:val="nil"/>
            </w:tcBorders>
            <w:shd w:val="clear" w:color="auto" w:fill="auto"/>
          </w:tcPr>
          <w:p w14:paraId="55F4A75C" w14:textId="77777777" w:rsidR="00376648" w:rsidRPr="00855CC5" w:rsidRDefault="00376648" w:rsidP="00376648">
            <w:pPr>
              <w:spacing w:line="480" w:lineRule="auto"/>
              <w:jc w:val="both"/>
              <w:rPr>
                <w:rFonts w:ascii="Arial" w:hAnsi="Arial" w:cs="FrankRuehl"/>
                <w:b/>
                <w:bCs/>
                <w:sz w:val="28"/>
                <w:szCs w:val="28"/>
                <w:rtl/>
              </w:rPr>
            </w:pPr>
          </w:p>
        </w:tc>
      </w:tr>
      <w:tr w:rsidR="00376648" w:rsidRPr="00855CC5" w14:paraId="6B82F872" w14:textId="77777777" w:rsidTr="00376648">
        <w:trPr>
          <w:trHeight w:val="355"/>
          <w:jc w:val="center"/>
        </w:trPr>
        <w:tc>
          <w:tcPr>
            <w:tcW w:w="923" w:type="dxa"/>
            <w:tcBorders>
              <w:top w:val="nil"/>
              <w:left w:val="nil"/>
              <w:bottom w:val="nil"/>
              <w:right w:val="nil"/>
            </w:tcBorders>
            <w:shd w:val="clear" w:color="auto" w:fill="auto"/>
          </w:tcPr>
          <w:p w14:paraId="20C7CA71" w14:textId="77777777" w:rsidR="00376648" w:rsidRPr="00855CC5" w:rsidRDefault="00376648" w:rsidP="00376648">
            <w:pPr>
              <w:spacing w:line="480" w:lineRule="auto"/>
              <w:jc w:val="both"/>
              <w:rPr>
                <w:rFonts w:ascii="Arial" w:hAnsi="Arial" w:cs="FrankRuehl"/>
                <w:sz w:val="28"/>
                <w:szCs w:val="28"/>
              </w:rPr>
            </w:pPr>
            <w:bookmarkStart w:id="2" w:name="FirstLawyer"/>
          </w:p>
        </w:tc>
        <w:tc>
          <w:tcPr>
            <w:tcW w:w="4126" w:type="dxa"/>
            <w:tcBorders>
              <w:top w:val="nil"/>
              <w:left w:val="nil"/>
              <w:bottom w:val="nil"/>
              <w:right w:val="nil"/>
            </w:tcBorders>
            <w:shd w:val="clear" w:color="auto" w:fill="auto"/>
          </w:tcPr>
          <w:p w14:paraId="2BAE0906" w14:textId="77777777" w:rsidR="00376648" w:rsidRPr="00855CC5" w:rsidRDefault="00376648" w:rsidP="00376648">
            <w:pPr>
              <w:spacing w:line="480" w:lineRule="auto"/>
              <w:jc w:val="both"/>
              <w:rPr>
                <w:rFonts w:cs="FrankRuehl"/>
                <w:b/>
                <w:bCs/>
                <w:sz w:val="28"/>
                <w:szCs w:val="28"/>
                <w:rtl/>
              </w:rPr>
            </w:pPr>
            <w:r w:rsidRPr="00855CC5">
              <w:rPr>
                <w:rFonts w:cs="FrankRuehl" w:hint="cs"/>
                <w:b/>
                <w:bCs/>
                <w:sz w:val="28"/>
                <w:szCs w:val="28"/>
                <w:rtl/>
              </w:rPr>
              <w:t>דוד בן ישי</w:t>
            </w:r>
          </w:p>
          <w:p w14:paraId="4E9CF8F4" w14:textId="77777777" w:rsidR="00376648" w:rsidRPr="00855CC5" w:rsidRDefault="00376648" w:rsidP="00376648">
            <w:pPr>
              <w:spacing w:line="480" w:lineRule="auto"/>
              <w:jc w:val="both"/>
              <w:rPr>
                <w:rFonts w:cs="FrankRuehl"/>
                <w:b/>
                <w:bCs/>
                <w:sz w:val="28"/>
                <w:szCs w:val="28"/>
                <w:rtl/>
              </w:rPr>
            </w:pPr>
            <w:r w:rsidRPr="00855CC5">
              <w:rPr>
                <w:rFonts w:cs="FrankRuehl" w:hint="cs"/>
                <w:b/>
                <w:bCs/>
                <w:sz w:val="28"/>
                <w:szCs w:val="28"/>
                <w:rtl/>
              </w:rPr>
              <w:t xml:space="preserve">על ידי ב"כ עוה"ד עינת סופר בסרגליק </w:t>
            </w:r>
          </w:p>
          <w:p w14:paraId="7707974F" w14:textId="77777777" w:rsidR="00376648" w:rsidRPr="00855CC5" w:rsidRDefault="00376648" w:rsidP="00376648">
            <w:pPr>
              <w:spacing w:line="480" w:lineRule="auto"/>
              <w:jc w:val="both"/>
              <w:rPr>
                <w:rFonts w:cs="FrankRuehl"/>
                <w:b/>
                <w:bCs/>
                <w:sz w:val="28"/>
                <w:szCs w:val="28"/>
                <w:rtl/>
              </w:rPr>
            </w:pPr>
          </w:p>
        </w:tc>
        <w:tc>
          <w:tcPr>
            <w:tcW w:w="3771" w:type="dxa"/>
            <w:tcBorders>
              <w:top w:val="nil"/>
              <w:left w:val="nil"/>
              <w:bottom w:val="nil"/>
              <w:right w:val="nil"/>
            </w:tcBorders>
            <w:shd w:val="clear" w:color="auto" w:fill="auto"/>
          </w:tcPr>
          <w:p w14:paraId="79449666" w14:textId="77777777" w:rsidR="00376648" w:rsidRPr="00855CC5" w:rsidRDefault="00376648" w:rsidP="00376648">
            <w:pPr>
              <w:spacing w:line="480" w:lineRule="auto"/>
              <w:jc w:val="both"/>
              <w:rPr>
                <w:rFonts w:ascii="Arial" w:hAnsi="Arial" w:cs="FrankRuehl"/>
                <w:b/>
                <w:bCs/>
                <w:sz w:val="28"/>
                <w:szCs w:val="28"/>
                <w:rtl/>
              </w:rPr>
            </w:pPr>
          </w:p>
          <w:p w14:paraId="574ACC0D" w14:textId="77777777" w:rsidR="00376648" w:rsidRPr="00855CC5" w:rsidRDefault="00376648" w:rsidP="00376648">
            <w:pPr>
              <w:spacing w:line="480" w:lineRule="auto"/>
              <w:jc w:val="both"/>
              <w:rPr>
                <w:rFonts w:ascii="Arial" w:hAnsi="Arial" w:cs="FrankRuehl"/>
                <w:b/>
                <w:bCs/>
                <w:sz w:val="28"/>
                <w:szCs w:val="28"/>
                <w:rtl/>
              </w:rPr>
            </w:pPr>
            <w:r w:rsidRPr="00855CC5">
              <w:rPr>
                <w:rFonts w:ascii="Arial" w:hAnsi="Arial" w:cs="FrankRuehl" w:hint="cs"/>
                <w:b/>
                <w:bCs/>
                <w:sz w:val="28"/>
                <w:szCs w:val="28"/>
                <w:rtl/>
              </w:rPr>
              <w:t>הנאשם</w:t>
            </w:r>
          </w:p>
        </w:tc>
      </w:tr>
    </w:tbl>
    <w:p w14:paraId="1A821292" w14:textId="77777777" w:rsidR="00FB598B" w:rsidRDefault="00FB598B" w:rsidP="00376648">
      <w:pPr>
        <w:spacing w:line="480" w:lineRule="auto"/>
        <w:jc w:val="center"/>
        <w:rPr>
          <w:rFonts w:cs="FrankRuehl"/>
          <w:sz w:val="28"/>
          <w:szCs w:val="28"/>
          <w:rtl/>
        </w:rPr>
      </w:pPr>
      <w:bookmarkStart w:id="3" w:name="LawTable"/>
      <w:bookmarkEnd w:id="2"/>
      <w:bookmarkEnd w:id="3"/>
    </w:p>
    <w:p w14:paraId="0B0F26E9" w14:textId="77777777" w:rsidR="00FB598B" w:rsidRPr="00FB598B" w:rsidRDefault="00FB598B" w:rsidP="00FB598B">
      <w:pPr>
        <w:spacing w:after="120" w:line="240" w:lineRule="exact"/>
        <w:ind w:left="283" w:hanging="283"/>
        <w:jc w:val="both"/>
        <w:rPr>
          <w:rFonts w:ascii="FrankRuehl" w:hAnsi="FrankRuehl" w:cs="FrankRuehl"/>
          <w:rtl/>
        </w:rPr>
      </w:pPr>
    </w:p>
    <w:p w14:paraId="5F547124" w14:textId="77777777" w:rsidR="00FB598B" w:rsidRPr="00FB598B" w:rsidRDefault="00FB598B" w:rsidP="00FB598B">
      <w:pPr>
        <w:spacing w:after="120" w:line="240" w:lineRule="exact"/>
        <w:ind w:left="283" w:hanging="283"/>
        <w:jc w:val="both"/>
        <w:rPr>
          <w:rFonts w:ascii="FrankRuehl" w:hAnsi="FrankRuehl" w:cs="FrankRuehl"/>
          <w:rtl/>
        </w:rPr>
      </w:pPr>
      <w:r w:rsidRPr="00FB598B">
        <w:rPr>
          <w:rFonts w:ascii="FrankRuehl" w:hAnsi="FrankRuehl" w:cs="FrankRuehl"/>
          <w:rtl/>
        </w:rPr>
        <w:t xml:space="preserve">חקיקה שאוזכרה: </w:t>
      </w:r>
    </w:p>
    <w:p w14:paraId="45854A45" w14:textId="77777777" w:rsidR="00FB598B" w:rsidRPr="00FB598B" w:rsidRDefault="00FB598B" w:rsidP="00FB598B">
      <w:pPr>
        <w:spacing w:after="120" w:line="240" w:lineRule="exact"/>
        <w:ind w:left="283" w:hanging="283"/>
        <w:jc w:val="both"/>
        <w:rPr>
          <w:rFonts w:ascii="FrankRuehl" w:hAnsi="FrankRuehl" w:cs="FrankRuehl"/>
          <w:rtl/>
        </w:rPr>
      </w:pPr>
      <w:hyperlink r:id="rId6" w:history="1">
        <w:r w:rsidRPr="00FB598B">
          <w:rPr>
            <w:rFonts w:ascii="FrankRuehl" w:hAnsi="FrankRuehl" w:cs="FrankRuehl"/>
            <w:color w:val="0000FF"/>
            <w:u w:val="single"/>
            <w:rtl/>
          </w:rPr>
          <w:t>פקודת הסמים המסוכנים [נוסח חדש], תשל"ג-1973</w:t>
        </w:r>
      </w:hyperlink>
      <w:r w:rsidRPr="00FB598B">
        <w:rPr>
          <w:rFonts w:ascii="FrankRuehl" w:hAnsi="FrankRuehl" w:cs="FrankRuehl"/>
          <w:rtl/>
        </w:rPr>
        <w:t xml:space="preserve">: סע'  </w:t>
      </w:r>
      <w:hyperlink r:id="rId7" w:history="1">
        <w:r w:rsidRPr="00FB598B">
          <w:rPr>
            <w:rFonts w:ascii="FrankRuehl" w:hAnsi="FrankRuehl" w:cs="FrankRuehl"/>
            <w:color w:val="0000FF"/>
            <w:u w:val="single"/>
            <w:rtl/>
          </w:rPr>
          <w:t>6</w:t>
        </w:r>
      </w:hyperlink>
      <w:r w:rsidRPr="00FB598B">
        <w:rPr>
          <w:rFonts w:ascii="FrankRuehl" w:hAnsi="FrankRuehl" w:cs="FrankRuehl"/>
          <w:rtl/>
        </w:rPr>
        <w:t xml:space="preserve">, </w:t>
      </w:r>
      <w:hyperlink r:id="rId8" w:history="1">
        <w:r w:rsidRPr="00FB598B">
          <w:rPr>
            <w:rFonts w:ascii="FrankRuehl" w:hAnsi="FrankRuehl" w:cs="FrankRuehl"/>
            <w:color w:val="0000FF"/>
            <w:u w:val="single"/>
            <w:rtl/>
          </w:rPr>
          <w:t>10</w:t>
        </w:r>
      </w:hyperlink>
    </w:p>
    <w:p w14:paraId="257F0AE4" w14:textId="77777777" w:rsidR="00FB598B" w:rsidRPr="00FB598B" w:rsidRDefault="00FB598B" w:rsidP="00FB598B">
      <w:pPr>
        <w:spacing w:after="120" w:line="240" w:lineRule="exact"/>
        <w:ind w:left="283" w:hanging="283"/>
        <w:jc w:val="both"/>
        <w:rPr>
          <w:rFonts w:ascii="FrankRuehl" w:hAnsi="FrankRuehl" w:cs="FrankRuehl"/>
          <w:rtl/>
        </w:rPr>
      </w:pPr>
      <w:hyperlink r:id="rId9" w:history="1">
        <w:r w:rsidRPr="00FB598B">
          <w:rPr>
            <w:rFonts w:ascii="FrankRuehl" w:hAnsi="FrankRuehl" w:cs="FrankRuehl"/>
            <w:color w:val="0000FF"/>
            <w:u w:val="single"/>
            <w:rtl/>
          </w:rPr>
          <w:t>חוק העונשין, תשל"ז-1977</w:t>
        </w:r>
      </w:hyperlink>
      <w:r w:rsidRPr="00FB598B">
        <w:rPr>
          <w:rFonts w:ascii="FrankRuehl" w:hAnsi="FrankRuehl" w:cs="FrankRuehl"/>
          <w:rtl/>
        </w:rPr>
        <w:t xml:space="preserve">: סע'  </w:t>
      </w:r>
      <w:hyperlink r:id="rId10" w:history="1">
        <w:r w:rsidRPr="00FB598B">
          <w:rPr>
            <w:rFonts w:ascii="FrankRuehl" w:hAnsi="FrankRuehl" w:cs="FrankRuehl"/>
            <w:color w:val="0000FF"/>
            <w:u w:val="single"/>
            <w:rtl/>
          </w:rPr>
          <w:t>40ד</w:t>
        </w:r>
      </w:hyperlink>
    </w:p>
    <w:p w14:paraId="15D18DCB" w14:textId="77777777" w:rsidR="00FB598B" w:rsidRPr="00FB598B" w:rsidRDefault="00FB598B" w:rsidP="00FB598B">
      <w:pPr>
        <w:spacing w:after="120" w:line="240" w:lineRule="exact"/>
        <w:ind w:left="283" w:hanging="283"/>
        <w:jc w:val="both"/>
        <w:rPr>
          <w:rFonts w:ascii="FrankRuehl" w:hAnsi="FrankRuehl" w:cs="FrankRuehl"/>
          <w:rtl/>
        </w:rPr>
      </w:pPr>
    </w:p>
    <w:p w14:paraId="23396ABB" w14:textId="77777777" w:rsidR="00855CC5" w:rsidRPr="00855CC5" w:rsidRDefault="00855CC5" w:rsidP="00855CC5">
      <w:pPr>
        <w:spacing w:line="480" w:lineRule="auto"/>
        <w:ind w:left="720" w:hanging="720"/>
        <w:jc w:val="center"/>
        <w:rPr>
          <w:rFonts w:cs="FrankRuehl"/>
          <w:b/>
          <w:bCs/>
          <w:sz w:val="28"/>
          <w:szCs w:val="28"/>
          <w:u w:val="single"/>
          <w:rtl/>
        </w:rPr>
      </w:pPr>
      <w:bookmarkStart w:id="4" w:name="LawTable_End"/>
      <w:bookmarkStart w:id="5" w:name="PsakDin"/>
      <w:bookmarkEnd w:id="0"/>
      <w:bookmarkEnd w:id="4"/>
      <w:r w:rsidRPr="00855CC5">
        <w:rPr>
          <w:rFonts w:cs="FrankRuehl"/>
          <w:b/>
          <w:bCs/>
          <w:sz w:val="28"/>
          <w:szCs w:val="28"/>
          <w:u w:val="single"/>
          <w:rtl/>
        </w:rPr>
        <w:t>גזר דין</w:t>
      </w:r>
    </w:p>
    <w:bookmarkEnd w:id="5"/>
    <w:p w14:paraId="6CC0546F" w14:textId="77777777" w:rsidR="00376648" w:rsidRDefault="00376648" w:rsidP="00376648">
      <w:pPr>
        <w:spacing w:line="480" w:lineRule="auto"/>
        <w:ind w:left="720" w:hanging="720"/>
        <w:jc w:val="both"/>
        <w:rPr>
          <w:rFonts w:cs="FrankRuehl"/>
          <w:sz w:val="28"/>
          <w:szCs w:val="28"/>
          <w:rtl/>
        </w:rPr>
      </w:pPr>
      <w:r>
        <w:rPr>
          <w:rFonts w:cs="FrankRuehl" w:hint="cs"/>
          <w:sz w:val="28"/>
          <w:szCs w:val="28"/>
          <w:rtl/>
        </w:rPr>
        <w:lastRenderedPageBreak/>
        <w:t>1.</w:t>
      </w:r>
      <w:r>
        <w:rPr>
          <w:rFonts w:cs="FrankRuehl" w:hint="cs"/>
          <w:sz w:val="28"/>
          <w:szCs w:val="28"/>
          <w:rtl/>
        </w:rPr>
        <w:tab/>
      </w:r>
      <w:bookmarkStart w:id="6" w:name="ABSTRACT_START"/>
      <w:bookmarkEnd w:id="6"/>
      <w:r>
        <w:rPr>
          <w:rFonts w:cs="FrankRuehl" w:hint="cs"/>
          <w:sz w:val="28"/>
          <w:szCs w:val="28"/>
          <w:rtl/>
        </w:rPr>
        <w:t xml:space="preserve">הנאשם תושב בני ברק, יליד 1993, הורשע על פי הודאתו בעבירות של גידול, יצור והכנת סמים מסוכנים והחזקת כלים להכנת סם שלא לצריכה עצמית, עבירות לפי </w:t>
      </w:r>
      <w:hyperlink r:id="rId11" w:history="1">
        <w:r w:rsidR="00FB598B" w:rsidRPr="00FB598B">
          <w:rPr>
            <w:rFonts w:cs="FrankRuehl"/>
            <w:color w:val="0000FF"/>
            <w:sz w:val="28"/>
            <w:szCs w:val="28"/>
            <w:u w:val="single"/>
            <w:rtl/>
          </w:rPr>
          <w:t>סעיפים 6</w:t>
        </w:r>
      </w:hyperlink>
      <w:r>
        <w:rPr>
          <w:rFonts w:cs="FrankRuehl" w:hint="cs"/>
          <w:sz w:val="28"/>
          <w:szCs w:val="28"/>
          <w:rtl/>
        </w:rPr>
        <w:t xml:space="preserve"> ו-</w:t>
      </w:r>
      <w:hyperlink r:id="rId12" w:history="1">
        <w:r w:rsidR="00FB598B" w:rsidRPr="00FB598B">
          <w:rPr>
            <w:rFonts w:cs="FrankRuehl"/>
            <w:color w:val="0000FF"/>
            <w:sz w:val="28"/>
            <w:szCs w:val="28"/>
            <w:u w:val="single"/>
            <w:rtl/>
          </w:rPr>
          <w:t>10</w:t>
        </w:r>
      </w:hyperlink>
      <w:r>
        <w:rPr>
          <w:rFonts w:cs="FrankRuehl" w:hint="cs"/>
          <w:sz w:val="28"/>
          <w:szCs w:val="28"/>
          <w:rtl/>
        </w:rPr>
        <w:t>רישא ל</w:t>
      </w:r>
      <w:hyperlink r:id="rId13" w:history="1">
        <w:r w:rsidR="00855CC5" w:rsidRPr="00855CC5">
          <w:rPr>
            <w:rFonts w:cs="FrankRuehl"/>
            <w:color w:val="0000FF"/>
            <w:sz w:val="28"/>
            <w:szCs w:val="28"/>
            <w:u w:val="single"/>
            <w:rtl/>
          </w:rPr>
          <w:t>פקודת הסמים המסוכנים</w:t>
        </w:r>
      </w:hyperlink>
      <w:r>
        <w:rPr>
          <w:rFonts w:cs="FrankRuehl" w:hint="cs"/>
          <w:sz w:val="28"/>
          <w:szCs w:val="28"/>
          <w:rtl/>
        </w:rPr>
        <w:t xml:space="preserve"> (נוסח חדש) תשל"ג-1973. </w:t>
      </w:r>
    </w:p>
    <w:p w14:paraId="297411A0" w14:textId="77777777" w:rsidR="00376648" w:rsidRDefault="00376648" w:rsidP="00376648">
      <w:pPr>
        <w:spacing w:line="480" w:lineRule="auto"/>
        <w:ind w:left="720"/>
        <w:jc w:val="both"/>
        <w:rPr>
          <w:rFonts w:cs="FrankRuehl"/>
          <w:sz w:val="28"/>
          <w:szCs w:val="28"/>
          <w:rtl/>
        </w:rPr>
      </w:pPr>
      <w:bookmarkStart w:id="7" w:name="ABSTRACT_END"/>
      <w:bookmarkEnd w:id="7"/>
      <w:r>
        <w:rPr>
          <w:rFonts w:cs="FrankRuehl" w:hint="cs"/>
          <w:sz w:val="28"/>
          <w:szCs w:val="28"/>
          <w:rtl/>
        </w:rPr>
        <w:t xml:space="preserve">מכתב האישום עולה, כי  ביום 23.6.16 בשעה 12:00  בסמוך לדירה ברח' הרב עוזיאל 37 בירושלים, גידל הנאשם ביחד עם אחר בשם מיכאל בוכניק, סם מסוג קנבוס במשקל כולל של 3.18 קילוגרם נטו וכן החזיק כלים להכנת סמים מסוכנים שלא כדין. </w:t>
      </w:r>
    </w:p>
    <w:p w14:paraId="64D4DECB"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באותן נסיבות גידל הנאשם בדירה 227  עציצי קנבוס בגדלים שונים וכן החזיק 12 שנאים, 8 בקבוקים המכילים חומרי דישון, 12 מנורות בגדלים שונים, 7 בתי מנורות, מד טמפרטורה, 3 מאווררים, 4 מפוחים, 4 בתי פלורוסנט, 3 שרוולי אוורור ובידוד מנייר כסף. </w:t>
      </w:r>
    </w:p>
    <w:p w14:paraId="55741060"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הודאתו של הנאשם ניתנה במסגרת הסדר טיעון שהתקיים בדיון בפני כב' השופטת ח' לומפ מיום 7.11.16, בו סוכם על שליחתו של הנאשם לשירות המבחן לקבלת תסקיר. הצדדים לא הגיעו לידי הסכמה לעניין העונש וכל צד טען טענותיו באופן חופשי. כמו כן, נשלח הנאשם, חרף התנגדות המאשימה, לממונה על עבודות שירות להכנת חוות דעת. </w:t>
      </w:r>
    </w:p>
    <w:p w14:paraId="60A50BAA" w14:textId="77777777" w:rsidR="00376648" w:rsidRDefault="00376648" w:rsidP="00376648">
      <w:pPr>
        <w:spacing w:line="480" w:lineRule="auto"/>
        <w:jc w:val="both"/>
        <w:rPr>
          <w:rFonts w:cs="FrankRuehl"/>
          <w:sz w:val="28"/>
          <w:szCs w:val="28"/>
          <w:rtl/>
        </w:rPr>
      </w:pPr>
    </w:p>
    <w:p w14:paraId="36BD5BF7" w14:textId="77777777" w:rsidR="00376648" w:rsidRDefault="00376648" w:rsidP="00376648">
      <w:pPr>
        <w:spacing w:line="480" w:lineRule="auto"/>
        <w:jc w:val="both"/>
        <w:rPr>
          <w:rFonts w:cs="FrankRuehl"/>
          <w:b/>
          <w:bCs/>
          <w:sz w:val="28"/>
          <w:szCs w:val="28"/>
          <w:u w:val="single"/>
          <w:rtl/>
        </w:rPr>
      </w:pPr>
      <w:r>
        <w:rPr>
          <w:rFonts w:cs="FrankRuehl" w:hint="cs"/>
          <w:sz w:val="28"/>
          <w:szCs w:val="28"/>
          <w:rtl/>
        </w:rPr>
        <w:t>2.</w:t>
      </w:r>
      <w:r>
        <w:rPr>
          <w:rFonts w:cs="FrankRuehl" w:hint="cs"/>
          <w:sz w:val="28"/>
          <w:szCs w:val="28"/>
          <w:rtl/>
        </w:rPr>
        <w:tab/>
      </w:r>
      <w:r>
        <w:rPr>
          <w:rFonts w:cs="FrankRuehl" w:hint="cs"/>
          <w:b/>
          <w:bCs/>
          <w:sz w:val="28"/>
          <w:szCs w:val="28"/>
          <w:u w:val="single"/>
          <w:rtl/>
        </w:rPr>
        <w:t>תסקיר שירות  המבחן</w:t>
      </w:r>
    </w:p>
    <w:p w14:paraId="197DD917" w14:textId="77777777" w:rsidR="00376648" w:rsidRDefault="00376648" w:rsidP="00376648">
      <w:pPr>
        <w:spacing w:line="480" w:lineRule="auto"/>
        <w:ind w:firstLine="720"/>
        <w:rPr>
          <w:rFonts w:cs="FrankRuehl"/>
          <w:sz w:val="28"/>
          <w:szCs w:val="28"/>
          <w:rtl/>
        </w:rPr>
      </w:pPr>
      <w:r>
        <w:rPr>
          <w:rFonts w:cs="FrankRuehl" w:hint="cs"/>
          <w:sz w:val="28"/>
          <w:szCs w:val="28"/>
          <w:rtl/>
        </w:rPr>
        <w:t xml:space="preserve">שירות המבחן הכין 4 תסקירים בעניינו של הנאשם. האחד מיום 16.3.17, השני </w:t>
      </w:r>
    </w:p>
    <w:p w14:paraId="0BFE1057" w14:textId="77777777" w:rsidR="00376648" w:rsidRDefault="00376648" w:rsidP="00376648">
      <w:pPr>
        <w:spacing w:line="480" w:lineRule="auto"/>
        <w:ind w:firstLine="720"/>
        <w:rPr>
          <w:rFonts w:cs="FrankRuehl"/>
          <w:sz w:val="28"/>
          <w:szCs w:val="28"/>
          <w:rtl/>
        </w:rPr>
      </w:pPr>
      <w:r>
        <w:rPr>
          <w:rFonts w:cs="FrankRuehl" w:hint="cs"/>
          <w:sz w:val="28"/>
          <w:szCs w:val="28"/>
          <w:rtl/>
        </w:rPr>
        <w:t>מיום 5.7.17 והשלישי מיום 11.1.2018 והרביעי מיום 18.4.2018.</w:t>
      </w:r>
    </w:p>
    <w:p w14:paraId="2CC589F0"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בתסקיר הראשון מציינת קצינת המבחן כי הנאשם בן 24 מתגורר בבית הוריו בבני ברק. הוא שולב במסגרות חינוך חרדיות, תוך קשיי הסתגלות והשתייכות מגיל צעיר. בהיותו בן 17 עזב את מסגרת הישיבה, תוך התרחקות מהדת. בתקופות בהן לא למד, עבד בעבודות </w:t>
      </w:r>
      <w:r>
        <w:rPr>
          <w:rFonts w:cs="FrankRuehl" w:hint="cs"/>
          <w:sz w:val="28"/>
          <w:szCs w:val="28"/>
          <w:rtl/>
        </w:rPr>
        <w:lastRenderedPageBreak/>
        <w:t xml:space="preserve">שונות, התקשה לשמור על יציבות בתפקודו, צבר חובות וחבר לחברה שלילית. כיום עובד בתחום מכירת טלפונים ולומד להשלמת בגרויות. </w:t>
      </w:r>
    </w:p>
    <w:p w14:paraId="314975BC"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באשר להיסטוריה העבריינית של הנאשם צויין, כי מגיל צעיר קיים קשרים שוליים, נחשף לצריכת סמים ולחוסר תפקוד מסודר. הוא נקלע לקשיים כלכליים וראה בביצוע העבירות פתרון מיידי שיאפשר סגירת חובות  שצבר ולפיכך פעל בלא שיקול דעת וללא שהבין את השלכות מעשיו. </w:t>
      </w:r>
    </w:p>
    <w:p w14:paraId="6A3673F4"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בהערכת הסיכון לעבריינות והסיכוי לשיקום, התקבל הרושם כי הנאשם מגלה קשיי השתלבות כבר מגיל צעיר ומוצא מענה לצורכי השתייכות בקבוצות שוליות. נראה כי עבר גבולות פנימיים מובחנים וקיימות תנודות בהתנהלותו סביב השתייכותו הדתית ובמסגרת העבודה והלימודים. הוא ממוקד בחיפוש אחר פתרונות מידיים, מתקשה להיעזר בבני משפחה כגורמים מכוונים ומבטא עמדות בעייתיות ביחס לציות לחוק. </w:t>
      </w:r>
    </w:p>
    <w:p w14:paraId="460B3C7E"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לצד זאת, התרשם שירות המבחן מקיומם של גורמי סיכוי לשיקום. נראה כי הנאשם מכיר בבעיתיות בהתנהלותו ומגיב להרתעת הסנקציות שננקטו נגדו. </w:t>
      </w:r>
    </w:p>
    <w:p w14:paraId="381C9A58"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דווח על קיומה של נזקקות לטיפול, בו יעמיק הנאשם הבנתו באשר לגורמים העומדים בבסיס ביצוע העבירות וירכוש כלים להתנהלות בוגרת, והנאשם הביע באופן ראשוני נכונות לקחת חלק בטיפול. לפיכך ביקש שירות המבחן דחיית הדיון ל-3 חודשים על מנת להמשיך ולהשתמש בהשפעתו המרתיעה של ההליך המשפטי. בית המשפט נעתר לבקשה והדיון נדחה כמבוקש. </w:t>
      </w:r>
    </w:p>
    <w:p w14:paraId="3C5A0360" w14:textId="77777777" w:rsidR="00376648" w:rsidRDefault="00376648" w:rsidP="00376648">
      <w:pPr>
        <w:spacing w:line="480" w:lineRule="auto"/>
        <w:ind w:left="720"/>
        <w:jc w:val="both"/>
        <w:rPr>
          <w:rFonts w:cs="FrankRuehl"/>
          <w:sz w:val="28"/>
          <w:szCs w:val="28"/>
          <w:rtl/>
        </w:rPr>
      </w:pPr>
    </w:p>
    <w:p w14:paraId="644058CF"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בתסקיר השני – מודיעה קצינת המבחן כי הנאשם השתלב בקבוצה טיפולית לצעירים שהתנהלותם שולית. הוא מתמיד  בהגעתו לקבוצה ולוקח בה חלק פעיל. החל לשתף אודות הרקע המשפחתי שלו, קשריו החברתיים והשליליים ואף באשר לביצוע העבירה. ניכר כי הנאשם השתלב היטב בקבוצה ונוצר קשר טיפולי טוב, אולם הוא עדיין נמצא בראשית התהליך וזקוק להמשך טיפול. </w:t>
      </w:r>
    </w:p>
    <w:p w14:paraId="139BDC5C"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הנאשם הביע בפני קצינת המבחן שביעות רצונו מהטיפול הקבוצתי בו שולב, הוא תופס את הקשר הטיפולי ככזה המאפשר לו לבחון את עצמו בתחומים השונים וכגורם מכוון ותומך. </w:t>
      </w:r>
    </w:p>
    <w:p w14:paraId="5D61831F"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יצויין, כי בתקופת הדחייה בבדיקה נוספת לא נמצאו שרידי סמים. </w:t>
      </w:r>
    </w:p>
    <w:p w14:paraId="00F023F7"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על מנת להמשיך ולחזק את תפקודו החיובי וכדי להפחית סיכון להמשך התנהלות שלילית, מעריך שירות המבחן כי קיימת חשיבות להמשך הטיפול בו יעמיק הבנתו באשר לגורמים העומדים בבסיס ביצוע העבירות, באשר לדפוסיו הבעייתיים וירכוש כלים להתנהלות מווסתת יותר המאופיינת במשמעת וגבולות עצמיים. </w:t>
      </w:r>
    </w:p>
    <w:p w14:paraId="17A07D32" w14:textId="77777777" w:rsidR="00376648" w:rsidRDefault="00376648" w:rsidP="00376648">
      <w:pPr>
        <w:spacing w:line="480" w:lineRule="auto"/>
        <w:ind w:left="720"/>
        <w:jc w:val="both"/>
        <w:rPr>
          <w:rFonts w:cs="FrankRuehl"/>
          <w:sz w:val="28"/>
          <w:szCs w:val="28"/>
          <w:rtl/>
        </w:rPr>
      </w:pPr>
    </w:p>
    <w:p w14:paraId="02EF9F11"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בתסקיר השלישי מציינת קצינת המבחן כי הנאשם מתמיד בהגעתו לקבוצה טיפולית ולוקח בה חלק פעיל. כמו כן מסר בדיקות שתן לאיתור סמים שנמצאו נקיות משרידי סם. על אף התמדתו בקבוצה חלה נסיגה במצבו באופן השתתפותו בקבוצה.  בתקופה זו  נערכה בחינה מחודשת של מצבו וצרכיו של הנאשם, כמו גם בחינת יכולתו להיעזר בטיפול. על כן ביקש שירות המבחן דחיה נוספת בת 3 חודשים על מנת להמשיך להשתמש בהשפעתו המרגיעה והמדרבנת של ההליך המשפחתי לצורך גיוסו לבחינת מצבו כנדרש.  </w:t>
      </w:r>
    </w:p>
    <w:p w14:paraId="3DB5FB1F" w14:textId="77777777" w:rsidR="00376648" w:rsidRDefault="00376648" w:rsidP="00376648">
      <w:pPr>
        <w:spacing w:line="480" w:lineRule="auto"/>
        <w:ind w:left="720"/>
        <w:jc w:val="both"/>
        <w:rPr>
          <w:rFonts w:cs="FrankRuehl"/>
          <w:sz w:val="28"/>
          <w:szCs w:val="28"/>
          <w:rtl/>
        </w:rPr>
      </w:pPr>
    </w:p>
    <w:p w14:paraId="096FAF58"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בתסקיר הרביעי צוין, כי במהלך תקופת הדחיה הנאשם המשיך בהשתלבותו בטיפול קבוצתי במסגרת שירות המבחן.  כמו  כן מסר בדיקות שתן נקיות מסמים. מאז ביצוע  העבירה לא נפתחו כנגדו תיקים נוספים. במהלך תקופת הדחייה הנוכחית הנאשם התמיד בהשתתפותו בקבוצה ומשתף פעולה. מדובר בנאשם  צעיר, מופנם, חסר ביטחון  אשר ביצע את העבירה נשוא הדיון לפני כשנתיים על רקע קשרים שוליים,  קשיים רגשיים וכלכליים, חוסר יציבות, כשבמועד ביצוע העבירה לא היה מודע לחומרתה, לאסור שבה והתקשה לבחון השלכות התנהלות על אורח חייו. קצינת המבחן מציינת כי  הנאשם נמצא בעיצומו של שלב גיבוש זהות וחיפוש מסגרת שייכות. עוד התרשמה קצינת המבחן כי הנאשם מנסה לסגל לעצמו גבולות פנימיים ולנהל לעצמו אורח חיים יציב, בוגר ועצמאי. על מנת לסייע לו בתהליך שעובר ובמאמציו לתפקוד תקין, קיימת חשיבות כי ימשיך בהשתלבותו בטיפול במסגרת שירות המבחן. </w:t>
      </w:r>
    </w:p>
    <w:p w14:paraId="1CA671F4" w14:textId="77777777" w:rsidR="00376648" w:rsidRDefault="00376648" w:rsidP="00376648">
      <w:pPr>
        <w:spacing w:line="480" w:lineRule="auto"/>
        <w:ind w:left="720"/>
        <w:jc w:val="both"/>
        <w:rPr>
          <w:rFonts w:cs="FrankRuehl"/>
          <w:sz w:val="28"/>
          <w:szCs w:val="28"/>
          <w:rtl/>
        </w:rPr>
      </w:pPr>
    </w:p>
    <w:p w14:paraId="386E4CD9"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על כן ממליץ השירות להעמידו בצו מבחן ולהטיל עליו עונש של מאסר שירוצה בעבודות שירות, ענישה שהיא מוחשית וקונקרטית אשר תפגיש אותו עם האסור והבעייתיות שבמעשיו, לצד האפשרות לשמור על תהליך שיקום בו החל. </w:t>
      </w:r>
    </w:p>
    <w:p w14:paraId="7A86E4F0" w14:textId="77777777" w:rsidR="00376648" w:rsidRDefault="00376648" w:rsidP="00376648">
      <w:pPr>
        <w:spacing w:line="480" w:lineRule="auto"/>
        <w:ind w:left="720"/>
        <w:jc w:val="both"/>
        <w:rPr>
          <w:rFonts w:cs="FrankRuehl"/>
          <w:sz w:val="28"/>
          <w:szCs w:val="28"/>
          <w:rtl/>
        </w:rPr>
      </w:pPr>
    </w:p>
    <w:p w14:paraId="2409CFAA" w14:textId="77777777" w:rsidR="00376648" w:rsidRDefault="00376648" w:rsidP="00376648">
      <w:pPr>
        <w:spacing w:line="480" w:lineRule="auto"/>
        <w:jc w:val="both"/>
        <w:rPr>
          <w:rFonts w:cs="FrankRuehl"/>
          <w:b/>
          <w:bCs/>
          <w:sz w:val="28"/>
          <w:szCs w:val="28"/>
          <w:u w:val="single"/>
          <w:rtl/>
        </w:rPr>
      </w:pPr>
      <w:r>
        <w:rPr>
          <w:rFonts w:cs="FrankRuehl" w:hint="cs"/>
          <w:sz w:val="28"/>
          <w:szCs w:val="28"/>
          <w:rtl/>
        </w:rPr>
        <w:t>3.</w:t>
      </w:r>
      <w:r>
        <w:rPr>
          <w:rFonts w:cs="FrankRuehl" w:hint="cs"/>
          <w:sz w:val="28"/>
          <w:szCs w:val="28"/>
          <w:rtl/>
        </w:rPr>
        <w:tab/>
      </w:r>
      <w:r>
        <w:rPr>
          <w:rFonts w:cs="FrankRuehl" w:hint="cs"/>
          <w:b/>
          <w:bCs/>
          <w:sz w:val="28"/>
          <w:szCs w:val="28"/>
          <w:u w:val="single"/>
          <w:rtl/>
        </w:rPr>
        <w:t>חוות דעת הממונה</w:t>
      </w:r>
    </w:p>
    <w:p w14:paraId="277065A1"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הנאשם התייצב לראיון התאמה להשמה ביום 20.3.17 ולאור בחינת מכלול נתוניו נמצא מתאים לביצוע עבודות שירות בבית אבות "משען" ברמת אפעל, עם זאת מועד </w:t>
      </w:r>
    </w:p>
    <w:p w14:paraId="1DF7A629"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תחילת הביצוע חלף זה מכבר. </w:t>
      </w:r>
    </w:p>
    <w:p w14:paraId="40AE301C" w14:textId="77777777" w:rsidR="00376648" w:rsidRDefault="00376648" w:rsidP="00376648">
      <w:pPr>
        <w:spacing w:line="480" w:lineRule="auto"/>
        <w:jc w:val="both"/>
        <w:rPr>
          <w:rFonts w:cs="FrankRuehl"/>
          <w:sz w:val="28"/>
          <w:szCs w:val="28"/>
          <w:rtl/>
        </w:rPr>
      </w:pPr>
    </w:p>
    <w:p w14:paraId="75788B5E" w14:textId="77777777" w:rsidR="00376648" w:rsidRDefault="00376648" w:rsidP="00376648">
      <w:pPr>
        <w:spacing w:line="480" w:lineRule="auto"/>
        <w:jc w:val="both"/>
        <w:rPr>
          <w:rFonts w:cs="FrankRuehl"/>
          <w:b/>
          <w:bCs/>
          <w:sz w:val="28"/>
          <w:szCs w:val="28"/>
          <w:u w:val="single"/>
          <w:rtl/>
        </w:rPr>
      </w:pPr>
      <w:r>
        <w:rPr>
          <w:rFonts w:cs="FrankRuehl" w:hint="cs"/>
          <w:sz w:val="28"/>
          <w:szCs w:val="28"/>
          <w:rtl/>
        </w:rPr>
        <w:t>4.</w:t>
      </w:r>
      <w:r>
        <w:rPr>
          <w:rFonts w:cs="FrankRuehl" w:hint="cs"/>
          <w:sz w:val="28"/>
          <w:szCs w:val="28"/>
          <w:rtl/>
        </w:rPr>
        <w:tab/>
      </w:r>
      <w:r>
        <w:rPr>
          <w:rFonts w:cs="FrankRuehl" w:hint="cs"/>
          <w:b/>
          <w:bCs/>
          <w:sz w:val="28"/>
          <w:szCs w:val="28"/>
          <w:u w:val="single"/>
          <w:rtl/>
        </w:rPr>
        <w:t>טיעוני ב"כ הצדדים לעונש</w:t>
      </w:r>
    </w:p>
    <w:p w14:paraId="2C879640"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ב"כ  המאשימה ציינה בטיעוניה, כי הנאשם הודה והורשע בעבירות של גידול סמים מסוכנים והחזקת כלים להכנתם. </w:t>
      </w:r>
    </w:p>
    <w:p w14:paraId="689BEDE3"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הוא הודה שגידל יחד עם אחר סם מסוכן מסוג קנאבוס במשקל של 3 ק"ג ב-227 עציצים. לצורך הגידול החזיק הנאשם חומרים וכלים רבים אשר שימשו לגידול הסמים, ולמעשה יצר מעבדה בדירה ששכר על שמו. </w:t>
      </w:r>
    </w:p>
    <w:p w14:paraId="41021919"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בהתייחס לתסקיר שירות המבחן הממליץ על מאסר שירוצה בעבודות שירות, המאשימה סבורה שבעבירות כאלו של גידול סמים בכמות שאינה מבוטלת, ונוכח ביצוע העבירה בצוותא, כשהאחר נדון למאסר בפועל של 15 חודשים, מתחם העונש ההולם במקרה שלפנינו נע בין 12 ל-24 חודשים. נוכח היותו של הנאשם נעדר עבר פלילי ונוכח ההמלצה כמפורט בתסקיר שירות המבחן, מדובר ברף התחתון של המתחם ועל כן מבוקש להטיל על הנאשם עונש של 12 חודשי מאסר בפועל, מאסר על תנאי וקנס כספי. </w:t>
      </w:r>
    </w:p>
    <w:p w14:paraId="0889A2AF" w14:textId="77777777" w:rsidR="00376648" w:rsidRDefault="00376648" w:rsidP="00376648">
      <w:pPr>
        <w:spacing w:line="480" w:lineRule="auto"/>
        <w:ind w:left="720"/>
        <w:jc w:val="both"/>
        <w:rPr>
          <w:rFonts w:cs="FrankRuehl"/>
          <w:sz w:val="28"/>
          <w:szCs w:val="28"/>
          <w:rtl/>
        </w:rPr>
      </w:pPr>
    </w:p>
    <w:p w14:paraId="2332DBCF" w14:textId="77777777" w:rsidR="00376648" w:rsidRDefault="00376648" w:rsidP="00376648">
      <w:pPr>
        <w:spacing w:line="480" w:lineRule="auto"/>
        <w:ind w:left="720" w:hanging="720"/>
        <w:jc w:val="both"/>
        <w:rPr>
          <w:rFonts w:cs="FrankRuehl"/>
          <w:sz w:val="28"/>
          <w:szCs w:val="28"/>
          <w:rtl/>
        </w:rPr>
      </w:pPr>
      <w:r>
        <w:rPr>
          <w:rFonts w:cs="FrankRuehl" w:hint="cs"/>
          <w:sz w:val="28"/>
          <w:szCs w:val="28"/>
          <w:rtl/>
        </w:rPr>
        <w:t>5.</w:t>
      </w:r>
      <w:r>
        <w:rPr>
          <w:rFonts w:cs="FrankRuehl" w:hint="cs"/>
          <w:sz w:val="28"/>
          <w:szCs w:val="28"/>
          <w:rtl/>
        </w:rPr>
        <w:tab/>
        <w:t xml:space="preserve">ב"כ הנאשם הכינה טיעוניה לעונש בכתב להם צירפה פסיקה עניפה של בתי המשפט השונים. לטענתה, המתחם שקבעה המאשימה אינו מקובל עליה והמתחם נע בין אי הרשעה ושל"צ למספר חודשי מאסר שיכול וירוצו בעבודות שירות. בטיעוניה התייחסה לאחר בשם בוכניק המוכר בכתב האישום שנסיבותיו שונות בתכלית מנסיבות הנאשם שלפנינו. באותו מקרה  הופעל מאסר על תנאי וצורפו תיקים נוספים ולכן נגזר עליו עונש של מאסר מאחורי סורג ובריח. </w:t>
      </w:r>
    </w:p>
    <w:p w14:paraId="71274B92"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הסנגורית סבורה, שכפי שנגזר על הנאשם מויאל בתיק אחר, יש לגזור על הנאשם שלפנינו מאסר למשך 5 חודשים בעבודות שירות. לטענתה, קייימות נסיבות מיוחדות המצדיקות חריגה ממתחם העונש ויש לאמץ את המלצת שירות המבחן במיוחד כשמדובר בנאשם צעיר נעדר כל עבר פלילי וביצוע העבירה למטרות כלכליות בלבד. </w:t>
      </w:r>
    </w:p>
    <w:p w14:paraId="0B8B02CC" w14:textId="77777777" w:rsidR="00376648" w:rsidRDefault="00376648" w:rsidP="00376648">
      <w:pPr>
        <w:spacing w:line="480" w:lineRule="auto"/>
        <w:ind w:left="720"/>
        <w:jc w:val="both"/>
        <w:rPr>
          <w:rFonts w:cs="FrankRuehl"/>
          <w:sz w:val="28"/>
          <w:szCs w:val="28"/>
          <w:rtl/>
        </w:rPr>
      </w:pPr>
      <w:r>
        <w:rPr>
          <w:rFonts w:cs="FrankRuehl" w:hint="cs"/>
          <w:sz w:val="28"/>
          <w:szCs w:val="28"/>
          <w:rtl/>
        </w:rPr>
        <w:t>בטיעוניה בכתב התייחסה באריכות לתיקון מספר 113 לחוק, לערך החברתי שנפגע מביצוע העבירה ומידת הפגיעה בו ולמדיניות הענישה הנוהגת.</w:t>
      </w:r>
    </w:p>
    <w:p w14:paraId="6EF70F2B" w14:textId="77777777" w:rsidR="00376648" w:rsidRDefault="00376648" w:rsidP="00376648">
      <w:pPr>
        <w:spacing w:line="480" w:lineRule="auto"/>
        <w:ind w:left="720"/>
        <w:jc w:val="both"/>
        <w:rPr>
          <w:rFonts w:cs="FrankRuehl"/>
          <w:sz w:val="28"/>
          <w:szCs w:val="28"/>
          <w:rtl/>
        </w:rPr>
      </w:pPr>
      <w:r>
        <w:rPr>
          <w:rFonts w:cs="FrankRuehl" w:hint="cs"/>
          <w:sz w:val="28"/>
          <w:szCs w:val="28"/>
          <w:rtl/>
        </w:rPr>
        <w:t>כאמור, הוגשה אסופת פסיקה של מקרים דומים המצביעים על מתחם ענישה ההולם במקרה דנן:</w:t>
      </w:r>
    </w:p>
    <w:p w14:paraId="170DD444" w14:textId="77777777" w:rsidR="00376648" w:rsidRDefault="00376648" w:rsidP="00376648">
      <w:pPr>
        <w:spacing w:line="480" w:lineRule="auto"/>
        <w:ind w:left="720"/>
        <w:jc w:val="both"/>
        <w:rPr>
          <w:rFonts w:cs="FrankRuehl"/>
          <w:sz w:val="28"/>
          <w:szCs w:val="28"/>
          <w:rtl/>
        </w:rPr>
      </w:pPr>
      <w:r>
        <w:rPr>
          <w:rFonts w:cs="FrankRuehl" w:hint="cs"/>
          <w:sz w:val="28"/>
          <w:szCs w:val="28"/>
          <w:rtl/>
        </w:rPr>
        <w:t>-</w:t>
      </w:r>
      <w:hyperlink r:id="rId14" w:history="1">
        <w:r w:rsidR="00855CC5" w:rsidRPr="00855CC5">
          <w:rPr>
            <w:rFonts w:cs="FrankRuehl"/>
            <w:color w:val="0000FF"/>
            <w:sz w:val="28"/>
            <w:szCs w:val="28"/>
            <w:u w:val="single"/>
            <w:rtl/>
          </w:rPr>
          <w:t>עפ"ג 28110-10-15</w:t>
        </w:r>
      </w:hyperlink>
      <w:r>
        <w:rPr>
          <w:rFonts w:cs="FrankRuehl" w:hint="cs"/>
          <w:sz w:val="28"/>
          <w:szCs w:val="28"/>
          <w:rtl/>
        </w:rPr>
        <w:t xml:space="preserve"> </w:t>
      </w:r>
      <w:r w:rsidRPr="00245BB5">
        <w:rPr>
          <w:rFonts w:cs="FrankRuehl" w:hint="cs"/>
          <w:b/>
          <w:bCs/>
          <w:sz w:val="28"/>
          <w:szCs w:val="28"/>
          <w:rtl/>
        </w:rPr>
        <w:t>מדינת ישראל נ' עידן דוד</w:t>
      </w:r>
      <w:r>
        <w:rPr>
          <w:rFonts w:cs="FrankRuehl" w:hint="cs"/>
          <w:sz w:val="28"/>
          <w:szCs w:val="28"/>
          <w:rtl/>
        </w:rPr>
        <w:t xml:space="preserve">- גידול של 21 שתילים במשקל 3.6 ק"ג קנאבוס. בערעור הותיר בית המשפט את אי ההרשעה על כנה. </w:t>
      </w:r>
    </w:p>
    <w:p w14:paraId="0895010F" w14:textId="77777777" w:rsidR="00376648" w:rsidRDefault="00376648" w:rsidP="00376648">
      <w:pPr>
        <w:spacing w:line="480" w:lineRule="auto"/>
        <w:ind w:left="720"/>
        <w:jc w:val="both"/>
        <w:rPr>
          <w:rFonts w:cs="FrankRuehl"/>
          <w:sz w:val="28"/>
          <w:szCs w:val="28"/>
          <w:rtl/>
        </w:rPr>
      </w:pPr>
      <w:r>
        <w:rPr>
          <w:rFonts w:cs="FrankRuehl" w:hint="cs"/>
          <w:sz w:val="28"/>
          <w:szCs w:val="28"/>
          <w:rtl/>
        </w:rPr>
        <w:t>-</w:t>
      </w:r>
      <w:hyperlink r:id="rId15" w:history="1">
        <w:r w:rsidR="00855CC5" w:rsidRPr="00855CC5">
          <w:rPr>
            <w:rFonts w:cs="FrankRuehl"/>
            <w:color w:val="0000FF"/>
            <w:sz w:val="28"/>
            <w:szCs w:val="28"/>
            <w:u w:val="single"/>
            <w:rtl/>
          </w:rPr>
          <w:t>עפ"ג 49266-02-17</w:t>
        </w:r>
      </w:hyperlink>
      <w:r>
        <w:rPr>
          <w:rFonts w:cs="FrankRuehl" w:hint="cs"/>
          <w:sz w:val="28"/>
          <w:szCs w:val="28"/>
          <w:rtl/>
        </w:rPr>
        <w:t xml:space="preserve"> </w:t>
      </w:r>
      <w:r w:rsidRPr="00245BB5">
        <w:rPr>
          <w:rFonts w:cs="FrankRuehl" w:hint="cs"/>
          <w:b/>
          <w:bCs/>
          <w:sz w:val="28"/>
          <w:szCs w:val="28"/>
          <w:rtl/>
        </w:rPr>
        <w:t>מדינת ישראל נ' אוחיון</w:t>
      </w:r>
      <w:r>
        <w:rPr>
          <w:rFonts w:cs="FrankRuehl" w:hint="cs"/>
          <w:sz w:val="28"/>
          <w:szCs w:val="28"/>
          <w:rtl/>
        </w:rPr>
        <w:t xml:space="preserve"> – גידול של סם מסוג קנאבוס במשקל 12.85 ק"ג. נגזר על הנאשם מטעמי שיקום עונש של של"צ. הערעור במקור נדחה. </w:t>
      </w:r>
    </w:p>
    <w:p w14:paraId="57565372" w14:textId="77777777" w:rsidR="00376648" w:rsidRDefault="00376648" w:rsidP="00376648">
      <w:pPr>
        <w:spacing w:line="480" w:lineRule="auto"/>
        <w:ind w:left="720"/>
        <w:jc w:val="both"/>
        <w:rPr>
          <w:rFonts w:cs="FrankRuehl"/>
          <w:sz w:val="28"/>
          <w:szCs w:val="28"/>
          <w:rtl/>
        </w:rPr>
      </w:pPr>
      <w:r>
        <w:rPr>
          <w:rFonts w:cs="FrankRuehl" w:hint="cs"/>
          <w:sz w:val="28"/>
          <w:szCs w:val="28"/>
          <w:rtl/>
        </w:rPr>
        <w:t>-</w:t>
      </w:r>
      <w:hyperlink r:id="rId16" w:history="1">
        <w:r w:rsidR="00855CC5" w:rsidRPr="00855CC5">
          <w:rPr>
            <w:rFonts w:cs="FrankRuehl"/>
            <w:color w:val="0000FF"/>
            <w:sz w:val="28"/>
            <w:szCs w:val="28"/>
            <w:u w:val="single"/>
            <w:rtl/>
          </w:rPr>
          <w:t>ת"פ 54187-05-14</w:t>
        </w:r>
      </w:hyperlink>
      <w:r>
        <w:rPr>
          <w:rFonts w:cs="FrankRuehl" w:hint="cs"/>
          <w:sz w:val="28"/>
          <w:szCs w:val="28"/>
          <w:rtl/>
        </w:rPr>
        <w:t xml:space="preserve"> </w:t>
      </w:r>
      <w:r w:rsidRPr="00245BB5">
        <w:rPr>
          <w:rFonts w:cs="FrankRuehl" w:hint="cs"/>
          <w:b/>
          <w:bCs/>
          <w:sz w:val="28"/>
          <w:szCs w:val="28"/>
          <w:rtl/>
        </w:rPr>
        <w:t>מדינת ישראל נ' נתנוב</w:t>
      </w:r>
      <w:r>
        <w:rPr>
          <w:rFonts w:cs="FrankRuehl" w:hint="cs"/>
          <w:sz w:val="28"/>
          <w:szCs w:val="28"/>
          <w:rtl/>
        </w:rPr>
        <w:t xml:space="preserve"> – גידול של 49 שתילי קנאבוס במשקל למעלה מחצי קילו, העונש שהוטל - ביצוע של"צ, מאסר על תנאי וקנס.</w:t>
      </w:r>
    </w:p>
    <w:p w14:paraId="25CC22B1"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 </w:t>
      </w:r>
      <w:hyperlink r:id="rId17" w:history="1">
        <w:r w:rsidR="00855CC5" w:rsidRPr="00855CC5">
          <w:rPr>
            <w:rFonts w:cs="FrankRuehl"/>
            <w:color w:val="0000FF"/>
            <w:sz w:val="28"/>
            <w:szCs w:val="28"/>
            <w:u w:val="single"/>
            <w:rtl/>
          </w:rPr>
          <w:t>ת"פ 35647-04-15</w:t>
        </w:r>
      </w:hyperlink>
      <w:r>
        <w:rPr>
          <w:rFonts w:cs="FrankRuehl" w:hint="cs"/>
          <w:sz w:val="28"/>
          <w:szCs w:val="28"/>
          <w:rtl/>
        </w:rPr>
        <w:t xml:space="preserve"> </w:t>
      </w:r>
      <w:r w:rsidRPr="00245BB5">
        <w:rPr>
          <w:rFonts w:cs="FrankRuehl" w:hint="cs"/>
          <w:b/>
          <w:bCs/>
          <w:sz w:val="28"/>
          <w:szCs w:val="28"/>
          <w:rtl/>
        </w:rPr>
        <w:t>מדינת ישראל נ' פלוני</w:t>
      </w:r>
      <w:r>
        <w:rPr>
          <w:rFonts w:cs="FrankRuehl" w:hint="cs"/>
          <w:sz w:val="28"/>
          <w:szCs w:val="28"/>
          <w:rtl/>
        </w:rPr>
        <w:t xml:space="preserve"> – גידול של 12 שתילים במשקל למעלה מ-16 ק"ג נטו – הוטל על הנאשם עונש של של"צ בהיקף של 300 שעות ועונשים נלווים אחרים. </w:t>
      </w:r>
    </w:p>
    <w:p w14:paraId="235BB7D2"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 עפ"ג 8082-04-15 </w:t>
      </w:r>
      <w:r w:rsidRPr="00245BB5">
        <w:rPr>
          <w:rFonts w:cs="FrankRuehl" w:hint="cs"/>
          <w:b/>
          <w:bCs/>
          <w:sz w:val="28"/>
          <w:szCs w:val="28"/>
          <w:rtl/>
        </w:rPr>
        <w:t>מדינת ישראל נ' פרידמן</w:t>
      </w:r>
      <w:r>
        <w:rPr>
          <w:rFonts w:cs="FrankRuehl" w:hint="cs"/>
          <w:sz w:val="28"/>
          <w:szCs w:val="28"/>
          <w:rtl/>
        </w:rPr>
        <w:t xml:space="preserve"> גידול של סם מסוג קנאביס  במשקל 2.8 ק"ג. בית המשפט השלום בירושלים גזר של"צ בהיקף של 300 שעות ואילו בערעור שהתקבל הוטלו 5 חודשי מאסר בפועל. </w:t>
      </w:r>
    </w:p>
    <w:p w14:paraId="10A7ACC3" w14:textId="77777777" w:rsidR="00376648" w:rsidRDefault="00376648" w:rsidP="00376648">
      <w:pPr>
        <w:spacing w:line="480" w:lineRule="auto"/>
        <w:ind w:left="720"/>
        <w:jc w:val="both"/>
        <w:rPr>
          <w:rFonts w:cs="FrankRuehl"/>
          <w:sz w:val="28"/>
          <w:szCs w:val="28"/>
          <w:rtl/>
        </w:rPr>
      </w:pPr>
      <w:r>
        <w:rPr>
          <w:rFonts w:cs="FrankRuehl" w:hint="cs"/>
          <w:sz w:val="28"/>
          <w:szCs w:val="28"/>
          <w:rtl/>
        </w:rPr>
        <w:t>-</w:t>
      </w:r>
      <w:hyperlink r:id="rId18" w:history="1">
        <w:r w:rsidR="00855CC5" w:rsidRPr="00855CC5">
          <w:rPr>
            <w:rFonts w:cs="FrankRuehl"/>
            <w:color w:val="0000FF"/>
            <w:sz w:val="28"/>
            <w:szCs w:val="28"/>
            <w:u w:val="single"/>
            <w:rtl/>
          </w:rPr>
          <w:t>ת"פ 19256-02-13</w:t>
        </w:r>
      </w:hyperlink>
      <w:r>
        <w:rPr>
          <w:rFonts w:cs="FrankRuehl" w:hint="cs"/>
          <w:sz w:val="28"/>
          <w:szCs w:val="28"/>
          <w:rtl/>
        </w:rPr>
        <w:t xml:space="preserve"> </w:t>
      </w:r>
      <w:r w:rsidRPr="00245BB5">
        <w:rPr>
          <w:rFonts w:cs="FrankRuehl" w:hint="cs"/>
          <w:b/>
          <w:bCs/>
          <w:sz w:val="28"/>
          <w:szCs w:val="28"/>
          <w:rtl/>
        </w:rPr>
        <w:t>מדינת ישראל נ' מרציאנו ואח'</w:t>
      </w:r>
      <w:r>
        <w:rPr>
          <w:rFonts w:cs="FrankRuehl" w:hint="cs"/>
          <w:sz w:val="28"/>
          <w:szCs w:val="28"/>
          <w:rtl/>
        </w:rPr>
        <w:t xml:space="preserve">. גידול של שיחי מריחואנה במשקל 2.68 ק"ג. נגזר על הנאשם עונש מאסר לתקופה של חודשיים אשר ירוצו בעבודות שירות ועונשים נלווים אחרים. </w:t>
      </w:r>
    </w:p>
    <w:p w14:paraId="0B9B7488" w14:textId="77777777" w:rsidR="00376648" w:rsidRDefault="00376648" w:rsidP="00376648">
      <w:pPr>
        <w:spacing w:line="480" w:lineRule="auto"/>
        <w:ind w:left="720"/>
        <w:jc w:val="both"/>
        <w:rPr>
          <w:rFonts w:cs="FrankRuehl"/>
          <w:sz w:val="28"/>
          <w:szCs w:val="28"/>
          <w:rtl/>
        </w:rPr>
      </w:pPr>
      <w:r>
        <w:rPr>
          <w:rFonts w:cs="FrankRuehl" w:hint="cs"/>
          <w:sz w:val="28"/>
          <w:szCs w:val="28"/>
          <w:rtl/>
        </w:rPr>
        <w:t>-</w:t>
      </w:r>
      <w:hyperlink r:id="rId19" w:history="1">
        <w:r w:rsidR="00855CC5" w:rsidRPr="00855CC5">
          <w:rPr>
            <w:rFonts w:cs="FrankRuehl"/>
            <w:color w:val="0000FF"/>
            <w:sz w:val="28"/>
            <w:szCs w:val="28"/>
            <w:u w:val="single"/>
            <w:rtl/>
          </w:rPr>
          <w:t>ת"פ 42690-11-14</w:t>
        </w:r>
      </w:hyperlink>
      <w:r>
        <w:rPr>
          <w:rFonts w:cs="FrankRuehl" w:hint="cs"/>
          <w:sz w:val="28"/>
          <w:szCs w:val="28"/>
          <w:rtl/>
        </w:rPr>
        <w:t xml:space="preserve"> </w:t>
      </w:r>
      <w:r w:rsidRPr="00245BB5">
        <w:rPr>
          <w:rFonts w:cs="FrankRuehl" w:hint="cs"/>
          <w:b/>
          <w:bCs/>
          <w:sz w:val="28"/>
          <w:szCs w:val="28"/>
          <w:rtl/>
        </w:rPr>
        <w:t>מדינת ישראל נ' קדר</w:t>
      </w:r>
      <w:r>
        <w:rPr>
          <w:rFonts w:cs="FrankRuehl" w:hint="cs"/>
          <w:sz w:val="28"/>
          <w:szCs w:val="28"/>
          <w:rtl/>
        </w:rPr>
        <w:t xml:space="preserve"> – גידול של 25.38 ק"ג נטו עם החזקת כלים כשלנאשם 7 הרשעות קודמות, בשל שיקולי שיקום הוטלו עליו 6 חודשי מאסר שירוצו בעבודות שירות. </w:t>
      </w:r>
    </w:p>
    <w:p w14:paraId="65D24804" w14:textId="77777777" w:rsidR="00376648" w:rsidRDefault="00376648" w:rsidP="00376648">
      <w:pPr>
        <w:spacing w:line="480" w:lineRule="auto"/>
        <w:ind w:left="720"/>
        <w:jc w:val="both"/>
        <w:rPr>
          <w:rFonts w:cs="FrankRuehl"/>
          <w:sz w:val="28"/>
          <w:szCs w:val="28"/>
          <w:rtl/>
        </w:rPr>
      </w:pPr>
    </w:p>
    <w:p w14:paraId="4F21ADA6"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בטיעוניה המעידים על שקידה ראויה לציון, הפנתה הסנגורית לגזרי דין נוספים (בסה"כ 15 גזרי דין) ולא ראיתי לנכון לפרט כל אחד ואחד בנפרד. עם זאת בשל ההשקעה הרבה אציין רק את מספר התיק: </w:t>
      </w:r>
      <w:hyperlink r:id="rId20" w:history="1">
        <w:r w:rsidR="00855CC5" w:rsidRPr="00855CC5">
          <w:rPr>
            <w:rFonts w:cs="FrankRuehl"/>
            <w:color w:val="0000FF"/>
            <w:sz w:val="28"/>
            <w:szCs w:val="28"/>
            <w:u w:val="single"/>
            <w:rtl/>
          </w:rPr>
          <w:t>ת"פ 54487-02-16</w:t>
        </w:r>
      </w:hyperlink>
      <w:r>
        <w:rPr>
          <w:rFonts w:cs="FrankRuehl" w:hint="cs"/>
          <w:sz w:val="28"/>
          <w:szCs w:val="28"/>
          <w:rtl/>
        </w:rPr>
        <w:t xml:space="preserve">; </w:t>
      </w:r>
      <w:r w:rsidRPr="00245BB5">
        <w:rPr>
          <w:rFonts w:cs="FrankRuehl" w:hint="cs"/>
          <w:b/>
          <w:bCs/>
          <w:sz w:val="28"/>
          <w:szCs w:val="28"/>
          <w:rtl/>
        </w:rPr>
        <w:t>8843-02-15</w:t>
      </w:r>
      <w:r>
        <w:rPr>
          <w:rFonts w:cs="FrankRuehl" w:hint="cs"/>
          <w:sz w:val="28"/>
          <w:szCs w:val="28"/>
          <w:rtl/>
        </w:rPr>
        <w:t xml:space="preserve">; </w:t>
      </w:r>
      <w:hyperlink r:id="rId21" w:history="1">
        <w:r w:rsidR="00855CC5" w:rsidRPr="00855CC5">
          <w:rPr>
            <w:rFonts w:cs="FrankRuehl"/>
            <w:color w:val="0000FF"/>
            <w:sz w:val="28"/>
            <w:szCs w:val="28"/>
            <w:u w:val="single"/>
            <w:rtl/>
          </w:rPr>
          <w:t>רע"פ  5177/14;</w:t>
        </w:r>
      </w:hyperlink>
      <w:r>
        <w:rPr>
          <w:rFonts w:cs="FrankRuehl" w:hint="cs"/>
          <w:sz w:val="28"/>
          <w:szCs w:val="28"/>
          <w:rtl/>
        </w:rPr>
        <w:t xml:space="preserve"> </w:t>
      </w:r>
      <w:hyperlink r:id="rId22" w:history="1">
        <w:r w:rsidR="00855CC5" w:rsidRPr="00855CC5">
          <w:rPr>
            <w:rFonts w:cs="FrankRuehl"/>
            <w:color w:val="0000FF"/>
            <w:sz w:val="28"/>
            <w:szCs w:val="28"/>
            <w:u w:val="single"/>
            <w:rtl/>
          </w:rPr>
          <w:t>ת"פ 11069-06-12</w:t>
        </w:r>
      </w:hyperlink>
      <w:r>
        <w:rPr>
          <w:rFonts w:cs="FrankRuehl" w:hint="cs"/>
          <w:sz w:val="28"/>
          <w:szCs w:val="28"/>
          <w:rtl/>
        </w:rPr>
        <w:t xml:space="preserve">; </w:t>
      </w:r>
      <w:hyperlink r:id="rId23" w:history="1">
        <w:r w:rsidR="00855CC5" w:rsidRPr="00855CC5">
          <w:rPr>
            <w:rFonts w:cs="FrankRuehl"/>
            <w:color w:val="0000FF"/>
            <w:sz w:val="28"/>
            <w:szCs w:val="28"/>
            <w:u w:val="single"/>
            <w:rtl/>
          </w:rPr>
          <w:t>ת"פ 6660-07-15</w:t>
        </w:r>
      </w:hyperlink>
      <w:r w:rsidRPr="00DF73BD">
        <w:rPr>
          <w:rFonts w:cs="FrankRuehl" w:hint="cs"/>
          <w:b/>
          <w:bCs/>
          <w:sz w:val="28"/>
          <w:szCs w:val="28"/>
          <w:rtl/>
        </w:rPr>
        <w:t xml:space="preserve"> </w:t>
      </w:r>
      <w:hyperlink r:id="rId24" w:history="1">
        <w:r w:rsidR="00855CC5" w:rsidRPr="00855CC5">
          <w:rPr>
            <w:rFonts w:cs="FrankRuehl"/>
            <w:color w:val="0000FF"/>
            <w:sz w:val="28"/>
            <w:szCs w:val="28"/>
            <w:u w:val="single"/>
            <w:rtl/>
          </w:rPr>
          <w:t>ת"פ 42234-04-12</w:t>
        </w:r>
      </w:hyperlink>
      <w:r>
        <w:rPr>
          <w:rFonts w:cs="FrankRuehl" w:hint="cs"/>
          <w:sz w:val="28"/>
          <w:szCs w:val="28"/>
          <w:rtl/>
        </w:rPr>
        <w:t xml:space="preserve">; </w:t>
      </w:r>
      <w:r w:rsidRPr="00DF73BD">
        <w:rPr>
          <w:rFonts w:cs="FrankRuehl" w:hint="cs"/>
          <w:b/>
          <w:bCs/>
          <w:sz w:val="28"/>
          <w:szCs w:val="28"/>
          <w:rtl/>
        </w:rPr>
        <w:t>29504-09-13</w:t>
      </w:r>
      <w:r>
        <w:rPr>
          <w:rFonts w:cs="FrankRuehl" w:hint="cs"/>
          <w:sz w:val="28"/>
          <w:szCs w:val="28"/>
          <w:rtl/>
        </w:rPr>
        <w:t xml:space="preserve">; </w:t>
      </w:r>
      <w:hyperlink r:id="rId25" w:history="1">
        <w:r w:rsidR="00855CC5" w:rsidRPr="00855CC5">
          <w:rPr>
            <w:rFonts w:cs="FrankRuehl"/>
            <w:color w:val="0000FF"/>
            <w:sz w:val="28"/>
            <w:szCs w:val="28"/>
            <w:u w:val="single"/>
            <w:rtl/>
          </w:rPr>
          <w:t>ת"פ 957-02-15</w:t>
        </w:r>
      </w:hyperlink>
      <w:r>
        <w:rPr>
          <w:rFonts w:cs="FrankRuehl" w:hint="cs"/>
          <w:sz w:val="28"/>
          <w:szCs w:val="28"/>
          <w:rtl/>
        </w:rPr>
        <w:t xml:space="preserve">. </w:t>
      </w:r>
    </w:p>
    <w:p w14:paraId="5A0F9E3B" w14:textId="77777777" w:rsidR="00376648" w:rsidRDefault="00376648" w:rsidP="00376648">
      <w:pPr>
        <w:spacing w:line="480" w:lineRule="auto"/>
        <w:ind w:left="720"/>
        <w:jc w:val="both"/>
        <w:rPr>
          <w:rFonts w:cs="FrankRuehl"/>
          <w:sz w:val="28"/>
          <w:szCs w:val="28"/>
          <w:rtl/>
        </w:rPr>
      </w:pPr>
    </w:p>
    <w:p w14:paraId="243630FA" w14:textId="77777777" w:rsidR="00376648" w:rsidRDefault="00376648" w:rsidP="00376648">
      <w:pPr>
        <w:spacing w:line="480" w:lineRule="auto"/>
        <w:ind w:left="720"/>
        <w:jc w:val="both"/>
        <w:rPr>
          <w:rFonts w:cs="FrankRuehl"/>
          <w:sz w:val="28"/>
          <w:szCs w:val="28"/>
          <w:rtl/>
        </w:rPr>
      </w:pPr>
    </w:p>
    <w:p w14:paraId="4E019DBE" w14:textId="77777777" w:rsidR="00376648" w:rsidRDefault="00376648" w:rsidP="00376648">
      <w:pPr>
        <w:spacing w:line="480" w:lineRule="auto"/>
        <w:ind w:left="720"/>
        <w:jc w:val="both"/>
        <w:rPr>
          <w:rFonts w:cs="FrankRuehl"/>
          <w:sz w:val="28"/>
          <w:szCs w:val="28"/>
          <w:rtl/>
        </w:rPr>
      </w:pPr>
      <w:r>
        <w:rPr>
          <w:rFonts w:cs="FrankRuehl" w:hint="cs"/>
          <w:sz w:val="28"/>
          <w:szCs w:val="28"/>
          <w:rtl/>
        </w:rPr>
        <w:t>על יסוד כל אלה, תוך התייחסות לנסיבות ביצוע העבירה, נסיבותיו האישיות של הנאשם, המלצת שירות המבחן ומטעמי שיקום המאפשרים לבית המשפט לסטות ממתחם העונש, מבקשת הסנגורית המלומדת לקבל את המלצת שירות המבחן ולגזור על הנאשם עונש של מאסר שירוצה בעבודות שירות.</w:t>
      </w:r>
    </w:p>
    <w:p w14:paraId="2F0D6155" w14:textId="77777777" w:rsidR="00376648" w:rsidRDefault="00376648" w:rsidP="00376648">
      <w:pPr>
        <w:spacing w:line="480" w:lineRule="auto"/>
        <w:ind w:left="720"/>
        <w:jc w:val="both"/>
        <w:rPr>
          <w:rFonts w:cs="FrankRuehl"/>
          <w:sz w:val="28"/>
          <w:szCs w:val="28"/>
          <w:rtl/>
        </w:rPr>
      </w:pPr>
    </w:p>
    <w:p w14:paraId="2F5BD584"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בדיון מיום 27.6.2018, שנקבע להשלמת הטיעונים לעונש,  שבו באי כוח הצדדים על טיעוניהם,   כל אחד על  פי דרכו ונימוקיו.  </w:t>
      </w:r>
    </w:p>
    <w:p w14:paraId="711B0869" w14:textId="77777777" w:rsidR="00376648" w:rsidRDefault="00376648" w:rsidP="00376648">
      <w:pPr>
        <w:spacing w:line="480" w:lineRule="auto"/>
        <w:ind w:left="720"/>
        <w:jc w:val="both"/>
        <w:rPr>
          <w:rFonts w:cs="FrankRuehl"/>
          <w:sz w:val="28"/>
          <w:szCs w:val="28"/>
          <w:rtl/>
        </w:rPr>
      </w:pPr>
      <w:r>
        <w:rPr>
          <w:rFonts w:cs="FrankRuehl" w:hint="cs"/>
          <w:sz w:val="28"/>
          <w:szCs w:val="28"/>
          <w:rtl/>
        </w:rPr>
        <w:t xml:space="preserve">בנוסף, הגישה באת כוח הנאשם פסיקה עניפה נוספת בתמיכה לטענותיה לחריגה ממתחם העונש הראוי וזאת מטעמי שיקום. </w:t>
      </w:r>
    </w:p>
    <w:p w14:paraId="351E8DB8" w14:textId="77777777" w:rsidR="00376648" w:rsidRDefault="00376648" w:rsidP="00376648">
      <w:pPr>
        <w:spacing w:line="480" w:lineRule="auto"/>
        <w:ind w:left="720"/>
        <w:jc w:val="both"/>
        <w:rPr>
          <w:rFonts w:cs="FrankRuehl"/>
          <w:sz w:val="28"/>
          <w:szCs w:val="28"/>
          <w:rtl/>
        </w:rPr>
      </w:pPr>
    </w:p>
    <w:p w14:paraId="702FA322" w14:textId="77777777" w:rsidR="00376648" w:rsidRDefault="00376648" w:rsidP="00376648">
      <w:pPr>
        <w:spacing w:line="480" w:lineRule="auto"/>
        <w:jc w:val="both"/>
        <w:rPr>
          <w:rFonts w:cs="FrankRuehl"/>
          <w:sz w:val="28"/>
          <w:szCs w:val="28"/>
          <w:rtl/>
        </w:rPr>
      </w:pPr>
      <w:r>
        <w:rPr>
          <w:rFonts w:cs="FrankRuehl" w:hint="cs"/>
          <w:sz w:val="28"/>
          <w:szCs w:val="28"/>
          <w:rtl/>
        </w:rPr>
        <w:t>6.</w:t>
      </w:r>
      <w:r>
        <w:rPr>
          <w:rFonts w:cs="FrankRuehl" w:hint="cs"/>
          <w:sz w:val="28"/>
          <w:szCs w:val="28"/>
          <w:rtl/>
        </w:rPr>
        <w:tab/>
      </w:r>
      <w:r>
        <w:rPr>
          <w:rFonts w:cs="FrankRuehl" w:hint="cs"/>
          <w:b/>
          <w:bCs/>
          <w:sz w:val="28"/>
          <w:szCs w:val="28"/>
          <w:u w:val="single"/>
          <w:rtl/>
        </w:rPr>
        <w:t>מתחם העונש ההולם</w:t>
      </w:r>
    </w:p>
    <w:p w14:paraId="6E9240A4" w14:textId="77777777" w:rsidR="00376648" w:rsidRDefault="00376648" w:rsidP="00376648">
      <w:pPr>
        <w:spacing w:line="480" w:lineRule="auto"/>
        <w:ind w:left="720" w:hanging="720"/>
        <w:jc w:val="both"/>
        <w:rPr>
          <w:rFonts w:cs="FrankRuehl"/>
          <w:sz w:val="28"/>
          <w:szCs w:val="28"/>
          <w:rtl/>
        </w:rPr>
      </w:pPr>
      <w:r>
        <w:rPr>
          <w:rFonts w:cs="FrankRuehl"/>
          <w:sz w:val="28"/>
          <w:szCs w:val="28"/>
          <w:rtl/>
        </w:rPr>
        <w:tab/>
      </w:r>
      <w:r>
        <w:rPr>
          <w:rFonts w:cs="FrankRuehl" w:hint="cs"/>
          <w:sz w:val="28"/>
          <w:szCs w:val="28"/>
          <w:rtl/>
        </w:rPr>
        <w:t>בהתאם לתיקון 113 ל</w:t>
      </w:r>
      <w:hyperlink r:id="rId26" w:history="1">
        <w:r w:rsidR="00855CC5" w:rsidRPr="00855CC5">
          <w:rPr>
            <w:rFonts w:cs="FrankRuehl"/>
            <w:color w:val="0000FF"/>
            <w:sz w:val="28"/>
            <w:szCs w:val="28"/>
            <w:u w:val="single"/>
            <w:rtl/>
          </w:rPr>
          <w:t>חוק העונשין</w:t>
        </w:r>
      </w:hyperlink>
      <w:r>
        <w:rPr>
          <w:rFonts w:cs="FrankRuehl" w:hint="cs"/>
          <w:sz w:val="28"/>
          <w:szCs w:val="28"/>
          <w:rtl/>
        </w:rPr>
        <w:t xml:space="preserve">, העיקרון המנחה בענישה הוא עיקרון ההלימה בין חומרת מעשה העבירה, נסיבותיו ומידת אשמו של הנאשם, לבין סוג ומידת העונש המוטל עליו. בעת קביעת מתחם העונש ההולם, מתחשב בית המשפט בערך המוגן שנקבע, במידת הפגיעה בו, בנסיבות ביצוע העבירה ובמדיניות הענישה הנוהגת בפסיקה. </w:t>
      </w:r>
    </w:p>
    <w:p w14:paraId="7BC6C5FE" w14:textId="77777777" w:rsidR="00376648" w:rsidRDefault="00376648" w:rsidP="00376648">
      <w:pPr>
        <w:spacing w:line="480" w:lineRule="auto"/>
        <w:ind w:left="720" w:hanging="720"/>
        <w:jc w:val="both"/>
        <w:rPr>
          <w:rFonts w:cs="FrankRuehl"/>
          <w:sz w:val="28"/>
          <w:szCs w:val="28"/>
          <w:rtl/>
        </w:rPr>
      </w:pPr>
      <w:r>
        <w:rPr>
          <w:rFonts w:cs="FrankRuehl" w:hint="cs"/>
          <w:sz w:val="28"/>
          <w:szCs w:val="28"/>
          <w:rtl/>
        </w:rPr>
        <w:tab/>
      </w:r>
    </w:p>
    <w:p w14:paraId="13A68934" w14:textId="77777777" w:rsidR="00376648" w:rsidRDefault="00376648" w:rsidP="00376648">
      <w:pPr>
        <w:spacing w:line="480" w:lineRule="auto"/>
        <w:ind w:left="720"/>
        <w:jc w:val="both"/>
        <w:rPr>
          <w:rFonts w:cs="FrankRuehl"/>
          <w:sz w:val="28"/>
          <w:szCs w:val="28"/>
          <w:rtl/>
        </w:rPr>
      </w:pPr>
      <w:r>
        <w:rPr>
          <w:rFonts w:cs="FrankRuehl" w:hint="cs"/>
          <w:sz w:val="28"/>
          <w:szCs w:val="28"/>
          <w:rtl/>
        </w:rPr>
        <w:t>בענייננו, הערך החברתי המוגן שנפגע כתוצאה מביצוע העבירה הוא הפגיעה בשלום הציבור, שכן להפצת הסם השלכות חברתיות וכלכליות. הסמים פוגעים ברבים, צעירים ומבוגרים כאחד. הם פוגעים בבריאותם, מובילים לתופעות נלוות שליליות כהתמכרות ועבריינות בתחום הרכוש והאלימות.</w:t>
      </w:r>
    </w:p>
    <w:p w14:paraId="76EA40F7" w14:textId="77777777" w:rsidR="00376648" w:rsidRDefault="00376648" w:rsidP="00376648">
      <w:pPr>
        <w:spacing w:line="480" w:lineRule="auto"/>
        <w:ind w:left="720"/>
        <w:jc w:val="both"/>
        <w:rPr>
          <w:rFonts w:cs="FrankRuehl"/>
          <w:sz w:val="28"/>
          <w:szCs w:val="28"/>
          <w:rtl/>
        </w:rPr>
      </w:pPr>
      <w:r>
        <w:rPr>
          <w:rFonts w:cs="FrankRuehl" w:hint="cs"/>
          <w:sz w:val="28"/>
          <w:szCs w:val="28"/>
          <w:rtl/>
        </w:rPr>
        <w:t>ב</w:t>
      </w:r>
      <w:hyperlink r:id="rId27" w:history="1">
        <w:r w:rsidR="00855CC5" w:rsidRPr="00855CC5">
          <w:rPr>
            <w:rFonts w:cs="FrankRuehl"/>
            <w:color w:val="0000FF"/>
            <w:sz w:val="28"/>
            <w:szCs w:val="28"/>
            <w:u w:val="single"/>
            <w:rtl/>
          </w:rPr>
          <w:t>ע"פ 2681/15</w:t>
        </w:r>
      </w:hyperlink>
      <w:r>
        <w:rPr>
          <w:rFonts w:cs="FrankRuehl" w:hint="cs"/>
          <w:sz w:val="28"/>
          <w:szCs w:val="28"/>
          <w:rtl/>
        </w:rPr>
        <w:t xml:space="preserve"> </w:t>
      </w:r>
      <w:r w:rsidRPr="00BD4956">
        <w:rPr>
          <w:rFonts w:cs="FrankRuehl" w:hint="cs"/>
          <w:b/>
          <w:bCs/>
          <w:sz w:val="28"/>
          <w:szCs w:val="28"/>
          <w:rtl/>
        </w:rPr>
        <w:t>בן שטרית נ' מדינת ישראל</w:t>
      </w:r>
      <w:r>
        <w:rPr>
          <w:rFonts w:cs="FrankRuehl" w:hint="cs"/>
          <w:sz w:val="28"/>
          <w:szCs w:val="28"/>
          <w:rtl/>
        </w:rPr>
        <w:t xml:space="preserve"> (מיום 14.2.16) חזר בית המשפט העליון והדגיש את החומרה שבעבירות הסמים ואת הצורך להיאבק בעבירות אלה באמצעות ענישה משמעותית ומרתיעה:</w:t>
      </w:r>
    </w:p>
    <w:p w14:paraId="13CB42F6" w14:textId="77777777" w:rsidR="00376648" w:rsidRPr="00BD4956" w:rsidRDefault="00376648" w:rsidP="00376648">
      <w:pPr>
        <w:spacing w:line="480" w:lineRule="auto"/>
        <w:ind w:left="720"/>
        <w:jc w:val="both"/>
        <w:rPr>
          <w:rFonts w:cs="FrankRuehl"/>
          <w:b/>
          <w:bCs/>
          <w:sz w:val="28"/>
          <w:szCs w:val="28"/>
          <w:rtl/>
        </w:rPr>
      </w:pPr>
      <w:r w:rsidRPr="00BD4956">
        <w:rPr>
          <w:rFonts w:cs="FrankRuehl" w:hint="cs"/>
          <w:b/>
          <w:bCs/>
          <w:sz w:val="28"/>
          <w:szCs w:val="28"/>
          <w:rtl/>
        </w:rPr>
        <w:t>"נגע הסמים בפוגע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קרי: למש</w:t>
      </w:r>
      <w:r>
        <w:rPr>
          <w:rFonts w:cs="FrankRuehl" w:hint="cs"/>
          <w:b/>
          <w:bCs/>
          <w:sz w:val="28"/>
          <w:szCs w:val="28"/>
          <w:rtl/>
        </w:rPr>
        <w:t>ו</w:t>
      </w:r>
      <w:r w:rsidRPr="00BD4956">
        <w:rPr>
          <w:rFonts w:cs="FrankRuehl" w:hint="cs"/>
          <w:b/>
          <w:bCs/>
          <w:sz w:val="28"/>
          <w:szCs w:val="28"/>
          <w:rtl/>
        </w:rPr>
        <w:t>לבים במערך ההפצה- מכוון לקבוע בהכרת הכל את החומרה היתי</w:t>
      </w:r>
      <w:r>
        <w:rPr>
          <w:rFonts w:cs="FrankRuehl" w:hint="cs"/>
          <w:b/>
          <w:bCs/>
          <w:sz w:val="28"/>
          <w:szCs w:val="28"/>
          <w:rtl/>
        </w:rPr>
        <w:t>רה שאנו מייחסים להפצ</w:t>
      </w:r>
      <w:r w:rsidRPr="00BD4956">
        <w:rPr>
          <w:rFonts w:cs="FrankRuehl" w:hint="cs"/>
          <w:b/>
          <w:bCs/>
          <w:sz w:val="28"/>
          <w:szCs w:val="28"/>
          <w:rtl/>
        </w:rPr>
        <w:t>ת הס</w:t>
      </w:r>
      <w:r>
        <w:rPr>
          <w:rFonts w:cs="FrankRuehl" w:hint="cs"/>
          <w:b/>
          <w:bCs/>
          <w:sz w:val="28"/>
          <w:szCs w:val="28"/>
          <w:rtl/>
        </w:rPr>
        <w:t>מים, ולהרתיע עבריינים בכוח משלשל</w:t>
      </w:r>
      <w:r w:rsidRPr="00BD4956">
        <w:rPr>
          <w:rFonts w:cs="FrankRuehl" w:hint="cs"/>
          <w:b/>
          <w:bCs/>
          <w:sz w:val="28"/>
          <w:szCs w:val="28"/>
          <w:rtl/>
        </w:rPr>
        <w:t>וח יד</w:t>
      </w:r>
      <w:r>
        <w:rPr>
          <w:rFonts w:cs="FrankRuehl" w:hint="cs"/>
          <w:b/>
          <w:bCs/>
          <w:sz w:val="28"/>
          <w:szCs w:val="28"/>
          <w:rtl/>
        </w:rPr>
        <w:t xml:space="preserve">ם בפעילות ההפצה. שתי תכליות מרכזיות אלה ניתן </w:t>
      </w:r>
      <w:r w:rsidRPr="00BD4956">
        <w:rPr>
          <w:rFonts w:cs="FrankRuehl" w:hint="cs"/>
          <w:b/>
          <w:bCs/>
          <w:sz w:val="28"/>
          <w:szCs w:val="28"/>
          <w:rtl/>
        </w:rPr>
        <w:t>ל</w:t>
      </w:r>
      <w:r>
        <w:rPr>
          <w:rFonts w:cs="FrankRuehl" w:hint="cs"/>
          <w:b/>
          <w:bCs/>
          <w:sz w:val="28"/>
          <w:szCs w:val="28"/>
          <w:rtl/>
        </w:rPr>
        <w:t>ה</w:t>
      </w:r>
      <w:r w:rsidRPr="00BD4956">
        <w:rPr>
          <w:rFonts w:cs="FrankRuehl" w:hint="cs"/>
          <w:b/>
          <w:bCs/>
          <w:sz w:val="28"/>
          <w:szCs w:val="28"/>
          <w:rtl/>
        </w:rPr>
        <w:t>שיג רק על ידי הטלת עונשים חמורים'(</w:t>
      </w:r>
      <w:hyperlink r:id="rId28" w:history="1">
        <w:r w:rsidR="00855CC5" w:rsidRPr="00855CC5">
          <w:rPr>
            <w:rFonts w:cs="FrankRuehl"/>
            <w:b/>
            <w:bCs/>
            <w:color w:val="0000FF"/>
            <w:sz w:val="28"/>
            <w:szCs w:val="28"/>
            <w:u w:val="single"/>
            <w:rtl/>
          </w:rPr>
          <w:t>ע"פ 966/94</w:t>
        </w:r>
      </w:hyperlink>
      <w:r w:rsidRPr="00BD4956">
        <w:rPr>
          <w:rFonts w:cs="FrankRuehl" w:hint="cs"/>
          <w:b/>
          <w:bCs/>
          <w:sz w:val="28"/>
          <w:szCs w:val="28"/>
          <w:rtl/>
        </w:rPr>
        <w:t xml:space="preserve"> אמזלג נ' מדינת ישראל(12.12.1995))" (</w:t>
      </w:r>
      <w:hyperlink r:id="rId29" w:history="1">
        <w:r w:rsidR="00855CC5" w:rsidRPr="00855CC5">
          <w:rPr>
            <w:rFonts w:cs="FrankRuehl"/>
            <w:b/>
            <w:bCs/>
            <w:color w:val="0000FF"/>
            <w:sz w:val="28"/>
            <w:szCs w:val="28"/>
            <w:u w:val="single"/>
            <w:rtl/>
          </w:rPr>
          <w:t>ע"פ 9482/09</w:t>
        </w:r>
      </w:hyperlink>
      <w:r w:rsidRPr="00BD4956">
        <w:rPr>
          <w:rFonts w:cs="FrankRuehl" w:hint="cs"/>
          <w:b/>
          <w:bCs/>
          <w:sz w:val="28"/>
          <w:szCs w:val="28"/>
          <w:rtl/>
        </w:rPr>
        <w:t xml:space="preserve"> ביטון נ' מדינת ישראל (24.7.11), בפסקה 24). </w:t>
      </w:r>
    </w:p>
    <w:p w14:paraId="77D49B53" w14:textId="77777777" w:rsidR="00376648" w:rsidRPr="00BD4956" w:rsidRDefault="00376648" w:rsidP="00376648">
      <w:pPr>
        <w:spacing w:line="480" w:lineRule="auto"/>
        <w:jc w:val="both"/>
        <w:rPr>
          <w:rFonts w:cs="FrankRuehl"/>
          <w:b/>
          <w:bCs/>
          <w:sz w:val="28"/>
          <w:szCs w:val="28"/>
          <w:rtl/>
        </w:rPr>
      </w:pPr>
    </w:p>
    <w:p w14:paraId="3257B5B1" w14:textId="77777777" w:rsidR="00376648" w:rsidRDefault="00376648" w:rsidP="00376648">
      <w:pPr>
        <w:spacing w:line="480" w:lineRule="auto"/>
        <w:jc w:val="both"/>
        <w:rPr>
          <w:rFonts w:cs="FrankRuehl"/>
          <w:sz w:val="28"/>
          <w:szCs w:val="28"/>
          <w:rtl/>
        </w:rPr>
      </w:pPr>
      <w:r>
        <w:rPr>
          <w:rFonts w:cs="FrankRuehl" w:hint="cs"/>
          <w:sz w:val="28"/>
          <w:szCs w:val="28"/>
          <w:rtl/>
        </w:rPr>
        <w:t xml:space="preserve">על חומרת העבירות שהנאשם הורשע בהן ניתן ללמוד גם מהעונש המרבי הקבוע לצידן, עונש מירבי בן 20 שנות מאסר, המעיד גם על חשיבותו של הערך החברתי המוגן בעבירות אלה. </w:t>
      </w:r>
    </w:p>
    <w:p w14:paraId="69E20890" w14:textId="77777777" w:rsidR="00376648" w:rsidRDefault="00376648" w:rsidP="00376648">
      <w:pPr>
        <w:spacing w:line="480" w:lineRule="auto"/>
        <w:jc w:val="both"/>
        <w:rPr>
          <w:rFonts w:cs="FrankRuehl"/>
          <w:sz w:val="28"/>
          <w:szCs w:val="28"/>
          <w:rtl/>
        </w:rPr>
      </w:pPr>
    </w:p>
    <w:p w14:paraId="1F6F5E2C" w14:textId="77777777" w:rsidR="00376648" w:rsidRDefault="00376648" w:rsidP="00376648">
      <w:pPr>
        <w:spacing w:line="480" w:lineRule="auto"/>
        <w:jc w:val="both"/>
        <w:rPr>
          <w:rFonts w:cs="FrankRuehl"/>
          <w:sz w:val="28"/>
          <w:szCs w:val="28"/>
          <w:rtl/>
        </w:rPr>
      </w:pPr>
      <w:r>
        <w:rPr>
          <w:rFonts w:cs="FrankRuehl" w:hint="cs"/>
          <w:sz w:val="28"/>
          <w:szCs w:val="28"/>
          <w:rtl/>
        </w:rPr>
        <w:t>נסיבות ביצוע העבירה מלמדות שהנאשם תכנן את המעשים מראש. הוא חבר לאדם אחר ויחד הם גידלו כמות גדולה של סמים מסוג קנבוס. על תכנון העבירה מלמדת הצטיידות הנאשם בכלים ובציוד הרב שהחזיק בדירתו לצורך גידול הסמים. מדובר בציוד משמעותי, שניכר שהנאשם השקיע בו את מיטב כספו ונראה שמטרתו של הנאשם בביצוע העבירות היתה בצע הכסף. הנאשם גידל כמות משמעותית של סמים מסוג קנבוס, שלא לצריכה עצמית, וככל הנראה תכנן להפיץ אותם, בעוד שלמרבה הצער, לנגד עיניו לא עמד הנזק שייגרם לאלה אשר הסם שגידל יגיע לידיהם.</w:t>
      </w:r>
    </w:p>
    <w:p w14:paraId="0E7C7A01" w14:textId="77777777" w:rsidR="00376648" w:rsidRDefault="00376648" w:rsidP="00376648">
      <w:pPr>
        <w:spacing w:line="480" w:lineRule="auto"/>
        <w:jc w:val="both"/>
        <w:rPr>
          <w:rFonts w:cs="FrankRuehl"/>
          <w:sz w:val="28"/>
          <w:szCs w:val="28"/>
          <w:rtl/>
        </w:rPr>
      </w:pPr>
      <w:r>
        <w:rPr>
          <w:rFonts w:cs="FrankRuehl" w:hint="cs"/>
          <w:sz w:val="28"/>
          <w:szCs w:val="28"/>
          <w:rtl/>
        </w:rPr>
        <w:t xml:space="preserve">לאחר שנתתי דעתי לערך המוגן, למידת הפגיעה בו בנסיבות ביצוע העבירה ולענישה הנוהגת בפסיקה, שוכנעתי כי מתחם הענישה נע במקרה זה בין שישה חודשי מאסר שיכול שירוצו בעבודות שירות ועד למאסר בפועל בן 18 חודשים, לצד ענישה נלווית צופת פני עתיד. </w:t>
      </w:r>
    </w:p>
    <w:p w14:paraId="58613ECB" w14:textId="77777777" w:rsidR="00376648" w:rsidRDefault="00376648" w:rsidP="00376648">
      <w:pPr>
        <w:spacing w:line="480" w:lineRule="auto"/>
        <w:jc w:val="both"/>
        <w:rPr>
          <w:rFonts w:cs="FrankRuehl"/>
          <w:sz w:val="28"/>
          <w:szCs w:val="28"/>
          <w:rtl/>
        </w:rPr>
      </w:pPr>
    </w:p>
    <w:p w14:paraId="25B2E80F" w14:textId="77777777" w:rsidR="00376648" w:rsidRDefault="00376648" w:rsidP="00376648">
      <w:pPr>
        <w:spacing w:line="480" w:lineRule="auto"/>
        <w:ind w:hanging="567"/>
        <w:jc w:val="both"/>
        <w:rPr>
          <w:rFonts w:cs="FrankRuehl"/>
          <w:sz w:val="28"/>
          <w:szCs w:val="28"/>
          <w:rtl/>
        </w:rPr>
      </w:pPr>
      <w:r>
        <w:rPr>
          <w:rFonts w:cs="FrankRuehl" w:hint="cs"/>
          <w:sz w:val="28"/>
          <w:szCs w:val="28"/>
          <w:rtl/>
        </w:rPr>
        <w:t>7.</w:t>
      </w:r>
      <w:r w:rsidRPr="00A479DE">
        <w:rPr>
          <w:rFonts w:cs="FrankRuehl" w:hint="cs"/>
          <w:sz w:val="28"/>
          <w:szCs w:val="28"/>
          <w:rtl/>
        </w:rPr>
        <w:tab/>
      </w:r>
      <w:r>
        <w:rPr>
          <w:rFonts w:cs="FrankRuehl" w:hint="cs"/>
          <w:b/>
          <w:bCs/>
          <w:sz w:val="28"/>
          <w:szCs w:val="28"/>
          <w:u w:val="single"/>
          <w:rtl/>
        </w:rPr>
        <w:t>חריגה ממתחם העונש ההולם</w:t>
      </w:r>
    </w:p>
    <w:p w14:paraId="5B7D5A05" w14:textId="77777777" w:rsidR="00376648" w:rsidRPr="00762F6C" w:rsidRDefault="00376648" w:rsidP="00376648">
      <w:pPr>
        <w:spacing w:line="480" w:lineRule="auto"/>
        <w:ind w:hanging="567"/>
        <w:jc w:val="both"/>
        <w:rPr>
          <w:rFonts w:cs="FrankRuehl"/>
          <w:sz w:val="28"/>
          <w:szCs w:val="28"/>
          <w:rtl/>
        </w:rPr>
      </w:pPr>
      <w:r>
        <w:rPr>
          <w:rFonts w:cs="FrankRuehl"/>
          <w:b/>
          <w:bCs/>
          <w:sz w:val="28"/>
          <w:szCs w:val="28"/>
          <w:rtl/>
        </w:rPr>
        <w:tab/>
      </w:r>
      <w:hyperlink r:id="rId30" w:history="1">
        <w:r w:rsidR="00FB598B" w:rsidRPr="00FB598B">
          <w:rPr>
            <w:rFonts w:cs="FrankRuehl"/>
            <w:color w:val="0000FF"/>
            <w:sz w:val="28"/>
            <w:szCs w:val="28"/>
            <w:u w:val="single"/>
            <w:rtl/>
          </w:rPr>
          <w:t>בסעיף 40ד</w:t>
        </w:r>
      </w:hyperlink>
      <w:r w:rsidRPr="00762F6C">
        <w:rPr>
          <w:rFonts w:cs="FrankRuehl" w:hint="cs"/>
          <w:sz w:val="28"/>
          <w:szCs w:val="28"/>
          <w:rtl/>
        </w:rPr>
        <w:t xml:space="preserve"> לחוק נקבע כי במקרה בו מעשה העבירה ומידת אשמתו של הנאשם הם בעלי חומרה יתרה, אם הנאשם ה</w:t>
      </w:r>
      <w:r>
        <w:rPr>
          <w:rFonts w:cs="FrankRuehl" w:hint="cs"/>
          <w:sz w:val="28"/>
          <w:szCs w:val="28"/>
          <w:rtl/>
        </w:rPr>
        <w:t>שתקם</w:t>
      </w:r>
      <w:r w:rsidRPr="00762F6C">
        <w:rPr>
          <w:rFonts w:cs="FrankRuehl" w:hint="cs"/>
          <w:sz w:val="28"/>
          <w:szCs w:val="28"/>
          <w:rtl/>
        </w:rPr>
        <w:t xml:space="preserve"> או שיש סיכוי של ממש שהשתקם, ב</w:t>
      </w:r>
      <w:r>
        <w:rPr>
          <w:rFonts w:cs="FrankRuehl" w:hint="cs"/>
          <w:sz w:val="28"/>
          <w:szCs w:val="28"/>
          <w:rtl/>
        </w:rPr>
        <w:t>נסיבות מ</w:t>
      </w:r>
      <w:r w:rsidRPr="00762F6C">
        <w:rPr>
          <w:rFonts w:cs="FrankRuehl" w:hint="cs"/>
          <w:sz w:val="28"/>
          <w:szCs w:val="28"/>
          <w:rtl/>
        </w:rPr>
        <w:t xml:space="preserve">יוחדות ויוצאות דופן, יכול ביהמ"ש לקבוע כי העונש שיוטל על הנאשם יחרוג ממתחם העונש ההולם, וזאת מטעמי שיקום. </w:t>
      </w:r>
    </w:p>
    <w:p w14:paraId="72F35219" w14:textId="77777777" w:rsidR="00376648" w:rsidRPr="0028617A" w:rsidRDefault="00376648" w:rsidP="00376648">
      <w:pPr>
        <w:spacing w:line="480" w:lineRule="auto"/>
        <w:ind w:hanging="567"/>
        <w:jc w:val="both"/>
        <w:rPr>
          <w:rFonts w:cs="FrankRuehl"/>
          <w:sz w:val="28"/>
          <w:szCs w:val="28"/>
          <w:rtl/>
        </w:rPr>
      </w:pPr>
      <w:r>
        <w:rPr>
          <w:rFonts w:cs="FrankRuehl"/>
          <w:b/>
          <w:bCs/>
          <w:sz w:val="28"/>
          <w:szCs w:val="28"/>
          <w:rtl/>
        </w:rPr>
        <w:tab/>
      </w:r>
      <w:r>
        <w:rPr>
          <w:rFonts w:cs="FrankRuehl" w:hint="cs"/>
          <w:sz w:val="28"/>
          <w:szCs w:val="28"/>
          <w:rtl/>
        </w:rPr>
        <w:t>הנאשם, בן</w:t>
      </w:r>
      <w:r w:rsidRPr="0028617A">
        <w:rPr>
          <w:rFonts w:cs="FrankRuehl" w:hint="cs"/>
          <w:sz w:val="28"/>
          <w:szCs w:val="28"/>
          <w:rtl/>
        </w:rPr>
        <w:t xml:space="preserve"> 25 שנה כיום. </w:t>
      </w:r>
    </w:p>
    <w:p w14:paraId="7BA17294" w14:textId="77777777" w:rsidR="00376648" w:rsidRDefault="00376648" w:rsidP="00376648">
      <w:pPr>
        <w:spacing w:line="480" w:lineRule="auto"/>
        <w:ind w:hanging="567"/>
        <w:jc w:val="both"/>
        <w:rPr>
          <w:rFonts w:cs="FrankRuehl"/>
          <w:sz w:val="28"/>
          <w:szCs w:val="28"/>
          <w:rtl/>
        </w:rPr>
      </w:pPr>
      <w:r w:rsidRPr="0028617A">
        <w:rPr>
          <w:rFonts w:cs="FrankRuehl"/>
          <w:sz w:val="28"/>
          <w:szCs w:val="28"/>
          <w:rtl/>
        </w:rPr>
        <w:tab/>
      </w:r>
      <w:r w:rsidRPr="0028617A">
        <w:rPr>
          <w:rFonts w:cs="FrankRuehl" w:hint="cs"/>
          <w:sz w:val="28"/>
          <w:szCs w:val="28"/>
          <w:rtl/>
        </w:rPr>
        <w:t xml:space="preserve">הנאשם הודה בעבירות המיוחסות לו זמן קצר לאחר שהוגש כתב האישום נגדו, ובכך נטל אחריות על ביצוע העבירות ושיתף פעולה עם רשויות אכיפת החוק. </w:t>
      </w:r>
    </w:p>
    <w:p w14:paraId="7BB58E60" w14:textId="77777777" w:rsidR="00376648" w:rsidRDefault="00376648" w:rsidP="00376648">
      <w:pPr>
        <w:spacing w:line="480" w:lineRule="auto"/>
        <w:ind w:hanging="567"/>
        <w:jc w:val="both"/>
        <w:rPr>
          <w:rFonts w:cs="FrankRuehl"/>
          <w:sz w:val="28"/>
          <w:szCs w:val="28"/>
          <w:rtl/>
        </w:rPr>
      </w:pPr>
      <w:r>
        <w:rPr>
          <w:rFonts w:cs="FrankRuehl"/>
          <w:sz w:val="28"/>
          <w:szCs w:val="28"/>
          <w:rtl/>
        </w:rPr>
        <w:tab/>
      </w:r>
      <w:r>
        <w:rPr>
          <w:rFonts w:cs="FrankRuehl" w:hint="cs"/>
          <w:sz w:val="28"/>
          <w:szCs w:val="28"/>
          <w:rtl/>
        </w:rPr>
        <w:t xml:space="preserve">זוהי הסתבכות יחידה של הנאשם עם הדין הפלילי, והוא לא הורשע בעבר בעבירה כלשהי, על אף שקורות חייו המפורטים בתסקיר מעידים על חיים מורכבים שהוא מקיים מגיל צעיר, לאחר שלא הסתגל למסגרות החינוך החרדיות, ומגיל 17 הוא למעשה נעדר מסגרת יציבה ותומכת. </w:t>
      </w:r>
    </w:p>
    <w:p w14:paraId="7F23E764" w14:textId="77777777" w:rsidR="00376648" w:rsidRDefault="00376648" w:rsidP="00376648">
      <w:pPr>
        <w:spacing w:line="480" w:lineRule="auto"/>
        <w:jc w:val="both"/>
        <w:rPr>
          <w:rFonts w:cs="FrankRuehl"/>
          <w:sz w:val="28"/>
          <w:szCs w:val="28"/>
          <w:rtl/>
        </w:rPr>
      </w:pPr>
      <w:r>
        <w:rPr>
          <w:rFonts w:cs="FrankRuehl" w:hint="cs"/>
          <w:sz w:val="28"/>
          <w:szCs w:val="28"/>
          <w:rtl/>
        </w:rPr>
        <w:t xml:space="preserve">נראה כי בהעדר מסגרת חינוכית או אחרת, הנאשם מצא את מקומו בחברה שולית, ושם נחשף לצריכת סמים, ובהמשך ביצע את העבירות האמורות. </w:t>
      </w:r>
    </w:p>
    <w:p w14:paraId="1F70E489" w14:textId="77777777" w:rsidR="00376648" w:rsidRDefault="00376648" w:rsidP="00376648">
      <w:pPr>
        <w:spacing w:line="480" w:lineRule="auto"/>
        <w:jc w:val="both"/>
        <w:rPr>
          <w:rFonts w:cs="FrankRuehl"/>
          <w:sz w:val="28"/>
          <w:szCs w:val="28"/>
          <w:rtl/>
        </w:rPr>
      </w:pPr>
      <w:r>
        <w:rPr>
          <w:rFonts w:cs="FrankRuehl" w:hint="cs"/>
          <w:sz w:val="28"/>
          <w:szCs w:val="28"/>
          <w:rtl/>
        </w:rPr>
        <w:t xml:space="preserve">שירות המבחן עקב אחר מצבו של הנאשם לאורך תקופה, ועל אף שמדובר בתהליך הדרגתי, נראה כי כעת הנאשם משתף פעולה עם שירות המבחן, הוא השתלב בקבוצה טיפולית, ונראה כי לראשונה בחייו, הוא בוחן את אורח חייו, את קשריו החברתיים ואת הדפוסים שהביאו אותו לביצוע העבירה. </w:t>
      </w:r>
    </w:p>
    <w:p w14:paraId="48FC2353" w14:textId="77777777" w:rsidR="00376648" w:rsidRDefault="00376648" w:rsidP="00376648">
      <w:pPr>
        <w:spacing w:line="480" w:lineRule="auto"/>
        <w:jc w:val="both"/>
        <w:rPr>
          <w:rFonts w:cs="FrankRuehl"/>
          <w:sz w:val="28"/>
          <w:szCs w:val="28"/>
          <w:rtl/>
        </w:rPr>
      </w:pPr>
      <w:r>
        <w:rPr>
          <w:rFonts w:cs="FrankRuehl" w:hint="cs"/>
          <w:sz w:val="28"/>
          <w:szCs w:val="28"/>
          <w:rtl/>
        </w:rPr>
        <w:t>מדובר באדם צעיר בראשית דרכו בחייו, אשר ההליך הפלילי חייב אותו לעצור ולהתבונן פנימה ולבחון את אורחותיו. אמנם הנאשם נזקק לזמן על מנת להבין ולהטמיע את הצורך בטיפול ובהסתייעות בגורמי הטיפול, אך לבסוף הנאשם השכיל לשתף פעולה עם שירות המבחן והוא נמצא כעת בעיצומו של הליך טיפולי. שירות המבחן דיווח כי הנאשם נקי מסמים, אולם הליך הטיפול לא הושלם ודרכו של הנאשם לא תמה. על מנת להשלים את הטיפול, זקוק הנאשם לליווי המקצועי של שירות המבחן, ובהתחשב בגילו הצעיר, בחרטתו על המעשים, בעובדה שמדובר בהסתבכות יחידה לאדם בראשית דרכו, על העונש המתאים לו להיות כזה שיבהיר לו את חומרת העבירות וירתיעו מביצוע מעשים דומים בעתיד מחד, אך יאפשר את המשך הטיפול אשר בעיצומו הוא נמצא.</w:t>
      </w:r>
    </w:p>
    <w:p w14:paraId="0BE412E7" w14:textId="77777777" w:rsidR="00376648" w:rsidRDefault="00376648" w:rsidP="00376648">
      <w:pPr>
        <w:spacing w:line="480" w:lineRule="auto"/>
        <w:jc w:val="both"/>
        <w:rPr>
          <w:rFonts w:cs="FrankRuehl"/>
          <w:sz w:val="28"/>
          <w:szCs w:val="28"/>
          <w:rtl/>
        </w:rPr>
      </w:pPr>
      <w:r>
        <w:rPr>
          <w:rFonts w:cs="FrankRuehl" w:hint="cs"/>
          <w:sz w:val="28"/>
          <w:szCs w:val="28"/>
          <w:rtl/>
        </w:rPr>
        <w:t>אשר לנאשם האחר שהורשע בשל אותן עבירות, הרי שמדובר בנאשם שלחובתו עמד עבר פלילי קודם ומאסר על תנאי בר הפעלה, וככל הנראה נסיבות אישיות שונות נוספות, הביאו לגזר דין חמור מזה של הנאשם בפניי. כל אחד מהנאשמים, נסיבותיו האישיות והעונש המתאים לו.</w:t>
      </w:r>
    </w:p>
    <w:p w14:paraId="47B5E309" w14:textId="77777777" w:rsidR="00376648" w:rsidRDefault="00376648" w:rsidP="00376648">
      <w:pPr>
        <w:spacing w:line="480" w:lineRule="auto"/>
        <w:jc w:val="both"/>
        <w:rPr>
          <w:rFonts w:cs="FrankRuehl"/>
          <w:sz w:val="28"/>
          <w:szCs w:val="28"/>
          <w:rtl/>
        </w:rPr>
      </w:pPr>
      <w:r>
        <w:rPr>
          <w:rFonts w:cs="FrankRuehl" w:hint="cs"/>
          <w:sz w:val="28"/>
          <w:szCs w:val="28"/>
          <w:rtl/>
        </w:rPr>
        <w:t>נוכח כל האמור לעיל, אני גוזר על הנאשם את העונשים הבאים:</w:t>
      </w:r>
    </w:p>
    <w:p w14:paraId="27D3B62C" w14:textId="77777777" w:rsidR="00376648" w:rsidRDefault="00376648" w:rsidP="00376648">
      <w:pPr>
        <w:spacing w:line="480" w:lineRule="auto"/>
        <w:jc w:val="both"/>
        <w:rPr>
          <w:rFonts w:cs="FrankRuehl"/>
          <w:sz w:val="28"/>
          <w:szCs w:val="28"/>
          <w:rtl/>
        </w:rPr>
      </w:pPr>
    </w:p>
    <w:p w14:paraId="00009107" w14:textId="77777777" w:rsidR="00376648" w:rsidRPr="00EA0766" w:rsidRDefault="00376648" w:rsidP="00376648">
      <w:pPr>
        <w:spacing w:line="480" w:lineRule="auto"/>
        <w:ind w:left="720" w:hanging="720"/>
        <w:jc w:val="both"/>
        <w:rPr>
          <w:rFonts w:cs="FrankRuehl"/>
          <w:b/>
          <w:bCs/>
          <w:sz w:val="28"/>
          <w:szCs w:val="28"/>
          <w:rtl/>
        </w:rPr>
      </w:pPr>
      <w:r w:rsidRPr="00EA0766">
        <w:rPr>
          <w:rFonts w:cs="FrankRuehl" w:hint="cs"/>
          <w:b/>
          <w:bCs/>
          <w:sz w:val="28"/>
          <w:szCs w:val="28"/>
          <w:rtl/>
        </w:rPr>
        <w:t xml:space="preserve">1. </w:t>
      </w:r>
      <w:r>
        <w:rPr>
          <w:rFonts w:cs="FrankRuehl"/>
          <w:b/>
          <w:bCs/>
          <w:sz w:val="28"/>
          <w:szCs w:val="28"/>
          <w:rtl/>
        </w:rPr>
        <w:tab/>
      </w:r>
      <w:r w:rsidRPr="00EA0766">
        <w:rPr>
          <w:rFonts w:cs="FrankRuehl" w:hint="cs"/>
          <w:b/>
          <w:bCs/>
          <w:sz w:val="28"/>
          <w:szCs w:val="28"/>
          <w:rtl/>
        </w:rPr>
        <w:t>שישה חודשי מאסר אשר ירוצו בעבודות שירות. הממונה על עבודות השירות י</w:t>
      </w:r>
      <w:r>
        <w:rPr>
          <w:rFonts w:cs="FrankRuehl" w:hint="cs"/>
          <w:b/>
          <w:bCs/>
          <w:sz w:val="28"/>
          <w:szCs w:val="28"/>
          <w:rtl/>
        </w:rPr>
        <w:t xml:space="preserve">קבע מועד חדש לתחילת ריצוי מאסרו וידווח על כך ללא צורך בקיום דיון נוסף. </w:t>
      </w:r>
    </w:p>
    <w:p w14:paraId="30C86142" w14:textId="77777777" w:rsidR="00376648" w:rsidRPr="00EA0766" w:rsidRDefault="00376648" w:rsidP="00376648">
      <w:pPr>
        <w:spacing w:line="480" w:lineRule="auto"/>
        <w:ind w:left="720" w:hanging="720"/>
        <w:jc w:val="both"/>
        <w:rPr>
          <w:rFonts w:cs="FrankRuehl"/>
          <w:b/>
          <w:bCs/>
          <w:sz w:val="28"/>
          <w:szCs w:val="28"/>
          <w:rtl/>
        </w:rPr>
      </w:pPr>
      <w:r w:rsidRPr="00EA0766">
        <w:rPr>
          <w:rFonts w:cs="FrankRuehl" w:hint="cs"/>
          <w:b/>
          <w:bCs/>
          <w:sz w:val="28"/>
          <w:szCs w:val="28"/>
          <w:rtl/>
        </w:rPr>
        <w:t xml:space="preserve">2. </w:t>
      </w:r>
      <w:r>
        <w:rPr>
          <w:rFonts w:cs="FrankRuehl"/>
          <w:b/>
          <w:bCs/>
          <w:sz w:val="28"/>
          <w:szCs w:val="28"/>
          <w:rtl/>
        </w:rPr>
        <w:tab/>
      </w:r>
      <w:r>
        <w:rPr>
          <w:rFonts w:cs="FrankRuehl" w:hint="cs"/>
          <w:b/>
          <w:bCs/>
          <w:sz w:val="28"/>
          <w:szCs w:val="28"/>
          <w:rtl/>
        </w:rPr>
        <w:t>ארבעה</w:t>
      </w:r>
      <w:r w:rsidRPr="00EA0766">
        <w:rPr>
          <w:rFonts w:cs="FrankRuehl" w:hint="cs"/>
          <w:b/>
          <w:bCs/>
          <w:sz w:val="28"/>
          <w:szCs w:val="28"/>
          <w:rtl/>
        </w:rPr>
        <w:t xml:space="preserve"> חודשי מאסר אשר אותם הנאשם לא יבצע אלא אם יעבור על כל עבירה לפי </w:t>
      </w:r>
      <w:hyperlink r:id="rId31" w:history="1">
        <w:r w:rsidR="00855CC5" w:rsidRPr="00855CC5">
          <w:rPr>
            <w:rFonts w:cs="FrankRuehl"/>
            <w:b/>
            <w:bCs/>
            <w:color w:val="0000FF"/>
            <w:sz w:val="28"/>
            <w:szCs w:val="28"/>
            <w:u w:val="single"/>
            <w:rtl/>
          </w:rPr>
          <w:t>פקודת הסמים המסוכנים</w:t>
        </w:r>
      </w:hyperlink>
      <w:r w:rsidRPr="00EA0766">
        <w:rPr>
          <w:rFonts w:cs="FrankRuehl" w:hint="cs"/>
          <w:b/>
          <w:bCs/>
          <w:sz w:val="28"/>
          <w:szCs w:val="28"/>
          <w:rtl/>
        </w:rPr>
        <w:t xml:space="preserve">, וזאת תוך 3 שנים מיום מתן גזר הדין. </w:t>
      </w:r>
    </w:p>
    <w:p w14:paraId="1247DECC" w14:textId="77777777" w:rsidR="00376648" w:rsidRDefault="00376648" w:rsidP="00376648">
      <w:pPr>
        <w:spacing w:line="480" w:lineRule="auto"/>
        <w:ind w:left="720" w:hanging="720"/>
        <w:jc w:val="both"/>
        <w:rPr>
          <w:rFonts w:cs="FrankRuehl"/>
          <w:b/>
          <w:bCs/>
          <w:sz w:val="28"/>
          <w:szCs w:val="28"/>
          <w:rtl/>
        </w:rPr>
      </w:pPr>
      <w:r w:rsidRPr="00EA0766">
        <w:rPr>
          <w:rFonts w:cs="FrankRuehl" w:hint="cs"/>
          <w:b/>
          <w:bCs/>
          <w:sz w:val="28"/>
          <w:szCs w:val="28"/>
          <w:rtl/>
        </w:rPr>
        <w:t xml:space="preserve">3. </w:t>
      </w:r>
      <w:r>
        <w:rPr>
          <w:rFonts w:cs="FrankRuehl"/>
          <w:b/>
          <w:bCs/>
          <w:sz w:val="28"/>
          <w:szCs w:val="28"/>
          <w:rtl/>
        </w:rPr>
        <w:tab/>
      </w:r>
      <w:r w:rsidRPr="00EA0766">
        <w:rPr>
          <w:rFonts w:cs="FrankRuehl" w:hint="cs"/>
          <w:b/>
          <w:bCs/>
          <w:sz w:val="28"/>
          <w:szCs w:val="28"/>
          <w:rtl/>
        </w:rPr>
        <w:t xml:space="preserve">קנס בסך 1,000 ₪ או </w:t>
      </w:r>
      <w:r>
        <w:rPr>
          <w:rFonts w:cs="FrankRuehl" w:hint="cs"/>
          <w:b/>
          <w:bCs/>
          <w:sz w:val="28"/>
          <w:szCs w:val="28"/>
          <w:rtl/>
        </w:rPr>
        <w:t>10</w:t>
      </w:r>
      <w:r w:rsidRPr="00EA0766">
        <w:rPr>
          <w:rFonts w:cs="FrankRuehl" w:hint="cs"/>
          <w:b/>
          <w:bCs/>
          <w:sz w:val="28"/>
          <w:szCs w:val="28"/>
          <w:rtl/>
        </w:rPr>
        <w:t xml:space="preserve"> ימי מאסר תמורתו. הקנס ישולם עד יום 1.10.18.</w:t>
      </w:r>
      <w:r>
        <w:rPr>
          <w:rFonts w:cs="FrankRuehl" w:hint="cs"/>
          <w:b/>
          <w:bCs/>
          <w:sz w:val="28"/>
          <w:szCs w:val="28"/>
          <w:rtl/>
        </w:rPr>
        <w:t xml:space="preserve"> הקנס יקוזז מההפקדה  ואת היתרה יש להשיב לנאשם באמצעות ב"כ.</w:t>
      </w:r>
    </w:p>
    <w:p w14:paraId="6A3AF3C0" w14:textId="77777777" w:rsidR="00376648" w:rsidRDefault="00376648" w:rsidP="00376648">
      <w:pPr>
        <w:spacing w:line="480" w:lineRule="auto"/>
        <w:ind w:left="720" w:hanging="720"/>
        <w:jc w:val="both"/>
        <w:rPr>
          <w:rFonts w:cs="FrankRuehl"/>
          <w:b/>
          <w:bCs/>
          <w:sz w:val="28"/>
          <w:szCs w:val="28"/>
          <w:rtl/>
        </w:rPr>
      </w:pPr>
      <w:r>
        <w:rPr>
          <w:rFonts w:cs="FrankRuehl" w:hint="cs"/>
          <w:b/>
          <w:bCs/>
          <w:sz w:val="28"/>
          <w:szCs w:val="28"/>
          <w:rtl/>
        </w:rPr>
        <w:t>4.</w:t>
      </w:r>
      <w:r>
        <w:rPr>
          <w:rFonts w:cs="FrankRuehl" w:hint="cs"/>
          <w:b/>
          <w:bCs/>
          <w:sz w:val="28"/>
          <w:szCs w:val="28"/>
          <w:rtl/>
        </w:rPr>
        <w:tab/>
        <w:t xml:space="preserve">ניתן צו מבחן למשך שנה מהיום. הנאשם מצווה להיות בקשר עם שירות המבחן. </w:t>
      </w:r>
    </w:p>
    <w:p w14:paraId="72A5FD11" w14:textId="77777777" w:rsidR="00376648" w:rsidRDefault="00376648" w:rsidP="00376648">
      <w:pPr>
        <w:spacing w:line="480" w:lineRule="auto"/>
        <w:ind w:left="720" w:hanging="720"/>
        <w:jc w:val="both"/>
        <w:rPr>
          <w:rFonts w:cs="FrankRuehl"/>
          <w:b/>
          <w:bCs/>
          <w:sz w:val="28"/>
          <w:szCs w:val="28"/>
          <w:rtl/>
        </w:rPr>
      </w:pPr>
      <w:r>
        <w:rPr>
          <w:rFonts w:cs="FrankRuehl" w:hint="cs"/>
          <w:b/>
          <w:bCs/>
          <w:sz w:val="28"/>
          <w:szCs w:val="28"/>
          <w:rtl/>
        </w:rPr>
        <w:t>5.</w:t>
      </w:r>
      <w:r>
        <w:rPr>
          <w:rFonts w:cs="FrankRuehl" w:hint="cs"/>
          <w:b/>
          <w:bCs/>
          <w:sz w:val="28"/>
          <w:szCs w:val="28"/>
          <w:rtl/>
        </w:rPr>
        <w:tab/>
        <w:t>מורה על השמדת הסם והמוצגים שבתיק.</w:t>
      </w:r>
    </w:p>
    <w:p w14:paraId="64EA59BA" w14:textId="77777777" w:rsidR="00376648" w:rsidRDefault="00376648" w:rsidP="00376648">
      <w:pPr>
        <w:spacing w:line="480" w:lineRule="auto"/>
        <w:ind w:left="720" w:hanging="720"/>
        <w:jc w:val="both"/>
        <w:rPr>
          <w:rFonts w:cs="FrankRuehl"/>
          <w:b/>
          <w:bCs/>
          <w:sz w:val="28"/>
          <w:szCs w:val="28"/>
          <w:rtl/>
        </w:rPr>
      </w:pPr>
    </w:p>
    <w:p w14:paraId="0D812BC9" w14:textId="77777777" w:rsidR="00376648" w:rsidRDefault="00376648" w:rsidP="00376648">
      <w:pPr>
        <w:spacing w:line="480" w:lineRule="auto"/>
        <w:ind w:left="720" w:hanging="720"/>
        <w:jc w:val="both"/>
        <w:rPr>
          <w:rFonts w:cs="FrankRuehl"/>
          <w:b/>
          <w:bCs/>
          <w:sz w:val="28"/>
          <w:szCs w:val="28"/>
          <w:rtl/>
        </w:rPr>
      </w:pPr>
      <w:r>
        <w:rPr>
          <w:rFonts w:cs="FrankRuehl" w:hint="cs"/>
          <w:b/>
          <w:bCs/>
          <w:sz w:val="28"/>
          <w:szCs w:val="28"/>
          <w:rtl/>
        </w:rPr>
        <w:t>העתק יישלח לשירות המבחן ולממונה על עבודות השירות.</w:t>
      </w:r>
    </w:p>
    <w:p w14:paraId="2F79711F" w14:textId="77777777" w:rsidR="00376648" w:rsidRDefault="00376648" w:rsidP="00376648">
      <w:pPr>
        <w:spacing w:line="480" w:lineRule="auto"/>
        <w:jc w:val="both"/>
        <w:rPr>
          <w:rFonts w:cs="FrankRuehl"/>
          <w:sz w:val="28"/>
          <w:szCs w:val="28"/>
          <w:rtl/>
        </w:rPr>
      </w:pPr>
    </w:p>
    <w:p w14:paraId="60F58774" w14:textId="77777777" w:rsidR="00376648" w:rsidRPr="0028617A" w:rsidRDefault="00376648" w:rsidP="00376648">
      <w:pPr>
        <w:spacing w:line="480" w:lineRule="auto"/>
        <w:jc w:val="both"/>
        <w:rPr>
          <w:rFonts w:cs="FrankRuehl"/>
          <w:sz w:val="28"/>
          <w:szCs w:val="28"/>
          <w:rtl/>
        </w:rPr>
      </w:pPr>
      <w:r>
        <w:rPr>
          <w:rFonts w:cs="FrankRuehl" w:hint="cs"/>
          <w:sz w:val="28"/>
          <w:szCs w:val="28"/>
          <w:rtl/>
        </w:rPr>
        <w:t xml:space="preserve">זכות ערעור לבית המשפט המחוזי תוך 45 יום. </w:t>
      </w:r>
    </w:p>
    <w:p w14:paraId="465A5B23" w14:textId="77777777" w:rsidR="00376648" w:rsidRPr="00855CC5" w:rsidRDefault="00855CC5" w:rsidP="00376648">
      <w:pPr>
        <w:spacing w:line="480" w:lineRule="auto"/>
        <w:jc w:val="both"/>
        <w:rPr>
          <w:rFonts w:cs="FrankRuehl"/>
          <w:color w:val="FFFFFF"/>
          <w:sz w:val="2"/>
          <w:szCs w:val="2"/>
          <w:rtl/>
        </w:rPr>
      </w:pPr>
      <w:r w:rsidRPr="00855CC5">
        <w:rPr>
          <w:rFonts w:cs="FrankRuehl"/>
          <w:color w:val="FFFFFF"/>
          <w:sz w:val="2"/>
          <w:szCs w:val="2"/>
          <w:rtl/>
        </w:rPr>
        <w:t>5129371</w:t>
      </w:r>
    </w:p>
    <w:p w14:paraId="13671A12" w14:textId="77777777" w:rsidR="00376648" w:rsidRPr="00855CC5" w:rsidRDefault="00855CC5" w:rsidP="00376648">
      <w:pPr>
        <w:spacing w:line="480" w:lineRule="auto"/>
        <w:jc w:val="both"/>
        <w:rPr>
          <w:rFonts w:cs="FrankRuehl"/>
          <w:color w:val="FFFFFF"/>
          <w:sz w:val="2"/>
          <w:szCs w:val="2"/>
          <w:rtl/>
        </w:rPr>
      </w:pPr>
      <w:r w:rsidRPr="00855CC5">
        <w:rPr>
          <w:rFonts w:cs="FrankRuehl"/>
          <w:color w:val="FFFFFF"/>
          <w:sz w:val="2"/>
          <w:szCs w:val="2"/>
          <w:rtl/>
        </w:rPr>
        <w:t>54678313</w:t>
      </w:r>
    </w:p>
    <w:p w14:paraId="755FDB89" w14:textId="77777777" w:rsidR="00376648" w:rsidRDefault="00855CC5" w:rsidP="00376648">
      <w:pPr>
        <w:spacing w:line="480" w:lineRule="auto"/>
        <w:jc w:val="both"/>
        <w:rPr>
          <w:rFonts w:ascii="Arial" w:hAnsi="Arial"/>
        </w:rPr>
      </w:pPr>
      <w:r>
        <w:rPr>
          <w:rFonts w:ascii="Arial" w:hAnsi="Arial"/>
          <w:rtl/>
        </w:rPr>
        <w:t xml:space="preserve">ניתן היום,  כ"א תמוז תשע"ח, 4 ביולי 2018, במעמד ב"כ המאשימה עוה"ד מאי ר לוברבאום עוה"ד, </w:t>
      </w:r>
      <w:r w:rsidR="00376648">
        <w:rPr>
          <w:rFonts w:ascii="Arial" w:hAnsi="Arial" w:hint="cs"/>
          <w:rtl/>
        </w:rPr>
        <w:t>הנאשם וב"כ עוה"ד עינת סופר בסרגליק.</w:t>
      </w:r>
    </w:p>
    <w:p w14:paraId="7975FD0B" w14:textId="77777777" w:rsidR="00376648" w:rsidRDefault="00376648" w:rsidP="00376648">
      <w:pPr>
        <w:spacing w:line="480" w:lineRule="auto"/>
        <w:jc w:val="both"/>
        <w:rPr>
          <w:rFonts w:cs="FrankRuehl"/>
          <w:sz w:val="28"/>
          <w:szCs w:val="28"/>
          <w:rtl/>
        </w:rPr>
      </w:pPr>
    </w:p>
    <w:p w14:paraId="3E798CF3" w14:textId="77777777" w:rsidR="00376648" w:rsidRPr="00FA7691" w:rsidRDefault="00376648" w:rsidP="00376648">
      <w:pPr>
        <w:spacing w:line="480" w:lineRule="auto"/>
        <w:jc w:val="both"/>
      </w:pPr>
      <w:r>
        <w:rPr>
          <w:rtl/>
        </w:rPr>
        <w:t xml:space="preserve">     </w:t>
      </w:r>
    </w:p>
    <w:p w14:paraId="58212D27" w14:textId="77777777" w:rsidR="00376648" w:rsidRPr="00FA7691" w:rsidRDefault="00376648" w:rsidP="00376648">
      <w:pPr>
        <w:spacing w:line="480" w:lineRule="auto"/>
        <w:jc w:val="both"/>
        <w:rPr>
          <w:rFonts w:ascii="Arial" w:hAnsi="Arial" w:cs="FrankRuehl"/>
          <w:sz w:val="28"/>
          <w:szCs w:val="28"/>
          <w:rtl/>
        </w:rPr>
      </w:pPr>
    </w:p>
    <w:p w14:paraId="0BCE1A12" w14:textId="77777777" w:rsidR="00FA234A" w:rsidRPr="00855CC5" w:rsidRDefault="00FA234A" w:rsidP="00855CC5">
      <w:pPr>
        <w:keepNext/>
        <w:rPr>
          <w:rFonts w:ascii="David" w:hAnsi="David"/>
          <w:color w:val="000000"/>
          <w:sz w:val="22"/>
          <w:szCs w:val="22"/>
          <w:rtl/>
        </w:rPr>
      </w:pPr>
    </w:p>
    <w:p w14:paraId="7CCAE367" w14:textId="77777777" w:rsidR="00855CC5" w:rsidRPr="00855CC5" w:rsidRDefault="00855CC5" w:rsidP="00855CC5">
      <w:pPr>
        <w:keepNext/>
        <w:rPr>
          <w:rFonts w:ascii="David" w:hAnsi="David"/>
          <w:color w:val="000000"/>
          <w:sz w:val="22"/>
          <w:szCs w:val="22"/>
          <w:rtl/>
        </w:rPr>
      </w:pPr>
      <w:r w:rsidRPr="00855CC5">
        <w:rPr>
          <w:rFonts w:ascii="David" w:hAnsi="David"/>
          <w:color w:val="000000"/>
          <w:sz w:val="22"/>
          <w:szCs w:val="22"/>
          <w:rtl/>
        </w:rPr>
        <w:t>יצחק שמעוני 54678313</w:t>
      </w:r>
    </w:p>
    <w:p w14:paraId="0E82CF79" w14:textId="77777777" w:rsidR="00855CC5" w:rsidRDefault="00855CC5" w:rsidP="00855CC5">
      <w:r w:rsidRPr="00855CC5">
        <w:rPr>
          <w:color w:val="000000"/>
          <w:rtl/>
        </w:rPr>
        <w:t>נוסח מסמך זה כפוף לשינויי ניסוח ועריכה</w:t>
      </w:r>
    </w:p>
    <w:p w14:paraId="4B5DFB8B" w14:textId="77777777" w:rsidR="00855CC5" w:rsidRDefault="00855CC5" w:rsidP="00855CC5">
      <w:pPr>
        <w:rPr>
          <w:rtl/>
        </w:rPr>
      </w:pPr>
    </w:p>
    <w:p w14:paraId="6F87F23D" w14:textId="77777777" w:rsidR="00855CC5" w:rsidRDefault="00855CC5" w:rsidP="00855CC5">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4D64F9D5" w14:textId="77777777" w:rsidR="00855CC5" w:rsidRPr="00855CC5" w:rsidRDefault="00855CC5" w:rsidP="00855CC5">
      <w:pPr>
        <w:jc w:val="center"/>
        <w:rPr>
          <w:color w:val="0000FF"/>
          <w:u w:val="single"/>
        </w:rPr>
      </w:pPr>
    </w:p>
    <w:sectPr w:rsidR="00855CC5" w:rsidRPr="00855CC5" w:rsidSect="00855CC5">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E97E9" w14:textId="77777777" w:rsidR="00566C7D" w:rsidRDefault="00566C7D" w:rsidP="008800AF">
      <w:r>
        <w:separator/>
      </w:r>
    </w:p>
  </w:endnote>
  <w:endnote w:type="continuationSeparator" w:id="0">
    <w:p w14:paraId="57ADFD4E" w14:textId="77777777" w:rsidR="00566C7D" w:rsidRDefault="00566C7D" w:rsidP="00880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7A448" w14:textId="77777777" w:rsidR="00855CC5" w:rsidRDefault="00855CC5" w:rsidP="00855C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3</w:t>
    </w:r>
    <w:r>
      <w:rPr>
        <w:rFonts w:ascii="FrankRuehl" w:hAnsi="FrankRuehl" w:cs="FrankRuehl"/>
        <w:rtl/>
      </w:rPr>
      <w:fldChar w:fldCharType="end"/>
    </w:r>
  </w:p>
  <w:p w14:paraId="273628DD" w14:textId="77777777" w:rsidR="00855CC5" w:rsidRPr="00855CC5" w:rsidRDefault="00855CC5" w:rsidP="00855CC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F392C" w14:textId="77777777" w:rsidR="00855CC5" w:rsidRDefault="00855CC5" w:rsidP="00855C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F36E3">
      <w:rPr>
        <w:rFonts w:ascii="FrankRuehl" w:hAnsi="FrankRuehl" w:cs="FrankRuehl"/>
        <w:rtl/>
      </w:rPr>
      <w:t>1</w:t>
    </w:r>
    <w:r>
      <w:rPr>
        <w:rFonts w:ascii="FrankRuehl" w:hAnsi="FrankRuehl" w:cs="FrankRuehl"/>
        <w:rtl/>
      </w:rPr>
      <w:fldChar w:fldCharType="end"/>
    </w:r>
  </w:p>
  <w:p w14:paraId="76F1429E" w14:textId="77777777" w:rsidR="00855CC5" w:rsidRPr="00855CC5" w:rsidRDefault="00855CC5" w:rsidP="00855CC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ABBF0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006B9" w14:textId="77777777" w:rsidR="00566C7D" w:rsidRDefault="00566C7D" w:rsidP="008800AF">
      <w:r>
        <w:separator/>
      </w:r>
    </w:p>
  </w:footnote>
  <w:footnote w:type="continuationSeparator" w:id="0">
    <w:p w14:paraId="15E240B9" w14:textId="77777777" w:rsidR="00566C7D" w:rsidRDefault="00566C7D" w:rsidP="00880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D68AB" w14:textId="77777777" w:rsidR="00855CC5" w:rsidRPr="00855CC5" w:rsidRDefault="00855CC5" w:rsidP="00855C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14829-07-16</w:t>
    </w:r>
    <w:r>
      <w:rPr>
        <w:rFonts w:ascii="David" w:hAnsi="David"/>
        <w:color w:val="000000"/>
        <w:sz w:val="22"/>
        <w:szCs w:val="22"/>
        <w:rtl/>
      </w:rPr>
      <w:tab/>
      <w:t xml:space="preserve"> מדינת ישראל נ' דוד בן ישי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F69FD" w14:textId="77777777" w:rsidR="00855CC5" w:rsidRPr="00855CC5" w:rsidRDefault="00855CC5" w:rsidP="00855C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14829-07-16</w:t>
    </w:r>
    <w:r>
      <w:rPr>
        <w:rFonts w:ascii="David" w:hAnsi="David"/>
        <w:color w:val="000000"/>
        <w:sz w:val="22"/>
        <w:szCs w:val="22"/>
        <w:rtl/>
      </w:rPr>
      <w:tab/>
      <w:t xml:space="preserve"> מדינת ישראל נ' דוד בן ישי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6648"/>
    <w:rsid w:val="00376648"/>
    <w:rsid w:val="004116B1"/>
    <w:rsid w:val="00566C7D"/>
    <w:rsid w:val="005901CE"/>
    <w:rsid w:val="007227CB"/>
    <w:rsid w:val="00855CC5"/>
    <w:rsid w:val="008800AF"/>
    <w:rsid w:val="008A4C53"/>
    <w:rsid w:val="008F36E3"/>
    <w:rsid w:val="00CC335C"/>
    <w:rsid w:val="00E852A1"/>
    <w:rsid w:val="00F77E8A"/>
    <w:rsid w:val="00FA234A"/>
    <w:rsid w:val="00FB59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90920D5"/>
  <w15:chartTrackingRefBased/>
  <w15:docId w15:val="{BE5F1807-A743-4127-838A-32AFD483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6648"/>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76648"/>
    <w:pPr>
      <w:tabs>
        <w:tab w:val="center" w:pos="4153"/>
        <w:tab w:val="right" w:pos="8306"/>
      </w:tabs>
    </w:pPr>
  </w:style>
  <w:style w:type="character" w:customStyle="1" w:styleId="a4">
    <w:name w:val="כותרת עליונה תו"/>
    <w:link w:val="a3"/>
    <w:rsid w:val="00376648"/>
    <w:rPr>
      <w:rFonts w:ascii="Times New Roman" w:eastAsia="Times New Roman" w:hAnsi="Times New Roman" w:cs="David"/>
      <w:noProof/>
      <w:sz w:val="24"/>
      <w:szCs w:val="24"/>
    </w:rPr>
  </w:style>
  <w:style w:type="paragraph" w:styleId="a5">
    <w:name w:val="footer"/>
    <w:basedOn w:val="a"/>
    <w:link w:val="a6"/>
    <w:rsid w:val="00376648"/>
    <w:pPr>
      <w:tabs>
        <w:tab w:val="center" w:pos="4153"/>
        <w:tab w:val="right" w:pos="8306"/>
      </w:tabs>
    </w:pPr>
  </w:style>
  <w:style w:type="character" w:customStyle="1" w:styleId="a6">
    <w:name w:val="כותרת תחתונה תו"/>
    <w:link w:val="a5"/>
    <w:rsid w:val="00376648"/>
    <w:rPr>
      <w:rFonts w:ascii="Times New Roman" w:eastAsia="Times New Roman" w:hAnsi="Times New Roman" w:cs="David"/>
      <w:noProof/>
      <w:sz w:val="24"/>
      <w:szCs w:val="24"/>
    </w:rPr>
  </w:style>
  <w:style w:type="table" w:styleId="a7">
    <w:name w:val="Table Grid"/>
    <w:basedOn w:val="a1"/>
    <w:rsid w:val="003766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55CC5"/>
  </w:style>
  <w:style w:type="character" w:styleId="Hyperlink">
    <w:name w:val="Hyperlink"/>
    <w:rsid w:val="00855CC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6020149" TargetMode="External"/><Relationship Id="rId26" Type="http://schemas.openxmlformats.org/officeDocument/2006/relationships/hyperlink" Target="http://www.nevo.co.il/law/70301" TargetMode="External"/><Relationship Id="rId21" Type="http://schemas.openxmlformats.org/officeDocument/2006/relationships/hyperlink" Target="http://www.nevo.co.il/case/17084501" TargetMode="External"/><Relationship Id="rId34" Type="http://schemas.openxmlformats.org/officeDocument/2006/relationships/header" Target="header2.xml"/><Relationship Id="rId7" Type="http://schemas.openxmlformats.org/officeDocument/2006/relationships/hyperlink" Target="http://www.nevo.co.il/law/4216/6" TargetMode="External"/><Relationship Id="rId12" Type="http://schemas.openxmlformats.org/officeDocument/2006/relationships/hyperlink" Target="http://www.nevo.co.il/law/4216/10" TargetMode="External"/><Relationship Id="rId17" Type="http://schemas.openxmlformats.org/officeDocument/2006/relationships/hyperlink" Target="http://www.nevo.co.il/case/20211957" TargetMode="External"/><Relationship Id="rId25" Type="http://schemas.openxmlformats.org/officeDocument/2006/relationships/hyperlink" Target="http://www.nevo.co.il/case/20007114"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16964947" TargetMode="External"/><Relationship Id="rId20" Type="http://schemas.openxmlformats.org/officeDocument/2006/relationships/hyperlink" Target="http://www.nevo.co.il/case/20992814" TargetMode="External"/><Relationship Id="rId29" Type="http://schemas.openxmlformats.org/officeDocument/2006/relationships/hyperlink" Target="http://www.nevo.co.il/case/5726579"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6" TargetMode="External"/><Relationship Id="rId24" Type="http://schemas.openxmlformats.org/officeDocument/2006/relationships/hyperlink" Target="http://www.nevo.co.il/case/5005058"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2267098" TargetMode="External"/><Relationship Id="rId23" Type="http://schemas.openxmlformats.org/officeDocument/2006/relationships/hyperlink" Target="http://www.nevo.co.il/case/20413719" TargetMode="External"/><Relationship Id="rId28" Type="http://schemas.openxmlformats.org/officeDocument/2006/relationships/hyperlink" Target="http://www.nevo.co.il/case/17932979" TargetMode="External"/><Relationship Id="rId36" Type="http://schemas.openxmlformats.org/officeDocument/2006/relationships/footer" Target="footer2.xml"/><Relationship Id="rId10" Type="http://schemas.openxmlformats.org/officeDocument/2006/relationships/hyperlink" Target="http://www.nevo.co.il/law/70301/40d" TargetMode="External"/><Relationship Id="rId19" Type="http://schemas.openxmlformats.org/officeDocument/2006/relationships/hyperlink" Target="http://www.nevo.co.il/case/18171592" TargetMode="External"/><Relationship Id="rId31"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0632055" TargetMode="External"/><Relationship Id="rId22" Type="http://schemas.openxmlformats.org/officeDocument/2006/relationships/hyperlink" Target="http://www.nevo.co.il/case/2550172" TargetMode="External"/><Relationship Id="rId27" Type="http://schemas.openxmlformats.org/officeDocument/2006/relationships/hyperlink" Target="http://www.nevo.co.il/case/20205876" TargetMode="External"/><Relationship Id="rId30" Type="http://schemas.openxmlformats.org/officeDocument/2006/relationships/hyperlink" Target="http://www.nevo.co.il/law/70301/40d" TargetMode="External"/><Relationship Id="rId35" Type="http://schemas.openxmlformats.org/officeDocument/2006/relationships/footer" Target="footer1.xml"/><Relationship Id="rId8" Type="http://schemas.openxmlformats.org/officeDocument/2006/relationships/hyperlink" Target="http://www.nevo.co.il/law/4216/10"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2542</Words>
  <Characters>12710</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15222</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3866738</vt:i4>
      </vt:variant>
      <vt:variant>
        <vt:i4>69</vt:i4>
      </vt:variant>
      <vt:variant>
        <vt:i4>0</vt:i4>
      </vt:variant>
      <vt:variant>
        <vt:i4>5</vt:i4>
      </vt:variant>
      <vt:variant>
        <vt:lpwstr>http://www.nevo.co.il/case/5726579</vt:lpwstr>
      </vt:variant>
      <vt:variant>
        <vt:lpwstr/>
      </vt:variant>
      <vt:variant>
        <vt:i4>3997817</vt:i4>
      </vt:variant>
      <vt:variant>
        <vt:i4>66</vt:i4>
      </vt:variant>
      <vt:variant>
        <vt:i4>0</vt:i4>
      </vt:variant>
      <vt:variant>
        <vt:i4>5</vt:i4>
      </vt:variant>
      <vt:variant>
        <vt:lpwstr>http://www.nevo.co.il/case/17932979</vt:lpwstr>
      </vt:variant>
      <vt:variant>
        <vt:lpwstr/>
      </vt:variant>
      <vt:variant>
        <vt:i4>3276924</vt:i4>
      </vt:variant>
      <vt:variant>
        <vt:i4>63</vt:i4>
      </vt:variant>
      <vt:variant>
        <vt:i4>0</vt:i4>
      </vt:variant>
      <vt:variant>
        <vt:i4>5</vt:i4>
      </vt:variant>
      <vt:variant>
        <vt:lpwstr>http://www.nevo.co.il/case/20205876</vt:lpwstr>
      </vt:variant>
      <vt:variant>
        <vt:lpwstr/>
      </vt:variant>
      <vt:variant>
        <vt:i4>7995492</vt:i4>
      </vt:variant>
      <vt:variant>
        <vt:i4>60</vt:i4>
      </vt:variant>
      <vt:variant>
        <vt:i4>0</vt:i4>
      </vt:variant>
      <vt:variant>
        <vt:i4>5</vt:i4>
      </vt:variant>
      <vt:variant>
        <vt:lpwstr>http://www.nevo.co.il/law/70301</vt:lpwstr>
      </vt:variant>
      <vt:variant>
        <vt:lpwstr/>
      </vt:variant>
      <vt:variant>
        <vt:i4>3407989</vt:i4>
      </vt:variant>
      <vt:variant>
        <vt:i4>57</vt:i4>
      </vt:variant>
      <vt:variant>
        <vt:i4>0</vt:i4>
      </vt:variant>
      <vt:variant>
        <vt:i4>5</vt:i4>
      </vt:variant>
      <vt:variant>
        <vt:lpwstr>http://www.nevo.co.il/case/20007114</vt:lpwstr>
      </vt:variant>
      <vt:variant>
        <vt:lpwstr/>
      </vt:variant>
      <vt:variant>
        <vt:i4>3997812</vt:i4>
      </vt:variant>
      <vt:variant>
        <vt:i4>54</vt:i4>
      </vt:variant>
      <vt:variant>
        <vt:i4>0</vt:i4>
      </vt:variant>
      <vt:variant>
        <vt:i4>5</vt:i4>
      </vt:variant>
      <vt:variant>
        <vt:lpwstr>http://www.nevo.co.il/case/5005058</vt:lpwstr>
      </vt:variant>
      <vt:variant>
        <vt:lpwstr/>
      </vt:variant>
      <vt:variant>
        <vt:i4>3407986</vt:i4>
      </vt:variant>
      <vt:variant>
        <vt:i4>51</vt:i4>
      </vt:variant>
      <vt:variant>
        <vt:i4>0</vt:i4>
      </vt:variant>
      <vt:variant>
        <vt:i4>5</vt:i4>
      </vt:variant>
      <vt:variant>
        <vt:lpwstr>http://www.nevo.co.il/case/20413719</vt:lpwstr>
      </vt:variant>
      <vt:variant>
        <vt:lpwstr/>
      </vt:variant>
      <vt:variant>
        <vt:i4>3407990</vt:i4>
      </vt:variant>
      <vt:variant>
        <vt:i4>48</vt:i4>
      </vt:variant>
      <vt:variant>
        <vt:i4>0</vt:i4>
      </vt:variant>
      <vt:variant>
        <vt:i4>5</vt:i4>
      </vt:variant>
      <vt:variant>
        <vt:lpwstr>http://www.nevo.co.il/case/2550172</vt:lpwstr>
      </vt:variant>
      <vt:variant>
        <vt:lpwstr/>
      </vt:variant>
      <vt:variant>
        <vt:i4>3473534</vt:i4>
      </vt:variant>
      <vt:variant>
        <vt:i4>45</vt:i4>
      </vt:variant>
      <vt:variant>
        <vt:i4>0</vt:i4>
      </vt:variant>
      <vt:variant>
        <vt:i4>5</vt:i4>
      </vt:variant>
      <vt:variant>
        <vt:lpwstr>http://www.nevo.co.il/case/17084501</vt:lpwstr>
      </vt:variant>
      <vt:variant>
        <vt:lpwstr/>
      </vt:variant>
      <vt:variant>
        <vt:i4>3670133</vt:i4>
      </vt:variant>
      <vt:variant>
        <vt:i4>42</vt:i4>
      </vt:variant>
      <vt:variant>
        <vt:i4>0</vt:i4>
      </vt:variant>
      <vt:variant>
        <vt:i4>5</vt:i4>
      </vt:variant>
      <vt:variant>
        <vt:lpwstr>http://www.nevo.co.il/case/20992814</vt:lpwstr>
      </vt:variant>
      <vt:variant>
        <vt:lpwstr/>
      </vt:variant>
      <vt:variant>
        <vt:i4>3670142</vt:i4>
      </vt:variant>
      <vt:variant>
        <vt:i4>39</vt:i4>
      </vt:variant>
      <vt:variant>
        <vt:i4>0</vt:i4>
      </vt:variant>
      <vt:variant>
        <vt:i4>5</vt:i4>
      </vt:variant>
      <vt:variant>
        <vt:lpwstr>http://www.nevo.co.il/case/18171592</vt:lpwstr>
      </vt:variant>
      <vt:variant>
        <vt:lpwstr/>
      </vt:variant>
      <vt:variant>
        <vt:i4>3932272</vt:i4>
      </vt:variant>
      <vt:variant>
        <vt:i4>36</vt:i4>
      </vt:variant>
      <vt:variant>
        <vt:i4>0</vt:i4>
      </vt:variant>
      <vt:variant>
        <vt:i4>5</vt:i4>
      </vt:variant>
      <vt:variant>
        <vt:lpwstr>http://www.nevo.co.il/case/6020149</vt:lpwstr>
      </vt:variant>
      <vt:variant>
        <vt:lpwstr/>
      </vt:variant>
      <vt:variant>
        <vt:i4>3407996</vt:i4>
      </vt:variant>
      <vt:variant>
        <vt:i4>33</vt:i4>
      </vt:variant>
      <vt:variant>
        <vt:i4>0</vt:i4>
      </vt:variant>
      <vt:variant>
        <vt:i4>5</vt:i4>
      </vt:variant>
      <vt:variant>
        <vt:lpwstr>http://www.nevo.co.il/case/20211957</vt:lpwstr>
      </vt:variant>
      <vt:variant>
        <vt:lpwstr/>
      </vt:variant>
      <vt:variant>
        <vt:i4>3670141</vt:i4>
      </vt:variant>
      <vt:variant>
        <vt:i4>30</vt:i4>
      </vt:variant>
      <vt:variant>
        <vt:i4>0</vt:i4>
      </vt:variant>
      <vt:variant>
        <vt:i4>5</vt:i4>
      </vt:variant>
      <vt:variant>
        <vt:lpwstr>http://www.nevo.co.il/case/16964947</vt:lpwstr>
      </vt:variant>
      <vt:variant>
        <vt:lpwstr/>
      </vt:variant>
      <vt:variant>
        <vt:i4>4063344</vt:i4>
      </vt:variant>
      <vt:variant>
        <vt:i4>27</vt:i4>
      </vt:variant>
      <vt:variant>
        <vt:i4>0</vt:i4>
      </vt:variant>
      <vt:variant>
        <vt:i4>5</vt:i4>
      </vt:variant>
      <vt:variant>
        <vt:lpwstr>http://www.nevo.co.il/case/22267098</vt:lpwstr>
      </vt:variant>
      <vt:variant>
        <vt:lpwstr/>
      </vt:variant>
      <vt:variant>
        <vt:i4>3342455</vt:i4>
      </vt:variant>
      <vt:variant>
        <vt:i4>24</vt:i4>
      </vt:variant>
      <vt:variant>
        <vt:i4>0</vt:i4>
      </vt:variant>
      <vt:variant>
        <vt:i4>5</vt:i4>
      </vt:variant>
      <vt:variant>
        <vt:lpwstr>http://www.nevo.co.il/case/20632055</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http://www.nevo.co.il/law/4216/10</vt:lpwstr>
      </vt:variant>
      <vt:variant>
        <vt:lpwstr/>
      </vt:variant>
      <vt:variant>
        <vt:i4>4718666</vt:i4>
      </vt:variant>
      <vt:variant>
        <vt:i4>15</vt:i4>
      </vt:variant>
      <vt:variant>
        <vt:i4>0</vt:i4>
      </vt:variant>
      <vt:variant>
        <vt:i4>5</vt:i4>
      </vt:variant>
      <vt:variant>
        <vt:lpwstr>http://www.nevo.co.il/law/4216/6</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2025-04-22T23:07:00Z</dcterms:created>
  <dcterms:modified xsi:type="dcterms:W3CDTF">2025-04-22T23:07:00Z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14829</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דוד בן ישי</vt:lpwstr>
  </property>
  <property fmtid="{D5CDD505-2E9C-101B-9397-08002B2CF9AE}" pid="10" name="LAWYER">
    <vt:lpwstr>עינת סופר בסרגליק</vt:lpwstr>
  </property>
  <property fmtid="{D5CDD505-2E9C-101B-9397-08002B2CF9AE}" pid="11" name="JUDGE">
    <vt:lpwstr>יצחק שמעוני</vt:lpwstr>
  </property>
  <property fmtid="{D5CDD505-2E9C-101B-9397-08002B2CF9AE}" pid="12" name="CITY">
    <vt:lpwstr>י-ם</vt:lpwstr>
  </property>
  <property fmtid="{D5CDD505-2E9C-101B-9397-08002B2CF9AE}" pid="13" name="TYPE_N_DATE">
    <vt:lpwstr>38020180704</vt:lpwstr>
  </property>
  <property fmtid="{D5CDD505-2E9C-101B-9397-08002B2CF9AE}" pid="14" name="CASESLISTTMP1">
    <vt:lpwstr>20632055;22267098;16964947;20211957;6020149;18171592;20992814;17084501;2550172;20413719;5005058;20007114;20205876;17932979;5726579</vt:lpwstr>
  </property>
  <property fmtid="{D5CDD505-2E9C-101B-9397-08002B2CF9AE}" pid="15" name="CASENOTES1">
    <vt:lpwstr>ProcID=135&amp;PartA=8082&amp;PartB=04&amp;PartC=15</vt:lpwstr>
  </property>
  <property fmtid="{D5CDD505-2E9C-101B-9397-08002B2CF9AE}" pid="16" name="WORDNUMPAGES">
    <vt:lpwstr>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4216/006;010</vt:lpwstr>
  </property>
  <property fmtid="{D5CDD505-2E9C-101B-9397-08002B2CF9AE}" pid="36" name="LAWLISTTMP2">
    <vt:lpwstr>70301/040d</vt:lpwstr>
  </property>
  <property fmtid="{D5CDD505-2E9C-101B-9397-08002B2CF9AE}" pid="37" name="DATE">
    <vt:lpwstr>20180704</vt:lpwstr>
  </property>
  <property fmtid="{D5CDD505-2E9C-101B-9397-08002B2CF9AE}" pid="38" name="TYPE_ABS_DATE">
    <vt:lpwstr>380020180704</vt:lpwstr>
  </property>
</Properties>
</file>