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91FE2" w:rsidRPr="00BD4591" w14:paraId="6E19B590" w14:textId="77777777" w:rsidTr="00BD4591">
        <w:trPr>
          <w:trHeight w:hRule="exact" w:val="418"/>
          <w:jc w:val="center"/>
        </w:trPr>
        <w:tc>
          <w:tcPr>
            <w:tcW w:w="8721" w:type="dxa"/>
            <w:gridSpan w:val="2"/>
          </w:tcPr>
          <w:p w14:paraId="5473809C" w14:textId="77777777" w:rsidR="00B91FE2" w:rsidRPr="00263C95" w:rsidRDefault="00B91FE2" w:rsidP="008703FF">
            <w:pPr>
              <w:pStyle w:val="a3"/>
              <w:jc w:val="center"/>
              <w:rPr>
                <w:rFonts w:ascii="Tahoma" w:hAnsi="Tahoma" w:cs="Tahoma"/>
                <w:color w:val="000080"/>
                <w:rtl/>
              </w:rPr>
            </w:pPr>
            <w:bookmarkStart w:id="0" w:name="FirstLawyer"/>
            <w:bookmarkStart w:id="1" w:name="LastJudge"/>
            <w:r w:rsidRPr="00263C95">
              <w:rPr>
                <w:rFonts w:ascii="Tahoma" w:hAnsi="Tahoma" w:cs="Tahoma"/>
                <w:b/>
                <w:bCs/>
                <w:color w:val="000080"/>
                <w:rtl/>
              </w:rPr>
              <w:t>בית משפט השלום בראשון לציון</w:t>
            </w:r>
          </w:p>
        </w:tc>
      </w:tr>
      <w:tr w:rsidR="00B91FE2" w:rsidRPr="00263C95" w14:paraId="01CBA22B" w14:textId="77777777" w:rsidTr="00BD4591">
        <w:trPr>
          <w:trHeight w:val="337"/>
          <w:jc w:val="center"/>
        </w:trPr>
        <w:tc>
          <w:tcPr>
            <w:tcW w:w="5056" w:type="dxa"/>
          </w:tcPr>
          <w:p w14:paraId="6B574DCB" w14:textId="77777777" w:rsidR="00B91FE2" w:rsidRPr="00263C95" w:rsidRDefault="00B91FE2" w:rsidP="008703FF">
            <w:pPr>
              <w:rPr>
                <w:b/>
                <w:bCs/>
                <w:sz w:val="26"/>
                <w:szCs w:val="26"/>
                <w:rtl/>
              </w:rPr>
            </w:pPr>
            <w:r w:rsidRPr="00263C95">
              <w:rPr>
                <w:b/>
                <w:bCs/>
                <w:sz w:val="26"/>
                <w:szCs w:val="26"/>
                <w:rtl/>
              </w:rPr>
              <w:t>ת"פ</w:t>
            </w:r>
            <w:r w:rsidRPr="00263C95">
              <w:rPr>
                <w:rFonts w:hint="cs"/>
                <w:b/>
                <w:bCs/>
                <w:sz w:val="26"/>
                <w:szCs w:val="26"/>
                <w:rtl/>
              </w:rPr>
              <w:t xml:space="preserve"> </w:t>
            </w:r>
            <w:r w:rsidRPr="00263C95">
              <w:rPr>
                <w:b/>
                <w:bCs/>
                <w:sz w:val="26"/>
                <w:szCs w:val="26"/>
                <w:rtl/>
              </w:rPr>
              <w:t>2717-07-16</w:t>
            </w:r>
            <w:r w:rsidRPr="00263C95">
              <w:rPr>
                <w:rFonts w:hint="cs"/>
                <w:b/>
                <w:bCs/>
                <w:sz w:val="26"/>
                <w:szCs w:val="26"/>
                <w:rtl/>
              </w:rPr>
              <w:t xml:space="preserve"> </w:t>
            </w:r>
            <w:r w:rsidRPr="00263C95">
              <w:rPr>
                <w:b/>
                <w:bCs/>
                <w:sz w:val="26"/>
                <w:szCs w:val="26"/>
                <w:rtl/>
              </w:rPr>
              <w:t>פרקליטות מחוז מרכז נ' יגודייב</w:t>
            </w:r>
          </w:p>
          <w:p w14:paraId="0F5067F3" w14:textId="77777777" w:rsidR="00B91FE2" w:rsidRPr="00263C95" w:rsidRDefault="00B91FE2" w:rsidP="008703FF">
            <w:pPr>
              <w:rPr>
                <w:b/>
                <w:bCs/>
                <w:sz w:val="26"/>
                <w:szCs w:val="26"/>
                <w:rtl/>
              </w:rPr>
            </w:pPr>
            <w:r w:rsidRPr="00263C95">
              <w:rPr>
                <w:b/>
                <w:bCs/>
                <w:sz w:val="26"/>
                <w:szCs w:val="26"/>
                <w:rtl/>
              </w:rPr>
              <w:t>ת"פ</w:t>
            </w:r>
            <w:r w:rsidRPr="00263C95">
              <w:rPr>
                <w:rFonts w:hint="cs"/>
                <w:b/>
                <w:bCs/>
                <w:sz w:val="26"/>
                <w:szCs w:val="26"/>
                <w:rtl/>
              </w:rPr>
              <w:t xml:space="preserve"> 21149-11-18 </w:t>
            </w:r>
            <w:r w:rsidRPr="00263C95">
              <w:rPr>
                <w:b/>
                <w:bCs/>
                <w:sz w:val="26"/>
                <w:szCs w:val="26"/>
                <w:rtl/>
              </w:rPr>
              <w:t xml:space="preserve">     </w:t>
            </w:r>
          </w:p>
        </w:tc>
        <w:tc>
          <w:tcPr>
            <w:tcW w:w="3665" w:type="dxa"/>
          </w:tcPr>
          <w:p w14:paraId="1AB08ADB" w14:textId="77777777" w:rsidR="00B91FE2" w:rsidRPr="00263C95" w:rsidRDefault="00B91FE2" w:rsidP="008703FF">
            <w:pPr>
              <w:pStyle w:val="a3"/>
              <w:jc w:val="right"/>
              <w:rPr>
                <w:b/>
                <w:bCs/>
                <w:sz w:val="26"/>
                <w:szCs w:val="26"/>
                <w:rtl/>
              </w:rPr>
            </w:pPr>
          </w:p>
        </w:tc>
      </w:tr>
    </w:tbl>
    <w:p w14:paraId="7C18FE58" w14:textId="77777777" w:rsidR="00B91FE2" w:rsidRPr="00263C95" w:rsidRDefault="00B91FE2" w:rsidP="00263C95">
      <w:pPr>
        <w:pStyle w:val="a3"/>
        <w:rPr>
          <w:rtl/>
        </w:rPr>
      </w:pPr>
      <w:r w:rsidRPr="00263C9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B91FE2" w:rsidRPr="00263C95" w14:paraId="1A0AF53B" w14:textId="77777777" w:rsidTr="00B91FE2">
        <w:trPr>
          <w:trHeight w:val="295"/>
          <w:jc w:val="center"/>
        </w:trPr>
        <w:tc>
          <w:tcPr>
            <w:tcW w:w="923" w:type="dxa"/>
            <w:tcBorders>
              <w:top w:val="nil"/>
              <w:left w:val="nil"/>
              <w:bottom w:val="nil"/>
              <w:right w:val="nil"/>
            </w:tcBorders>
            <w:shd w:val="clear" w:color="auto" w:fill="auto"/>
          </w:tcPr>
          <w:p w14:paraId="65E2750C" w14:textId="77777777" w:rsidR="00B91FE2" w:rsidRPr="00263C95" w:rsidRDefault="00B91FE2" w:rsidP="00263C95">
            <w:pPr>
              <w:spacing w:before="120" w:after="120"/>
              <w:jc w:val="both"/>
              <w:rPr>
                <w:rFonts w:ascii="Arial" w:hAnsi="Arial"/>
                <w:b/>
                <w:bCs/>
                <w:sz w:val="26"/>
                <w:szCs w:val="26"/>
              </w:rPr>
            </w:pPr>
            <w:r w:rsidRPr="00263C95">
              <w:rPr>
                <w:rFonts w:ascii="Arial" w:hAnsi="Arial" w:hint="cs"/>
                <w:b/>
                <w:bCs/>
                <w:sz w:val="26"/>
                <w:szCs w:val="26"/>
                <w:rtl/>
              </w:rPr>
              <w:t>ב</w:t>
            </w:r>
            <w:r w:rsidRPr="00263C95">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3BB140AD" w14:textId="77777777" w:rsidR="00B91FE2" w:rsidRPr="00263C95" w:rsidRDefault="00B91FE2" w:rsidP="00263C95">
            <w:pPr>
              <w:spacing w:before="120" w:after="120"/>
              <w:jc w:val="both"/>
              <w:rPr>
                <w:rFonts w:ascii="Arial" w:hAnsi="Arial"/>
                <w:b/>
                <w:bCs/>
                <w:sz w:val="26"/>
                <w:szCs w:val="26"/>
              </w:rPr>
            </w:pPr>
            <w:r w:rsidRPr="00263C95">
              <w:rPr>
                <w:rFonts w:ascii="Arial" w:hAnsi="Arial" w:hint="cs"/>
                <w:b/>
                <w:bCs/>
                <w:sz w:val="26"/>
                <w:szCs w:val="26"/>
                <w:rtl/>
              </w:rPr>
              <w:t>כבוד ה</w:t>
            </w:r>
            <w:r w:rsidRPr="00263C95">
              <w:rPr>
                <w:rFonts w:ascii="Arial" w:hAnsi="Arial"/>
                <w:b/>
                <w:bCs/>
                <w:sz w:val="26"/>
                <w:szCs w:val="26"/>
                <w:rtl/>
              </w:rPr>
              <w:t>שופט</w:t>
            </w:r>
            <w:r w:rsidRPr="00263C95">
              <w:rPr>
                <w:rFonts w:ascii="Arial" w:hAnsi="Arial" w:hint="cs"/>
                <w:b/>
                <w:bCs/>
                <w:sz w:val="26"/>
                <w:szCs w:val="26"/>
                <w:rtl/>
              </w:rPr>
              <w:t xml:space="preserve">  </w:t>
            </w:r>
            <w:r w:rsidRPr="00263C95">
              <w:rPr>
                <w:rFonts w:ascii="Arial" w:hAnsi="Arial"/>
                <w:b/>
                <w:bCs/>
                <w:sz w:val="26"/>
                <w:szCs w:val="26"/>
                <w:rtl/>
              </w:rPr>
              <w:t>עמית מיכלס</w:t>
            </w:r>
          </w:p>
        </w:tc>
      </w:tr>
      <w:tr w:rsidR="00B91FE2" w:rsidRPr="00263C95" w14:paraId="78A18F7B" w14:textId="77777777" w:rsidTr="00770D91">
        <w:trPr>
          <w:trHeight w:val="355"/>
          <w:jc w:val="center"/>
        </w:trPr>
        <w:tc>
          <w:tcPr>
            <w:tcW w:w="923" w:type="dxa"/>
            <w:tcBorders>
              <w:top w:val="nil"/>
              <w:left w:val="nil"/>
              <w:bottom w:val="nil"/>
              <w:right w:val="nil"/>
            </w:tcBorders>
            <w:shd w:val="clear" w:color="auto" w:fill="auto"/>
          </w:tcPr>
          <w:p w14:paraId="316E9DBE" w14:textId="77777777" w:rsidR="00B91FE2" w:rsidRPr="00263C95" w:rsidRDefault="00B91FE2" w:rsidP="00263C95">
            <w:pPr>
              <w:spacing w:before="120" w:after="120"/>
              <w:jc w:val="both"/>
              <w:rPr>
                <w:rFonts w:ascii="Arial" w:hAnsi="Arial"/>
                <w:b/>
                <w:bCs/>
                <w:sz w:val="26"/>
                <w:szCs w:val="26"/>
              </w:rPr>
            </w:pPr>
            <w:bookmarkStart w:id="2" w:name="FirstAppellant"/>
            <w:r w:rsidRPr="00263C95">
              <w:rPr>
                <w:rFonts w:ascii="Arial" w:hAnsi="Arial" w:hint="cs"/>
                <w:b/>
                <w:bCs/>
                <w:sz w:val="26"/>
                <w:szCs w:val="26"/>
                <w:rtl/>
              </w:rPr>
              <w:t>בעניין:</w:t>
            </w:r>
          </w:p>
        </w:tc>
        <w:tc>
          <w:tcPr>
            <w:tcW w:w="5220" w:type="dxa"/>
            <w:tcBorders>
              <w:top w:val="nil"/>
              <w:left w:val="nil"/>
              <w:bottom w:val="nil"/>
              <w:right w:val="nil"/>
            </w:tcBorders>
            <w:shd w:val="clear" w:color="auto" w:fill="auto"/>
          </w:tcPr>
          <w:p w14:paraId="7BA65C89" w14:textId="77777777" w:rsidR="00B91FE2" w:rsidRPr="00263C95" w:rsidRDefault="00B91FE2" w:rsidP="00263C95">
            <w:pPr>
              <w:spacing w:before="120" w:after="120"/>
              <w:rPr>
                <w:b/>
                <w:bCs/>
                <w:sz w:val="26"/>
                <w:szCs w:val="26"/>
              </w:rPr>
            </w:pPr>
            <w:r w:rsidRPr="00263C95">
              <w:rPr>
                <w:rFonts w:ascii="Arial" w:hAnsi="Arial"/>
                <w:b/>
                <w:bCs/>
                <w:sz w:val="26"/>
                <w:szCs w:val="26"/>
                <w:rtl/>
              </w:rPr>
              <w:t>פרקליטות מחוז מרכז</w:t>
            </w:r>
            <w:r w:rsidRPr="00263C95">
              <w:rPr>
                <w:rFonts w:ascii="Arial" w:hAnsi="Arial"/>
                <w:b/>
                <w:bCs/>
                <w:sz w:val="26"/>
                <w:szCs w:val="26"/>
                <w:rtl/>
              </w:rPr>
              <w:br/>
            </w:r>
            <w:r w:rsidRPr="00263C95">
              <w:rPr>
                <w:rFonts w:hint="cs"/>
                <w:b/>
                <w:bCs/>
                <w:sz w:val="26"/>
                <w:szCs w:val="26"/>
                <w:rtl/>
              </w:rPr>
              <w:t>באמצעות עו"ד יצחק מורדוך, פרקליטות מחוז מרכז</w:t>
            </w:r>
          </w:p>
        </w:tc>
        <w:tc>
          <w:tcPr>
            <w:tcW w:w="2677" w:type="dxa"/>
            <w:tcBorders>
              <w:top w:val="nil"/>
              <w:left w:val="nil"/>
              <w:bottom w:val="nil"/>
              <w:right w:val="nil"/>
            </w:tcBorders>
            <w:shd w:val="clear" w:color="auto" w:fill="auto"/>
          </w:tcPr>
          <w:p w14:paraId="3838DDCB" w14:textId="77777777" w:rsidR="00B91FE2" w:rsidRPr="00263C95" w:rsidRDefault="00B91FE2" w:rsidP="00263C95">
            <w:pPr>
              <w:spacing w:before="120" w:after="120"/>
              <w:jc w:val="both"/>
              <w:rPr>
                <w:rFonts w:ascii="Arial" w:hAnsi="Arial"/>
                <w:b/>
                <w:bCs/>
                <w:sz w:val="26"/>
                <w:szCs w:val="26"/>
              </w:rPr>
            </w:pPr>
          </w:p>
        </w:tc>
      </w:tr>
      <w:bookmarkEnd w:id="2"/>
      <w:tr w:rsidR="00B91FE2" w:rsidRPr="00263C95" w14:paraId="766EFD5D" w14:textId="77777777" w:rsidTr="00770D91">
        <w:trPr>
          <w:trHeight w:val="355"/>
          <w:jc w:val="center"/>
        </w:trPr>
        <w:tc>
          <w:tcPr>
            <w:tcW w:w="923" w:type="dxa"/>
            <w:tcBorders>
              <w:top w:val="nil"/>
              <w:left w:val="nil"/>
              <w:bottom w:val="nil"/>
              <w:right w:val="nil"/>
            </w:tcBorders>
            <w:shd w:val="clear" w:color="auto" w:fill="auto"/>
          </w:tcPr>
          <w:p w14:paraId="690A609C" w14:textId="77777777" w:rsidR="00B91FE2" w:rsidRPr="00263C95" w:rsidRDefault="00B91FE2" w:rsidP="00263C95">
            <w:pPr>
              <w:spacing w:before="120" w:after="120"/>
              <w:jc w:val="both"/>
              <w:rPr>
                <w:rFonts w:ascii="Arial" w:hAnsi="Arial"/>
                <w:b/>
                <w:bCs/>
                <w:sz w:val="26"/>
                <w:szCs w:val="26"/>
                <w:rtl/>
              </w:rPr>
            </w:pPr>
          </w:p>
        </w:tc>
        <w:tc>
          <w:tcPr>
            <w:tcW w:w="5220" w:type="dxa"/>
            <w:tcBorders>
              <w:top w:val="nil"/>
              <w:left w:val="nil"/>
              <w:bottom w:val="nil"/>
              <w:right w:val="nil"/>
            </w:tcBorders>
            <w:shd w:val="clear" w:color="auto" w:fill="auto"/>
          </w:tcPr>
          <w:p w14:paraId="4E29357C" w14:textId="77777777" w:rsidR="00B91FE2" w:rsidRPr="00263C95" w:rsidRDefault="00B91FE2" w:rsidP="00263C95">
            <w:pPr>
              <w:spacing w:before="120" w:after="120"/>
              <w:jc w:val="both"/>
              <w:rPr>
                <w:b/>
                <w:bCs/>
                <w:sz w:val="26"/>
                <w:szCs w:val="26"/>
                <w:rtl/>
              </w:rPr>
            </w:pPr>
          </w:p>
        </w:tc>
        <w:tc>
          <w:tcPr>
            <w:tcW w:w="2677" w:type="dxa"/>
            <w:tcBorders>
              <w:top w:val="nil"/>
              <w:left w:val="nil"/>
              <w:bottom w:val="nil"/>
              <w:right w:val="nil"/>
            </w:tcBorders>
            <w:shd w:val="clear" w:color="auto" w:fill="auto"/>
          </w:tcPr>
          <w:p w14:paraId="1DF5B6B5" w14:textId="77777777" w:rsidR="00B91FE2" w:rsidRPr="00263C95" w:rsidRDefault="00B91FE2" w:rsidP="00263C95">
            <w:pPr>
              <w:spacing w:before="120" w:after="120"/>
              <w:jc w:val="right"/>
              <w:rPr>
                <w:rFonts w:ascii="Arial" w:hAnsi="Arial"/>
                <w:b/>
                <w:bCs/>
                <w:sz w:val="26"/>
                <w:szCs w:val="26"/>
                <w:rtl/>
              </w:rPr>
            </w:pPr>
            <w:r w:rsidRPr="00263C95">
              <w:rPr>
                <w:rFonts w:ascii="Arial" w:hAnsi="Arial" w:hint="cs"/>
                <w:b/>
                <w:bCs/>
                <w:sz w:val="26"/>
                <w:szCs w:val="26"/>
                <w:rtl/>
              </w:rPr>
              <w:t>ה</w:t>
            </w:r>
            <w:r w:rsidRPr="00263C95">
              <w:rPr>
                <w:rFonts w:ascii="Arial" w:hAnsi="Arial"/>
                <w:b/>
                <w:bCs/>
                <w:sz w:val="26"/>
                <w:szCs w:val="26"/>
                <w:rtl/>
              </w:rPr>
              <w:t>מאשימה</w:t>
            </w:r>
          </w:p>
        </w:tc>
      </w:tr>
      <w:tr w:rsidR="00263C95" w:rsidRPr="00263C95" w14:paraId="729E46A4" w14:textId="77777777" w:rsidTr="00CB369B">
        <w:trPr>
          <w:trHeight w:val="355"/>
          <w:jc w:val="center"/>
        </w:trPr>
        <w:tc>
          <w:tcPr>
            <w:tcW w:w="8820" w:type="dxa"/>
            <w:gridSpan w:val="3"/>
            <w:tcBorders>
              <w:top w:val="nil"/>
              <w:left w:val="nil"/>
              <w:bottom w:val="nil"/>
              <w:right w:val="nil"/>
            </w:tcBorders>
            <w:shd w:val="clear" w:color="auto" w:fill="auto"/>
          </w:tcPr>
          <w:p w14:paraId="1AFAE128" w14:textId="77777777" w:rsidR="00263C95" w:rsidRPr="00263C95" w:rsidRDefault="00263C95" w:rsidP="00B91FE2">
            <w:pPr>
              <w:jc w:val="center"/>
              <w:rPr>
                <w:rFonts w:ascii="Arial" w:hAnsi="Arial"/>
                <w:b/>
                <w:bCs/>
                <w:sz w:val="26"/>
                <w:szCs w:val="26"/>
                <w:rtl/>
              </w:rPr>
            </w:pPr>
          </w:p>
          <w:p w14:paraId="259C857D" w14:textId="77777777" w:rsidR="00263C95" w:rsidRPr="00263C95" w:rsidRDefault="00263C95" w:rsidP="00B91FE2">
            <w:pPr>
              <w:jc w:val="center"/>
              <w:rPr>
                <w:rFonts w:ascii="Arial" w:hAnsi="Arial"/>
                <w:b/>
                <w:bCs/>
                <w:sz w:val="26"/>
                <w:szCs w:val="26"/>
                <w:rtl/>
              </w:rPr>
            </w:pPr>
            <w:r w:rsidRPr="00263C95">
              <w:rPr>
                <w:rFonts w:ascii="Arial" w:hAnsi="Arial"/>
                <w:b/>
                <w:bCs/>
                <w:sz w:val="26"/>
                <w:szCs w:val="26"/>
                <w:rtl/>
              </w:rPr>
              <w:t>נגד</w:t>
            </w:r>
          </w:p>
          <w:p w14:paraId="00B9CA9B" w14:textId="77777777" w:rsidR="00263C95" w:rsidRPr="00263C95" w:rsidRDefault="00263C95" w:rsidP="00B91FE2">
            <w:pPr>
              <w:jc w:val="both"/>
              <w:rPr>
                <w:rFonts w:ascii="Arial" w:hAnsi="Arial"/>
                <w:b/>
                <w:bCs/>
                <w:sz w:val="26"/>
                <w:szCs w:val="26"/>
              </w:rPr>
            </w:pPr>
          </w:p>
        </w:tc>
      </w:tr>
      <w:tr w:rsidR="00B91FE2" w:rsidRPr="00263C95" w14:paraId="490260F1" w14:textId="77777777" w:rsidTr="00770D91">
        <w:trPr>
          <w:trHeight w:val="355"/>
          <w:jc w:val="center"/>
        </w:trPr>
        <w:tc>
          <w:tcPr>
            <w:tcW w:w="923" w:type="dxa"/>
            <w:tcBorders>
              <w:top w:val="nil"/>
              <w:left w:val="nil"/>
              <w:bottom w:val="nil"/>
              <w:right w:val="nil"/>
            </w:tcBorders>
            <w:shd w:val="clear" w:color="auto" w:fill="auto"/>
          </w:tcPr>
          <w:p w14:paraId="3D08F379" w14:textId="77777777" w:rsidR="00B91FE2" w:rsidRPr="00263C95" w:rsidRDefault="00B91FE2" w:rsidP="00263C95">
            <w:pPr>
              <w:spacing w:before="120" w:after="120"/>
              <w:rPr>
                <w:rFonts w:ascii="Arial" w:hAnsi="Arial"/>
                <w:b/>
                <w:bCs/>
                <w:sz w:val="26"/>
                <w:szCs w:val="26"/>
                <w:rtl/>
              </w:rPr>
            </w:pPr>
          </w:p>
        </w:tc>
        <w:tc>
          <w:tcPr>
            <w:tcW w:w="5220" w:type="dxa"/>
            <w:tcBorders>
              <w:top w:val="nil"/>
              <w:left w:val="nil"/>
              <w:bottom w:val="nil"/>
              <w:right w:val="nil"/>
            </w:tcBorders>
            <w:shd w:val="clear" w:color="auto" w:fill="auto"/>
          </w:tcPr>
          <w:p w14:paraId="1B712B92" w14:textId="77777777" w:rsidR="00B91FE2" w:rsidRPr="00263C95" w:rsidRDefault="00B91FE2" w:rsidP="00263C95">
            <w:pPr>
              <w:spacing w:before="120" w:after="120"/>
              <w:rPr>
                <w:b/>
                <w:bCs/>
                <w:sz w:val="26"/>
                <w:szCs w:val="26"/>
                <w:rtl/>
              </w:rPr>
            </w:pPr>
            <w:r w:rsidRPr="00263C95">
              <w:rPr>
                <w:rFonts w:ascii="Arial" w:hAnsi="Arial"/>
                <w:b/>
                <w:bCs/>
                <w:sz w:val="26"/>
                <w:szCs w:val="26"/>
                <w:rtl/>
              </w:rPr>
              <w:t>נתנאל יגודייב</w:t>
            </w:r>
            <w:r w:rsidRPr="00263C95">
              <w:rPr>
                <w:rFonts w:ascii="Arial" w:hAnsi="Arial"/>
                <w:b/>
                <w:bCs/>
                <w:sz w:val="26"/>
                <w:szCs w:val="26"/>
                <w:rtl/>
              </w:rPr>
              <w:br/>
            </w:r>
            <w:r w:rsidRPr="00263C95">
              <w:rPr>
                <w:rFonts w:hint="cs"/>
                <w:b/>
                <w:bCs/>
                <w:sz w:val="26"/>
                <w:szCs w:val="26"/>
                <w:rtl/>
              </w:rPr>
              <w:t>באמצעות ב"כ עו"ד שלום בן שבת</w:t>
            </w:r>
          </w:p>
        </w:tc>
        <w:tc>
          <w:tcPr>
            <w:tcW w:w="2677" w:type="dxa"/>
            <w:tcBorders>
              <w:top w:val="nil"/>
              <w:left w:val="nil"/>
              <w:bottom w:val="nil"/>
              <w:right w:val="nil"/>
            </w:tcBorders>
            <w:shd w:val="clear" w:color="auto" w:fill="auto"/>
          </w:tcPr>
          <w:p w14:paraId="5FA145DF" w14:textId="77777777" w:rsidR="00B91FE2" w:rsidRPr="00263C95" w:rsidRDefault="00B91FE2" w:rsidP="00263C95">
            <w:pPr>
              <w:spacing w:before="120" w:after="120"/>
              <w:jc w:val="right"/>
              <w:rPr>
                <w:rFonts w:ascii="Arial" w:hAnsi="Arial"/>
                <w:b/>
                <w:bCs/>
                <w:sz w:val="26"/>
                <w:szCs w:val="26"/>
              </w:rPr>
            </w:pPr>
          </w:p>
        </w:tc>
      </w:tr>
      <w:tr w:rsidR="00B91FE2" w:rsidRPr="00263C95" w14:paraId="19067E3C" w14:textId="77777777" w:rsidTr="00770D91">
        <w:trPr>
          <w:trHeight w:val="355"/>
          <w:jc w:val="center"/>
        </w:trPr>
        <w:tc>
          <w:tcPr>
            <w:tcW w:w="923" w:type="dxa"/>
            <w:tcBorders>
              <w:top w:val="nil"/>
              <w:left w:val="nil"/>
              <w:bottom w:val="nil"/>
              <w:right w:val="nil"/>
            </w:tcBorders>
            <w:shd w:val="clear" w:color="auto" w:fill="auto"/>
          </w:tcPr>
          <w:p w14:paraId="7B4DCAB9" w14:textId="77777777" w:rsidR="00B91FE2" w:rsidRPr="00263C95" w:rsidRDefault="00B91FE2" w:rsidP="00263C95">
            <w:pPr>
              <w:spacing w:before="120" w:after="120"/>
              <w:jc w:val="both"/>
              <w:rPr>
                <w:rFonts w:ascii="Arial" w:hAnsi="Arial"/>
                <w:b/>
                <w:bCs/>
                <w:sz w:val="26"/>
                <w:szCs w:val="26"/>
                <w:rtl/>
              </w:rPr>
            </w:pPr>
          </w:p>
        </w:tc>
        <w:tc>
          <w:tcPr>
            <w:tcW w:w="5220" w:type="dxa"/>
            <w:tcBorders>
              <w:top w:val="nil"/>
              <w:left w:val="nil"/>
              <w:bottom w:val="nil"/>
              <w:right w:val="nil"/>
            </w:tcBorders>
            <w:shd w:val="clear" w:color="auto" w:fill="auto"/>
          </w:tcPr>
          <w:p w14:paraId="72671EDA" w14:textId="77777777" w:rsidR="00B91FE2" w:rsidRPr="00263C95" w:rsidRDefault="00B91FE2" w:rsidP="00263C95">
            <w:pPr>
              <w:spacing w:before="120" w:after="120"/>
              <w:jc w:val="both"/>
              <w:rPr>
                <w:b/>
                <w:bCs/>
                <w:sz w:val="26"/>
                <w:szCs w:val="26"/>
                <w:rtl/>
              </w:rPr>
            </w:pPr>
          </w:p>
        </w:tc>
        <w:tc>
          <w:tcPr>
            <w:tcW w:w="2677" w:type="dxa"/>
            <w:tcBorders>
              <w:top w:val="nil"/>
              <w:left w:val="nil"/>
              <w:bottom w:val="nil"/>
              <w:right w:val="nil"/>
            </w:tcBorders>
            <w:shd w:val="clear" w:color="auto" w:fill="auto"/>
          </w:tcPr>
          <w:p w14:paraId="791796F0" w14:textId="77777777" w:rsidR="00B91FE2" w:rsidRPr="00263C95" w:rsidRDefault="00B91FE2" w:rsidP="00263C95">
            <w:pPr>
              <w:spacing w:before="120" w:after="120"/>
              <w:jc w:val="right"/>
              <w:rPr>
                <w:rFonts w:ascii="Arial" w:hAnsi="Arial"/>
                <w:b/>
                <w:bCs/>
                <w:sz w:val="26"/>
                <w:szCs w:val="26"/>
              </w:rPr>
            </w:pPr>
            <w:r w:rsidRPr="00263C95">
              <w:rPr>
                <w:rFonts w:ascii="Arial" w:hAnsi="Arial" w:hint="cs"/>
                <w:b/>
                <w:bCs/>
                <w:sz w:val="26"/>
                <w:szCs w:val="26"/>
                <w:rtl/>
              </w:rPr>
              <w:t>ה</w:t>
            </w:r>
            <w:r w:rsidRPr="00263C95">
              <w:rPr>
                <w:rFonts w:ascii="Arial" w:hAnsi="Arial"/>
                <w:b/>
                <w:bCs/>
                <w:sz w:val="26"/>
                <w:szCs w:val="26"/>
                <w:rtl/>
              </w:rPr>
              <w:t>נאשם</w:t>
            </w:r>
          </w:p>
        </w:tc>
      </w:tr>
    </w:tbl>
    <w:p w14:paraId="29257FD1" w14:textId="77777777" w:rsidR="00770D91" w:rsidRPr="00770D91" w:rsidRDefault="00770D91" w:rsidP="00770D91">
      <w:pPr>
        <w:spacing w:after="120" w:line="240" w:lineRule="exact"/>
        <w:ind w:left="283" w:hanging="283"/>
        <w:jc w:val="both"/>
        <w:rPr>
          <w:rFonts w:ascii="FrankRuehl" w:hAnsi="FrankRuehl" w:cs="FrankRuehl"/>
          <w:rtl/>
        </w:rPr>
      </w:pPr>
      <w:bookmarkStart w:id="3" w:name="LawTable"/>
      <w:bookmarkEnd w:id="3"/>
    </w:p>
    <w:p w14:paraId="1EA53B5C" w14:textId="77777777" w:rsidR="00770D91" w:rsidRPr="00770D91" w:rsidRDefault="00770D91" w:rsidP="00770D91">
      <w:pPr>
        <w:spacing w:after="120" w:line="240" w:lineRule="exact"/>
        <w:ind w:left="283" w:hanging="283"/>
        <w:jc w:val="both"/>
        <w:rPr>
          <w:rFonts w:ascii="FrankRuehl" w:hAnsi="FrankRuehl" w:cs="FrankRuehl"/>
          <w:rtl/>
        </w:rPr>
      </w:pPr>
      <w:r w:rsidRPr="00770D91">
        <w:rPr>
          <w:rFonts w:ascii="FrankRuehl" w:hAnsi="FrankRuehl" w:cs="FrankRuehl"/>
          <w:rtl/>
        </w:rPr>
        <w:t xml:space="preserve">חקיקה שאוזכרה: </w:t>
      </w:r>
    </w:p>
    <w:p w14:paraId="43E3085F" w14:textId="77777777" w:rsidR="00770D91" w:rsidRPr="00770D91" w:rsidRDefault="00770D91" w:rsidP="00770D91">
      <w:pPr>
        <w:spacing w:after="120" w:line="240" w:lineRule="exact"/>
        <w:ind w:left="283" w:hanging="283"/>
        <w:jc w:val="both"/>
        <w:rPr>
          <w:rFonts w:ascii="FrankRuehl" w:hAnsi="FrankRuehl" w:cs="FrankRuehl"/>
          <w:rtl/>
        </w:rPr>
      </w:pPr>
      <w:hyperlink r:id="rId6" w:history="1">
        <w:r w:rsidRPr="00770D91">
          <w:rPr>
            <w:rFonts w:ascii="FrankRuehl" w:hAnsi="FrankRuehl" w:cs="FrankRuehl"/>
            <w:color w:val="0000FF"/>
            <w:u w:val="single"/>
            <w:rtl/>
          </w:rPr>
          <w:t>פקודת הסמים המסוכנים [נוסח חדש], תשל"ג-1973</w:t>
        </w:r>
      </w:hyperlink>
      <w:r w:rsidRPr="00770D91">
        <w:rPr>
          <w:rFonts w:ascii="FrankRuehl" w:hAnsi="FrankRuehl" w:cs="FrankRuehl"/>
          <w:rtl/>
        </w:rPr>
        <w:t xml:space="preserve">: סע'  </w:t>
      </w:r>
      <w:hyperlink r:id="rId7" w:history="1">
        <w:r w:rsidRPr="00770D91">
          <w:rPr>
            <w:rFonts w:ascii="FrankRuehl" w:hAnsi="FrankRuehl" w:cs="FrankRuehl"/>
            <w:color w:val="0000FF"/>
            <w:u w:val="single"/>
            <w:rtl/>
          </w:rPr>
          <w:t>7.א.</w:t>
        </w:r>
      </w:hyperlink>
      <w:r w:rsidRPr="00770D91">
        <w:rPr>
          <w:rFonts w:ascii="FrankRuehl" w:hAnsi="FrankRuehl" w:cs="FrankRuehl"/>
          <w:rtl/>
        </w:rPr>
        <w:t xml:space="preserve">, </w:t>
      </w:r>
      <w:hyperlink r:id="rId8" w:history="1">
        <w:r w:rsidRPr="00770D91">
          <w:rPr>
            <w:rFonts w:ascii="FrankRuehl" w:hAnsi="FrankRuehl" w:cs="FrankRuehl"/>
            <w:color w:val="0000FF"/>
            <w:u w:val="single"/>
            <w:rtl/>
          </w:rPr>
          <w:t>7.ג</w:t>
        </w:r>
      </w:hyperlink>
      <w:r w:rsidRPr="00770D91">
        <w:rPr>
          <w:rFonts w:ascii="FrankRuehl" w:hAnsi="FrankRuehl" w:cs="FrankRuehl"/>
          <w:rtl/>
        </w:rPr>
        <w:t xml:space="preserve">, </w:t>
      </w:r>
      <w:hyperlink r:id="rId9" w:history="1">
        <w:r w:rsidRPr="00770D91">
          <w:rPr>
            <w:rFonts w:ascii="FrankRuehl" w:hAnsi="FrankRuehl" w:cs="FrankRuehl"/>
            <w:color w:val="0000FF"/>
            <w:u w:val="single"/>
            <w:rtl/>
          </w:rPr>
          <w:t>10</w:t>
        </w:r>
      </w:hyperlink>
    </w:p>
    <w:p w14:paraId="77C4F714" w14:textId="77777777" w:rsidR="00770D91" w:rsidRPr="00770D91" w:rsidRDefault="00770D91" w:rsidP="00770D91">
      <w:pPr>
        <w:spacing w:after="120" w:line="240" w:lineRule="exact"/>
        <w:ind w:left="283" w:hanging="283"/>
        <w:jc w:val="both"/>
        <w:rPr>
          <w:rFonts w:ascii="FrankRuehl" w:hAnsi="FrankRuehl" w:cs="FrankRuehl"/>
          <w:rtl/>
        </w:rPr>
      </w:pPr>
      <w:hyperlink r:id="rId10" w:history="1">
        <w:r w:rsidRPr="00770D91">
          <w:rPr>
            <w:rFonts w:ascii="FrankRuehl" w:hAnsi="FrankRuehl" w:cs="FrankRuehl"/>
            <w:color w:val="0000FF"/>
            <w:u w:val="single"/>
            <w:rtl/>
          </w:rPr>
          <w:t>חוק העונשין, תשל"ז-1977</w:t>
        </w:r>
      </w:hyperlink>
      <w:r w:rsidRPr="00770D91">
        <w:rPr>
          <w:rFonts w:ascii="FrankRuehl" w:hAnsi="FrankRuehl" w:cs="FrankRuehl"/>
          <w:rtl/>
        </w:rPr>
        <w:t xml:space="preserve">: סע'  </w:t>
      </w:r>
      <w:hyperlink r:id="rId11" w:history="1">
        <w:r w:rsidRPr="00770D91">
          <w:rPr>
            <w:rFonts w:ascii="FrankRuehl" w:hAnsi="FrankRuehl" w:cs="FrankRuehl"/>
            <w:color w:val="0000FF"/>
            <w:u w:val="single"/>
            <w:rtl/>
          </w:rPr>
          <w:t>40ד(א)</w:t>
        </w:r>
      </w:hyperlink>
      <w:r w:rsidRPr="00770D91">
        <w:rPr>
          <w:rFonts w:ascii="FrankRuehl" w:hAnsi="FrankRuehl" w:cs="FrankRuehl"/>
          <w:rtl/>
        </w:rPr>
        <w:t xml:space="preserve">, </w:t>
      </w:r>
      <w:hyperlink r:id="rId12" w:history="1">
        <w:r w:rsidRPr="00770D91">
          <w:rPr>
            <w:rFonts w:ascii="FrankRuehl" w:hAnsi="FrankRuehl" w:cs="FrankRuehl"/>
            <w:color w:val="0000FF"/>
            <w:u w:val="single"/>
            <w:rtl/>
          </w:rPr>
          <w:t>287(א)</w:t>
        </w:r>
      </w:hyperlink>
    </w:p>
    <w:p w14:paraId="5A47C0E9" w14:textId="77777777" w:rsidR="00770D91" w:rsidRPr="00770D91" w:rsidRDefault="00770D91" w:rsidP="00770D91">
      <w:pPr>
        <w:spacing w:after="120" w:line="240" w:lineRule="exact"/>
        <w:ind w:left="283" w:hanging="283"/>
        <w:jc w:val="both"/>
        <w:rPr>
          <w:rFonts w:ascii="FrankRuehl" w:hAnsi="FrankRuehl" w:cs="FrankRuehl"/>
          <w:rtl/>
        </w:rPr>
      </w:pPr>
      <w:hyperlink r:id="rId13" w:history="1">
        <w:r w:rsidRPr="00770D91">
          <w:rPr>
            <w:rFonts w:ascii="FrankRuehl" w:hAnsi="FrankRuehl" w:cs="FrankRuehl"/>
            <w:color w:val="0000FF"/>
            <w:u w:val="single"/>
            <w:rtl/>
          </w:rPr>
          <w:t>פקודת המבחן [נוסח חדש], תשכ"ט-1969</w:t>
        </w:r>
      </w:hyperlink>
    </w:p>
    <w:p w14:paraId="0DC09439" w14:textId="77777777" w:rsidR="00770D91" w:rsidRPr="00770D91" w:rsidRDefault="00770D91" w:rsidP="00770D91">
      <w:pPr>
        <w:spacing w:after="120" w:line="240" w:lineRule="exact"/>
        <w:ind w:left="283" w:hanging="283"/>
        <w:jc w:val="both"/>
        <w:rPr>
          <w:rFonts w:ascii="FrankRuehl" w:hAnsi="FrankRuehl" w:cs="FrankRuehl"/>
          <w:rtl/>
        </w:rPr>
      </w:pPr>
    </w:p>
    <w:p w14:paraId="3002FF90" w14:textId="77777777" w:rsidR="00770D91" w:rsidRDefault="00770D91" w:rsidP="00770D91">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7E12FB45" w14:textId="77777777" w:rsidR="00770D91" w:rsidRPr="00770D91" w:rsidRDefault="00770D91" w:rsidP="00770D91">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770D91">
        <w:rPr>
          <w:rFonts w:cs="FrankRuehl"/>
          <w:szCs w:val="26"/>
          <w:rtl/>
        </w:rPr>
        <w:t>בית המשפט גזר על הנאשם שהורשע, על יסוד הודאתו, בביצוע עבירות שעניינן החזקת סם שלא לצריכה עצמית עונש של צו של"צ בהיקף של 300 שעות. נפסק, כי ההליך השיקומי יוצא הדופן אותו עבר הנאשם, מצדיק חריגה מרף הענישה הרגיל.</w:t>
      </w:r>
    </w:p>
    <w:p w14:paraId="393E7C9B" w14:textId="77777777" w:rsidR="00770D91" w:rsidRDefault="00770D91" w:rsidP="00770D91">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2D3F0793" w14:textId="77777777" w:rsidR="00770D91" w:rsidRDefault="00770D91" w:rsidP="00770D9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6124DE5" w14:textId="77777777" w:rsidR="00770D91" w:rsidRPr="00770D91" w:rsidRDefault="00770D91" w:rsidP="00770D91">
      <w:pPr>
        <w:pBdr>
          <w:top w:val="single" w:sz="4" w:space="1" w:color="auto"/>
          <w:bottom w:val="single" w:sz="4" w:space="1" w:color="auto"/>
        </w:pBdr>
        <w:spacing w:after="120" w:line="320" w:lineRule="exact"/>
        <w:jc w:val="both"/>
        <w:rPr>
          <w:rFonts w:cs="FrankRuehl"/>
          <w:szCs w:val="26"/>
          <w:rtl/>
        </w:rPr>
      </w:pPr>
      <w:r w:rsidRPr="00770D91">
        <w:rPr>
          <w:rFonts w:cs="FrankRuehl"/>
          <w:szCs w:val="26"/>
          <w:rtl/>
        </w:rPr>
        <w:t xml:space="preserve">בית המשפט נדרש לגזור את דינו של הנאשם שהורשע על יסוד הודאתו בכתב אישום מתוקן בעבירות של החזקת סמים שלא לצריכה עצמית; החזקת כלים המשמשים לסם; הפרת הוראה חוקית. במרכז גזר הדין עומדת השאלה: </w:t>
      </w:r>
      <w:r w:rsidRPr="00770D91">
        <w:rPr>
          <w:rFonts w:cs="FrankRuehl"/>
          <w:szCs w:val="26"/>
          <w:rtl/>
          <w:lang w:eastAsia="he-IL"/>
        </w:rPr>
        <w:t>האם יש מקום לחייב את הנאשם לבצע עבודות שירות, או שמא להסתפק בענישה מוחשית בדמות צו של"צ.</w:t>
      </w:r>
    </w:p>
    <w:p w14:paraId="67432C92" w14:textId="77777777" w:rsidR="00770D91" w:rsidRPr="00770D91" w:rsidRDefault="00770D91" w:rsidP="00770D91">
      <w:pPr>
        <w:pBdr>
          <w:top w:val="single" w:sz="4" w:space="1" w:color="auto"/>
          <w:bottom w:val="single" w:sz="4" w:space="1" w:color="auto"/>
        </w:pBdr>
        <w:spacing w:after="120" w:line="320" w:lineRule="exact"/>
        <w:jc w:val="both"/>
        <w:rPr>
          <w:rFonts w:cs="FrankRuehl" w:hint="cs"/>
          <w:szCs w:val="26"/>
          <w:rtl/>
          <w:lang w:eastAsia="he-IL"/>
        </w:rPr>
      </w:pPr>
      <w:r>
        <w:rPr>
          <w:rFonts w:cs="FrankRuehl" w:hint="cs"/>
          <w:szCs w:val="26"/>
          <w:rtl/>
          <w:lang w:eastAsia="he-IL"/>
        </w:rPr>
        <w:t>.</w:t>
      </w:r>
    </w:p>
    <w:p w14:paraId="1711C9D6" w14:textId="77777777" w:rsidR="00770D91" w:rsidRPr="00770D91" w:rsidRDefault="00770D91" w:rsidP="00770D91">
      <w:pPr>
        <w:pBdr>
          <w:top w:val="single" w:sz="4" w:space="1" w:color="auto"/>
          <w:bottom w:val="single" w:sz="4" w:space="1" w:color="auto"/>
        </w:pBdr>
        <w:spacing w:after="120" w:line="320" w:lineRule="exact"/>
        <w:jc w:val="both"/>
        <w:rPr>
          <w:rFonts w:cs="FrankRuehl"/>
          <w:szCs w:val="26"/>
          <w:rtl/>
        </w:rPr>
      </w:pPr>
      <w:r w:rsidRPr="00770D91">
        <w:rPr>
          <w:rFonts w:cs="FrankRuehl"/>
          <w:szCs w:val="26"/>
          <w:rtl/>
          <w:lang w:eastAsia="he-IL"/>
        </w:rPr>
        <w:t>בית המשפט פסק כלהלן:</w:t>
      </w:r>
    </w:p>
    <w:p w14:paraId="2078E6B1" w14:textId="77777777" w:rsidR="00770D91" w:rsidRPr="00770D91" w:rsidRDefault="00770D91" w:rsidP="00770D91">
      <w:pPr>
        <w:pBdr>
          <w:top w:val="single" w:sz="4" w:space="1" w:color="auto"/>
          <w:bottom w:val="single" w:sz="4" w:space="1" w:color="auto"/>
        </w:pBdr>
        <w:spacing w:after="120" w:line="320" w:lineRule="exact"/>
        <w:jc w:val="both"/>
        <w:rPr>
          <w:rFonts w:cs="FrankRuehl"/>
          <w:szCs w:val="26"/>
          <w:rtl/>
        </w:rPr>
      </w:pPr>
      <w:r w:rsidRPr="00770D91">
        <w:rPr>
          <w:rFonts w:cs="FrankRuehl"/>
          <w:szCs w:val="26"/>
          <w:rtl/>
        </w:rPr>
        <w:t xml:space="preserve">הערכים החברתיים עליהם נועדה </w:t>
      </w:r>
      <w:hyperlink r:id="rId14" w:history="1">
        <w:r w:rsidRPr="00770D91">
          <w:rPr>
            <w:rFonts w:cs="FrankRuehl"/>
            <w:szCs w:val="26"/>
            <w:rtl/>
          </w:rPr>
          <w:t>פקודת הסמים המסוכנים</w:t>
        </w:r>
      </w:hyperlink>
      <w:r w:rsidRPr="00770D91">
        <w:rPr>
          <w:rFonts w:cs="FrankRuehl"/>
          <w:szCs w:val="26"/>
          <w:rtl/>
        </w:rPr>
        <w:t xml:space="preserve"> להגן הם שמירה על בריאות הציבור כתוצאה מנזקי השימוש בסמים מסוכנים והשפעתם הממכרת וההרסנית. בתוך כך הוכרה בפסיקה גם ההשפעה </w:t>
      </w:r>
      <w:r w:rsidRPr="00770D91">
        <w:rPr>
          <w:rFonts w:cs="FrankRuehl"/>
          <w:szCs w:val="26"/>
          <w:rtl/>
        </w:rPr>
        <w:lastRenderedPageBreak/>
        <w:t xml:space="preserve">העקיפה הנגרמת כתוצאה משימוש בסמים, ובכלל זה ביצוע עבירות פליליות לצורך השגת הסם, וכפועל יוצא מכך הצורך להגן על ביטחונו האישי של הציבור ועל רכושו. </w:t>
      </w:r>
    </w:p>
    <w:p w14:paraId="5936E6DF" w14:textId="77777777" w:rsidR="00770D91" w:rsidRPr="00770D91" w:rsidRDefault="00770D91" w:rsidP="00770D91">
      <w:pPr>
        <w:pBdr>
          <w:top w:val="single" w:sz="4" w:space="1" w:color="auto"/>
          <w:bottom w:val="single" w:sz="4" w:space="1" w:color="auto"/>
        </w:pBdr>
        <w:spacing w:after="120" w:line="320" w:lineRule="exact"/>
        <w:jc w:val="both"/>
        <w:rPr>
          <w:rFonts w:cs="FrankRuehl"/>
          <w:szCs w:val="26"/>
          <w:rtl/>
        </w:rPr>
      </w:pPr>
      <w:r w:rsidRPr="00770D91">
        <w:rPr>
          <w:rFonts w:cs="FrankRuehl"/>
          <w:szCs w:val="26"/>
          <w:rtl/>
        </w:rPr>
        <w:t>מידת הפגיעה בערך המוגן, במקרה זה, היא בינונית, זאת בשים לב לכמות ולמגוון הסמים שנתפסו.</w:t>
      </w:r>
    </w:p>
    <w:p w14:paraId="2A43D94C" w14:textId="77777777" w:rsidR="00770D91" w:rsidRPr="00770D91" w:rsidRDefault="00770D91" w:rsidP="00770D91">
      <w:pPr>
        <w:pBdr>
          <w:top w:val="single" w:sz="4" w:space="1" w:color="auto"/>
          <w:bottom w:val="single" w:sz="4" w:space="1" w:color="auto"/>
        </w:pBdr>
        <w:spacing w:after="120" w:line="320" w:lineRule="exact"/>
        <w:jc w:val="both"/>
        <w:rPr>
          <w:rFonts w:cs="FrankRuehl"/>
          <w:szCs w:val="26"/>
          <w:rtl/>
        </w:rPr>
      </w:pPr>
      <w:r w:rsidRPr="00770D91">
        <w:rPr>
          <w:rFonts w:cs="FrankRuehl"/>
          <w:szCs w:val="26"/>
          <w:rtl/>
        </w:rPr>
        <w:t>מדיניות הענישה הנוהגת בעבירות של החזקת סם שלא לצריכה עצמית כוללת מנעד רחב ביותר של עונשים, המושפע מנסיבותיו הייחודיות של המקרה הנדון, ובכלל זה סוג הסמים שנמצאו, מבחר סוגי הסמים שנמצאו וכמות הסמים מכל סוג.</w:t>
      </w:r>
    </w:p>
    <w:p w14:paraId="07F3FBC0" w14:textId="77777777" w:rsidR="00770D91" w:rsidRPr="00770D91" w:rsidRDefault="00770D91" w:rsidP="00770D91">
      <w:pPr>
        <w:pBdr>
          <w:top w:val="single" w:sz="4" w:space="1" w:color="auto"/>
          <w:bottom w:val="single" w:sz="4" w:space="1" w:color="auto"/>
        </w:pBdr>
        <w:spacing w:after="120" w:line="320" w:lineRule="exact"/>
        <w:jc w:val="both"/>
        <w:rPr>
          <w:rFonts w:cs="FrankRuehl"/>
          <w:szCs w:val="26"/>
          <w:rtl/>
        </w:rPr>
      </w:pPr>
      <w:r w:rsidRPr="00770D91">
        <w:rPr>
          <w:rFonts w:cs="FrankRuehl"/>
          <w:szCs w:val="26"/>
          <w:rtl/>
        </w:rPr>
        <w:t>בנסיבותיו של מקרה זה, יש להכיר בהליך השיקומי כהליך המצדיק חריגה מרף הענישה הרגיל.</w:t>
      </w:r>
    </w:p>
    <w:p w14:paraId="360D9EA3" w14:textId="77777777" w:rsidR="00770D91" w:rsidRPr="00770D91" w:rsidRDefault="00770D91" w:rsidP="00B91FE2">
      <w:pPr>
        <w:rPr>
          <w:rtl/>
        </w:rPr>
      </w:pPr>
      <w:bookmarkStart w:id="6" w:name="ABSTRACT_END"/>
      <w:bookmarkEnd w:id="6"/>
    </w:p>
    <w:p w14:paraId="438B9B4C" w14:textId="77777777" w:rsidR="00770D91" w:rsidRPr="00770D91" w:rsidRDefault="00770D91" w:rsidP="00B91FE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91FE2" w:rsidRPr="00BD4591" w14:paraId="4984BAC7" w14:textId="77777777" w:rsidTr="00B91FE2">
        <w:trPr>
          <w:trHeight w:val="355"/>
          <w:jc w:val="center"/>
        </w:trPr>
        <w:tc>
          <w:tcPr>
            <w:tcW w:w="8820" w:type="dxa"/>
            <w:tcBorders>
              <w:top w:val="nil"/>
              <w:left w:val="nil"/>
              <w:bottom w:val="nil"/>
              <w:right w:val="nil"/>
            </w:tcBorders>
            <w:shd w:val="clear" w:color="auto" w:fill="auto"/>
          </w:tcPr>
          <w:p w14:paraId="5DD18268" w14:textId="77777777" w:rsidR="00B91FE2" w:rsidRPr="00BD4591" w:rsidRDefault="00DB0CC4" w:rsidP="00DB0CC4">
            <w:pPr>
              <w:jc w:val="center"/>
              <w:rPr>
                <w:rFonts w:ascii="Arial" w:hAnsi="Arial"/>
                <w:bCs/>
                <w:sz w:val="32"/>
                <w:szCs w:val="32"/>
                <w:u w:val="single"/>
                <w:rtl/>
              </w:rPr>
            </w:pPr>
            <w:bookmarkStart w:id="7" w:name="PsakDin" w:colFirst="0" w:colLast="0"/>
            <w:bookmarkEnd w:id="0"/>
            <w:bookmarkEnd w:id="1"/>
            <w:r w:rsidRPr="00BD4591">
              <w:rPr>
                <w:rFonts w:ascii="Arial" w:hAnsi="Arial"/>
                <w:b/>
                <w:bCs/>
                <w:sz w:val="32"/>
                <w:szCs w:val="32"/>
                <w:u w:val="single"/>
                <w:rtl/>
              </w:rPr>
              <w:t>גזר דין</w:t>
            </w:r>
          </w:p>
        </w:tc>
      </w:tr>
      <w:bookmarkEnd w:id="7"/>
    </w:tbl>
    <w:p w14:paraId="03FE4CD2" w14:textId="77777777" w:rsidR="00B91FE2" w:rsidRPr="00BD4591" w:rsidRDefault="00B91FE2" w:rsidP="00B91FE2">
      <w:pPr>
        <w:rPr>
          <w:rFonts w:ascii="Arial" w:hAnsi="Arial"/>
          <w:rtl/>
        </w:rPr>
      </w:pPr>
    </w:p>
    <w:p w14:paraId="4DD5D6AD" w14:textId="77777777" w:rsidR="00B91FE2" w:rsidRPr="00BD4591" w:rsidRDefault="00B91FE2" w:rsidP="00B91FE2">
      <w:pPr>
        <w:rPr>
          <w:rFonts w:ascii="Arial" w:hAnsi="Arial"/>
          <w:rtl/>
        </w:rPr>
      </w:pPr>
    </w:p>
    <w:p w14:paraId="1F998224" w14:textId="77777777" w:rsidR="00B91FE2" w:rsidRPr="00BD4591" w:rsidRDefault="00B91FE2" w:rsidP="00B91FE2">
      <w:pPr>
        <w:rPr>
          <w:rFonts w:ascii="Arial" w:hAnsi="Arial"/>
          <w:sz w:val="28"/>
          <w:szCs w:val="28"/>
          <w:rtl/>
        </w:rPr>
      </w:pPr>
      <w:r w:rsidRPr="00BD4591">
        <w:rPr>
          <w:rFonts w:ascii="Arial" w:hAnsi="Arial" w:hint="cs"/>
          <w:sz w:val="28"/>
          <w:szCs w:val="28"/>
          <w:rtl/>
        </w:rPr>
        <w:t>כתב האישום</w:t>
      </w:r>
    </w:p>
    <w:p w14:paraId="5F226A01" w14:textId="77777777" w:rsidR="00B91FE2" w:rsidRPr="00BD4591" w:rsidRDefault="00B91FE2" w:rsidP="00B91FE2">
      <w:pPr>
        <w:spacing w:line="360" w:lineRule="auto"/>
        <w:rPr>
          <w:rFonts w:ascii="Calibri" w:hAnsi="Calibri"/>
          <w:sz w:val="28"/>
          <w:szCs w:val="28"/>
          <w:rtl/>
        </w:rPr>
      </w:pPr>
    </w:p>
    <w:p w14:paraId="46499AC7" w14:textId="77777777" w:rsidR="00B91FE2" w:rsidRPr="00BD4591" w:rsidRDefault="00B91FE2" w:rsidP="00B91FE2">
      <w:pPr>
        <w:spacing w:line="360" w:lineRule="auto"/>
        <w:jc w:val="both"/>
        <w:rPr>
          <w:rFonts w:ascii="Arial" w:hAnsi="Arial"/>
          <w:sz w:val="28"/>
          <w:szCs w:val="28"/>
          <w:rtl/>
        </w:rPr>
      </w:pPr>
      <w:r w:rsidRPr="00BD4591">
        <w:rPr>
          <w:rFonts w:ascii="Calibri" w:hAnsi="Calibri" w:hint="cs"/>
          <w:sz w:val="28"/>
          <w:szCs w:val="28"/>
          <w:rtl/>
        </w:rPr>
        <w:t>1.</w:t>
      </w:r>
      <w:r w:rsidRPr="00BD4591">
        <w:rPr>
          <w:rFonts w:ascii="Calibri" w:hAnsi="Calibri" w:hint="cs"/>
          <w:sz w:val="28"/>
          <w:szCs w:val="28"/>
          <w:rtl/>
        </w:rPr>
        <w:tab/>
        <w:t>הנאשם הורשע על יסוד הודאתו בכתב אישום מתוקן</w:t>
      </w:r>
      <w:r w:rsidRPr="00BD4591">
        <w:rPr>
          <w:rFonts w:ascii="Arial" w:hAnsi="Arial" w:hint="cs"/>
          <w:sz w:val="28"/>
          <w:szCs w:val="28"/>
          <w:rtl/>
        </w:rPr>
        <w:t xml:space="preserve"> בשלישית בעבירות </w:t>
      </w:r>
      <w:r w:rsidRPr="00BD4591">
        <w:rPr>
          <w:rFonts w:ascii="Arial" w:hAnsi="Arial" w:hint="cs"/>
          <w:b/>
          <w:bCs/>
          <w:sz w:val="28"/>
          <w:szCs w:val="28"/>
          <w:rtl/>
        </w:rPr>
        <w:t>של החזקת סמים שלא לצריכה עצמית</w:t>
      </w:r>
      <w:r w:rsidRPr="00BD4591">
        <w:rPr>
          <w:rFonts w:ascii="Arial" w:hAnsi="Arial" w:hint="cs"/>
          <w:sz w:val="28"/>
          <w:szCs w:val="28"/>
          <w:rtl/>
        </w:rPr>
        <w:t xml:space="preserve">, לפי סעיף </w:t>
      </w:r>
      <w:hyperlink r:id="rId15" w:history="1">
        <w:r w:rsidR="00BD4591" w:rsidRPr="00BD4591">
          <w:rPr>
            <w:rFonts w:ascii="Arial" w:hAnsi="Arial"/>
            <w:color w:val="0000FF"/>
            <w:sz w:val="28"/>
            <w:szCs w:val="28"/>
            <w:u w:val="single"/>
            <w:rtl/>
          </w:rPr>
          <w:t>7(א)+ (ג)</w:t>
        </w:r>
      </w:hyperlink>
      <w:r w:rsidRPr="00BD4591">
        <w:rPr>
          <w:rFonts w:ascii="Arial" w:hAnsi="Arial" w:hint="cs"/>
          <w:sz w:val="28"/>
          <w:szCs w:val="28"/>
          <w:rtl/>
        </w:rPr>
        <w:t xml:space="preserve"> רישא ל</w:t>
      </w:r>
      <w:hyperlink r:id="rId16" w:history="1">
        <w:r w:rsidR="00DB0CC4" w:rsidRPr="00BD4591">
          <w:rPr>
            <w:rFonts w:ascii="Arial" w:hAnsi="Arial"/>
            <w:color w:val="0000FF"/>
            <w:sz w:val="28"/>
            <w:szCs w:val="28"/>
            <w:u w:val="single"/>
            <w:rtl/>
          </w:rPr>
          <w:t>פקודת הסמים המסוכנים</w:t>
        </w:r>
      </w:hyperlink>
      <w:r w:rsidRPr="00BD4591">
        <w:rPr>
          <w:rFonts w:ascii="Arial" w:hAnsi="Arial" w:hint="cs"/>
          <w:sz w:val="28"/>
          <w:szCs w:val="28"/>
          <w:rtl/>
        </w:rPr>
        <w:t xml:space="preserve"> [נוסח חדש] התשל"ג- 1973 (להלן: הפקודה); </w:t>
      </w:r>
      <w:r w:rsidRPr="00BD4591">
        <w:rPr>
          <w:rFonts w:ascii="Arial" w:hAnsi="Arial" w:hint="cs"/>
          <w:b/>
          <w:bCs/>
          <w:sz w:val="28"/>
          <w:szCs w:val="28"/>
          <w:rtl/>
        </w:rPr>
        <w:t>החזקת כלים המשמשים לסם</w:t>
      </w:r>
      <w:r w:rsidRPr="00BD4591">
        <w:rPr>
          <w:rFonts w:ascii="Arial" w:hAnsi="Arial" w:hint="cs"/>
          <w:sz w:val="28"/>
          <w:szCs w:val="28"/>
          <w:rtl/>
        </w:rPr>
        <w:t xml:space="preserve">- עבירה לפי </w:t>
      </w:r>
      <w:hyperlink r:id="rId17" w:history="1">
        <w:r w:rsidR="00BD4591" w:rsidRPr="00BD4591">
          <w:rPr>
            <w:rFonts w:ascii="Arial" w:hAnsi="Arial"/>
            <w:color w:val="0000FF"/>
            <w:sz w:val="28"/>
            <w:szCs w:val="28"/>
            <w:u w:val="single"/>
            <w:rtl/>
          </w:rPr>
          <w:t>סעיף 10</w:t>
        </w:r>
      </w:hyperlink>
      <w:r w:rsidRPr="00BD4591">
        <w:rPr>
          <w:rFonts w:ascii="Arial" w:hAnsi="Arial" w:hint="cs"/>
          <w:sz w:val="28"/>
          <w:szCs w:val="28"/>
          <w:rtl/>
        </w:rPr>
        <w:t xml:space="preserve"> רישא לפקודה ולפי </w:t>
      </w:r>
      <w:hyperlink r:id="rId18" w:history="1">
        <w:r w:rsidR="00BD4591" w:rsidRPr="00BD4591">
          <w:rPr>
            <w:rFonts w:ascii="Arial" w:hAnsi="Arial"/>
            <w:color w:val="0000FF"/>
            <w:sz w:val="28"/>
            <w:szCs w:val="28"/>
            <w:u w:val="single"/>
            <w:rtl/>
          </w:rPr>
          <w:t>סעיף 10</w:t>
        </w:r>
      </w:hyperlink>
      <w:r w:rsidRPr="00BD4591">
        <w:rPr>
          <w:rFonts w:ascii="Arial" w:hAnsi="Arial" w:hint="cs"/>
          <w:sz w:val="28"/>
          <w:szCs w:val="28"/>
          <w:rtl/>
        </w:rPr>
        <w:t xml:space="preserve"> סיפא לפקודה; </w:t>
      </w:r>
      <w:r w:rsidRPr="00BD4591">
        <w:rPr>
          <w:rFonts w:ascii="Arial" w:hAnsi="Arial" w:hint="cs"/>
          <w:b/>
          <w:bCs/>
          <w:sz w:val="28"/>
          <w:szCs w:val="28"/>
          <w:rtl/>
        </w:rPr>
        <w:t>הפרת הוראה חוקית</w:t>
      </w:r>
      <w:r w:rsidRPr="00BD4591">
        <w:rPr>
          <w:rFonts w:ascii="Arial" w:hAnsi="Arial" w:hint="cs"/>
          <w:sz w:val="28"/>
          <w:szCs w:val="28"/>
          <w:rtl/>
        </w:rPr>
        <w:t xml:space="preserve">, לפי </w:t>
      </w:r>
      <w:hyperlink r:id="rId19" w:history="1">
        <w:r w:rsidR="00BD4591" w:rsidRPr="00BD4591">
          <w:rPr>
            <w:rFonts w:ascii="Arial" w:hAnsi="Arial"/>
            <w:color w:val="0000FF"/>
            <w:sz w:val="28"/>
            <w:szCs w:val="28"/>
            <w:u w:val="single"/>
            <w:rtl/>
          </w:rPr>
          <w:t>סעיף 287(א)</w:t>
        </w:r>
      </w:hyperlink>
      <w:r w:rsidRPr="00BD4591">
        <w:rPr>
          <w:rFonts w:ascii="Arial" w:hAnsi="Arial" w:hint="cs"/>
          <w:sz w:val="28"/>
          <w:szCs w:val="28"/>
          <w:rtl/>
        </w:rPr>
        <w:t xml:space="preserve"> ל</w:t>
      </w:r>
      <w:hyperlink r:id="rId20" w:history="1">
        <w:r w:rsidR="00DB0CC4" w:rsidRPr="00BD4591">
          <w:rPr>
            <w:rFonts w:ascii="Arial" w:hAnsi="Arial"/>
            <w:color w:val="0000FF"/>
            <w:sz w:val="28"/>
            <w:szCs w:val="28"/>
            <w:u w:val="single"/>
            <w:rtl/>
          </w:rPr>
          <w:t>חוק העונשין</w:t>
        </w:r>
      </w:hyperlink>
      <w:r w:rsidRPr="00BD4591">
        <w:rPr>
          <w:rFonts w:ascii="Arial" w:hAnsi="Arial" w:hint="cs"/>
          <w:sz w:val="28"/>
          <w:szCs w:val="28"/>
          <w:rtl/>
        </w:rPr>
        <w:t>, התשל"ז- 1977.</w:t>
      </w:r>
    </w:p>
    <w:p w14:paraId="10C3AC26"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br/>
        <w:t>2.</w:t>
      </w:r>
      <w:r w:rsidRPr="00BD4591">
        <w:rPr>
          <w:rFonts w:ascii="Arial" w:hAnsi="Arial" w:hint="cs"/>
          <w:sz w:val="28"/>
          <w:szCs w:val="28"/>
          <w:rtl/>
        </w:rPr>
        <w:tab/>
        <w:t xml:space="preserve">בהמשך צירף הנאשם כתב אישום נוסף - </w:t>
      </w:r>
      <w:r w:rsidR="00DB0CC4" w:rsidRPr="00263C95">
        <w:rPr>
          <w:rFonts w:ascii="Arial" w:hAnsi="Arial"/>
          <w:sz w:val="28"/>
          <w:szCs w:val="28"/>
          <w:rtl/>
        </w:rPr>
        <w:t>ת"פ 21149-11-18</w:t>
      </w:r>
      <w:r w:rsidRPr="00BD4591">
        <w:rPr>
          <w:rFonts w:ascii="Arial" w:hAnsi="Arial" w:hint="cs"/>
          <w:sz w:val="28"/>
          <w:szCs w:val="28"/>
          <w:rtl/>
        </w:rPr>
        <w:t xml:space="preserve"> של בית משפט השלום בת"א, במסגרתו הורשע בעבירה </w:t>
      </w:r>
      <w:r w:rsidRPr="00BD4591">
        <w:rPr>
          <w:rFonts w:ascii="Arial" w:hAnsi="Arial" w:hint="cs"/>
          <w:b/>
          <w:bCs/>
          <w:sz w:val="28"/>
          <w:szCs w:val="28"/>
          <w:rtl/>
        </w:rPr>
        <w:t>של החזקת סמים שלא לצריכה עצמית</w:t>
      </w:r>
      <w:r w:rsidRPr="00BD4591">
        <w:rPr>
          <w:rFonts w:ascii="Arial" w:hAnsi="Arial" w:hint="cs"/>
          <w:sz w:val="28"/>
          <w:szCs w:val="28"/>
          <w:rtl/>
        </w:rPr>
        <w:t xml:space="preserve">, לפי </w:t>
      </w:r>
      <w:hyperlink r:id="rId21" w:history="1">
        <w:r w:rsidR="00BD4591" w:rsidRPr="00BD4591">
          <w:rPr>
            <w:rFonts w:ascii="Arial" w:hAnsi="Arial"/>
            <w:color w:val="0000FF"/>
            <w:sz w:val="28"/>
            <w:szCs w:val="28"/>
            <w:u w:val="single"/>
            <w:rtl/>
          </w:rPr>
          <w:t>סעיף 7(א)+(ג)</w:t>
        </w:r>
      </w:hyperlink>
      <w:r w:rsidRPr="00BD4591">
        <w:rPr>
          <w:rFonts w:ascii="Arial" w:hAnsi="Arial" w:hint="cs"/>
          <w:sz w:val="28"/>
          <w:szCs w:val="28"/>
          <w:rtl/>
        </w:rPr>
        <w:t xml:space="preserve"> רישא לפקודה.</w:t>
      </w:r>
    </w:p>
    <w:p w14:paraId="3DAFD7D7" w14:textId="77777777" w:rsidR="00B91FE2" w:rsidRPr="00BD4591" w:rsidRDefault="00B91FE2" w:rsidP="00B91FE2">
      <w:pPr>
        <w:spacing w:line="360" w:lineRule="auto"/>
        <w:jc w:val="both"/>
        <w:rPr>
          <w:rFonts w:ascii="Arial" w:hAnsi="Arial"/>
          <w:sz w:val="28"/>
          <w:szCs w:val="28"/>
          <w:u w:val="single"/>
          <w:rtl/>
        </w:rPr>
      </w:pPr>
      <w:r w:rsidRPr="00BD4591">
        <w:rPr>
          <w:rFonts w:ascii="Arial" w:hAnsi="Arial" w:hint="cs"/>
          <w:sz w:val="28"/>
          <w:szCs w:val="28"/>
          <w:rtl/>
        </w:rPr>
        <w:br/>
        <w:t>3.</w:t>
      </w:r>
      <w:r w:rsidRPr="00BD4591">
        <w:rPr>
          <w:rFonts w:ascii="Arial" w:hAnsi="Arial" w:hint="cs"/>
          <w:sz w:val="28"/>
          <w:szCs w:val="28"/>
          <w:rtl/>
        </w:rPr>
        <w:tab/>
        <w:t>להלן יובאו בתמצית עובדות כתבי האישום.</w:t>
      </w:r>
    </w:p>
    <w:p w14:paraId="1DF82920" w14:textId="77777777" w:rsidR="00B91FE2" w:rsidRPr="00BD4591" w:rsidRDefault="00B91FE2" w:rsidP="00B91FE2">
      <w:pPr>
        <w:spacing w:line="360" w:lineRule="auto"/>
        <w:jc w:val="both"/>
        <w:rPr>
          <w:rFonts w:ascii="Arial" w:hAnsi="Arial"/>
          <w:sz w:val="28"/>
          <w:szCs w:val="28"/>
          <w:u w:val="single"/>
          <w:rtl/>
        </w:rPr>
      </w:pPr>
    </w:p>
    <w:p w14:paraId="544E782E"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b/>
          <w:bCs/>
          <w:sz w:val="28"/>
          <w:szCs w:val="28"/>
          <w:u w:val="single"/>
          <w:rtl/>
        </w:rPr>
        <w:t xml:space="preserve">עובדות כתב האישום המתוקן בשלישית </w:t>
      </w:r>
      <w:r w:rsidRPr="00263C95">
        <w:rPr>
          <w:rFonts w:ascii="Arial" w:hAnsi="Arial" w:hint="cs"/>
          <w:b/>
          <w:bCs/>
          <w:sz w:val="28"/>
          <w:szCs w:val="28"/>
          <w:u w:val="single"/>
          <w:rtl/>
        </w:rPr>
        <w:t>ב</w:t>
      </w:r>
      <w:r w:rsidR="00DB0CC4" w:rsidRPr="00263C95">
        <w:rPr>
          <w:rFonts w:ascii="Arial" w:hAnsi="Arial"/>
          <w:b/>
          <w:bCs/>
          <w:sz w:val="28"/>
          <w:szCs w:val="28"/>
          <w:u w:val="single"/>
          <w:rtl/>
        </w:rPr>
        <w:t>ת"פ 2717-07-16</w:t>
      </w:r>
      <w:r w:rsidR="00DB0CC4" w:rsidRPr="00263C95">
        <w:rPr>
          <w:rFonts w:ascii="Arial" w:hAnsi="Arial"/>
          <w:b/>
          <w:bCs/>
          <w:sz w:val="28"/>
          <w:szCs w:val="28"/>
          <w:rtl/>
        </w:rPr>
        <w:cr/>
      </w:r>
      <w:r w:rsidRPr="00BD4591">
        <w:rPr>
          <w:rFonts w:ascii="Arial" w:hAnsi="Arial" w:hint="cs"/>
          <w:sz w:val="28"/>
          <w:szCs w:val="28"/>
          <w:rtl/>
        </w:rPr>
        <w:br/>
        <w:t xml:space="preserve">על פי פרט האישום הראשון, ביום 9.6.16, החזיק הנאשם במקומות שונים בביתו סמים מסוכנים שלא לצריכה עצמית: בארון בגדים בחדרו של אחיו בן ה-16 החזיק בסם מסוכן מסוג חשיש במשקל 90.35 גרם נטו; בסם מסוכן מסוג קנבוס במשקל 26.23 גרם נטו; בסם מסוכן מסוג קנבוס במשקל 0.99 גרם נטו; בסם מסוכן מסוג </w:t>
      </w:r>
      <w:r w:rsidRPr="00BD4591">
        <w:rPr>
          <w:rFonts w:ascii="Arial" w:hAnsi="Arial"/>
          <w:sz w:val="28"/>
          <w:szCs w:val="28"/>
        </w:rPr>
        <w:t>MDMA</w:t>
      </w:r>
      <w:r w:rsidRPr="00BD4591">
        <w:rPr>
          <w:rFonts w:ascii="Arial" w:hAnsi="Arial" w:hint="cs"/>
          <w:sz w:val="28"/>
          <w:szCs w:val="28"/>
          <w:rtl/>
        </w:rPr>
        <w:t xml:space="preserve"> במשקל 4.256 גרם נטו; ובנוזל המכיל סם מסוכן מסוג </w:t>
      </w:r>
      <w:r w:rsidRPr="00BD4591">
        <w:rPr>
          <w:rFonts w:ascii="Arial" w:hAnsi="Arial"/>
          <w:sz w:val="28"/>
          <w:szCs w:val="28"/>
        </w:rPr>
        <w:t>LSD</w:t>
      </w:r>
      <w:r w:rsidRPr="00BD4591">
        <w:rPr>
          <w:rFonts w:ascii="Arial" w:hAnsi="Arial" w:hint="cs"/>
          <w:sz w:val="28"/>
          <w:szCs w:val="28"/>
          <w:rtl/>
        </w:rPr>
        <w:t xml:space="preserve"> בכמות מועטה.</w:t>
      </w:r>
    </w:p>
    <w:p w14:paraId="61656875"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lastRenderedPageBreak/>
        <w:t xml:space="preserve">בחדרו של אחיו הבוגר, החזיק הנאשם בסם מסוכן מסוג קנבוס במשקל 0.7696 גרם נטו; בסם מסוכן מסוג חשיש במשקל 0.5602 גרם נטו; בסם מסוכן מסוג </w:t>
      </w:r>
      <w:r w:rsidRPr="00BD4591">
        <w:rPr>
          <w:rFonts w:ascii="Arial" w:hAnsi="Arial"/>
          <w:sz w:val="28"/>
          <w:szCs w:val="28"/>
        </w:rPr>
        <w:t>MDMA</w:t>
      </w:r>
      <w:r w:rsidRPr="00BD4591">
        <w:rPr>
          <w:rFonts w:ascii="Arial" w:hAnsi="Arial" w:hint="cs"/>
          <w:sz w:val="28"/>
          <w:szCs w:val="28"/>
          <w:rtl/>
        </w:rPr>
        <w:t xml:space="preserve"> במשקל 0.2042 גרם נטו; בסם מסוכן מסוג </w:t>
      </w:r>
      <w:r w:rsidRPr="00BD4591">
        <w:rPr>
          <w:rFonts w:ascii="Arial" w:hAnsi="Arial"/>
          <w:sz w:val="28"/>
          <w:szCs w:val="28"/>
        </w:rPr>
        <w:t>MDMA</w:t>
      </w:r>
      <w:r w:rsidRPr="00BD4591">
        <w:rPr>
          <w:rFonts w:ascii="Arial" w:hAnsi="Arial" w:hint="cs"/>
          <w:sz w:val="28"/>
          <w:szCs w:val="28"/>
          <w:rtl/>
        </w:rPr>
        <w:t xml:space="preserve"> במשקל 19.38 גרם נטו; ב-154 ריבועי נייר המכילים סם מסוכן מסוג </w:t>
      </w:r>
      <w:r w:rsidRPr="00BD4591">
        <w:rPr>
          <w:rFonts w:ascii="Arial" w:hAnsi="Arial"/>
          <w:sz w:val="28"/>
          <w:szCs w:val="28"/>
        </w:rPr>
        <w:t>LSD</w:t>
      </w:r>
      <w:r w:rsidRPr="00BD4591">
        <w:rPr>
          <w:rFonts w:ascii="Arial" w:hAnsi="Arial" w:hint="cs"/>
          <w:sz w:val="28"/>
          <w:szCs w:val="28"/>
          <w:rtl/>
        </w:rPr>
        <w:t>; ובכלי לעישון סמים "באנג".</w:t>
      </w:r>
    </w:p>
    <w:p w14:paraId="0A6531FD"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 xml:space="preserve">בסלון הבית החזיק הנאשם בסם מסוכן מסוג </w:t>
      </w:r>
      <w:r w:rsidRPr="00BD4591">
        <w:rPr>
          <w:rFonts w:ascii="Arial" w:hAnsi="Arial"/>
          <w:sz w:val="28"/>
          <w:szCs w:val="28"/>
        </w:rPr>
        <w:t>MDMA</w:t>
      </w:r>
      <w:r w:rsidRPr="00BD4591">
        <w:rPr>
          <w:rFonts w:ascii="Arial" w:hAnsi="Arial" w:hint="cs"/>
          <w:sz w:val="28"/>
          <w:szCs w:val="28"/>
          <w:rtl/>
        </w:rPr>
        <w:t xml:space="preserve"> במשקל 5.9693 גרם נטו.</w:t>
      </w:r>
    </w:p>
    <w:p w14:paraId="673B7673"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 xml:space="preserve">ברכב מסוג שברולט אשר בבעלות אביו של הנאשם, החזיק הנאשם בסם מסוכן מסוג חשיש במשקל 102.97 גרם נטו, וב-75 ריבועי נייר המכילים סם מסוכן מסוג </w:t>
      </w:r>
      <w:r w:rsidRPr="00BD4591">
        <w:rPr>
          <w:rFonts w:ascii="Arial" w:hAnsi="Arial"/>
          <w:sz w:val="28"/>
          <w:szCs w:val="28"/>
        </w:rPr>
        <w:t>LSD</w:t>
      </w:r>
      <w:r w:rsidRPr="00BD4591">
        <w:rPr>
          <w:rFonts w:ascii="Arial" w:hAnsi="Arial" w:hint="cs"/>
          <w:sz w:val="28"/>
          <w:szCs w:val="28"/>
          <w:rtl/>
        </w:rPr>
        <w:t>.</w:t>
      </w:r>
    </w:p>
    <w:p w14:paraId="6F3BF4D0"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br/>
        <w:t>על פי פרט האישום השני, במסגרת דיון מעצר לצרכי חקירה שנערך ביום 26.6.16, שוחרר הנאשם בתנאים מגבילים הכוללים מעצר בית מלא בביתו בפיקוח מתמיד של אמו. בהמשך, במסגרת דיון בבקשה למעצרו עד תם ההליכים שנערך ביום 11.7.16 אושרה לנאשם "שעת התאווררות" מדי יום בין השעות 19:00-20:00, בפיקוח מתמיד של אמו.</w:t>
      </w:r>
    </w:p>
    <w:p w14:paraId="6A2BC400"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ביום 7.8.16, עם היוודע למשפחה על פטירת סבתו של הנאשם, הפר הנאשם את ההוראה החוקית, בכך שנסע ביחד עם אמו לבאר שבע. הנאשם ואמו חזרו לביתם רק ביום המחרת.</w:t>
      </w:r>
    </w:p>
    <w:p w14:paraId="2C0B1855"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ביום 15.8.16 נסעו הנאשם ואמו פעם נוספת לבאר שבע וחזרו לביתם מאוחר יותר באותו היום.</w:t>
      </w:r>
    </w:p>
    <w:p w14:paraId="40B130AC"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ביום 22.8.16 סמוך לשעה 20:00 הפר הנאשם פעם נוספת את ההוראה החוקית, בכך שיצא מביתו על מנת לקנות סיגריות, כאשר אמו נותרת בבית. לאחר הגעה של שוטר סיור לביתו של הנאשם בשעה 20:25, התקשר אביו של הנאשם ואמר לו להגיע. הנאשם חזר לביתו בשעה 20:55.</w:t>
      </w:r>
    </w:p>
    <w:p w14:paraId="68A50E60" w14:textId="77777777" w:rsidR="00B91FE2" w:rsidRPr="00BD4591" w:rsidRDefault="00B91FE2" w:rsidP="00B91FE2">
      <w:pPr>
        <w:spacing w:line="360" w:lineRule="auto"/>
        <w:jc w:val="both"/>
        <w:rPr>
          <w:rFonts w:ascii="Arial" w:hAnsi="Arial"/>
          <w:b/>
          <w:bCs/>
          <w:sz w:val="28"/>
          <w:szCs w:val="28"/>
          <w:u w:val="single"/>
          <w:rtl/>
        </w:rPr>
      </w:pPr>
      <w:r w:rsidRPr="00BD4591">
        <w:rPr>
          <w:rFonts w:ascii="Arial" w:hAnsi="Arial" w:hint="cs"/>
          <w:sz w:val="28"/>
          <w:szCs w:val="28"/>
          <w:rtl/>
        </w:rPr>
        <w:br/>
      </w:r>
      <w:r w:rsidRPr="00BD4591">
        <w:rPr>
          <w:rFonts w:ascii="Arial" w:hAnsi="Arial" w:hint="cs"/>
          <w:b/>
          <w:bCs/>
          <w:sz w:val="28"/>
          <w:szCs w:val="28"/>
          <w:u w:val="single"/>
          <w:rtl/>
        </w:rPr>
        <w:t>עובדות כתב האישום המצורף 21149-11-18</w:t>
      </w:r>
    </w:p>
    <w:p w14:paraId="1F255530"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br/>
        <w:t xml:space="preserve">ביום 13.5.16, בשעה 1:20 החזיק הנאשם בתחתוניו, בעודו בדרכו לחוף הים בהרצליה, סמים מסוכנים שלא לצריכה עצמית על פי החלוקה הבאה: שקית ובה 86 בולי </w:t>
      </w:r>
      <w:r w:rsidRPr="00BD4591">
        <w:rPr>
          <w:rFonts w:ascii="Arial" w:hAnsi="Arial"/>
          <w:sz w:val="28"/>
          <w:szCs w:val="28"/>
        </w:rPr>
        <w:t>LSD</w:t>
      </w:r>
      <w:r w:rsidRPr="00BD4591">
        <w:rPr>
          <w:rFonts w:ascii="Arial" w:hAnsi="Arial" w:hint="cs"/>
          <w:sz w:val="28"/>
          <w:szCs w:val="28"/>
          <w:rtl/>
        </w:rPr>
        <w:t xml:space="preserve">; בקבוקון ובו </w:t>
      </w:r>
      <w:r w:rsidRPr="00BD4591">
        <w:rPr>
          <w:rFonts w:ascii="Arial" w:hAnsi="Arial"/>
          <w:sz w:val="28"/>
          <w:szCs w:val="28"/>
        </w:rPr>
        <w:t>LSD</w:t>
      </w:r>
      <w:r w:rsidRPr="00BD4591">
        <w:rPr>
          <w:rFonts w:ascii="Arial" w:hAnsi="Arial" w:hint="cs"/>
          <w:sz w:val="28"/>
          <w:szCs w:val="28"/>
          <w:rtl/>
        </w:rPr>
        <w:t xml:space="preserve"> בנפח 2.6 מ"ל; 13 יחידות של סם מסוכן מסוג  </w:t>
      </w:r>
      <w:r w:rsidRPr="00BD4591">
        <w:rPr>
          <w:rFonts w:ascii="Arial" w:hAnsi="Arial"/>
          <w:sz w:val="28"/>
          <w:szCs w:val="28"/>
        </w:rPr>
        <w:t>MDMA</w:t>
      </w:r>
      <w:r w:rsidRPr="00BD4591">
        <w:rPr>
          <w:rFonts w:ascii="Arial" w:hAnsi="Arial" w:hint="cs"/>
          <w:sz w:val="28"/>
          <w:szCs w:val="28"/>
          <w:rtl/>
        </w:rPr>
        <w:t xml:space="preserve"> במשקל 6.7249 +/- 1.9331 נטו מחושב; 10 יחידות שלסם מסוכן מסוג  </w:t>
      </w:r>
      <w:r w:rsidRPr="00BD4591">
        <w:rPr>
          <w:rFonts w:ascii="Arial" w:hAnsi="Arial"/>
          <w:sz w:val="28"/>
          <w:szCs w:val="28"/>
        </w:rPr>
        <w:t>MDMA</w:t>
      </w:r>
      <w:r w:rsidRPr="00BD4591">
        <w:rPr>
          <w:rFonts w:ascii="Arial" w:hAnsi="Arial" w:hint="cs"/>
          <w:sz w:val="28"/>
          <w:szCs w:val="28"/>
          <w:rtl/>
        </w:rPr>
        <w:t xml:space="preserve"> במשקל 3.1470 +/- 0.3160 נטו מחושב; 2 שקיות ובהן חשיש במשקל כולל של 31.14 גרם נטו; שקית נוספת ובה חשיש במשקל 15.57 גרם נטו.</w:t>
      </w:r>
    </w:p>
    <w:p w14:paraId="7641E3E2"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br/>
        <w:t>תסקירי שירות המבחן</w:t>
      </w:r>
    </w:p>
    <w:p w14:paraId="58D03FF3" w14:textId="77777777" w:rsidR="00B91FE2" w:rsidRPr="00BD4591" w:rsidRDefault="00B91FE2" w:rsidP="00B91FE2">
      <w:pPr>
        <w:spacing w:line="360" w:lineRule="auto"/>
        <w:rPr>
          <w:rFonts w:ascii="Arial" w:hAnsi="Arial"/>
          <w:sz w:val="28"/>
          <w:szCs w:val="28"/>
          <w:rtl/>
        </w:rPr>
      </w:pPr>
      <w:r w:rsidRPr="00BD4591">
        <w:rPr>
          <w:rFonts w:ascii="Arial" w:hAnsi="Arial" w:hint="cs"/>
          <w:sz w:val="28"/>
          <w:szCs w:val="28"/>
          <w:rtl/>
        </w:rPr>
        <w:br/>
        <w:t>4.</w:t>
      </w:r>
      <w:r w:rsidRPr="00BD4591">
        <w:rPr>
          <w:rFonts w:ascii="Arial" w:hAnsi="Arial" w:hint="cs"/>
          <w:sz w:val="28"/>
          <w:szCs w:val="28"/>
          <w:rtl/>
        </w:rPr>
        <w:tab/>
        <w:t>בעניינו של הנאשם הוגשו 3 תסקירים.</w:t>
      </w:r>
    </w:p>
    <w:p w14:paraId="48322804" w14:textId="77777777" w:rsidR="00B91FE2" w:rsidRPr="00BD4591" w:rsidRDefault="00B91FE2" w:rsidP="00B91FE2">
      <w:pPr>
        <w:spacing w:line="360" w:lineRule="auto"/>
        <w:rPr>
          <w:rFonts w:ascii="Arial" w:hAnsi="Arial"/>
          <w:sz w:val="28"/>
          <w:szCs w:val="28"/>
          <w:rtl/>
        </w:rPr>
      </w:pPr>
    </w:p>
    <w:p w14:paraId="4735FA05"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b/>
          <w:bCs/>
          <w:sz w:val="28"/>
          <w:szCs w:val="28"/>
          <w:rtl/>
        </w:rPr>
        <w:t>תסקיר מיום  11.3.18</w:t>
      </w:r>
      <w:r w:rsidRPr="00BD4591">
        <w:rPr>
          <w:rFonts w:ascii="Arial" w:hAnsi="Arial" w:hint="cs"/>
          <w:sz w:val="28"/>
          <w:szCs w:val="28"/>
          <w:rtl/>
        </w:rPr>
        <w:t xml:space="preserve">, ממנו עולה שהנאשם כבן 27, יליד קווקז, רווק ואב לילדה בת 4 אשר מתגוררת עם אמה, ולחובתו 2 תיקים קודמים בבית המשפט, אחד הסתיים ללא הרשעה בבית המשפט לנוער, ובגין הרשעתו השנייה ריצה עונש מאסר בפועל למשך חודש ימים. הנאשם ריצה עונשי מאסר גם בשל עריקותו מהצבא, אולם לדבריו שירת שנה נוספת וסיים שירות צבאי מלא. הנאשם מסר לשירות המבחן כי עוד בקווקז הוריו התגרשו אך עלו ארצה יחדיו, נפרדו ושבו לחיות ביחד מספר פעמים, זאת על רקע אורח החיים העברייני שניהל אביו בשל התמכרותו לסמים. הנאשם סיפר כי התנסה לראשונה בקנאביס בהיותו כבן 14, לאורך השנים העמיקה התמכרותו לסמים מסוגים שונים כגון </w:t>
      </w:r>
      <w:r w:rsidRPr="00BD4591">
        <w:rPr>
          <w:rFonts w:ascii="Arial" w:hAnsi="Arial"/>
          <w:sz w:val="28"/>
          <w:szCs w:val="28"/>
        </w:rPr>
        <w:t>MDMA</w:t>
      </w:r>
      <w:r w:rsidRPr="00BD4591">
        <w:rPr>
          <w:rFonts w:ascii="Arial" w:hAnsi="Arial" w:hint="cs"/>
          <w:sz w:val="28"/>
          <w:szCs w:val="28"/>
          <w:rtl/>
        </w:rPr>
        <w:t xml:space="preserve"> ו- </w:t>
      </w:r>
      <w:r w:rsidRPr="00BD4591">
        <w:rPr>
          <w:rFonts w:ascii="Arial" w:hAnsi="Arial"/>
          <w:sz w:val="28"/>
          <w:szCs w:val="28"/>
        </w:rPr>
        <w:t>LSD</w:t>
      </w:r>
      <w:r w:rsidRPr="00BD4591">
        <w:rPr>
          <w:rFonts w:ascii="Arial" w:hAnsi="Arial" w:hint="cs"/>
          <w:sz w:val="28"/>
          <w:szCs w:val="28"/>
          <w:rtl/>
        </w:rPr>
        <w:t>. במסגרת צו פיקוח של שירות המבחן שהוטל עליו, שולב הנאשם באשפוזית "דולפין" לצורך גמילה. נתון משמעותי בתסקיר הוא העובדה שהנאשם השתלב בקהילה הטיפולית "אילנות" החל ממרץ 2017. ממידע שהתקבל מהקהילה עלה שבתחילת הדרך התקשה הנאשם להשתלב חברתית ושמר על דפוסי התנהגותו. בסופו של יום עמד הנאשם במטלות שניתנו לו בקהילה והתקדם לשלב ב' בטיפול. שירות המבחן התרשם כי הנאשם מביע מוטיבציה גבוהה להשתקם והמליץ להמשיך ולעקוב אחר התקדמותו. לפיכך נדחה הדיון בעיינו ב-3 חודשים.</w:t>
      </w:r>
    </w:p>
    <w:p w14:paraId="7CC5601D" w14:textId="77777777" w:rsidR="00B91FE2" w:rsidRPr="00BD4591" w:rsidRDefault="00B91FE2" w:rsidP="00B91FE2">
      <w:pPr>
        <w:spacing w:line="360" w:lineRule="auto"/>
        <w:jc w:val="both"/>
        <w:rPr>
          <w:rFonts w:ascii="Arial" w:hAnsi="Arial"/>
          <w:sz w:val="28"/>
          <w:szCs w:val="28"/>
          <w:u w:val="single"/>
          <w:rtl/>
        </w:rPr>
      </w:pPr>
    </w:p>
    <w:p w14:paraId="3B05319F"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5.</w:t>
      </w:r>
      <w:r w:rsidRPr="00BD4591">
        <w:rPr>
          <w:rFonts w:ascii="Arial" w:hAnsi="Arial" w:hint="cs"/>
          <w:sz w:val="28"/>
          <w:szCs w:val="28"/>
          <w:rtl/>
        </w:rPr>
        <w:tab/>
      </w:r>
      <w:r w:rsidRPr="00BD4591">
        <w:rPr>
          <w:rFonts w:ascii="Arial" w:hAnsi="Arial" w:hint="cs"/>
          <w:b/>
          <w:bCs/>
          <w:sz w:val="28"/>
          <w:szCs w:val="28"/>
          <w:rtl/>
        </w:rPr>
        <w:t>מתסקיר שני מיום  9.7.18</w:t>
      </w:r>
      <w:r w:rsidRPr="00BD4591">
        <w:rPr>
          <w:rFonts w:ascii="Arial" w:hAnsi="Arial" w:hint="cs"/>
          <w:sz w:val="28"/>
          <w:szCs w:val="28"/>
          <w:rtl/>
        </w:rPr>
        <w:t xml:space="preserve"> עולה שבמהלך תקופת הדחייה התקדם הנאשם ל"שלב ד'", שהינו השלב האחרון בטיפול במסגרת קהילת "אילנות". כן דוּוח על שיפור בתקשורת בינו לבין בני משפחתו. הנאשם הביע רצונו להשתלב בהוסטל טיפולי שיסייע לו לבסס את ניקיונו מסמים ולשקם את אורחות חייו. עוד נמסר שבמהלך שהותו בקהילה, בעקבות מות אביו, היו לנאשם מספר חריגות שלא הלמו את השלב הטיפולי בהוסטל. בשל מעידה זו הורד הנאשם מ"שלב ד'" ל"שלב ג'" בטיפול, אולם לבסוף לאחר התחשבות במצבו הרגשי ובהמשך הטיפול, הוחזר ל"שלב ד'". על אף שבתקופת הדחייה לא נפתחו נגד הנאשם תיקים חדשים, הרושם שנוצר הוא שהנאשם התקשה להיפטר מדפוסיו המניפולטיביים והעבריינים. לאור ניקיונו מסמים, המשך הטיפול והעובדה כי לא נפתחו תיקים חדשים, ועל מנת לאפשר לקדם את הליך השיקום, המליץ שירות המבחן לדחות את הדיון בעניינו ב-3 חודשים נוספים ולעקוב בתקופה זו אחר התקדמותו.</w:t>
      </w:r>
    </w:p>
    <w:p w14:paraId="514D689E" w14:textId="77777777" w:rsidR="00B91FE2" w:rsidRPr="00BD4591" w:rsidRDefault="00B91FE2" w:rsidP="00B91FE2">
      <w:pPr>
        <w:spacing w:line="360" w:lineRule="auto"/>
        <w:jc w:val="both"/>
        <w:rPr>
          <w:rFonts w:ascii="Arial" w:hAnsi="Arial"/>
          <w:sz w:val="28"/>
          <w:szCs w:val="28"/>
          <w:u w:val="single"/>
          <w:rtl/>
        </w:rPr>
      </w:pPr>
    </w:p>
    <w:p w14:paraId="21B356A8"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6.</w:t>
      </w:r>
      <w:r w:rsidRPr="00BD4591">
        <w:rPr>
          <w:rFonts w:ascii="Arial" w:hAnsi="Arial" w:hint="cs"/>
          <w:sz w:val="28"/>
          <w:szCs w:val="28"/>
          <w:rtl/>
        </w:rPr>
        <w:tab/>
        <w:t>בתסקיר השלישי מיום 23.10.18 צוין שהנאשם סיים את הטיפול במסגרת קהילת "אילנות" וחזר להתגורר בבית אמו. במהלך התקופה שקדמה לסיום הטיפול בהוסטל, נפטר אביו של הנאשם וניכר היה שהנאשם התמודד עם השלכות אובדן אביו, ובכלל זה התמודדויות הקשורות לתפקיד שתופס במשפחתו. ביום 16.10.18 פנה הנאשם מיוזמתו למרכז "חוסן", והשתלב במסגרת זו בטיפול שכלל באותו שלב שיחות פרטניות אחת לשבוע, כאשר בהמשך עתיד הנאשם להשתלב בקבוצה טיפולית. במקביל המשיך הנאשם לעבוד במוסך. במשך כל תקופת הדחייה נותר הנאשם נקי מסמים ואלכוהול, והביע בפני שירות המבחן את גאוותו על הצלחתו זו. הנאשם שיתף את שירות המבחן בתחושת עומס ולחץ בעקבות חובות שצבר אביו, שהתגלו לאחר מותו, ומהעובדה שהוא המפרנס היחיד בבית.</w:t>
      </w:r>
    </w:p>
    <w:p w14:paraId="78103C07"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לאור גילו הצעיר, התהליך השיקומי המשמעותי שעבר במשך כשנה חצי, ניקיונו מסמים והמשך שיתוף הפעולה עם גורמי הטיפול, המליץ שירות המבחן על העמדת הנאשם בצו מבחן למשך שנה, ובמקביל המליץ להטיל עליו צו של"צ של 120 שעות ומאסר על תנאי.</w:t>
      </w:r>
    </w:p>
    <w:p w14:paraId="21DBBFF2" w14:textId="77777777" w:rsidR="00B91FE2" w:rsidRPr="00BD4591" w:rsidRDefault="00B91FE2" w:rsidP="00B91FE2">
      <w:pPr>
        <w:spacing w:line="360" w:lineRule="auto"/>
        <w:jc w:val="both"/>
        <w:rPr>
          <w:rFonts w:ascii="Arial" w:hAnsi="Arial"/>
          <w:sz w:val="28"/>
          <w:szCs w:val="28"/>
          <w:rtl/>
        </w:rPr>
      </w:pPr>
    </w:p>
    <w:p w14:paraId="065F73DF"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טיעוני הצדדים</w:t>
      </w:r>
    </w:p>
    <w:p w14:paraId="16ECD408" w14:textId="77777777" w:rsidR="00B91FE2" w:rsidRPr="00BD4591" w:rsidRDefault="00B91FE2" w:rsidP="00B91FE2">
      <w:pPr>
        <w:spacing w:line="360" w:lineRule="auto"/>
        <w:jc w:val="both"/>
        <w:rPr>
          <w:rFonts w:ascii="Arial" w:hAnsi="Arial"/>
          <w:sz w:val="28"/>
          <w:szCs w:val="28"/>
          <w:u w:val="single"/>
          <w:rtl/>
        </w:rPr>
      </w:pPr>
    </w:p>
    <w:p w14:paraId="168EFC38"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7.</w:t>
      </w:r>
      <w:r w:rsidRPr="00BD4591">
        <w:rPr>
          <w:rFonts w:ascii="Arial" w:hAnsi="Arial" w:hint="cs"/>
          <w:sz w:val="28"/>
          <w:szCs w:val="28"/>
          <w:rtl/>
        </w:rPr>
        <w:tab/>
        <w:t>ב"כ המאשימה עו"ד יצחק מורדוך, הפנה לעברו הפלילי של הנאשם הכולל הרשעה בעבירת אלימות  והליך נוסף שהסתיים ללא הרשעה בבית משפט לנוער בגין תקיפת שוטר. אשר למעשי הנאשם, הפנה לכמויות הגדולות של הסמים שנתפסו אצל הנאשם ולמגוון הסוגים, עובדה שלדבריו יש בה כדי ללמד על כוונת הנאשם להפיצם ברבים. לדבריו, הערכים המוגנים שנפגעו כתוצאה ממעשי הנאשם הם שמירה על בריאות הציבור ובטחונו ושמירה על הסדר הציבורי. לשיטת המאשימה קיים צורך להשית עונשים מרתיעים על עברייני סמים, באופן שיעביר מסר של הוקעה ממעשיהם. לעניין המתחם סבר ב"כ המאשימה כי יש לקבוע מתחם עונשי הולם שנע בין שנתיים לשלוש שנות מאסר וצירף פסיקה התומכת בעמדה זו. חרף האמור, סברה המאשימה כי במקרה זה יש מקום לחרוג לקולא ממתחם העונש ההולם, זאת משיקולי שיקום. ואולם, על אף המלצת שירות המבחן עתר ב"כ המאשימה להטיל על הנאשם עונש של 6 חודשי מאסר שירוצו בעבודות שירות, תוך שהפנה לתסקיר לפיו הנאשם חווה עליות ומורדות במהלך הליך השיקום. בעניין זה אף הגיש דוחות טיפול הן מ"אילנות" והן ממרכז "חוסן" שסומנו ת/2 ו- ת/3, מהם עולה כי היו לנאשם מספר חריגות משמעותיות שלא הלמו את השלב הטיפולי בו היה מצוי. כמו כן ציין ב"כ המאשימה את הצדדים המצדיקים הקלה בעונשו של הנאשם, ובהם מות אביו, שיתוף הפעולה שלו עם שירות המבחן, ניקיונו מסמים והעובדה שגם בזמנים קשים שעוברים עליו ועל משפחתו, הוא ממשיך להירתם ולשתף פעולה. אשר להמלצת שירות המבחן להסתפק בצו של"צ, טען שגם המאשימה מסכימה לכך שיש לחרוג ממתחם העונש ההלם, אולם במקרה זה, כאשר מדובר בעבירות כה חמורות, לא ראוי להסתפק בצו מבחן ושל"צ.</w:t>
      </w:r>
    </w:p>
    <w:p w14:paraId="066EA47F" w14:textId="77777777" w:rsidR="00B91FE2" w:rsidRPr="00BD4591" w:rsidRDefault="00B91FE2" w:rsidP="00B91FE2">
      <w:pPr>
        <w:spacing w:line="360" w:lineRule="auto"/>
        <w:jc w:val="both"/>
        <w:rPr>
          <w:rFonts w:ascii="Arial" w:hAnsi="Arial"/>
          <w:sz w:val="28"/>
          <w:szCs w:val="28"/>
          <w:u w:val="single"/>
          <w:rtl/>
        </w:rPr>
      </w:pPr>
    </w:p>
    <w:p w14:paraId="5DA95FCC"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8.</w:t>
      </w:r>
      <w:r w:rsidRPr="00BD4591">
        <w:rPr>
          <w:rFonts w:ascii="Arial" w:hAnsi="Arial" w:hint="cs"/>
          <w:sz w:val="28"/>
          <w:szCs w:val="28"/>
          <w:rtl/>
        </w:rPr>
        <w:tab/>
        <w:t>מנגד עתר ב"כ הנאשם, עו"ד שלום בן שבת, לאמץ את המלצת שירות המבחן במלואה, תוך שהדגיש את ההליך הטיפולי הארוך אותו עבר הנאשם החל מיום מעצרו ועד היום, כאשר בתווך נאלץ להתמודד עם מות אביו. לדבריו, הליך שיקומי מלווה תמיד בעליות ומורדות, ועל כן אין לייחס לכך חשיבות, כל עוד הנאשם מתמיד בהליך השיקומי. עוד ציין שהנאשם עוזר בפרנסת הבית ומתמיד בעבודתו. ב"כ הנאשם סבר כי עונש מסוג עבודות שירות כפי שהמאשימה עותרת להטיל, יקטע את ההליך השיקומי והטיפולי אותו עובר הנאשם, והפנה לפסיקה בעבירות חמורות יותר מתחום הסמים, בהם הוטלו עונשי מאסר לריצוי בדרך של עבודות שירות. לפיכך עתר ב"כ הנאשם להטיל על הנאשם עונשים של צו מבחן ושל"צ, שיש בהם לתת מענה לאינטרס הציבורי, ולחלופין ביקש להרחיב את שעות השל"צ.</w:t>
      </w:r>
    </w:p>
    <w:p w14:paraId="45CCEFC6" w14:textId="77777777" w:rsidR="00B91FE2" w:rsidRPr="00BD4591" w:rsidRDefault="00B91FE2" w:rsidP="00B91FE2">
      <w:pPr>
        <w:spacing w:line="360" w:lineRule="auto"/>
        <w:jc w:val="both"/>
        <w:rPr>
          <w:rFonts w:ascii="Arial" w:hAnsi="Arial"/>
          <w:sz w:val="28"/>
          <w:szCs w:val="28"/>
          <w:rtl/>
        </w:rPr>
      </w:pPr>
    </w:p>
    <w:p w14:paraId="62175086"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9.</w:t>
      </w:r>
      <w:r w:rsidRPr="00BD4591">
        <w:rPr>
          <w:rFonts w:ascii="Arial" w:hAnsi="Arial"/>
          <w:sz w:val="28"/>
          <w:szCs w:val="28"/>
          <w:rtl/>
        </w:rPr>
        <w:tab/>
      </w:r>
      <w:r w:rsidRPr="00BD4591">
        <w:rPr>
          <w:rFonts w:ascii="Arial" w:hAnsi="Arial" w:hint="cs"/>
          <w:sz w:val="28"/>
          <w:szCs w:val="28"/>
          <w:rtl/>
        </w:rPr>
        <w:t xml:space="preserve">הנאשם ניצל את זכות המילה האחרונה, ושיתף באריכות על התהליך הטיפולי שעבר, על הקשיים שחווה, על החששות שהיו לו טרם החל את התהליך הטיפולי ועל כך שהוא רוצה להיכנס למסלול נורמטיבי בחייו. הנאשם סיפר שהוא עובר את תהליך הגמילה לא רק למען עצמו, אלא גם למען בִּתו ומשפחתו, כך שבתו לא תגדל במציאות בה אביה נמצא בבתי סוהר, כפי שחווה בעצמו כשהיה ילד קטן. </w:t>
      </w:r>
    </w:p>
    <w:p w14:paraId="33791D77"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בתוך כך סיפר שבתחילת הדרך חשב לקחת חלק בטיפול רק על מנת להתחמק מעונש בתיק זה. עם זאת, כאשר פתח את עיניו וראה מסביבו אנשים עובדים ובעלי משפחות, החליט, על אף הקושי, להתאמץ ולהצליח בהליך השיקום ולראות בו הזדמנות שמעולם לא ניתנה לו להשתנות. נוסף על כך ביקש הנאשם לגרום נחת לאביו, אליו היה קרוב, ולהוות לו מקור לגאווה. למרבה הצער האב הלך לעולמו עוד לפני שהטיפול הושלם.</w:t>
      </w:r>
    </w:p>
    <w:p w14:paraId="486C3094"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הנאשם שיתף שמטופלים נוספים אותם הכיר חוו חוויות קשות כמו איבוד אב ובחרו "לברוח" או לחזור לקהילת המכורים סמים. לעומתם בחר הנאשם לנצל את ההזדמנות שניתנה לו, ובמילותיו שלו: "ואני עם כל הקושי של הדבר, אני התעליתי על זה ואני תפסתי את עצמי בידיים למרות שאני ידעתי שזה הזדמנות אחת למיליון שיכולה לשנות את החיים שלי וכן תפסתי את עצמי בידיים ולא הלכתי אחרי אנשים כאלה ואחרים, הלכתי אחרי אנשים שמנצחים היום, עברו את ההוסטל, את הקהילה ועם אנשים כאלה אני בקשר היום..."</w:t>
      </w:r>
    </w:p>
    <w:p w14:paraId="79906924"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הנאשם סיפר שנסע בכל יום לכפר סבא למקום עבודתו. 3 שבועות לפני מועד הדיון עבר הנאשם תאונת דרכים ותאונת עבודה שגרמו לו להפסיק לעבוד באופן זמני, אולם לדבריו "אני לא לוקח את הראש שלי לצד החולה".</w:t>
      </w:r>
    </w:p>
    <w:p w14:paraId="341E7FF1"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הנאשם סיים את דבריו במלים: "...אני חייתי בקו חיים שראיתי את אבא שלי זכרונו לברכה בבתי סוהר, אני לא ידעתי דברים אחרים והיום אני יודע, אני מתמיד בחיים האלה אני יודע שאין לי משהו אחר זה החיים שאני באמת רוצה לחיות אותם ולהיות בהם".</w:t>
      </w:r>
    </w:p>
    <w:p w14:paraId="111F0FC1" w14:textId="77777777" w:rsidR="00B91FE2" w:rsidRPr="00BD4591" w:rsidRDefault="00B91FE2" w:rsidP="00B91FE2">
      <w:pPr>
        <w:spacing w:line="360" w:lineRule="auto"/>
        <w:jc w:val="both"/>
        <w:rPr>
          <w:rFonts w:ascii="Arial" w:hAnsi="Arial"/>
          <w:sz w:val="28"/>
          <w:szCs w:val="28"/>
          <w:rtl/>
        </w:rPr>
      </w:pPr>
    </w:p>
    <w:p w14:paraId="6FAC125D" w14:textId="77777777" w:rsidR="00B91FE2" w:rsidRPr="00BD4591" w:rsidRDefault="00B91FE2" w:rsidP="00B91FE2">
      <w:pPr>
        <w:spacing w:line="360" w:lineRule="auto"/>
        <w:jc w:val="both"/>
        <w:rPr>
          <w:sz w:val="28"/>
          <w:szCs w:val="28"/>
          <w:rtl/>
        </w:rPr>
      </w:pPr>
      <w:r w:rsidRPr="00BD4591">
        <w:rPr>
          <w:rFonts w:hint="cs"/>
          <w:sz w:val="28"/>
          <w:szCs w:val="28"/>
          <w:rtl/>
        </w:rPr>
        <w:t>מתחם העונש ההולם</w:t>
      </w:r>
    </w:p>
    <w:p w14:paraId="37495CEB" w14:textId="77777777" w:rsidR="00B91FE2" w:rsidRPr="00BD4591" w:rsidRDefault="00B91FE2" w:rsidP="00B91FE2">
      <w:pPr>
        <w:spacing w:line="360" w:lineRule="auto"/>
        <w:jc w:val="both"/>
        <w:rPr>
          <w:sz w:val="28"/>
          <w:szCs w:val="28"/>
          <w:rtl/>
        </w:rPr>
      </w:pPr>
    </w:p>
    <w:p w14:paraId="147E62D7" w14:textId="77777777" w:rsidR="00B91FE2" w:rsidRPr="00BD4591" w:rsidRDefault="00B91FE2" w:rsidP="00B91FE2">
      <w:pPr>
        <w:spacing w:line="360" w:lineRule="auto"/>
        <w:jc w:val="both"/>
        <w:rPr>
          <w:sz w:val="28"/>
          <w:szCs w:val="28"/>
          <w:rtl/>
        </w:rPr>
      </w:pPr>
      <w:r w:rsidRPr="00BD4591">
        <w:rPr>
          <w:rFonts w:hint="cs"/>
          <w:sz w:val="28"/>
          <w:szCs w:val="28"/>
          <w:rtl/>
        </w:rPr>
        <w:t>10.</w:t>
      </w:r>
      <w:r w:rsidRPr="00BD4591">
        <w:rPr>
          <w:rFonts w:hint="cs"/>
          <w:sz w:val="28"/>
          <w:szCs w:val="28"/>
          <w:rtl/>
        </w:rPr>
        <w:tab/>
        <w:t>בקביעת מתחם העונש ההולם את העבירה, על בית המשפט להתחשב בשלושה גורמים: האחד – הערכים החברתיים שנפגעו כתוצאה מביצוע העבירות ומידת הפגיעה בהם; השני – נסיבות הקשורות לביצוע העבירה; השלישי – מדיניות הענישה הנהוגה.</w:t>
      </w:r>
    </w:p>
    <w:p w14:paraId="4FA27FD0" w14:textId="77777777" w:rsidR="00B91FE2" w:rsidRPr="00BD4591" w:rsidRDefault="00B91FE2" w:rsidP="00B91FE2">
      <w:pPr>
        <w:spacing w:line="360" w:lineRule="auto"/>
        <w:jc w:val="both"/>
        <w:rPr>
          <w:sz w:val="28"/>
          <w:szCs w:val="28"/>
          <w:rtl/>
        </w:rPr>
      </w:pPr>
      <w:r w:rsidRPr="00BD4591">
        <w:rPr>
          <w:rFonts w:hint="cs"/>
          <w:sz w:val="28"/>
          <w:szCs w:val="28"/>
          <w:rtl/>
        </w:rPr>
        <w:t>טרם נתפנה לבחינת הקריטריונים על נסיבות המקרה שלפנינו, אציין שמצאתי לראות בשני כתבי האישום משום מעשה אחד, זאת בשים לב לסמיכות הזמנים בין שני האירועים במסגרתם נתפסו אצל הנאשם סמים מאותם סוגים.</w:t>
      </w:r>
    </w:p>
    <w:p w14:paraId="280E20C3" w14:textId="77777777" w:rsidR="00B91FE2" w:rsidRPr="00BD4591" w:rsidRDefault="00B91FE2" w:rsidP="00B91FE2">
      <w:pPr>
        <w:spacing w:line="360" w:lineRule="auto"/>
        <w:jc w:val="both"/>
        <w:rPr>
          <w:b/>
          <w:bCs/>
          <w:sz w:val="28"/>
          <w:szCs w:val="28"/>
          <w:u w:val="single"/>
          <w:rtl/>
        </w:rPr>
      </w:pPr>
    </w:p>
    <w:p w14:paraId="410B9648" w14:textId="77777777" w:rsidR="00B91FE2" w:rsidRPr="00BD4591" w:rsidRDefault="00B91FE2" w:rsidP="00B91FE2">
      <w:pPr>
        <w:spacing w:line="360" w:lineRule="auto"/>
        <w:jc w:val="both"/>
        <w:rPr>
          <w:b/>
          <w:bCs/>
          <w:sz w:val="28"/>
          <w:szCs w:val="28"/>
          <w:u w:val="single"/>
          <w:rtl/>
        </w:rPr>
      </w:pPr>
      <w:r w:rsidRPr="00BD4591">
        <w:rPr>
          <w:rFonts w:hint="cs"/>
          <w:b/>
          <w:bCs/>
          <w:sz w:val="28"/>
          <w:szCs w:val="28"/>
          <w:u w:val="single"/>
          <w:rtl/>
        </w:rPr>
        <w:t>הערכים החברתיים שנפגעו ומידת הפגיעה בהם</w:t>
      </w:r>
    </w:p>
    <w:p w14:paraId="74911FE5" w14:textId="77777777" w:rsidR="00B91FE2" w:rsidRPr="00BD4591" w:rsidRDefault="00B91FE2" w:rsidP="00B91FE2">
      <w:pPr>
        <w:spacing w:line="360" w:lineRule="auto"/>
        <w:jc w:val="both"/>
        <w:rPr>
          <w:b/>
          <w:bCs/>
          <w:sz w:val="28"/>
          <w:szCs w:val="28"/>
          <w:u w:val="single"/>
          <w:rtl/>
        </w:rPr>
      </w:pPr>
    </w:p>
    <w:p w14:paraId="7E8188ED" w14:textId="77777777" w:rsidR="00B91FE2" w:rsidRPr="00BD4591" w:rsidRDefault="00B91FE2" w:rsidP="00B91FE2">
      <w:pPr>
        <w:spacing w:line="360" w:lineRule="auto"/>
        <w:jc w:val="both"/>
        <w:rPr>
          <w:sz w:val="28"/>
          <w:szCs w:val="28"/>
          <w:rtl/>
        </w:rPr>
      </w:pPr>
      <w:r w:rsidRPr="00BD4591">
        <w:rPr>
          <w:rFonts w:hint="cs"/>
          <w:color w:val="000000"/>
          <w:sz w:val="28"/>
          <w:szCs w:val="28"/>
          <w:rtl/>
        </w:rPr>
        <w:t>11.</w:t>
      </w:r>
      <w:r w:rsidRPr="00BD4591">
        <w:rPr>
          <w:rFonts w:hint="cs"/>
          <w:color w:val="000000"/>
          <w:sz w:val="28"/>
          <w:szCs w:val="28"/>
          <w:rtl/>
        </w:rPr>
        <w:tab/>
        <w:t xml:space="preserve">הערכים החברתיים עליהם נועדה </w:t>
      </w:r>
      <w:hyperlink r:id="rId22" w:history="1">
        <w:r w:rsidR="00DB0CC4" w:rsidRPr="00BD4591">
          <w:rPr>
            <w:color w:val="0000FF"/>
            <w:sz w:val="28"/>
            <w:szCs w:val="28"/>
            <w:u w:val="single"/>
            <w:rtl/>
          </w:rPr>
          <w:t>פקודת הסמים המסוכנים</w:t>
        </w:r>
      </w:hyperlink>
      <w:r w:rsidRPr="00BD4591">
        <w:rPr>
          <w:rFonts w:hint="cs"/>
          <w:color w:val="000000"/>
          <w:sz w:val="28"/>
          <w:szCs w:val="28"/>
          <w:rtl/>
        </w:rPr>
        <w:t xml:space="preserve"> להגן הם שמירה על </w:t>
      </w:r>
      <w:r w:rsidRPr="00BD4591">
        <w:rPr>
          <w:rFonts w:hint="cs"/>
          <w:sz w:val="28"/>
          <w:szCs w:val="28"/>
          <w:rtl/>
        </w:rPr>
        <w:t xml:space="preserve">בריאות הציבור כתוצאה מנזקי השימוש בסמים מסוכנים והשפעתם הממכרת וההרסנית. בתוך כך הוכרה בפסיקה גם ההשפעה העקיפה הנגרמת כתוצאה משימוש בסמים, ובכלל זה ביצוע עבירות פליליות לצורך השגת הסם, וכפועל יוצא מכך הצורך להגן על ביטחונו האישי של הציבור ועל רכושו. ובלשונו של </w:t>
      </w:r>
      <w:r w:rsidRPr="00BD4591">
        <w:rPr>
          <w:rFonts w:hint="cs"/>
          <w:color w:val="000000"/>
          <w:sz w:val="28"/>
          <w:szCs w:val="28"/>
          <w:rtl/>
        </w:rPr>
        <w:t>בית המשפט העליון [</w:t>
      </w:r>
      <w:hyperlink r:id="rId23" w:history="1">
        <w:r w:rsidR="00DB0CC4" w:rsidRPr="00BD4591">
          <w:rPr>
            <w:color w:val="0000FF"/>
            <w:sz w:val="28"/>
            <w:szCs w:val="28"/>
            <w:u w:val="single"/>
            <w:rtl/>
          </w:rPr>
          <w:t>ע"פ 972/11</w:t>
        </w:r>
      </w:hyperlink>
      <w:r w:rsidRPr="00BD4591">
        <w:rPr>
          <w:rFonts w:hint="cs"/>
          <w:color w:val="000000"/>
          <w:sz w:val="28"/>
          <w:szCs w:val="28"/>
          <w:rtl/>
        </w:rPr>
        <w:t xml:space="preserve"> מדינת ישראל נ' יניב יונה, </w:t>
      </w:r>
      <w:r w:rsidR="00263C95" w:rsidRPr="00263C95">
        <w:rPr>
          <w:sz w:val="28"/>
          <w:szCs w:val="28"/>
          <w:rtl/>
        </w:rPr>
        <w:t xml:space="preserve">[פורסם בנבו] </w:t>
      </w:r>
      <w:r w:rsidRPr="00BD4591">
        <w:rPr>
          <w:rFonts w:hint="cs"/>
          <w:color w:val="000000"/>
          <w:sz w:val="28"/>
          <w:szCs w:val="28"/>
          <w:rtl/>
        </w:rPr>
        <w:t>פסקה 4 (4.4.2012) (להלן: עניין</w:t>
      </w:r>
      <w:r w:rsidRPr="00BD4591">
        <w:rPr>
          <w:rFonts w:hint="cs"/>
          <w:sz w:val="28"/>
          <w:szCs w:val="28"/>
          <w:rtl/>
        </w:rPr>
        <w:t xml:space="preserve"> יונה)]:</w:t>
      </w:r>
    </w:p>
    <w:p w14:paraId="4A6EEC4D" w14:textId="77777777" w:rsidR="00B91FE2" w:rsidRPr="00BD4591" w:rsidRDefault="00B91FE2" w:rsidP="00B91FE2">
      <w:pPr>
        <w:pStyle w:val="Ruller4"/>
        <w:ind w:left="720" w:right="993"/>
        <w:rPr>
          <w:rFonts w:cs="David"/>
          <w:b/>
          <w:bCs/>
          <w:sz w:val="28"/>
          <w:rtl/>
        </w:rPr>
      </w:pPr>
    </w:p>
    <w:p w14:paraId="1C6C17B9" w14:textId="77777777" w:rsidR="00B91FE2" w:rsidRPr="00BD4591" w:rsidRDefault="00B91FE2" w:rsidP="00B91FE2">
      <w:pPr>
        <w:pStyle w:val="Ruller4"/>
        <w:ind w:left="720" w:right="993"/>
        <w:rPr>
          <w:rFonts w:cs="David"/>
          <w:b/>
          <w:bCs/>
          <w:sz w:val="28"/>
          <w:rtl/>
        </w:rPr>
      </w:pPr>
      <w:r w:rsidRPr="00BD4591">
        <w:rPr>
          <w:rFonts w:cs="David" w:hint="cs"/>
          <w:b/>
          <w:bCs/>
          <w:sz w:val="28"/>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79D6CE33" w14:textId="77777777" w:rsidR="00B91FE2" w:rsidRPr="00BD4591" w:rsidRDefault="00B91FE2" w:rsidP="00B91FE2">
      <w:pPr>
        <w:spacing w:line="360" w:lineRule="auto"/>
        <w:jc w:val="both"/>
        <w:rPr>
          <w:sz w:val="28"/>
          <w:szCs w:val="28"/>
        </w:rPr>
      </w:pPr>
    </w:p>
    <w:p w14:paraId="40B16AFF" w14:textId="77777777" w:rsidR="00B91FE2" w:rsidRPr="00BD4591" w:rsidRDefault="00B91FE2" w:rsidP="00B91FE2">
      <w:pPr>
        <w:spacing w:line="360" w:lineRule="auto"/>
        <w:jc w:val="both"/>
        <w:rPr>
          <w:sz w:val="28"/>
          <w:szCs w:val="28"/>
          <w:rtl/>
        </w:rPr>
      </w:pPr>
      <w:r w:rsidRPr="00BD4591">
        <w:rPr>
          <w:rFonts w:hint="cs"/>
          <w:sz w:val="28"/>
          <w:szCs w:val="28"/>
          <w:rtl/>
        </w:rPr>
        <w:t>12.</w:t>
      </w:r>
      <w:r w:rsidRPr="00BD4591">
        <w:rPr>
          <w:rFonts w:hint="cs"/>
          <w:sz w:val="28"/>
          <w:szCs w:val="28"/>
          <w:rtl/>
        </w:rPr>
        <w:tab/>
        <w:t>מידת הפגיעה בערך המוגן היא בינונית, זאת בשים לב לכמות ולמגוון הסמים שנתפסו.</w:t>
      </w:r>
    </w:p>
    <w:p w14:paraId="716284D6" w14:textId="77777777" w:rsidR="00B91FE2" w:rsidRPr="00BD4591" w:rsidRDefault="00B91FE2" w:rsidP="00B91FE2">
      <w:pPr>
        <w:spacing w:line="360" w:lineRule="auto"/>
        <w:jc w:val="both"/>
        <w:rPr>
          <w:sz w:val="28"/>
          <w:szCs w:val="28"/>
          <w:rtl/>
        </w:rPr>
      </w:pPr>
    </w:p>
    <w:p w14:paraId="6B8EFB87" w14:textId="77777777" w:rsidR="00B91FE2" w:rsidRPr="00BD4591" w:rsidRDefault="00B91FE2" w:rsidP="00B91FE2">
      <w:pPr>
        <w:spacing w:line="360" w:lineRule="auto"/>
        <w:jc w:val="both"/>
        <w:rPr>
          <w:b/>
          <w:bCs/>
          <w:sz w:val="28"/>
          <w:szCs w:val="28"/>
          <w:u w:val="single"/>
          <w:rtl/>
        </w:rPr>
      </w:pPr>
      <w:r w:rsidRPr="00BD4591">
        <w:rPr>
          <w:rFonts w:hint="cs"/>
          <w:b/>
          <w:bCs/>
          <w:sz w:val="28"/>
          <w:szCs w:val="28"/>
          <w:u w:val="single"/>
          <w:rtl/>
        </w:rPr>
        <w:t>נסיבות הקשורות בביצוע העבירה</w:t>
      </w:r>
    </w:p>
    <w:p w14:paraId="6754588F" w14:textId="77777777" w:rsidR="00B91FE2" w:rsidRPr="00BD4591" w:rsidRDefault="00B91FE2" w:rsidP="00B91FE2">
      <w:pPr>
        <w:spacing w:line="360" w:lineRule="auto"/>
        <w:jc w:val="both"/>
        <w:rPr>
          <w:rFonts w:ascii="Arial" w:hAnsi="Arial"/>
          <w:b/>
          <w:bCs/>
          <w:sz w:val="28"/>
          <w:szCs w:val="28"/>
          <w:rtl/>
        </w:rPr>
      </w:pPr>
    </w:p>
    <w:p w14:paraId="29D66328" w14:textId="77777777" w:rsidR="00B91FE2" w:rsidRPr="00BD4591" w:rsidRDefault="00B91FE2" w:rsidP="00B91FE2">
      <w:pPr>
        <w:spacing w:line="360" w:lineRule="auto"/>
        <w:jc w:val="both"/>
        <w:rPr>
          <w:rFonts w:ascii="Arial" w:hAnsi="Arial"/>
          <w:sz w:val="28"/>
          <w:szCs w:val="28"/>
          <w:rtl/>
        </w:rPr>
      </w:pPr>
      <w:r w:rsidRPr="00BD4591">
        <w:rPr>
          <w:rFonts w:ascii="Arial" w:hAnsi="Arial" w:hint="cs"/>
          <w:sz w:val="28"/>
          <w:szCs w:val="28"/>
          <w:rtl/>
        </w:rPr>
        <w:t>13.</w:t>
      </w:r>
      <w:r w:rsidRPr="00BD4591">
        <w:rPr>
          <w:rFonts w:ascii="Arial" w:hAnsi="Arial" w:hint="cs"/>
          <w:sz w:val="28"/>
          <w:szCs w:val="28"/>
          <w:rtl/>
        </w:rPr>
        <w:tab/>
        <w:t>הנאשם ביצע את העבירות על רקע התמכרותו לסמים משך שנים ארוכות והעדר תמיכה והכוונה משפחתית. כפי שעולה מתסקיר שירות המבחן, אביו של הנאשם יצא ונכנס בין כתלי הכלא. במציאות זו גדל הנאשם ומעשיו מהווים מעין חיקוי לדרך החיים לה נחשף כילד. הנזק שהיה צפוי להיגרם מביצוע העבירה הינו גדול, בשים לב לסוג הסמים ולכמות הסמים, ונוכח העובדה שככל שהסמים היו מופצים, הרי שחומר מסוכן רב היה מועבר לציבור המשתמשים. נוסף על כך מעובדות כתב האישום עולה שהנאשם החביא חלק מהסמים בחדרו של אחיו הקטין בן 16. לא נטען שהאח ידע על כך שהסמים נמצאים בחדרו, ואין לדעת מה היה קורה לו האח היה מוצא את הסמים.</w:t>
      </w:r>
    </w:p>
    <w:p w14:paraId="20A6BD04" w14:textId="77777777" w:rsidR="00B91FE2" w:rsidRPr="00BD4591" w:rsidRDefault="00B91FE2" w:rsidP="00B91FE2">
      <w:pPr>
        <w:spacing w:line="360" w:lineRule="auto"/>
        <w:jc w:val="both"/>
        <w:rPr>
          <w:rFonts w:ascii="Calibri" w:eastAsia="Calibri" w:hAnsi="Calibri"/>
          <w:b/>
          <w:bCs/>
          <w:sz w:val="28"/>
          <w:szCs w:val="28"/>
          <w:u w:val="single"/>
          <w:rtl/>
        </w:rPr>
      </w:pPr>
      <w:r w:rsidRPr="00BD4591">
        <w:rPr>
          <w:rFonts w:ascii="Arial" w:hAnsi="Arial" w:hint="cs"/>
          <w:sz w:val="28"/>
          <w:szCs w:val="28"/>
          <w:rtl/>
        </w:rPr>
        <w:br/>
      </w:r>
      <w:r w:rsidRPr="00BD4591">
        <w:rPr>
          <w:rFonts w:hint="cs"/>
          <w:b/>
          <w:bCs/>
          <w:sz w:val="28"/>
          <w:szCs w:val="28"/>
          <w:u w:val="single"/>
          <w:rtl/>
        </w:rPr>
        <w:t>רמת הענישה הנוהגת</w:t>
      </w:r>
    </w:p>
    <w:p w14:paraId="37AE00DF" w14:textId="77777777" w:rsidR="00B91FE2" w:rsidRPr="00BD4591" w:rsidRDefault="00B91FE2" w:rsidP="00B91FE2">
      <w:pPr>
        <w:spacing w:line="360" w:lineRule="auto"/>
        <w:jc w:val="both"/>
        <w:rPr>
          <w:sz w:val="28"/>
          <w:szCs w:val="28"/>
          <w:rtl/>
        </w:rPr>
      </w:pPr>
    </w:p>
    <w:p w14:paraId="29642A41" w14:textId="77777777" w:rsidR="00B91FE2" w:rsidRPr="00BD4591" w:rsidRDefault="00B91FE2" w:rsidP="00B91FE2">
      <w:pPr>
        <w:spacing w:line="360" w:lineRule="auto"/>
        <w:jc w:val="both"/>
        <w:rPr>
          <w:sz w:val="28"/>
          <w:szCs w:val="28"/>
          <w:rtl/>
        </w:rPr>
      </w:pPr>
      <w:r w:rsidRPr="00BD4591">
        <w:rPr>
          <w:rFonts w:hint="cs"/>
          <w:sz w:val="28"/>
          <w:szCs w:val="28"/>
          <w:rtl/>
        </w:rPr>
        <w:t>14.</w:t>
      </w:r>
      <w:r w:rsidRPr="00BD4591">
        <w:rPr>
          <w:rFonts w:hint="cs"/>
          <w:sz w:val="28"/>
          <w:szCs w:val="28"/>
          <w:rtl/>
        </w:rPr>
        <w:tab/>
        <w:t>מדיניות הענישה הנוהגת בעבירות של החזקת סם שלא לצריכה עצמית כוללת מנעד רחב ביותר של עונשים, המושפע מנסיבותיו הייחודיות של המקרה הנדון, ובכלל זה סוג הסמים שנמצאו, מבחר סוגי הסמים שנמצאו וכמות הסמים מכל סוג.</w:t>
      </w:r>
    </w:p>
    <w:p w14:paraId="02B5BEC8" w14:textId="77777777" w:rsidR="00B91FE2" w:rsidRPr="00BD4591" w:rsidRDefault="00B91FE2" w:rsidP="00B91FE2">
      <w:pPr>
        <w:spacing w:line="360" w:lineRule="auto"/>
        <w:jc w:val="both"/>
        <w:rPr>
          <w:sz w:val="28"/>
          <w:szCs w:val="28"/>
          <w:rtl/>
        </w:rPr>
      </w:pPr>
    </w:p>
    <w:p w14:paraId="1164B6DB" w14:textId="77777777" w:rsidR="00B91FE2" w:rsidRPr="00BD4591" w:rsidRDefault="00B91FE2" w:rsidP="00B91FE2">
      <w:pPr>
        <w:spacing w:line="360" w:lineRule="auto"/>
        <w:jc w:val="both"/>
        <w:rPr>
          <w:sz w:val="28"/>
          <w:szCs w:val="28"/>
          <w:rtl/>
        </w:rPr>
      </w:pPr>
      <w:r w:rsidRPr="00BD4591">
        <w:rPr>
          <w:rFonts w:hint="cs"/>
          <w:sz w:val="28"/>
          <w:szCs w:val="28"/>
          <w:rtl/>
        </w:rPr>
        <w:t>מטעם הצדדים הוגשו מספר פסקי דין, חלקם במקרים חמורים מהמקרה שלפנינו וחלקם במקרים בהם הנסיבות היו קלות יותר.</w:t>
      </w:r>
    </w:p>
    <w:p w14:paraId="5FC7ABE0" w14:textId="77777777" w:rsidR="00B91FE2" w:rsidRPr="00BD4591" w:rsidRDefault="00B91FE2" w:rsidP="00B91FE2">
      <w:pPr>
        <w:spacing w:line="360" w:lineRule="auto"/>
        <w:jc w:val="both"/>
        <w:rPr>
          <w:sz w:val="28"/>
          <w:szCs w:val="28"/>
          <w:u w:val="single"/>
          <w:rtl/>
        </w:rPr>
      </w:pPr>
    </w:p>
    <w:p w14:paraId="0A19A9B0" w14:textId="77777777" w:rsidR="00B91FE2" w:rsidRPr="00BD4591" w:rsidRDefault="00B91FE2" w:rsidP="00B91FE2">
      <w:pPr>
        <w:spacing w:line="360" w:lineRule="auto"/>
        <w:jc w:val="both"/>
        <w:rPr>
          <w:sz w:val="28"/>
          <w:szCs w:val="28"/>
          <w:rtl/>
        </w:rPr>
      </w:pPr>
      <w:r w:rsidRPr="00BD4591">
        <w:rPr>
          <w:rFonts w:hint="cs"/>
          <w:sz w:val="28"/>
          <w:szCs w:val="28"/>
          <w:rtl/>
        </w:rPr>
        <w:t>מטעם המאשימה הוגשו פסקי הדין הבאים:</w:t>
      </w:r>
    </w:p>
    <w:p w14:paraId="158F7B57" w14:textId="77777777" w:rsidR="00B91FE2" w:rsidRPr="00BD4591" w:rsidRDefault="00B91FE2" w:rsidP="00B91FE2">
      <w:pPr>
        <w:spacing w:line="360" w:lineRule="auto"/>
        <w:jc w:val="both"/>
        <w:rPr>
          <w:sz w:val="28"/>
          <w:szCs w:val="28"/>
          <w:rtl/>
        </w:rPr>
      </w:pPr>
    </w:p>
    <w:p w14:paraId="3C7B6723" w14:textId="77777777" w:rsidR="00B91FE2" w:rsidRPr="00BD4591" w:rsidRDefault="00B91FE2" w:rsidP="00B91FE2">
      <w:pPr>
        <w:spacing w:line="360" w:lineRule="auto"/>
        <w:ind w:left="720"/>
        <w:jc w:val="both"/>
        <w:rPr>
          <w:sz w:val="28"/>
          <w:szCs w:val="28"/>
          <w:rtl/>
        </w:rPr>
      </w:pPr>
      <w:r w:rsidRPr="00BD4591">
        <w:rPr>
          <w:rFonts w:hint="cs"/>
          <w:sz w:val="28"/>
          <w:szCs w:val="28"/>
          <w:rtl/>
        </w:rPr>
        <w:t>א.</w:t>
      </w:r>
      <w:r w:rsidRPr="00BD4591">
        <w:rPr>
          <w:rFonts w:hint="cs"/>
          <w:sz w:val="28"/>
          <w:szCs w:val="28"/>
          <w:rtl/>
        </w:rPr>
        <w:tab/>
        <w:t>ב</w:t>
      </w:r>
      <w:hyperlink r:id="rId24" w:history="1">
        <w:r w:rsidR="00DB0CC4" w:rsidRPr="00BD4591">
          <w:rPr>
            <w:color w:val="0000FF"/>
            <w:sz w:val="28"/>
            <w:szCs w:val="28"/>
            <w:u w:val="single"/>
            <w:rtl/>
          </w:rPr>
          <w:t>עפ"ג (מרכז) 29909-07-18</w:t>
        </w:r>
      </w:hyperlink>
      <w:r w:rsidRPr="00BD4591">
        <w:rPr>
          <w:rFonts w:hint="cs"/>
          <w:sz w:val="28"/>
          <w:szCs w:val="28"/>
          <w:rtl/>
        </w:rPr>
        <w:t xml:space="preserve"> מדינת ישראל נ' בלעום </w:t>
      </w:r>
      <w:r w:rsidR="00263C95" w:rsidRPr="00263C95">
        <w:rPr>
          <w:sz w:val="28"/>
          <w:szCs w:val="28"/>
          <w:rtl/>
        </w:rPr>
        <w:t xml:space="preserve">[פורסם בנבו] </w:t>
      </w:r>
      <w:r w:rsidRPr="00BD4591">
        <w:rPr>
          <w:rFonts w:hint="cs"/>
          <w:sz w:val="28"/>
          <w:szCs w:val="28"/>
          <w:rtl/>
        </w:rPr>
        <w:t>(2.12.2018) אושר  מתחם ענישה של 18 עד 36 חודשים בנסיבות דומות למקרה של הנאשם שלפנינו. על הנאשם, בעל עבר פלילי מכביד, שלא עבר הליך שיקומי והתסקיר בעניינו היה שלילי, נגזר עונש של 27 חודשי מאסר.</w:t>
      </w:r>
    </w:p>
    <w:p w14:paraId="65307BD6" w14:textId="77777777" w:rsidR="00B91FE2" w:rsidRPr="00BD4591" w:rsidRDefault="00B91FE2" w:rsidP="00B91FE2">
      <w:pPr>
        <w:spacing w:line="360" w:lineRule="auto"/>
        <w:ind w:firstLine="720"/>
        <w:jc w:val="both"/>
        <w:rPr>
          <w:sz w:val="28"/>
          <w:szCs w:val="28"/>
          <w:u w:val="single"/>
          <w:rtl/>
        </w:rPr>
      </w:pPr>
    </w:p>
    <w:p w14:paraId="100B9D95" w14:textId="77777777" w:rsidR="00B91FE2" w:rsidRPr="00BD4591" w:rsidRDefault="00B91FE2" w:rsidP="00B91FE2">
      <w:pPr>
        <w:spacing w:line="360" w:lineRule="auto"/>
        <w:ind w:left="720"/>
        <w:jc w:val="both"/>
        <w:rPr>
          <w:sz w:val="28"/>
          <w:szCs w:val="28"/>
          <w:rtl/>
        </w:rPr>
      </w:pPr>
      <w:r w:rsidRPr="00BD4591">
        <w:rPr>
          <w:rFonts w:hint="cs"/>
          <w:sz w:val="28"/>
          <w:szCs w:val="28"/>
          <w:rtl/>
        </w:rPr>
        <w:t>ב.</w:t>
      </w:r>
      <w:r w:rsidRPr="00BD4591">
        <w:rPr>
          <w:sz w:val="28"/>
          <w:szCs w:val="28"/>
          <w:rtl/>
        </w:rPr>
        <w:tab/>
      </w:r>
      <w:r w:rsidRPr="00BD4591">
        <w:rPr>
          <w:rFonts w:hint="cs"/>
          <w:sz w:val="28"/>
          <w:szCs w:val="28"/>
          <w:rtl/>
        </w:rPr>
        <w:t>ב</w:t>
      </w:r>
      <w:hyperlink r:id="rId25" w:history="1">
        <w:r w:rsidR="00DB0CC4" w:rsidRPr="00BD4591">
          <w:rPr>
            <w:color w:val="0000FF"/>
            <w:sz w:val="28"/>
            <w:szCs w:val="28"/>
            <w:u w:val="single"/>
            <w:rtl/>
          </w:rPr>
          <w:t>ת"פ (רח') 19408-11-14</w:t>
        </w:r>
      </w:hyperlink>
      <w:r w:rsidRPr="00BD4591">
        <w:rPr>
          <w:rFonts w:hint="cs"/>
          <w:sz w:val="28"/>
          <w:szCs w:val="28"/>
          <w:rtl/>
        </w:rPr>
        <w:t xml:space="preserve"> מדינת ישראל נ' ישמח משה </w:t>
      </w:r>
      <w:r w:rsidR="00263C95" w:rsidRPr="00263C95">
        <w:rPr>
          <w:sz w:val="28"/>
          <w:szCs w:val="28"/>
          <w:rtl/>
        </w:rPr>
        <w:t xml:space="preserve">[פורסם בנבו] </w:t>
      </w:r>
      <w:r w:rsidRPr="00BD4591">
        <w:rPr>
          <w:rFonts w:hint="cs"/>
          <w:sz w:val="28"/>
          <w:szCs w:val="28"/>
          <w:rtl/>
        </w:rPr>
        <w:t>(14.6.15)</w:t>
      </w:r>
      <w:r w:rsidRPr="00BD4591">
        <w:rPr>
          <w:rFonts w:hint="cs"/>
          <w:sz w:val="28"/>
          <w:szCs w:val="28"/>
          <w:rtl/>
        </w:rPr>
        <w:br/>
        <w:t>נקבע מתחם עונשי שנע בין 6 ל-14 חודשי מאסר בנסיבות קלות יותר מהמקרה של הנאשם שלפנינו. על הנאשם, בעל עבר פלילי שלא עבר הליך שיקומי, הוטל עונש של 16 חודשי מאסר הכוללים הפעלת מאסר מותנה.</w:t>
      </w:r>
    </w:p>
    <w:p w14:paraId="28A912A1" w14:textId="77777777" w:rsidR="00B91FE2" w:rsidRPr="00BD4591" w:rsidRDefault="00B91FE2" w:rsidP="00B91FE2">
      <w:pPr>
        <w:spacing w:line="360" w:lineRule="auto"/>
        <w:ind w:left="720"/>
        <w:jc w:val="both"/>
        <w:rPr>
          <w:sz w:val="28"/>
          <w:szCs w:val="28"/>
          <w:rtl/>
        </w:rPr>
      </w:pPr>
    </w:p>
    <w:p w14:paraId="793C787C" w14:textId="77777777" w:rsidR="00B91FE2" w:rsidRPr="00BD4591" w:rsidRDefault="00B91FE2" w:rsidP="00B91FE2">
      <w:pPr>
        <w:spacing w:line="360" w:lineRule="auto"/>
        <w:ind w:left="720"/>
        <w:jc w:val="both"/>
        <w:rPr>
          <w:sz w:val="28"/>
          <w:szCs w:val="28"/>
          <w:rtl/>
        </w:rPr>
      </w:pPr>
      <w:r w:rsidRPr="00BD4591">
        <w:rPr>
          <w:rFonts w:hint="cs"/>
          <w:sz w:val="28"/>
          <w:szCs w:val="28"/>
          <w:rtl/>
        </w:rPr>
        <w:t>ג.</w:t>
      </w:r>
      <w:r w:rsidRPr="00BD4591">
        <w:rPr>
          <w:rFonts w:hint="cs"/>
          <w:sz w:val="28"/>
          <w:szCs w:val="28"/>
          <w:rtl/>
        </w:rPr>
        <w:tab/>
        <w:t>ב</w:t>
      </w:r>
      <w:hyperlink r:id="rId26" w:history="1">
        <w:r w:rsidR="00DB0CC4" w:rsidRPr="00BD4591">
          <w:rPr>
            <w:color w:val="0000FF"/>
            <w:sz w:val="28"/>
            <w:szCs w:val="28"/>
            <w:u w:val="single"/>
            <w:rtl/>
          </w:rPr>
          <w:t>ת"פ (י-ם) 9838-01-18</w:t>
        </w:r>
      </w:hyperlink>
      <w:r w:rsidRPr="00BD4591">
        <w:rPr>
          <w:rFonts w:hint="cs"/>
          <w:sz w:val="28"/>
          <w:szCs w:val="28"/>
          <w:rtl/>
        </w:rPr>
        <w:t xml:space="preserve"> מדינת ישראל נ' מסעוד </w:t>
      </w:r>
      <w:r w:rsidR="00263C95" w:rsidRPr="00263C95">
        <w:rPr>
          <w:sz w:val="28"/>
          <w:szCs w:val="28"/>
          <w:rtl/>
        </w:rPr>
        <w:t xml:space="preserve">[פורסם בנבו] </w:t>
      </w:r>
      <w:r w:rsidRPr="00BD4591">
        <w:rPr>
          <w:rFonts w:hint="cs"/>
          <w:sz w:val="28"/>
          <w:szCs w:val="28"/>
          <w:rtl/>
        </w:rPr>
        <w:t>(22.10.18), בנסיבות חמורות יותר מהמקרה שלפנינו (שביטוין, בין היתר, בהחזקת 60 גרם קוקאין), נקבע מתחם עונשי של 10-30 חודשים. על הנאשם נגזר עונש של  8 חודשי מאסר, לאחר שבית המשפט מצא לחרוג ממתחם העונש ההולם על מנת לבטא את ההכרה בהליך השיקומי אותו החל הנאשם לעבור .</w:t>
      </w:r>
    </w:p>
    <w:p w14:paraId="1FE730A0" w14:textId="77777777" w:rsidR="00B91FE2" w:rsidRPr="00BD4591" w:rsidRDefault="00B91FE2" w:rsidP="00B91FE2">
      <w:pPr>
        <w:spacing w:line="360" w:lineRule="auto"/>
        <w:ind w:left="720"/>
        <w:jc w:val="both"/>
        <w:rPr>
          <w:sz w:val="28"/>
          <w:szCs w:val="28"/>
          <w:rtl/>
        </w:rPr>
      </w:pPr>
    </w:p>
    <w:p w14:paraId="03411C1B" w14:textId="77777777" w:rsidR="00B91FE2" w:rsidRPr="00BD4591" w:rsidRDefault="00B91FE2" w:rsidP="00B91FE2">
      <w:pPr>
        <w:spacing w:line="360" w:lineRule="auto"/>
        <w:ind w:left="720"/>
        <w:jc w:val="both"/>
        <w:rPr>
          <w:sz w:val="28"/>
          <w:szCs w:val="28"/>
          <w:rtl/>
        </w:rPr>
      </w:pPr>
      <w:r w:rsidRPr="00BD4591">
        <w:rPr>
          <w:rFonts w:hint="cs"/>
          <w:sz w:val="28"/>
          <w:szCs w:val="28"/>
          <w:rtl/>
        </w:rPr>
        <w:t>ד.</w:t>
      </w:r>
      <w:r w:rsidRPr="00BD4591">
        <w:rPr>
          <w:rFonts w:hint="cs"/>
          <w:sz w:val="28"/>
          <w:szCs w:val="28"/>
          <w:rtl/>
        </w:rPr>
        <w:tab/>
        <w:t>ב</w:t>
      </w:r>
      <w:hyperlink r:id="rId27" w:history="1">
        <w:r w:rsidR="00DB0CC4" w:rsidRPr="00BD4591">
          <w:rPr>
            <w:color w:val="0000FF"/>
            <w:sz w:val="28"/>
            <w:szCs w:val="28"/>
            <w:u w:val="single"/>
            <w:rtl/>
          </w:rPr>
          <w:t>ת"פ (ת"א) 36827-11-15</w:t>
        </w:r>
      </w:hyperlink>
      <w:r w:rsidRPr="00BD4591">
        <w:rPr>
          <w:rFonts w:hint="cs"/>
          <w:sz w:val="28"/>
          <w:szCs w:val="28"/>
          <w:rtl/>
        </w:rPr>
        <w:t xml:space="preserve"> מדינת ישראל נ' בן שימון </w:t>
      </w:r>
      <w:r w:rsidR="00263C95" w:rsidRPr="00263C95">
        <w:rPr>
          <w:sz w:val="28"/>
          <w:szCs w:val="28"/>
          <w:rtl/>
        </w:rPr>
        <w:t xml:space="preserve">[פורסם בנבו] </w:t>
      </w:r>
      <w:r w:rsidRPr="00BD4591">
        <w:rPr>
          <w:rFonts w:hint="cs"/>
          <w:sz w:val="28"/>
          <w:szCs w:val="28"/>
          <w:rtl/>
        </w:rPr>
        <w:t>(2.10.18), נגזר עונש של  6 חודשי עבודות שירות על נאשם שהורשע, לאחר ניהול הוכחות ובהתאם להודאתו, בהחזקת סם שלא לצריכה עצמית בנסיבות קלות מאלו שבפנינו. בגזר הדין נקבע מתחם עונשי שנע בין 6 חודשי עבודות שירות ועד ל-18 חודשי מאסר בפועל.</w:t>
      </w:r>
    </w:p>
    <w:p w14:paraId="73DFF133" w14:textId="77777777" w:rsidR="00B91FE2" w:rsidRPr="00BD4591" w:rsidRDefault="00B91FE2" w:rsidP="00B91FE2">
      <w:pPr>
        <w:spacing w:line="360" w:lineRule="auto"/>
        <w:jc w:val="both"/>
        <w:rPr>
          <w:sz w:val="28"/>
          <w:szCs w:val="28"/>
          <w:u w:val="single"/>
          <w:rtl/>
        </w:rPr>
      </w:pPr>
    </w:p>
    <w:p w14:paraId="713536F9" w14:textId="77777777" w:rsidR="00B91FE2" w:rsidRPr="00BD4591" w:rsidRDefault="00B91FE2" w:rsidP="00B91FE2">
      <w:pPr>
        <w:spacing w:line="360" w:lineRule="auto"/>
        <w:jc w:val="both"/>
        <w:rPr>
          <w:sz w:val="28"/>
          <w:szCs w:val="28"/>
          <w:rtl/>
        </w:rPr>
      </w:pPr>
      <w:r w:rsidRPr="00BD4591">
        <w:rPr>
          <w:rFonts w:hint="cs"/>
          <w:sz w:val="28"/>
          <w:szCs w:val="28"/>
          <w:rtl/>
        </w:rPr>
        <w:t>פסקי דין שהוגשו מטעם ההגנה:</w:t>
      </w:r>
    </w:p>
    <w:p w14:paraId="218AF28F" w14:textId="77777777" w:rsidR="00B91FE2" w:rsidRPr="00BD4591" w:rsidRDefault="00B91FE2" w:rsidP="00B91FE2">
      <w:pPr>
        <w:spacing w:line="360" w:lineRule="auto"/>
        <w:jc w:val="both"/>
        <w:rPr>
          <w:rStyle w:val="Hyperlink"/>
          <w:sz w:val="28"/>
          <w:szCs w:val="28"/>
        </w:rPr>
      </w:pPr>
    </w:p>
    <w:p w14:paraId="6A88146A" w14:textId="77777777" w:rsidR="00B91FE2" w:rsidRPr="00BD4591" w:rsidRDefault="00B91FE2" w:rsidP="00B91FE2">
      <w:pPr>
        <w:spacing w:line="360" w:lineRule="auto"/>
        <w:ind w:left="720"/>
        <w:jc w:val="both"/>
        <w:rPr>
          <w:sz w:val="28"/>
          <w:szCs w:val="28"/>
          <w:rtl/>
        </w:rPr>
      </w:pPr>
      <w:r w:rsidRPr="00BD4591">
        <w:rPr>
          <w:rFonts w:hint="cs"/>
          <w:sz w:val="28"/>
          <w:szCs w:val="28"/>
          <w:rtl/>
        </w:rPr>
        <w:t>ה.</w:t>
      </w:r>
      <w:r w:rsidRPr="00BD4591">
        <w:rPr>
          <w:rFonts w:hint="cs"/>
          <w:sz w:val="28"/>
          <w:szCs w:val="28"/>
          <w:rtl/>
        </w:rPr>
        <w:tab/>
        <w:t>ב</w:t>
      </w:r>
      <w:hyperlink r:id="rId28" w:history="1">
        <w:r w:rsidR="00DB0CC4" w:rsidRPr="00BD4591">
          <w:rPr>
            <w:color w:val="0000FF"/>
            <w:sz w:val="28"/>
            <w:szCs w:val="28"/>
            <w:u w:val="single"/>
            <w:rtl/>
          </w:rPr>
          <w:t>ת"פ (מח' ב"ש) 56303-02-16</w:t>
        </w:r>
      </w:hyperlink>
      <w:r w:rsidRPr="00BD4591">
        <w:rPr>
          <w:rFonts w:hint="cs"/>
          <w:sz w:val="28"/>
          <w:szCs w:val="28"/>
          <w:rtl/>
        </w:rPr>
        <w:t xml:space="preserve"> מדינת ישראל נ' עייאש  ואח' </w:t>
      </w:r>
      <w:r w:rsidR="00263C95" w:rsidRPr="00263C95">
        <w:rPr>
          <w:sz w:val="28"/>
          <w:szCs w:val="28"/>
          <w:rtl/>
        </w:rPr>
        <w:t xml:space="preserve">[פורסם בנבו] </w:t>
      </w:r>
      <w:r w:rsidRPr="00BD4591">
        <w:rPr>
          <w:rFonts w:hint="cs"/>
          <w:sz w:val="28"/>
          <w:szCs w:val="28"/>
          <w:rtl/>
        </w:rPr>
        <w:t>(27.11.17) נגזר עונש של 6 חודשי מאסר בעבודות שירות על נאשם שהורשע, על יסוד הודאתו, בכתב אישום מתוקן בעבירה של סיוע להחזקת סם מסוכן מסוג קוקאין במשקל של 1 ק"ג, זאת משיקולי שיקום.</w:t>
      </w:r>
    </w:p>
    <w:p w14:paraId="018416C1" w14:textId="77777777" w:rsidR="00B91FE2" w:rsidRPr="00BD4591" w:rsidRDefault="00B91FE2" w:rsidP="00B91FE2">
      <w:pPr>
        <w:spacing w:line="360" w:lineRule="auto"/>
        <w:ind w:firstLine="720"/>
        <w:jc w:val="both"/>
        <w:rPr>
          <w:sz w:val="28"/>
          <w:szCs w:val="28"/>
          <w:rtl/>
        </w:rPr>
      </w:pPr>
    </w:p>
    <w:p w14:paraId="4369A156" w14:textId="77777777" w:rsidR="00B91FE2" w:rsidRPr="00BD4591" w:rsidRDefault="00B91FE2" w:rsidP="00B91FE2">
      <w:pPr>
        <w:spacing w:line="360" w:lineRule="auto"/>
        <w:ind w:left="720"/>
        <w:jc w:val="both"/>
        <w:rPr>
          <w:sz w:val="28"/>
          <w:szCs w:val="28"/>
          <w:rtl/>
        </w:rPr>
      </w:pPr>
      <w:r w:rsidRPr="00BD4591">
        <w:rPr>
          <w:rStyle w:val="Hyperlink"/>
          <w:rFonts w:hint="cs"/>
          <w:color w:val="000000"/>
          <w:sz w:val="28"/>
          <w:szCs w:val="28"/>
          <w:rtl/>
        </w:rPr>
        <w:t>ו.</w:t>
      </w:r>
      <w:r w:rsidRPr="00BD4591">
        <w:rPr>
          <w:rStyle w:val="Hyperlink"/>
          <w:rFonts w:hint="cs"/>
          <w:color w:val="000000"/>
          <w:sz w:val="28"/>
          <w:szCs w:val="28"/>
          <w:rtl/>
        </w:rPr>
        <w:tab/>
        <w:t>ב</w:t>
      </w:r>
      <w:hyperlink r:id="rId29" w:history="1">
        <w:r w:rsidR="00263C95" w:rsidRPr="00263C95">
          <w:rPr>
            <w:color w:val="0000FF"/>
            <w:sz w:val="28"/>
            <w:szCs w:val="28"/>
            <w:u w:val="single"/>
            <w:rtl/>
          </w:rPr>
          <w:t>ת"פ (מח' מרכז) 11608-07-16</w:t>
        </w:r>
      </w:hyperlink>
      <w:r w:rsidRPr="00263C95">
        <w:rPr>
          <w:rFonts w:hint="cs"/>
          <w:sz w:val="28"/>
          <w:szCs w:val="28"/>
          <w:rtl/>
        </w:rPr>
        <w:t xml:space="preserve"> מדינת ישראל נ' אהרון היימפלד </w:t>
      </w:r>
      <w:r w:rsidR="00263C95" w:rsidRPr="00263C95">
        <w:rPr>
          <w:sz w:val="28"/>
          <w:szCs w:val="28"/>
          <w:rtl/>
        </w:rPr>
        <w:t xml:space="preserve">[פורסם בנבו] </w:t>
      </w:r>
      <w:r w:rsidRPr="00263C95">
        <w:rPr>
          <w:rFonts w:hint="cs"/>
          <w:sz w:val="28"/>
          <w:szCs w:val="28"/>
          <w:rtl/>
        </w:rPr>
        <w:t>(06.01.2019)</w:t>
      </w:r>
      <w:r w:rsidRPr="00BD4591">
        <w:rPr>
          <w:rFonts w:hint="cs"/>
          <w:color w:val="000000"/>
          <w:sz w:val="28"/>
          <w:szCs w:val="28"/>
          <w:rtl/>
        </w:rPr>
        <w:t xml:space="preserve"> (להלן: </w:t>
      </w:r>
      <w:r w:rsidRPr="00BD4591">
        <w:rPr>
          <w:rFonts w:hint="cs"/>
          <w:sz w:val="28"/>
          <w:szCs w:val="28"/>
          <w:rtl/>
        </w:rPr>
        <w:t xml:space="preserve">היימפלד), הורשע </w:t>
      </w:r>
      <w:r w:rsidRPr="00BD4591">
        <w:rPr>
          <w:rFonts w:hint="cs"/>
          <w:color w:val="000000"/>
          <w:sz w:val="28"/>
          <w:szCs w:val="28"/>
          <w:rtl/>
        </w:rPr>
        <w:t xml:space="preserve">הנאשם, </w:t>
      </w:r>
      <w:r w:rsidRPr="00BD4591">
        <w:rPr>
          <w:rFonts w:hint="cs"/>
          <w:sz w:val="28"/>
          <w:szCs w:val="28"/>
          <w:rtl/>
        </w:rPr>
        <w:t xml:space="preserve">על יסוד הודאתו, בכתב אישום מתוקן בעבירה של סיוע לייבוא סם מסוכן. הנאשם יצא את הארץ מספר פעמים כאשר העביר במזוודתו מעל 13,000 טבליות ומעל 1.3 ק"ג של אבקה של סם מסוכן מסוג </w:t>
      </w:r>
      <w:r w:rsidRPr="00BD4591">
        <w:rPr>
          <w:sz w:val="28"/>
          <w:szCs w:val="28"/>
        </w:rPr>
        <w:t>MDMA</w:t>
      </w:r>
      <w:r w:rsidRPr="00BD4591">
        <w:rPr>
          <w:rFonts w:hint="cs"/>
          <w:sz w:val="28"/>
          <w:szCs w:val="28"/>
          <w:rtl/>
        </w:rPr>
        <w:t>. גם באותו מקרה הייתה הסכמה בין הצדדים שיש לחרוג לקולא ממתחם העונש ההולם לאור הליך שיקומי אותו עבר הנאשם. חרף בקשת המאשימה לגזור על הנאשם עונש מאסר בפועל, נגזר על הנאשם בסופו של יום עונש של 6 חודשי מאסר בעבודות שירות.</w:t>
      </w:r>
    </w:p>
    <w:p w14:paraId="465F3510" w14:textId="77777777" w:rsidR="00B91FE2" w:rsidRPr="00BD4591" w:rsidRDefault="00B91FE2" w:rsidP="00B91FE2">
      <w:pPr>
        <w:spacing w:line="360" w:lineRule="auto"/>
        <w:ind w:left="720"/>
        <w:jc w:val="both"/>
        <w:rPr>
          <w:sz w:val="28"/>
          <w:szCs w:val="28"/>
          <w:rtl/>
        </w:rPr>
      </w:pPr>
      <w:r w:rsidRPr="00BD4591">
        <w:rPr>
          <w:rStyle w:val="Hyperlink"/>
          <w:rFonts w:hint="cs"/>
          <w:color w:val="000000"/>
          <w:sz w:val="28"/>
          <w:szCs w:val="28"/>
          <w:rtl/>
        </w:rPr>
        <w:t>בהערת אגב אציין שמדובר בגזר דין שאינו חלוט.</w:t>
      </w:r>
    </w:p>
    <w:p w14:paraId="4D837D6E" w14:textId="77777777" w:rsidR="00B91FE2" w:rsidRPr="00BD4591" w:rsidRDefault="00B91FE2" w:rsidP="00B91FE2">
      <w:pPr>
        <w:spacing w:line="360" w:lineRule="auto"/>
        <w:ind w:firstLine="720"/>
        <w:jc w:val="both"/>
        <w:rPr>
          <w:sz w:val="28"/>
          <w:szCs w:val="28"/>
          <w:rtl/>
        </w:rPr>
      </w:pPr>
    </w:p>
    <w:p w14:paraId="486FBDE7" w14:textId="77777777" w:rsidR="00B91FE2" w:rsidRPr="00BD4591" w:rsidRDefault="00B91FE2" w:rsidP="00B91FE2">
      <w:pPr>
        <w:spacing w:line="360" w:lineRule="auto"/>
        <w:jc w:val="both"/>
        <w:rPr>
          <w:sz w:val="28"/>
          <w:szCs w:val="28"/>
          <w:rtl/>
        </w:rPr>
      </w:pPr>
      <w:r w:rsidRPr="00BD4591">
        <w:rPr>
          <w:rFonts w:hint="cs"/>
          <w:sz w:val="28"/>
          <w:szCs w:val="28"/>
          <w:rtl/>
        </w:rPr>
        <w:t>מטעם ההגנה הוגשו גזרי דין רבים נוספים שעניינם סחר בסם מסוכן, על פי רוב מסוג קנאביס ובכמויות קטנות בהרבה מהכמויות אותן החזיק הנאשם דכאן, ועל כן לא מצאתי ללמוד מהם גזירה שווה לענייננו.</w:t>
      </w:r>
    </w:p>
    <w:p w14:paraId="01D511B3" w14:textId="77777777" w:rsidR="00B91FE2" w:rsidRPr="00BD4591" w:rsidRDefault="00B91FE2" w:rsidP="00B91FE2">
      <w:pPr>
        <w:spacing w:line="360" w:lineRule="auto"/>
        <w:jc w:val="both"/>
        <w:rPr>
          <w:sz w:val="28"/>
          <w:szCs w:val="28"/>
          <w:rtl/>
        </w:rPr>
      </w:pPr>
    </w:p>
    <w:p w14:paraId="6614BE24" w14:textId="77777777" w:rsidR="00B91FE2" w:rsidRPr="00BD4591" w:rsidRDefault="00B91FE2" w:rsidP="00B91FE2">
      <w:pPr>
        <w:spacing w:line="360" w:lineRule="auto"/>
        <w:jc w:val="both"/>
        <w:rPr>
          <w:sz w:val="28"/>
          <w:szCs w:val="28"/>
          <w:rtl/>
        </w:rPr>
      </w:pPr>
      <w:r w:rsidRPr="00BD4591">
        <w:rPr>
          <w:rFonts w:hint="cs"/>
          <w:sz w:val="28"/>
          <w:szCs w:val="28"/>
          <w:rtl/>
        </w:rPr>
        <w:t>אשר על כן אני קובע שמתחם העונש ההולם את נסיבות המקרה שלפני, בהתחשב בסוג הסמים, במבחר הסמים ובכמות הסמים, נע בין 18 ל-36 חודשי מאסר.</w:t>
      </w:r>
    </w:p>
    <w:p w14:paraId="44CF5B2C" w14:textId="77777777" w:rsidR="00B91FE2" w:rsidRPr="00BD4591" w:rsidRDefault="00B91FE2" w:rsidP="00B91FE2">
      <w:pPr>
        <w:spacing w:line="360" w:lineRule="auto"/>
        <w:jc w:val="both"/>
        <w:rPr>
          <w:sz w:val="28"/>
          <w:szCs w:val="28"/>
          <w:rtl/>
        </w:rPr>
      </w:pPr>
      <w:r w:rsidRPr="00BD4591">
        <w:rPr>
          <w:rFonts w:hint="cs"/>
          <w:sz w:val="28"/>
          <w:szCs w:val="28"/>
          <w:rtl/>
        </w:rPr>
        <w:br/>
        <w:t>דיון - חריגה ממתחם העונש ההולם</w:t>
      </w:r>
    </w:p>
    <w:p w14:paraId="61E98DA2" w14:textId="77777777" w:rsidR="00B91FE2" w:rsidRPr="00BD4591" w:rsidRDefault="00B91FE2" w:rsidP="00B91FE2">
      <w:pPr>
        <w:spacing w:line="360" w:lineRule="auto"/>
        <w:jc w:val="both"/>
        <w:rPr>
          <w:sz w:val="28"/>
          <w:szCs w:val="28"/>
          <w:rtl/>
        </w:rPr>
      </w:pPr>
      <w:r w:rsidRPr="00BD4591">
        <w:rPr>
          <w:rFonts w:hint="cs"/>
          <w:sz w:val="28"/>
          <w:szCs w:val="28"/>
          <w:rtl/>
        </w:rPr>
        <w:br/>
        <w:t>15.</w:t>
      </w:r>
      <w:r w:rsidRPr="00BD4591">
        <w:rPr>
          <w:rFonts w:hint="cs"/>
          <w:sz w:val="28"/>
          <w:szCs w:val="28"/>
          <w:rtl/>
        </w:rPr>
        <w:tab/>
      </w:r>
      <w:hyperlink r:id="rId30" w:history="1">
        <w:r w:rsidR="00BD4591" w:rsidRPr="00BD4591">
          <w:rPr>
            <w:color w:val="0000FF"/>
            <w:sz w:val="28"/>
            <w:szCs w:val="28"/>
            <w:u w:val="single"/>
            <w:rtl/>
          </w:rPr>
          <w:t>סעיף 40ד(א)</w:t>
        </w:r>
      </w:hyperlink>
      <w:r w:rsidRPr="00BD4591">
        <w:rPr>
          <w:rFonts w:hint="cs"/>
          <w:sz w:val="28"/>
          <w:szCs w:val="28"/>
          <w:rtl/>
        </w:rPr>
        <w:t xml:space="preserve"> לחוק קובע כדלקמן:</w:t>
      </w:r>
    </w:p>
    <w:p w14:paraId="57EB7A35" w14:textId="77777777" w:rsidR="00B91FE2" w:rsidRPr="00BD4591" w:rsidRDefault="00B91FE2" w:rsidP="00B91FE2">
      <w:pPr>
        <w:pStyle w:val="David"/>
        <w:ind w:left="1440"/>
        <w:rPr>
          <w:rFonts w:cs="David"/>
          <w:b/>
          <w:bCs/>
          <w:sz w:val="28"/>
          <w:szCs w:val="28"/>
        </w:rPr>
      </w:pPr>
    </w:p>
    <w:p w14:paraId="7FBC34D7" w14:textId="77777777" w:rsidR="00B91FE2" w:rsidRPr="00BD4591" w:rsidRDefault="00B91FE2" w:rsidP="00B91FE2">
      <w:pPr>
        <w:pStyle w:val="David"/>
        <w:ind w:left="1440"/>
        <w:rPr>
          <w:rFonts w:cs="David"/>
          <w:b/>
          <w:bCs/>
          <w:sz w:val="28"/>
          <w:szCs w:val="28"/>
          <w:rtl/>
        </w:rPr>
      </w:pPr>
      <w:r w:rsidRPr="00BD4591">
        <w:rPr>
          <w:rFonts w:cs="David" w:hint="cs"/>
          <w:b/>
          <w:bCs/>
          <w:sz w:val="28"/>
          <w:szCs w:val="28"/>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1" w:history="1">
        <w:r w:rsidR="00DB0CC4" w:rsidRPr="00BD4591">
          <w:rPr>
            <w:rFonts w:cs="David"/>
            <w:b/>
            <w:bCs/>
            <w:color w:val="0000FF"/>
            <w:sz w:val="28"/>
            <w:szCs w:val="28"/>
            <w:u w:val="single"/>
            <w:rtl/>
          </w:rPr>
          <w:t>פקודת המבחן</w:t>
        </w:r>
      </w:hyperlink>
      <w:r w:rsidRPr="00BD4591">
        <w:rPr>
          <w:rFonts w:cs="David" w:hint="cs"/>
          <w:b/>
          <w:bCs/>
          <w:sz w:val="28"/>
          <w:szCs w:val="28"/>
          <w:rtl/>
        </w:rPr>
        <w:t xml:space="preserve"> [נוסח חדש] התשכ"ט-1969."</w:t>
      </w:r>
    </w:p>
    <w:p w14:paraId="72442A64" w14:textId="77777777" w:rsidR="00B91FE2" w:rsidRPr="00BD4591" w:rsidRDefault="00B91FE2" w:rsidP="00B91FE2">
      <w:pPr>
        <w:pStyle w:val="David"/>
        <w:ind w:left="1440"/>
        <w:rPr>
          <w:rFonts w:cs="David"/>
          <w:b/>
          <w:bCs/>
          <w:sz w:val="28"/>
          <w:szCs w:val="28"/>
        </w:rPr>
      </w:pPr>
    </w:p>
    <w:p w14:paraId="3C1B3C22" w14:textId="77777777" w:rsidR="00B91FE2" w:rsidRPr="00BD4591" w:rsidRDefault="00B91FE2" w:rsidP="00B91FE2">
      <w:pPr>
        <w:spacing w:line="360" w:lineRule="auto"/>
        <w:jc w:val="both"/>
        <w:rPr>
          <w:sz w:val="28"/>
          <w:szCs w:val="28"/>
          <w:rtl/>
        </w:rPr>
      </w:pPr>
      <w:r w:rsidRPr="00BD4591">
        <w:rPr>
          <w:rFonts w:hint="cs"/>
          <w:sz w:val="28"/>
          <w:szCs w:val="28"/>
          <w:rtl/>
        </w:rPr>
        <w:t>16.</w:t>
      </w:r>
      <w:r w:rsidRPr="00BD4591">
        <w:rPr>
          <w:sz w:val="28"/>
          <w:szCs w:val="28"/>
          <w:rtl/>
        </w:rPr>
        <w:tab/>
      </w:r>
      <w:r w:rsidRPr="00BD4591">
        <w:rPr>
          <w:rFonts w:hint="cs"/>
          <w:sz w:val="28"/>
          <w:szCs w:val="28"/>
          <w:rtl/>
        </w:rPr>
        <w:t>אין מחלוקת בין הצדדים שהנאשם עבר הליך שיקומי משמעותי ושראוי בנסיבות העניין לחרוג ממתחם העונש שנקבע. עם זאת חלוקים הצדדים לגבי מידת החריגה, כאשר המאשימה עתרה להטיל עליו עונש של מאסר בעבודות שירות, ואילו ב"כ הנאשם ביקש לאמץ את המלצת שירות המבחן ולהסתפק בעונש של של"צ.</w:t>
      </w:r>
    </w:p>
    <w:p w14:paraId="7BDEBD4A" w14:textId="77777777" w:rsidR="00B91FE2" w:rsidRPr="00BD4591" w:rsidRDefault="00B91FE2" w:rsidP="00B91FE2">
      <w:pPr>
        <w:pStyle w:val="David"/>
        <w:rPr>
          <w:rFonts w:cs="David"/>
          <w:sz w:val="28"/>
          <w:szCs w:val="28"/>
          <w:rtl/>
        </w:rPr>
      </w:pPr>
    </w:p>
    <w:p w14:paraId="2B10B107" w14:textId="77777777" w:rsidR="00B91FE2" w:rsidRPr="00BD4591" w:rsidRDefault="00B91FE2" w:rsidP="00B91FE2">
      <w:pPr>
        <w:pStyle w:val="David"/>
        <w:rPr>
          <w:rFonts w:cs="David"/>
          <w:sz w:val="28"/>
          <w:szCs w:val="28"/>
          <w:rtl/>
        </w:rPr>
      </w:pPr>
      <w:r w:rsidRPr="00BD4591">
        <w:rPr>
          <w:rFonts w:cs="David" w:hint="cs"/>
          <w:sz w:val="28"/>
          <w:szCs w:val="28"/>
          <w:rtl/>
        </w:rPr>
        <w:t>17.</w:t>
      </w:r>
      <w:r w:rsidRPr="00BD4591">
        <w:rPr>
          <w:rFonts w:cs="David" w:hint="cs"/>
          <w:sz w:val="28"/>
          <w:szCs w:val="28"/>
          <w:rtl/>
        </w:rPr>
        <w:tab/>
        <w:t>לאחר שקראתי את תסקירי שירות המבחן, את מכתב סיכום הטיפול ב"בית אור אביבה", את מכתב היחידה לטיפול בנפגעי סמים, שמעתי את טיעוני הצדדים, ובעיקר את דברי הנאשם עצמו שתיאר באריכות את שעבר עליו במסגרת ההליך הטיפולי ואת הקשיים עמם התמודד, מצאתי שעמדת הצדדים לפיה יש לחרוג במקרה זה ממתחם העונש ההולם הינה ראויה ואף מתבקשת.</w:t>
      </w:r>
    </w:p>
    <w:p w14:paraId="3A6417CF" w14:textId="77777777" w:rsidR="00B91FE2" w:rsidRPr="00BD4591" w:rsidRDefault="00B91FE2" w:rsidP="00B91FE2">
      <w:pPr>
        <w:pStyle w:val="David"/>
        <w:rPr>
          <w:rFonts w:cs="David"/>
          <w:sz w:val="28"/>
          <w:szCs w:val="28"/>
          <w:rtl/>
        </w:rPr>
      </w:pPr>
      <w:r w:rsidRPr="00BD4591">
        <w:rPr>
          <w:rFonts w:cs="David" w:hint="cs"/>
          <w:sz w:val="28"/>
          <w:szCs w:val="28"/>
          <w:rtl/>
        </w:rPr>
        <w:t>אין חולק על כך שהנאשם עבר במשך כשנה וחצי, ועודנו עובר הליך שיקומי יוצא דופן. הנאשם משתף פעולה עם גורמי הטיפול באופן מלא, שומר על ניקיון מסמים, ובד בבד, ומסייע בפרנסת המשפחה לאחר מות אביו, זאת על אף שהדבר כרוך בנסיעות ממושכות מעיר מגוריו ראשון לציון לכפר סבא.</w:t>
      </w:r>
    </w:p>
    <w:p w14:paraId="2CF237DE" w14:textId="77777777" w:rsidR="00B91FE2" w:rsidRPr="00BD4591" w:rsidRDefault="00B91FE2" w:rsidP="00B91FE2">
      <w:pPr>
        <w:spacing w:line="360" w:lineRule="auto"/>
        <w:jc w:val="both"/>
        <w:rPr>
          <w:sz w:val="28"/>
          <w:szCs w:val="28"/>
          <w:rtl/>
        </w:rPr>
      </w:pPr>
    </w:p>
    <w:p w14:paraId="6356070E" w14:textId="77777777" w:rsidR="00B91FE2" w:rsidRPr="00BD4591" w:rsidRDefault="00B91FE2" w:rsidP="00B91FE2">
      <w:pPr>
        <w:spacing w:line="360" w:lineRule="auto"/>
        <w:jc w:val="both"/>
        <w:rPr>
          <w:sz w:val="28"/>
          <w:szCs w:val="28"/>
          <w:rtl/>
        </w:rPr>
      </w:pPr>
      <w:r w:rsidRPr="00BD4591">
        <w:rPr>
          <w:rFonts w:hint="cs"/>
          <w:sz w:val="28"/>
          <w:szCs w:val="28"/>
          <w:rtl/>
        </w:rPr>
        <w:t>18.</w:t>
      </w:r>
      <w:r w:rsidRPr="00BD4591">
        <w:rPr>
          <w:rFonts w:hint="cs"/>
          <w:sz w:val="28"/>
          <w:szCs w:val="28"/>
          <w:rtl/>
        </w:rPr>
        <w:tab/>
        <w:t>במכתב סיכום הטיפול של "בית אור אביבה" מיום 8.8.2018 (</w:t>
      </w:r>
      <w:r w:rsidRPr="00BD4591">
        <w:rPr>
          <w:rFonts w:hint="cs"/>
          <w:rtl/>
        </w:rPr>
        <w:t>ת/2</w:t>
      </w:r>
      <w:r w:rsidRPr="00BD4591">
        <w:rPr>
          <w:rFonts w:hint="cs"/>
          <w:sz w:val="28"/>
          <w:szCs w:val="28"/>
          <w:rtl/>
        </w:rPr>
        <w:t>) מתוארים הקשיים הרבים שאפיינו את הנאשם בתחילת דרכו, את המעבר שלו ל"שלב ב'" ביום 29.10.2017, במסגרתו היה עליו לעבוד על בניית קשרים חברתיים משמעותיים וקבלת אחריות גדולה יותר על מעשיו, ובכלל זה היחשפות ל"פיתויים" מחוץ לקהילה. במסגרת שלב זה יצא הנאשם לביקורי בית על מנת לחזק את הקשר עם בתו. בתאריך 11.3.2018 עלה הנאשם ל"שלב ג'", במסגרתו השתלב בעבודה במוסך בכפר סבא. בתאריך 6.5.2018 עלה הנאשם ל"שלב ד'", שהינו שלב ההוסטל. בתקופה זו זוהו חריגות בהתנהגות הנאשם, שהובילו להחזרתו ל"שלב ג'", כאשר בתקופה זו חווה את אובדן אביו, שנפטר בפתאומיות עקב תאונת עבודה. לאחר ימי השבעה הוחזר הנאשם ל"שלב ד'".</w:t>
      </w:r>
    </w:p>
    <w:p w14:paraId="765981E5" w14:textId="77777777" w:rsidR="00B91FE2" w:rsidRPr="00BD4591" w:rsidRDefault="00B91FE2" w:rsidP="00B91FE2">
      <w:pPr>
        <w:spacing w:line="360" w:lineRule="auto"/>
        <w:jc w:val="both"/>
        <w:rPr>
          <w:sz w:val="28"/>
          <w:szCs w:val="28"/>
          <w:rtl/>
        </w:rPr>
      </w:pPr>
      <w:r w:rsidRPr="00BD4591">
        <w:rPr>
          <w:rFonts w:hint="cs"/>
          <w:sz w:val="28"/>
          <w:szCs w:val="28"/>
          <w:rtl/>
        </w:rPr>
        <w:t>ממכתב המנהל לשילוב חברתי של עירית ראשון לציון (</w:t>
      </w:r>
      <w:r w:rsidRPr="00BD4591">
        <w:rPr>
          <w:rFonts w:hint="cs"/>
          <w:rtl/>
        </w:rPr>
        <w:t>ת/3</w:t>
      </w:r>
      <w:r w:rsidRPr="00BD4591">
        <w:rPr>
          <w:rFonts w:hint="cs"/>
          <w:sz w:val="28"/>
          <w:szCs w:val="28"/>
          <w:rtl/>
        </w:rPr>
        <w:t>) עולה שהנאשם התקבל ליחידה בתאריך 12.8.2018, מאז מוסר בדיקות שתן נקיות, מתייצב לכל המפגשים, מביא תכנים משמעותיים למפגשים ומשתף פעולה עם תכנית הטיפול.</w:t>
      </w:r>
    </w:p>
    <w:p w14:paraId="62D917EA" w14:textId="77777777" w:rsidR="00B91FE2" w:rsidRPr="00BD4591" w:rsidRDefault="00B91FE2" w:rsidP="00B91FE2">
      <w:pPr>
        <w:spacing w:line="360" w:lineRule="auto"/>
        <w:jc w:val="both"/>
        <w:rPr>
          <w:sz w:val="28"/>
          <w:szCs w:val="28"/>
          <w:rtl/>
        </w:rPr>
      </w:pPr>
      <w:r w:rsidRPr="00BD4591">
        <w:rPr>
          <w:rFonts w:hint="cs"/>
          <w:sz w:val="28"/>
          <w:szCs w:val="28"/>
          <w:rtl/>
        </w:rPr>
        <w:t>בתאריך 7.8.2018 סיים הנאשם את הטיפול בהוסטל הקהילה וחזר לבית הוריו בראשון לציון.</w:t>
      </w:r>
    </w:p>
    <w:p w14:paraId="3D77513D" w14:textId="77777777" w:rsidR="00B91FE2" w:rsidRPr="00BD4591" w:rsidRDefault="00B91FE2" w:rsidP="00B91FE2">
      <w:pPr>
        <w:pStyle w:val="David"/>
        <w:rPr>
          <w:rFonts w:cs="David"/>
          <w:sz w:val="28"/>
          <w:szCs w:val="28"/>
          <w:rtl/>
          <w:lang w:eastAsia="he-IL"/>
        </w:rPr>
      </w:pPr>
    </w:p>
    <w:p w14:paraId="257453D9" w14:textId="77777777" w:rsidR="00B91FE2" w:rsidRPr="00BD4591" w:rsidRDefault="00B91FE2" w:rsidP="00B91FE2">
      <w:pPr>
        <w:spacing w:line="360" w:lineRule="auto"/>
        <w:jc w:val="both"/>
        <w:rPr>
          <w:sz w:val="28"/>
          <w:szCs w:val="28"/>
          <w:rtl/>
        </w:rPr>
      </w:pPr>
      <w:r w:rsidRPr="00BD4591">
        <w:rPr>
          <w:rFonts w:hint="cs"/>
          <w:sz w:val="28"/>
          <w:szCs w:val="28"/>
          <w:rtl/>
          <w:lang w:eastAsia="he-IL"/>
        </w:rPr>
        <w:t>19.</w:t>
      </w:r>
      <w:r w:rsidRPr="00BD4591">
        <w:rPr>
          <w:sz w:val="28"/>
          <w:szCs w:val="28"/>
          <w:rtl/>
          <w:lang w:eastAsia="he-IL"/>
        </w:rPr>
        <w:tab/>
      </w:r>
      <w:r w:rsidRPr="00BD4591">
        <w:rPr>
          <w:rFonts w:hint="cs"/>
          <w:sz w:val="28"/>
          <w:szCs w:val="28"/>
          <w:rtl/>
        </w:rPr>
        <w:t>מהאמור עולה שההליך הטיפולי שעבר הנאשם ידע "תנודות" ולא עבר בצורה חלקה. עם זאת הווה ידוע לכל שהליך גמילה הינו תהליך קשה ומורכב, במסגרתו מתמודד המטופל עם קשיים פיזיים ונפשיים לא מעטים וחווה לא אחת רגעי משבר. על הקשיים המוכרים שעוברים על רבים מהמטופלים נוסף לנאשם קושי ייחודי שנבע ממותו של אביו. הנאשם העיד על כך שהיה קרוב מאוד לאביו. ואולם, מלבד תחושת האובדן, מות האב הטיל על הנאשם נטל נוסף, כאשר נאלץ למלא את מקומו כמפרנס המשפחה.</w:t>
      </w:r>
    </w:p>
    <w:p w14:paraId="7AC178A1" w14:textId="77777777" w:rsidR="00B91FE2" w:rsidRPr="00BD4591" w:rsidRDefault="00B91FE2" w:rsidP="00B91FE2">
      <w:pPr>
        <w:spacing w:line="360" w:lineRule="auto"/>
        <w:jc w:val="both"/>
        <w:rPr>
          <w:sz w:val="28"/>
          <w:szCs w:val="28"/>
          <w:rtl/>
        </w:rPr>
      </w:pPr>
      <w:r w:rsidRPr="00BD4591">
        <w:rPr>
          <w:rFonts w:hint="cs"/>
          <w:sz w:val="28"/>
          <w:szCs w:val="28"/>
          <w:rtl/>
        </w:rPr>
        <w:t>כפי שעולה מהרישום הפלילי של הנאשם, אין זו הפעם הראשונה בה עומד הנאשם לדין, והוא אף ריצה בעבר חודש מאסר בעבודות שירות. ואולם, דומה שעל פי התרשמות כל גורמי הטיפול, בחר הנאשם לעלות על נתיב חדש וחיובי בחייו. על כך יש לברך, ובהזדמנות זו לשבח את עמדת המאשימה על עמדתה להכיר בהליך השיקומי כהליך המצדיק חריגה מרף הענישה הרגיל במקרים דומים.</w:t>
      </w:r>
    </w:p>
    <w:p w14:paraId="6B3DBFA8" w14:textId="77777777" w:rsidR="00B91FE2" w:rsidRPr="00BD4591" w:rsidRDefault="00B91FE2" w:rsidP="00B91FE2">
      <w:pPr>
        <w:spacing w:line="360" w:lineRule="auto"/>
        <w:jc w:val="both"/>
        <w:rPr>
          <w:sz w:val="28"/>
          <w:szCs w:val="28"/>
          <w:rtl/>
        </w:rPr>
      </w:pPr>
      <w:r w:rsidRPr="00BD4591">
        <w:rPr>
          <w:rFonts w:hint="cs"/>
          <w:sz w:val="28"/>
          <w:szCs w:val="28"/>
          <w:rtl/>
        </w:rPr>
        <w:t>נוסף על כך יש לזכור ולהזכיר את נקודת המוצא הנמוכה ממנה החל הנאשם את הליך השיקום.</w:t>
      </w:r>
    </w:p>
    <w:p w14:paraId="3AEE83F2" w14:textId="77777777" w:rsidR="00B91FE2" w:rsidRPr="00BD4591" w:rsidRDefault="00B91FE2" w:rsidP="00B91FE2">
      <w:pPr>
        <w:pStyle w:val="David"/>
        <w:rPr>
          <w:rFonts w:cs="David"/>
          <w:sz w:val="28"/>
          <w:szCs w:val="28"/>
          <w:rtl/>
          <w:lang w:eastAsia="he-IL"/>
        </w:rPr>
      </w:pPr>
    </w:p>
    <w:p w14:paraId="6B48B4C0" w14:textId="77777777" w:rsidR="00B91FE2" w:rsidRPr="00BD4591" w:rsidRDefault="00B91FE2" w:rsidP="00B91FE2">
      <w:pPr>
        <w:spacing w:line="360" w:lineRule="auto"/>
        <w:jc w:val="both"/>
        <w:rPr>
          <w:sz w:val="28"/>
          <w:szCs w:val="28"/>
          <w:rtl/>
          <w:lang w:eastAsia="he-IL"/>
        </w:rPr>
      </w:pPr>
      <w:r w:rsidRPr="00BD4591">
        <w:rPr>
          <w:rFonts w:hint="cs"/>
          <w:sz w:val="28"/>
          <w:szCs w:val="28"/>
          <w:rtl/>
          <w:lang w:eastAsia="he-IL"/>
        </w:rPr>
        <w:t>20.</w:t>
      </w:r>
      <w:r w:rsidRPr="00BD4591">
        <w:rPr>
          <w:rFonts w:hint="cs"/>
          <w:sz w:val="28"/>
          <w:szCs w:val="28"/>
          <w:rtl/>
          <w:lang w:eastAsia="he-IL"/>
        </w:rPr>
        <w:tab/>
        <w:t xml:space="preserve">לפיכך, כל שנותר עתה להכריע הוא האם יש מקום לחייב את הנאשם לבצע עבודות שירות, או שמא להסתפק בענישה מוחשית בדמות צו של"צ. </w:t>
      </w:r>
    </w:p>
    <w:p w14:paraId="5F4B21C9" w14:textId="77777777" w:rsidR="00B91FE2" w:rsidRPr="00BD4591" w:rsidRDefault="00B91FE2" w:rsidP="00B91FE2">
      <w:pPr>
        <w:spacing w:line="360" w:lineRule="auto"/>
        <w:jc w:val="both"/>
        <w:rPr>
          <w:sz w:val="28"/>
          <w:szCs w:val="28"/>
          <w:rtl/>
        </w:rPr>
      </w:pPr>
      <w:r w:rsidRPr="00BD4591">
        <w:rPr>
          <w:rFonts w:hint="cs"/>
          <w:sz w:val="28"/>
          <w:szCs w:val="28"/>
          <w:rtl/>
        </w:rPr>
        <w:t>כפי שצוין, עד לפציעתו עבד הנאשם במוסך בכפר סבא. מדברי הנאשם עולה שהוא רואה במקום עבדותו לא רק מקור פרנסה, אלא גם מסגרת המסמלת את החיים הנורמטיביים בהם הוא רוצה לקחת חלק, וניכר שהעבודה מהווה עבורו את האור שבקצה מנהרת השיקום הארוכה בה הוא נמצא כיום.</w:t>
      </w:r>
    </w:p>
    <w:p w14:paraId="605BF58F" w14:textId="77777777" w:rsidR="00B91FE2" w:rsidRPr="00BD4591" w:rsidRDefault="00B91FE2" w:rsidP="00B91FE2">
      <w:pPr>
        <w:pStyle w:val="David"/>
        <w:rPr>
          <w:rFonts w:cs="David"/>
          <w:sz w:val="28"/>
          <w:szCs w:val="28"/>
          <w:rtl/>
          <w:lang w:eastAsia="he-IL"/>
        </w:rPr>
      </w:pPr>
      <w:r w:rsidRPr="00BD4591">
        <w:rPr>
          <w:rFonts w:cs="David" w:hint="cs"/>
          <w:sz w:val="28"/>
          <w:szCs w:val="28"/>
          <w:rtl/>
          <w:lang w:eastAsia="he-IL"/>
        </w:rPr>
        <w:t>מעבר לשאלה האם מצבו הרפואי של הנאשם מאפשר לו לבצע עבודות שירות (לא הוצגו מסמכים על כך), אני סבור שגם אם היה ביכולתו של הנאשם לבצע עבודות שירות, ספק בעיני עד כמה היה הדבר משרת את האינטרס הציבורי. אין חולק על כך שבשונה מצו של"צ, ביצוע עבודות שירות, ולו לתקופה קצרה, יביא להפסקת הרצף התעסוקתי של הנאשם במוסך בו הוא מועסק. לא נעלמה מעיני חומרת מעשיו של הנאשם, אולם במצב העדין בו מצוי כיום הנאשם, ומשהוצגה הסכמה מבורכת שלא להטיל עליו עונש מאסר בפועל, דומה שיש מקום ללכת לקראתו צעד אחד נוסף קדימה, שיהיה בו כדי לסייע לנאשם להתמודד עם מציאות חייו החדשה ולעמוד בכל התנאים אליהם הוא מחויב, זאת מבלי להערים עליו קשיים חדשים מיותרים. גישה זו אף עולה בקנה אחד עם מסקנות שירות המבחן בתסקיר האחרון ועם מקרים אחרים שנדונו בפסיקה, בהם הליך שיקומי משמעותי הביא לחריגה משמעותית ביותר ממתחם העונש ההולם (ראו עניין היימפלד).</w:t>
      </w:r>
    </w:p>
    <w:p w14:paraId="42E84B1C" w14:textId="77777777" w:rsidR="00B91FE2" w:rsidRPr="00BD4591" w:rsidRDefault="00B91FE2" w:rsidP="00B91FE2">
      <w:pPr>
        <w:spacing w:line="360" w:lineRule="auto"/>
        <w:jc w:val="both"/>
        <w:rPr>
          <w:sz w:val="28"/>
          <w:szCs w:val="28"/>
          <w:rtl/>
        </w:rPr>
      </w:pPr>
    </w:p>
    <w:p w14:paraId="64965B0B" w14:textId="77777777" w:rsidR="00B91FE2" w:rsidRPr="00BD4591" w:rsidRDefault="00B91FE2" w:rsidP="00B91FE2">
      <w:pPr>
        <w:spacing w:line="360" w:lineRule="auto"/>
        <w:jc w:val="both"/>
        <w:rPr>
          <w:sz w:val="28"/>
          <w:szCs w:val="28"/>
          <w:rtl/>
        </w:rPr>
      </w:pPr>
      <w:r w:rsidRPr="00BD4591">
        <w:rPr>
          <w:rFonts w:hint="cs"/>
          <w:sz w:val="28"/>
          <w:szCs w:val="28"/>
          <w:rtl/>
        </w:rPr>
        <w:t>21.</w:t>
      </w:r>
      <w:r w:rsidRPr="00BD4591">
        <w:rPr>
          <w:rFonts w:hint="cs"/>
          <w:sz w:val="28"/>
          <w:szCs w:val="28"/>
          <w:rtl/>
        </w:rPr>
        <w:tab/>
        <w:t>לאור כל האמור מצאתי לאמץ את המלצת שירות המבחן, לחרוג ממתחם העונש אף מעבר לעתירת המאשימה, ולהטיל על הנאשם צו מבחן וצו של"צ לצד מאסר מותנה. עם זאת, בהתחשב בחומרת מעשיו של הנאשם ובחריגה המשמעותית מרף הענישה הנוהג, מצאתי להגדיל את שעות השל"צ, כמו גם את תקופת המבחן. מנגד, בהתחשב בתהליך השיקומי שעוד נותר לנאשם לעבור, לא אטיל עליו לרצות את התקופות המקסימליות האפשריות על פי חוק. מובהר לנאשם שככל שלא יעמוד בצו השל"צ או בצו המבחן, או לא ישתף פעולה עם שירות המבחן ועם גורמי הטיפול, יוחזר עניינו לבית המשפט וניתן יהיה להטיל עליו עונש אחר, לרבות עונש של מאסר בפועל.</w:t>
      </w:r>
    </w:p>
    <w:p w14:paraId="772FA815" w14:textId="77777777" w:rsidR="00B91FE2" w:rsidRPr="00BD4591" w:rsidRDefault="00B91FE2" w:rsidP="00B91FE2">
      <w:pPr>
        <w:spacing w:line="360" w:lineRule="auto"/>
        <w:jc w:val="both"/>
        <w:rPr>
          <w:sz w:val="28"/>
          <w:szCs w:val="28"/>
          <w:rtl/>
        </w:rPr>
      </w:pPr>
      <w:r w:rsidRPr="00BD4591">
        <w:rPr>
          <w:rFonts w:hint="cs"/>
          <w:sz w:val="28"/>
          <w:szCs w:val="28"/>
          <w:rtl/>
        </w:rPr>
        <w:t>נוסף על כך בכוונתי להטיל על הנאשם מאסר מותנה ארוך ומרתיע. נוכח מצבו הכלכלי של הנאשם כמתואר לעיל, אני נמנע מהטלת קנס כספי.</w:t>
      </w:r>
    </w:p>
    <w:p w14:paraId="7A502DD4" w14:textId="77777777" w:rsidR="00B91FE2" w:rsidRPr="00BD4591" w:rsidRDefault="00B91FE2" w:rsidP="00B91FE2">
      <w:pPr>
        <w:spacing w:line="360" w:lineRule="auto"/>
        <w:jc w:val="both"/>
        <w:rPr>
          <w:sz w:val="28"/>
          <w:szCs w:val="28"/>
          <w:rtl/>
        </w:rPr>
      </w:pPr>
    </w:p>
    <w:p w14:paraId="70FB161F" w14:textId="77777777" w:rsidR="00B91FE2" w:rsidRPr="00BD4591" w:rsidRDefault="00B91FE2" w:rsidP="00B91FE2">
      <w:pPr>
        <w:spacing w:line="360" w:lineRule="auto"/>
        <w:jc w:val="both"/>
        <w:rPr>
          <w:sz w:val="28"/>
          <w:szCs w:val="28"/>
          <w:rtl/>
        </w:rPr>
      </w:pPr>
      <w:r w:rsidRPr="00BD4591">
        <w:rPr>
          <w:rFonts w:hint="cs"/>
          <w:sz w:val="28"/>
          <w:szCs w:val="28"/>
          <w:rtl/>
        </w:rPr>
        <w:t>סוף דבר</w:t>
      </w:r>
    </w:p>
    <w:p w14:paraId="6B8CAA0E" w14:textId="77777777" w:rsidR="00B91FE2" w:rsidRPr="00BD4591" w:rsidRDefault="00B91FE2" w:rsidP="00B91FE2">
      <w:pPr>
        <w:spacing w:line="360" w:lineRule="auto"/>
        <w:jc w:val="both"/>
        <w:rPr>
          <w:sz w:val="28"/>
          <w:szCs w:val="28"/>
          <w:rtl/>
        </w:rPr>
      </w:pPr>
      <w:r w:rsidRPr="00BD4591">
        <w:rPr>
          <w:rFonts w:hint="cs"/>
          <w:sz w:val="28"/>
          <w:szCs w:val="28"/>
          <w:rtl/>
        </w:rPr>
        <w:br/>
        <w:t>22.</w:t>
      </w:r>
      <w:r w:rsidRPr="00BD4591">
        <w:rPr>
          <w:rFonts w:hint="cs"/>
          <w:sz w:val="28"/>
          <w:szCs w:val="28"/>
          <w:rtl/>
        </w:rPr>
        <w:tab/>
        <w:t>אשר על כן, בשים לב להליך השיקומי יוצא הדופן אותו עבר הנאשם, על מנת שלא לפגוע בהליך השיקום ולאפשר לו להמשיך בדרכו החדשה והחיובית, אני גוזר על הנאשם את העונשים הבאים:</w:t>
      </w:r>
    </w:p>
    <w:p w14:paraId="0E64D29A" w14:textId="77777777" w:rsidR="00B91FE2" w:rsidRPr="00BD4591" w:rsidRDefault="00B91FE2" w:rsidP="00B91FE2">
      <w:pPr>
        <w:jc w:val="both"/>
        <w:rPr>
          <w:sz w:val="28"/>
          <w:szCs w:val="28"/>
          <w:rtl/>
        </w:rPr>
      </w:pPr>
    </w:p>
    <w:p w14:paraId="4CF006A2" w14:textId="77777777" w:rsidR="00B91FE2" w:rsidRPr="00BD4591" w:rsidRDefault="00B91FE2" w:rsidP="00B91FE2">
      <w:pPr>
        <w:spacing w:line="360" w:lineRule="auto"/>
        <w:ind w:left="1440" w:hanging="720"/>
        <w:jc w:val="both"/>
        <w:rPr>
          <w:sz w:val="28"/>
          <w:szCs w:val="28"/>
          <w:rtl/>
        </w:rPr>
      </w:pPr>
      <w:r w:rsidRPr="00BD4591">
        <w:rPr>
          <w:rFonts w:hint="cs"/>
          <w:sz w:val="28"/>
          <w:szCs w:val="28"/>
          <w:rtl/>
        </w:rPr>
        <w:t>א.</w:t>
      </w:r>
      <w:r w:rsidRPr="00BD4591">
        <w:rPr>
          <w:rFonts w:hint="cs"/>
          <w:sz w:val="28"/>
          <w:szCs w:val="28"/>
          <w:rtl/>
        </w:rPr>
        <w:tab/>
        <w:t>צו של"צ בהיקף של 300 שעות, על פי תכנית שתוכן על ידי שירות המבחן ותועבר לאישור בית המשפט בתוך חודש ימים.</w:t>
      </w:r>
    </w:p>
    <w:p w14:paraId="2F3B4088" w14:textId="77777777" w:rsidR="00B91FE2" w:rsidRPr="00BD4591" w:rsidRDefault="00B91FE2" w:rsidP="00B91FE2">
      <w:pPr>
        <w:spacing w:line="360" w:lineRule="auto"/>
        <w:ind w:left="1440" w:hanging="720"/>
        <w:jc w:val="both"/>
        <w:rPr>
          <w:sz w:val="28"/>
          <w:szCs w:val="28"/>
          <w:rtl/>
        </w:rPr>
      </w:pPr>
    </w:p>
    <w:p w14:paraId="0F27666B" w14:textId="77777777" w:rsidR="00B91FE2" w:rsidRPr="00BD4591" w:rsidRDefault="00B91FE2" w:rsidP="00B91FE2">
      <w:pPr>
        <w:spacing w:line="360" w:lineRule="auto"/>
        <w:ind w:left="1440" w:hanging="720"/>
        <w:jc w:val="both"/>
        <w:rPr>
          <w:sz w:val="28"/>
          <w:szCs w:val="28"/>
          <w:rtl/>
        </w:rPr>
      </w:pPr>
      <w:r w:rsidRPr="00BD4591">
        <w:rPr>
          <w:rFonts w:hint="cs"/>
          <w:sz w:val="28"/>
          <w:szCs w:val="28"/>
          <w:rtl/>
        </w:rPr>
        <w:t>ב.</w:t>
      </w:r>
      <w:r w:rsidRPr="00BD4591">
        <w:rPr>
          <w:sz w:val="28"/>
          <w:szCs w:val="28"/>
          <w:rtl/>
        </w:rPr>
        <w:tab/>
      </w:r>
      <w:r w:rsidRPr="00BD4591">
        <w:rPr>
          <w:rFonts w:hint="cs"/>
          <w:sz w:val="28"/>
          <w:szCs w:val="28"/>
          <w:rtl/>
        </w:rPr>
        <w:t>צו מבחן למשך שנתיים מהיום.</w:t>
      </w:r>
    </w:p>
    <w:p w14:paraId="7590D582" w14:textId="77777777" w:rsidR="00B91FE2" w:rsidRPr="00BD4591" w:rsidRDefault="00B91FE2" w:rsidP="00B91FE2">
      <w:pPr>
        <w:spacing w:line="360" w:lineRule="auto"/>
        <w:ind w:left="1440" w:hanging="720"/>
        <w:jc w:val="both"/>
        <w:rPr>
          <w:sz w:val="28"/>
          <w:szCs w:val="28"/>
          <w:rtl/>
        </w:rPr>
      </w:pPr>
    </w:p>
    <w:p w14:paraId="505BD6BC" w14:textId="77777777" w:rsidR="00B91FE2" w:rsidRPr="00BD4591" w:rsidRDefault="00B91FE2" w:rsidP="00B91FE2">
      <w:pPr>
        <w:spacing w:line="360" w:lineRule="auto"/>
        <w:ind w:left="1440" w:hanging="720"/>
        <w:jc w:val="both"/>
        <w:rPr>
          <w:sz w:val="28"/>
          <w:szCs w:val="28"/>
          <w:rtl/>
        </w:rPr>
      </w:pPr>
      <w:r w:rsidRPr="00BD4591">
        <w:rPr>
          <w:rFonts w:hint="cs"/>
          <w:sz w:val="28"/>
          <w:szCs w:val="28"/>
          <w:rtl/>
        </w:rPr>
        <w:t>ג.</w:t>
      </w:r>
      <w:r w:rsidRPr="00BD4591">
        <w:rPr>
          <w:sz w:val="28"/>
          <w:szCs w:val="28"/>
          <w:rtl/>
        </w:rPr>
        <w:tab/>
      </w:r>
      <w:r w:rsidRPr="00BD4591">
        <w:rPr>
          <w:rFonts w:hint="cs"/>
          <w:sz w:val="28"/>
          <w:szCs w:val="28"/>
          <w:rtl/>
        </w:rPr>
        <w:t xml:space="preserve">מאסר על תנאי למשך 8 חודשים, והתנאי הוא שהנאשם לא יעבור בתוך תקופה של 3 שנים מהיום על עבירה מסוג פשע לפי </w:t>
      </w:r>
      <w:hyperlink r:id="rId32" w:history="1">
        <w:r w:rsidR="00DB0CC4" w:rsidRPr="00BD4591">
          <w:rPr>
            <w:color w:val="0000FF"/>
            <w:sz w:val="28"/>
            <w:szCs w:val="28"/>
            <w:u w:val="single"/>
            <w:rtl/>
          </w:rPr>
          <w:t>פקודת הסמים המסוכנים</w:t>
        </w:r>
      </w:hyperlink>
      <w:r w:rsidRPr="00BD4591">
        <w:rPr>
          <w:rFonts w:hint="cs"/>
          <w:sz w:val="28"/>
          <w:szCs w:val="28"/>
          <w:rtl/>
        </w:rPr>
        <w:t xml:space="preserve">, התשל"ג </w:t>
      </w:r>
      <w:r w:rsidRPr="00BD4591">
        <w:rPr>
          <w:sz w:val="28"/>
          <w:szCs w:val="28"/>
          <w:rtl/>
        </w:rPr>
        <w:t>–</w:t>
      </w:r>
      <w:r w:rsidRPr="00BD4591">
        <w:rPr>
          <w:rFonts w:hint="cs"/>
          <w:sz w:val="28"/>
          <w:szCs w:val="28"/>
          <w:rtl/>
        </w:rPr>
        <w:t xml:space="preserve"> 1973.</w:t>
      </w:r>
    </w:p>
    <w:p w14:paraId="6E49C389" w14:textId="77777777" w:rsidR="00B91FE2" w:rsidRPr="00BD4591" w:rsidRDefault="00B91FE2" w:rsidP="00B91FE2">
      <w:pPr>
        <w:spacing w:line="360" w:lineRule="auto"/>
        <w:ind w:left="1440" w:hanging="720"/>
        <w:jc w:val="both"/>
        <w:rPr>
          <w:sz w:val="28"/>
          <w:szCs w:val="28"/>
          <w:rtl/>
        </w:rPr>
      </w:pPr>
    </w:p>
    <w:p w14:paraId="1EDF456C" w14:textId="77777777" w:rsidR="00B91FE2" w:rsidRPr="00BD4591" w:rsidRDefault="00B91FE2" w:rsidP="00B91FE2">
      <w:pPr>
        <w:spacing w:line="360" w:lineRule="auto"/>
        <w:ind w:left="1440" w:hanging="720"/>
        <w:jc w:val="both"/>
        <w:rPr>
          <w:sz w:val="28"/>
          <w:szCs w:val="28"/>
          <w:rtl/>
        </w:rPr>
      </w:pPr>
      <w:r w:rsidRPr="00BD4591">
        <w:rPr>
          <w:rFonts w:hint="cs"/>
          <w:sz w:val="28"/>
          <w:szCs w:val="28"/>
          <w:rtl/>
        </w:rPr>
        <w:t>ד.</w:t>
      </w:r>
      <w:r w:rsidRPr="00BD4591">
        <w:rPr>
          <w:rFonts w:hint="cs"/>
          <w:sz w:val="28"/>
          <w:szCs w:val="28"/>
          <w:rtl/>
        </w:rPr>
        <w:tab/>
        <w:t xml:space="preserve">מאסר על תנאי למשך חודש, והתנאי הוא שהנאשם לא יעבור בתוך תקופה של 3 שנים מהיום על עבירה מסוג עוון לפי </w:t>
      </w:r>
      <w:hyperlink r:id="rId33" w:history="1">
        <w:r w:rsidR="00DB0CC4" w:rsidRPr="00BD4591">
          <w:rPr>
            <w:color w:val="0000FF"/>
            <w:sz w:val="28"/>
            <w:szCs w:val="28"/>
            <w:u w:val="single"/>
            <w:rtl/>
          </w:rPr>
          <w:t>פקודת הסמים המסוכנים</w:t>
        </w:r>
      </w:hyperlink>
      <w:r w:rsidRPr="00BD4591">
        <w:rPr>
          <w:rFonts w:hint="cs"/>
          <w:sz w:val="28"/>
          <w:szCs w:val="28"/>
          <w:rtl/>
        </w:rPr>
        <w:t xml:space="preserve">, התשל"ג </w:t>
      </w:r>
      <w:r w:rsidRPr="00BD4591">
        <w:rPr>
          <w:sz w:val="28"/>
          <w:szCs w:val="28"/>
          <w:rtl/>
        </w:rPr>
        <w:t>–</w:t>
      </w:r>
      <w:r w:rsidRPr="00BD4591">
        <w:rPr>
          <w:rFonts w:hint="cs"/>
          <w:sz w:val="28"/>
          <w:szCs w:val="28"/>
          <w:rtl/>
        </w:rPr>
        <w:t xml:space="preserve"> 1973.</w:t>
      </w:r>
    </w:p>
    <w:p w14:paraId="76771460" w14:textId="77777777" w:rsidR="00B91FE2" w:rsidRPr="00BD4591" w:rsidRDefault="00B91FE2" w:rsidP="00B91FE2">
      <w:pPr>
        <w:spacing w:line="360" w:lineRule="auto"/>
        <w:ind w:left="1440" w:hanging="720"/>
        <w:jc w:val="both"/>
        <w:rPr>
          <w:sz w:val="28"/>
          <w:szCs w:val="28"/>
          <w:rtl/>
        </w:rPr>
      </w:pPr>
    </w:p>
    <w:p w14:paraId="5155A667" w14:textId="77777777" w:rsidR="00B91FE2" w:rsidRPr="00BD4591" w:rsidRDefault="00B91FE2" w:rsidP="00B91FE2">
      <w:pPr>
        <w:spacing w:line="360" w:lineRule="auto"/>
        <w:ind w:left="1440" w:hanging="720"/>
        <w:jc w:val="both"/>
        <w:rPr>
          <w:sz w:val="28"/>
          <w:szCs w:val="28"/>
          <w:rtl/>
        </w:rPr>
      </w:pPr>
    </w:p>
    <w:p w14:paraId="5DDD9D40" w14:textId="77777777" w:rsidR="00B91FE2" w:rsidRPr="00BD4591" w:rsidRDefault="00B91FE2" w:rsidP="00B91FE2">
      <w:pPr>
        <w:spacing w:line="360" w:lineRule="auto"/>
        <w:jc w:val="both"/>
        <w:rPr>
          <w:sz w:val="28"/>
          <w:szCs w:val="28"/>
          <w:rtl/>
        </w:rPr>
      </w:pPr>
      <w:r w:rsidRPr="00BD4591">
        <w:rPr>
          <w:rFonts w:hint="cs"/>
          <w:sz w:val="28"/>
          <w:szCs w:val="28"/>
          <w:rtl/>
        </w:rPr>
        <w:t>23.</w:t>
      </w:r>
      <w:r w:rsidRPr="00BD4591">
        <w:rPr>
          <w:rFonts w:hint="cs"/>
          <w:sz w:val="28"/>
          <w:szCs w:val="28"/>
          <w:rtl/>
        </w:rPr>
        <w:tab/>
        <w:t>ניתן בזאת צו כללי למוצגים. הסמים יושמדו.</w:t>
      </w:r>
    </w:p>
    <w:p w14:paraId="19E6864E" w14:textId="77777777" w:rsidR="00B91FE2" w:rsidRPr="00BD4591" w:rsidRDefault="00B91FE2" w:rsidP="00B91FE2">
      <w:pPr>
        <w:spacing w:line="360" w:lineRule="auto"/>
        <w:jc w:val="both"/>
        <w:rPr>
          <w:sz w:val="28"/>
          <w:szCs w:val="28"/>
          <w:rtl/>
        </w:rPr>
      </w:pPr>
    </w:p>
    <w:p w14:paraId="3BBB20F3" w14:textId="77777777" w:rsidR="00B91FE2" w:rsidRPr="00BD4591" w:rsidRDefault="00B91FE2" w:rsidP="00B91FE2">
      <w:pPr>
        <w:spacing w:line="360" w:lineRule="auto"/>
        <w:jc w:val="both"/>
        <w:rPr>
          <w:sz w:val="28"/>
          <w:szCs w:val="28"/>
          <w:rtl/>
        </w:rPr>
      </w:pPr>
      <w:r w:rsidRPr="00BD4591">
        <w:rPr>
          <w:rFonts w:hint="cs"/>
          <w:sz w:val="28"/>
          <w:szCs w:val="28"/>
          <w:rtl/>
        </w:rPr>
        <w:t>24.</w:t>
      </w:r>
      <w:r w:rsidRPr="00BD4591">
        <w:rPr>
          <w:rFonts w:hint="cs"/>
          <w:sz w:val="28"/>
          <w:szCs w:val="28"/>
          <w:rtl/>
        </w:rPr>
        <w:tab/>
        <w:t>המזכירות תעביר העתק ההחלטה לשירות המבחן.</w:t>
      </w:r>
    </w:p>
    <w:p w14:paraId="14EBD01D" w14:textId="77777777" w:rsidR="00B91FE2" w:rsidRPr="00BD4591" w:rsidRDefault="00B91FE2" w:rsidP="00B91FE2">
      <w:pPr>
        <w:spacing w:line="360" w:lineRule="auto"/>
        <w:jc w:val="both"/>
        <w:rPr>
          <w:sz w:val="28"/>
          <w:szCs w:val="28"/>
          <w:rtl/>
        </w:rPr>
      </w:pPr>
    </w:p>
    <w:p w14:paraId="359BA71A" w14:textId="77777777" w:rsidR="00B91FE2" w:rsidRPr="00BD4591" w:rsidRDefault="00B91FE2" w:rsidP="00B91FE2">
      <w:pPr>
        <w:spacing w:line="360" w:lineRule="auto"/>
        <w:jc w:val="both"/>
        <w:rPr>
          <w:sz w:val="28"/>
          <w:szCs w:val="28"/>
          <w:rtl/>
        </w:rPr>
      </w:pPr>
    </w:p>
    <w:p w14:paraId="2F665D9F" w14:textId="77777777" w:rsidR="00B91FE2" w:rsidRPr="00BD4591" w:rsidRDefault="00B91FE2" w:rsidP="00B91FE2">
      <w:pPr>
        <w:spacing w:line="360" w:lineRule="auto"/>
        <w:jc w:val="both"/>
        <w:rPr>
          <w:b/>
          <w:bCs/>
          <w:sz w:val="28"/>
          <w:szCs w:val="28"/>
          <w:rtl/>
        </w:rPr>
      </w:pPr>
      <w:r w:rsidRPr="00BD4591">
        <w:rPr>
          <w:rFonts w:hint="cs"/>
          <w:b/>
          <w:bCs/>
          <w:sz w:val="28"/>
          <w:szCs w:val="28"/>
          <w:rtl/>
        </w:rPr>
        <w:t>זכות ערעור בתוך 45 ימים מהיום.</w:t>
      </w:r>
    </w:p>
    <w:p w14:paraId="05227A0D" w14:textId="77777777" w:rsidR="00B91FE2" w:rsidRPr="00BD4591" w:rsidRDefault="00B91FE2" w:rsidP="00B91FE2">
      <w:pPr>
        <w:jc w:val="both"/>
        <w:rPr>
          <w:rtl/>
        </w:rPr>
      </w:pPr>
    </w:p>
    <w:p w14:paraId="16B0FDAC" w14:textId="77777777" w:rsidR="00B91FE2" w:rsidRPr="00BD4591" w:rsidRDefault="00B91FE2" w:rsidP="00B91FE2">
      <w:pPr>
        <w:jc w:val="both"/>
        <w:rPr>
          <w:rtl/>
        </w:rPr>
      </w:pPr>
    </w:p>
    <w:p w14:paraId="1F0064C3" w14:textId="77777777" w:rsidR="00B91FE2" w:rsidRPr="00BD4591" w:rsidRDefault="00B91FE2" w:rsidP="00B91FE2">
      <w:pPr>
        <w:jc w:val="both"/>
        <w:rPr>
          <w:rtl/>
        </w:rPr>
      </w:pPr>
    </w:p>
    <w:p w14:paraId="6D2645EF" w14:textId="77777777" w:rsidR="00B91FE2" w:rsidRPr="00BD4591" w:rsidRDefault="00DB0CC4" w:rsidP="00B91FE2">
      <w:pPr>
        <w:jc w:val="both"/>
        <w:rPr>
          <w:color w:val="FFFFFF"/>
          <w:sz w:val="2"/>
          <w:szCs w:val="2"/>
          <w:rtl/>
        </w:rPr>
      </w:pPr>
      <w:r w:rsidRPr="00BD4591">
        <w:rPr>
          <w:color w:val="FFFFFF"/>
          <w:sz w:val="2"/>
          <w:szCs w:val="2"/>
          <w:rtl/>
        </w:rPr>
        <w:t>5129371</w:t>
      </w:r>
    </w:p>
    <w:p w14:paraId="7055CB65" w14:textId="77777777" w:rsidR="00B91FE2" w:rsidRPr="00263C95" w:rsidRDefault="00DB0CC4" w:rsidP="00B91FE2">
      <w:pPr>
        <w:jc w:val="both"/>
        <w:rPr>
          <w:b/>
          <w:bCs/>
          <w:sz w:val="28"/>
          <w:szCs w:val="28"/>
          <w:rtl/>
        </w:rPr>
      </w:pPr>
      <w:r w:rsidRPr="00263C95">
        <w:rPr>
          <w:rFonts w:ascii="Arial" w:hAnsi="Arial"/>
          <w:b/>
          <w:bCs/>
          <w:color w:val="FFFFFF"/>
          <w:sz w:val="2"/>
          <w:szCs w:val="2"/>
          <w:rtl/>
        </w:rPr>
        <w:t>54678313</w:t>
      </w:r>
      <w:r w:rsidRPr="00263C95">
        <w:rPr>
          <w:rFonts w:ascii="Arial" w:hAnsi="Arial"/>
          <w:b/>
          <w:bCs/>
          <w:rtl/>
        </w:rPr>
        <w:t xml:space="preserve">ניתן היום,  ה' אדר א' תשע"ט, 10 פברואר 2019, בהעדר הצדדים. </w:t>
      </w:r>
    </w:p>
    <w:p w14:paraId="2668DF59" w14:textId="77777777" w:rsidR="00B91FE2" w:rsidRPr="00BD4591" w:rsidRDefault="00B91FE2" w:rsidP="00B91FE2">
      <w:pPr>
        <w:jc w:val="both"/>
      </w:pPr>
      <w:r w:rsidRPr="00BD4591">
        <w:rPr>
          <w:rFonts w:hint="cs"/>
          <w:rtl/>
        </w:rPr>
        <w:t xml:space="preserve">   </w:t>
      </w:r>
      <w:r w:rsidRPr="00BD4591">
        <w:rPr>
          <w:rFonts w:hint="cs"/>
          <w:rtl/>
        </w:rPr>
        <w:tab/>
      </w:r>
      <w:r w:rsidRPr="00BD4591">
        <w:rPr>
          <w:rFonts w:hint="cs"/>
          <w:rtl/>
        </w:rPr>
        <w:tab/>
      </w:r>
      <w:r w:rsidRPr="00BD4591">
        <w:rPr>
          <w:rFonts w:hint="cs"/>
          <w:rtl/>
        </w:rPr>
        <w:tab/>
      </w:r>
      <w:r w:rsidRPr="00BD4591">
        <w:rPr>
          <w:rFonts w:hint="cs"/>
          <w:rtl/>
        </w:rPr>
        <w:tab/>
      </w:r>
      <w:r w:rsidRPr="00BD4591">
        <w:rPr>
          <w:rFonts w:hint="cs"/>
          <w:rtl/>
        </w:rPr>
        <w:tab/>
      </w:r>
      <w:r w:rsidRPr="00BD4591">
        <w:rPr>
          <w:rtl/>
        </w:rPr>
        <w:t xml:space="preserve">     </w:t>
      </w:r>
    </w:p>
    <w:p w14:paraId="204D2456" w14:textId="77777777" w:rsidR="00B91FE2" w:rsidRPr="00BD4591" w:rsidRDefault="00B91FE2" w:rsidP="00B91FE2">
      <w:pPr>
        <w:jc w:val="both"/>
        <w:rPr>
          <w:rFonts w:ascii="Arial" w:hAnsi="Arial"/>
          <w:sz w:val="28"/>
          <w:szCs w:val="28"/>
          <w:rtl/>
        </w:rPr>
      </w:pPr>
    </w:p>
    <w:p w14:paraId="4A77CA43" w14:textId="77777777" w:rsidR="00B91FE2" w:rsidRPr="00BD4591" w:rsidRDefault="00B91FE2" w:rsidP="00B91FE2">
      <w:pPr>
        <w:jc w:val="both"/>
        <w:rPr>
          <w:sz w:val="28"/>
          <w:szCs w:val="28"/>
          <w:rtl/>
        </w:rPr>
      </w:pPr>
    </w:p>
    <w:p w14:paraId="70975011" w14:textId="77777777" w:rsidR="00B91FE2" w:rsidRPr="00BD4591" w:rsidRDefault="00BD4591" w:rsidP="00B91FE2">
      <w:pPr>
        <w:pStyle w:val="a3"/>
        <w:jc w:val="center"/>
        <w:rPr>
          <w:color w:val="FFFFFF"/>
          <w:sz w:val="2"/>
          <w:szCs w:val="2"/>
          <w:rtl/>
        </w:rPr>
      </w:pPr>
      <w:r w:rsidRPr="00BD4591">
        <w:rPr>
          <w:color w:val="FFFFFF"/>
          <w:sz w:val="2"/>
          <w:szCs w:val="2"/>
          <w:rtl/>
        </w:rPr>
        <w:t>5129371</w:t>
      </w:r>
    </w:p>
    <w:p w14:paraId="77E7934F" w14:textId="77777777" w:rsidR="00880414" w:rsidRPr="00BD4591" w:rsidRDefault="00BD4591" w:rsidP="00DB0CC4">
      <w:pPr>
        <w:keepNext/>
        <w:rPr>
          <w:rFonts w:ascii="David" w:hAnsi="David"/>
          <w:color w:val="FFFFFF"/>
          <w:sz w:val="2"/>
          <w:szCs w:val="2"/>
          <w:rtl/>
        </w:rPr>
      </w:pPr>
      <w:r w:rsidRPr="00BD4591">
        <w:rPr>
          <w:rFonts w:ascii="David" w:hAnsi="David"/>
          <w:color w:val="FFFFFF"/>
          <w:sz w:val="2"/>
          <w:szCs w:val="2"/>
          <w:rtl/>
        </w:rPr>
        <w:t>54678313</w:t>
      </w:r>
    </w:p>
    <w:p w14:paraId="0A0B36B6" w14:textId="77777777" w:rsidR="00DB0CC4" w:rsidRPr="00BD4591" w:rsidRDefault="00DB0CC4" w:rsidP="00DB0CC4">
      <w:pPr>
        <w:keepNext/>
        <w:rPr>
          <w:rFonts w:ascii="David" w:hAnsi="David"/>
          <w:color w:val="000000"/>
          <w:sz w:val="22"/>
          <w:szCs w:val="22"/>
          <w:rtl/>
        </w:rPr>
      </w:pPr>
      <w:r w:rsidRPr="00BD4591">
        <w:rPr>
          <w:rFonts w:ascii="David" w:hAnsi="David"/>
          <w:color w:val="000000"/>
          <w:sz w:val="22"/>
          <w:szCs w:val="22"/>
          <w:rtl/>
        </w:rPr>
        <w:t>עמית מיכלס 54678313</w:t>
      </w:r>
    </w:p>
    <w:p w14:paraId="6B3EA514" w14:textId="77777777" w:rsidR="00DB0CC4" w:rsidRPr="00BD4591" w:rsidRDefault="00DB0CC4" w:rsidP="00DB0CC4">
      <w:r w:rsidRPr="00BD4591">
        <w:rPr>
          <w:color w:val="000000"/>
          <w:rtl/>
        </w:rPr>
        <w:t>נוסח מסמך זה כפוף לשינויי ניסוח ועריכה</w:t>
      </w:r>
    </w:p>
    <w:p w14:paraId="5D4FDC9C" w14:textId="77777777" w:rsidR="00DB0CC4" w:rsidRPr="00BD4591" w:rsidRDefault="00DB0CC4" w:rsidP="00DB0CC4">
      <w:pPr>
        <w:rPr>
          <w:rtl/>
        </w:rPr>
      </w:pPr>
    </w:p>
    <w:p w14:paraId="5BCF3FAF" w14:textId="77777777" w:rsidR="00DB0CC4" w:rsidRPr="00BD4591" w:rsidRDefault="00DB0CC4" w:rsidP="00DB0CC4">
      <w:pPr>
        <w:jc w:val="center"/>
        <w:rPr>
          <w:color w:val="0000FF"/>
          <w:u w:val="single"/>
        </w:rPr>
      </w:pPr>
      <w:hyperlink r:id="rId34" w:history="1">
        <w:r w:rsidRPr="00BD4591">
          <w:rPr>
            <w:color w:val="0000FF"/>
            <w:u w:val="single"/>
            <w:rtl/>
          </w:rPr>
          <w:t>בעניין עריכה ושינויים במסמכי פסיקה, חקיקה ועוד באתר נבו – הקש כאן</w:t>
        </w:r>
      </w:hyperlink>
    </w:p>
    <w:p w14:paraId="38CB15CF" w14:textId="77777777" w:rsidR="00DB0CC4" w:rsidRPr="00BD4591" w:rsidRDefault="00DB0CC4" w:rsidP="00BD4591">
      <w:pPr>
        <w:rPr>
          <w:color w:val="0000FF"/>
          <w:u w:val="single"/>
        </w:rPr>
      </w:pPr>
    </w:p>
    <w:sectPr w:rsidR="00DB0CC4" w:rsidRPr="00BD4591" w:rsidSect="00BD4591">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97922" w14:textId="77777777" w:rsidR="006739AD" w:rsidRDefault="006739AD" w:rsidP="003D5E37">
      <w:r>
        <w:separator/>
      </w:r>
    </w:p>
  </w:endnote>
  <w:endnote w:type="continuationSeparator" w:id="0">
    <w:p w14:paraId="3B5E54AD" w14:textId="77777777" w:rsidR="006739AD" w:rsidRDefault="006739AD" w:rsidP="003D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41193" w14:textId="77777777" w:rsidR="00770D91" w:rsidRDefault="00770D91" w:rsidP="00BD45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032FE94" w14:textId="77777777" w:rsidR="00770D91" w:rsidRPr="00BD4591" w:rsidRDefault="00770D91" w:rsidP="00BD4591">
    <w:pPr>
      <w:pStyle w:val="a5"/>
      <w:pBdr>
        <w:top w:val="single" w:sz="4" w:space="1" w:color="auto"/>
        <w:between w:val="single" w:sz="4" w:space="0" w:color="auto"/>
      </w:pBdr>
      <w:spacing w:after="60"/>
      <w:jc w:val="center"/>
      <w:rPr>
        <w:rFonts w:ascii="FrankRuehl" w:hAnsi="FrankRuehl" w:cs="FrankRuehl"/>
        <w:color w:val="000000"/>
      </w:rPr>
    </w:pPr>
    <w:r w:rsidRPr="00BD45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40E67" w14:textId="77777777" w:rsidR="00770D91" w:rsidRDefault="00770D91" w:rsidP="00BD45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2A36">
      <w:rPr>
        <w:rFonts w:ascii="FrankRuehl" w:hAnsi="FrankRuehl" w:cs="FrankRuehl"/>
        <w:noProof/>
        <w:rtl/>
      </w:rPr>
      <w:t>1</w:t>
    </w:r>
    <w:r>
      <w:rPr>
        <w:rFonts w:ascii="FrankRuehl" w:hAnsi="FrankRuehl" w:cs="FrankRuehl"/>
        <w:rtl/>
      </w:rPr>
      <w:fldChar w:fldCharType="end"/>
    </w:r>
  </w:p>
  <w:p w14:paraId="0E197870" w14:textId="77777777" w:rsidR="00770D91" w:rsidRPr="00BD4591" w:rsidRDefault="00770D91" w:rsidP="00BD4591">
    <w:pPr>
      <w:pStyle w:val="a5"/>
      <w:pBdr>
        <w:top w:val="single" w:sz="4" w:space="1" w:color="auto"/>
        <w:between w:val="single" w:sz="4" w:space="0" w:color="auto"/>
      </w:pBdr>
      <w:spacing w:after="60"/>
      <w:jc w:val="center"/>
      <w:rPr>
        <w:rFonts w:ascii="FrankRuehl" w:hAnsi="FrankRuehl" w:cs="FrankRuehl"/>
        <w:color w:val="000000"/>
      </w:rPr>
    </w:pPr>
    <w:r w:rsidRPr="00BD4591">
      <w:rPr>
        <w:rFonts w:ascii="FrankRuehl" w:hAnsi="FrankRuehl" w:cs="FrankRuehl"/>
        <w:color w:val="000000"/>
      </w:rPr>
      <w:pict w14:anchorId="5EA6E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1984A" w14:textId="77777777" w:rsidR="006739AD" w:rsidRDefault="006739AD" w:rsidP="003D5E37">
      <w:r>
        <w:separator/>
      </w:r>
    </w:p>
  </w:footnote>
  <w:footnote w:type="continuationSeparator" w:id="0">
    <w:p w14:paraId="72ACA0D8" w14:textId="77777777" w:rsidR="006739AD" w:rsidRDefault="006739AD" w:rsidP="003D5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10512" w14:textId="77777777" w:rsidR="00770D91" w:rsidRPr="00BD4591" w:rsidRDefault="00770D91" w:rsidP="00BD45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2717-07-16</w:t>
    </w:r>
    <w:r>
      <w:rPr>
        <w:rFonts w:ascii="David" w:hAnsi="David"/>
        <w:color w:val="000000"/>
        <w:sz w:val="22"/>
        <w:szCs w:val="22"/>
        <w:rtl/>
      </w:rPr>
      <w:tab/>
      <w:t xml:space="preserve"> פרקליטות מחוז מרכז נ' נתנאל יגודייב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8E5AA" w14:textId="77777777" w:rsidR="00770D91" w:rsidRPr="00BD4591" w:rsidRDefault="00770D91" w:rsidP="00BD45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2717-07-16</w:t>
    </w:r>
    <w:r>
      <w:rPr>
        <w:rFonts w:ascii="David" w:hAnsi="David"/>
        <w:color w:val="000000"/>
        <w:sz w:val="22"/>
        <w:szCs w:val="22"/>
        <w:rtl/>
      </w:rPr>
      <w:tab/>
      <w:t xml:space="preserve"> פרקליטות מחוז מרכז נ' נתנאל יגודייב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91FE2"/>
    <w:rsid w:val="00263C95"/>
    <w:rsid w:val="00274D42"/>
    <w:rsid w:val="00381020"/>
    <w:rsid w:val="00395F51"/>
    <w:rsid w:val="003D5E37"/>
    <w:rsid w:val="006739AD"/>
    <w:rsid w:val="00770D91"/>
    <w:rsid w:val="00860224"/>
    <w:rsid w:val="008703FF"/>
    <w:rsid w:val="00880414"/>
    <w:rsid w:val="00B91FE2"/>
    <w:rsid w:val="00BD4591"/>
    <w:rsid w:val="00BE2A36"/>
    <w:rsid w:val="00CB369B"/>
    <w:rsid w:val="00D2706B"/>
    <w:rsid w:val="00DB0CC4"/>
    <w:rsid w:val="00EF10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753E5F8"/>
  <w15:chartTrackingRefBased/>
  <w15:docId w15:val="{93CA6708-E530-40E1-B3CE-BCDABB9D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91FE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1FE2"/>
    <w:pPr>
      <w:tabs>
        <w:tab w:val="center" w:pos="4153"/>
        <w:tab w:val="right" w:pos="8306"/>
      </w:tabs>
    </w:pPr>
  </w:style>
  <w:style w:type="character" w:customStyle="1" w:styleId="a4">
    <w:name w:val="כותרת עליונה תו"/>
    <w:link w:val="a3"/>
    <w:rsid w:val="00B91FE2"/>
    <w:rPr>
      <w:rFonts w:ascii="Times New Roman" w:eastAsia="Times New Roman" w:hAnsi="Times New Roman" w:cs="David"/>
      <w:sz w:val="24"/>
      <w:szCs w:val="24"/>
    </w:rPr>
  </w:style>
  <w:style w:type="paragraph" w:styleId="a5">
    <w:name w:val="footer"/>
    <w:basedOn w:val="a"/>
    <w:link w:val="a6"/>
    <w:rsid w:val="00B91FE2"/>
    <w:pPr>
      <w:tabs>
        <w:tab w:val="center" w:pos="4153"/>
        <w:tab w:val="right" w:pos="8306"/>
      </w:tabs>
    </w:pPr>
  </w:style>
  <w:style w:type="character" w:customStyle="1" w:styleId="a6">
    <w:name w:val="כותרת תחתונה תו"/>
    <w:link w:val="a5"/>
    <w:rsid w:val="00B91FE2"/>
    <w:rPr>
      <w:rFonts w:ascii="Times New Roman" w:eastAsia="Times New Roman" w:hAnsi="Times New Roman" w:cs="David"/>
      <w:sz w:val="24"/>
      <w:szCs w:val="24"/>
    </w:rPr>
  </w:style>
  <w:style w:type="table" w:styleId="a7">
    <w:name w:val="Table Grid"/>
    <w:basedOn w:val="a1"/>
    <w:rsid w:val="00B91FE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91FE2"/>
  </w:style>
  <w:style w:type="character" w:styleId="Hyperlink">
    <w:name w:val="Hyperlink"/>
    <w:rsid w:val="00B91FE2"/>
    <w:rPr>
      <w:color w:val="0000FF"/>
      <w:u w:val="single"/>
    </w:rPr>
  </w:style>
  <w:style w:type="paragraph" w:customStyle="1" w:styleId="Ruller4">
    <w:name w:val="Ruller4"/>
    <w:basedOn w:val="a"/>
    <w:rsid w:val="00B91FE2"/>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David">
    <w:name w:val="סגנון (עברית ושפות אחרות) David מיושר לשני הצדדים מרווח בין שורות..."/>
    <w:basedOn w:val="a"/>
    <w:rsid w:val="00B91FE2"/>
    <w:pPr>
      <w:spacing w:line="360" w:lineRule="auto"/>
      <w:jc w:val="both"/>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3521664" TargetMode="External"/><Relationship Id="rId39" Type="http://schemas.openxmlformats.org/officeDocument/2006/relationships/fontTable" Target="fontTable.xml"/><Relationship Id="rId21" Type="http://schemas.openxmlformats.org/officeDocument/2006/relationships/hyperlink" Target="http://www.nevo.co.il/law/4216/7.a.;7.c"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7.a." TargetMode="External"/><Relationship Id="rId12" Type="http://schemas.openxmlformats.org/officeDocument/2006/relationships/hyperlink" Target="http://www.nevo.co.il/law/70301/287.a"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18143552"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166195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24379510"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20994843"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287.a" TargetMode="External"/><Relationship Id="rId31" Type="http://schemas.openxmlformats.org/officeDocument/2006/relationships/hyperlink" Target="http://www.nevo.co.il/law/71553" TargetMode="Externa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0732772" TargetMode="External"/><Relationship Id="rId30" Type="http://schemas.openxmlformats.org/officeDocument/2006/relationships/hyperlink" Target="http://www.nevo.co.il/law/70301/40d.a" TargetMode="External"/><Relationship Id="rId35" Type="http://schemas.openxmlformats.org/officeDocument/2006/relationships/header" Target="header1.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3768</Words>
  <Characters>18840</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22563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8257634</vt:i4>
      </vt:variant>
      <vt:variant>
        <vt:i4>75</vt:i4>
      </vt:variant>
      <vt:variant>
        <vt:i4>0</vt:i4>
      </vt:variant>
      <vt:variant>
        <vt:i4>5</vt:i4>
      </vt:variant>
      <vt:variant>
        <vt:lpwstr>http://www.nevo.co.il/law/71553</vt:lpwstr>
      </vt:variant>
      <vt:variant>
        <vt:lpwstr/>
      </vt:variant>
      <vt:variant>
        <vt:i4>4915205</vt:i4>
      </vt:variant>
      <vt:variant>
        <vt:i4>72</vt:i4>
      </vt:variant>
      <vt:variant>
        <vt:i4>0</vt:i4>
      </vt:variant>
      <vt:variant>
        <vt:i4>5</vt:i4>
      </vt:variant>
      <vt:variant>
        <vt:lpwstr>http://www.nevo.co.il/law/70301/40d.a</vt:lpwstr>
      </vt:variant>
      <vt:variant>
        <vt:lpwstr/>
      </vt:variant>
      <vt:variant>
        <vt:i4>3145850</vt:i4>
      </vt:variant>
      <vt:variant>
        <vt:i4>69</vt:i4>
      </vt:variant>
      <vt:variant>
        <vt:i4>0</vt:i4>
      </vt:variant>
      <vt:variant>
        <vt:i4>5</vt:i4>
      </vt:variant>
      <vt:variant>
        <vt:lpwstr>http://www.nevo.co.il/case/21661958</vt:lpwstr>
      </vt:variant>
      <vt:variant>
        <vt:lpwstr/>
      </vt:variant>
      <vt:variant>
        <vt:i4>3866741</vt:i4>
      </vt:variant>
      <vt:variant>
        <vt:i4>66</vt:i4>
      </vt:variant>
      <vt:variant>
        <vt:i4>0</vt:i4>
      </vt:variant>
      <vt:variant>
        <vt:i4>5</vt:i4>
      </vt:variant>
      <vt:variant>
        <vt:lpwstr>http://www.nevo.co.il/case/20994843</vt:lpwstr>
      </vt:variant>
      <vt:variant>
        <vt:lpwstr/>
      </vt:variant>
      <vt:variant>
        <vt:i4>3145840</vt:i4>
      </vt:variant>
      <vt:variant>
        <vt:i4>63</vt:i4>
      </vt:variant>
      <vt:variant>
        <vt:i4>0</vt:i4>
      </vt:variant>
      <vt:variant>
        <vt:i4>5</vt:i4>
      </vt:variant>
      <vt:variant>
        <vt:lpwstr>http://www.nevo.co.il/case/20732772</vt:lpwstr>
      </vt:variant>
      <vt:variant>
        <vt:lpwstr/>
      </vt:variant>
      <vt:variant>
        <vt:i4>3145843</vt:i4>
      </vt:variant>
      <vt:variant>
        <vt:i4>60</vt:i4>
      </vt:variant>
      <vt:variant>
        <vt:i4>0</vt:i4>
      </vt:variant>
      <vt:variant>
        <vt:i4>5</vt:i4>
      </vt:variant>
      <vt:variant>
        <vt:lpwstr>http://www.nevo.co.il/case/23521664</vt:lpwstr>
      </vt:variant>
      <vt:variant>
        <vt:lpwstr/>
      </vt:variant>
      <vt:variant>
        <vt:i4>3539069</vt:i4>
      </vt:variant>
      <vt:variant>
        <vt:i4>57</vt:i4>
      </vt:variant>
      <vt:variant>
        <vt:i4>0</vt:i4>
      </vt:variant>
      <vt:variant>
        <vt:i4>5</vt:i4>
      </vt:variant>
      <vt:variant>
        <vt:lpwstr>http://www.nevo.co.il/case/18143552</vt:lpwstr>
      </vt:variant>
      <vt:variant>
        <vt:lpwstr/>
      </vt:variant>
      <vt:variant>
        <vt:i4>3735666</vt:i4>
      </vt:variant>
      <vt:variant>
        <vt:i4>54</vt:i4>
      </vt:variant>
      <vt:variant>
        <vt:i4>0</vt:i4>
      </vt:variant>
      <vt:variant>
        <vt:i4>5</vt:i4>
      </vt:variant>
      <vt:variant>
        <vt:lpwstr>http://www.nevo.co.il/case/24379510</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5177418</vt:i4>
      </vt:variant>
      <vt:variant>
        <vt:i4>36</vt:i4>
      </vt:variant>
      <vt:variant>
        <vt:i4>0</vt:i4>
      </vt:variant>
      <vt:variant>
        <vt:i4>5</vt:i4>
      </vt:variant>
      <vt:variant>
        <vt:lpwstr>http://www.nevo.co.il/law/4216/10</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4653151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8257634</vt:i4>
      </vt:variant>
      <vt:variant>
        <vt:i4>21</vt:i4>
      </vt:variant>
      <vt:variant>
        <vt:i4>0</vt:i4>
      </vt:variant>
      <vt:variant>
        <vt:i4>5</vt:i4>
      </vt:variant>
      <vt:variant>
        <vt:lpwstr>http://www.nevo.co.il/law/71553</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2717;21149</vt:lpwstr>
  </property>
  <property fmtid="{D5CDD505-2E9C-101B-9397-08002B2CF9AE}" pid="6" name="NEWPARTB">
    <vt:lpwstr>07;11</vt:lpwstr>
  </property>
  <property fmtid="{D5CDD505-2E9C-101B-9397-08002B2CF9AE}" pid="7" name="NEWPARTC">
    <vt:lpwstr>16;18</vt:lpwstr>
  </property>
  <property fmtid="{D5CDD505-2E9C-101B-9397-08002B2CF9AE}" pid="8" name="APPELLANT">
    <vt:lpwstr>פרקליטות מחוז מרכז</vt:lpwstr>
  </property>
  <property fmtid="{D5CDD505-2E9C-101B-9397-08002B2CF9AE}" pid="9" name="APPELLEE">
    <vt:lpwstr>נתנאל יגודייב</vt:lpwstr>
  </property>
  <property fmtid="{D5CDD505-2E9C-101B-9397-08002B2CF9AE}" pid="10" name="LAWYER">
    <vt:lpwstr>שלום בן שבת;יצחק מורדוך</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20190210</vt:lpwstr>
  </property>
  <property fmtid="{D5CDD505-2E9C-101B-9397-08002B2CF9AE}" pid="14" name="TYPE_N_DATE">
    <vt:lpwstr>38020190210</vt:lpwstr>
  </property>
  <property fmtid="{D5CDD505-2E9C-101B-9397-08002B2CF9AE}" pid="15" name="WORDNUMPAGES">
    <vt:lpwstr>15</vt:lpwstr>
  </property>
  <property fmtid="{D5CDD505-2E9C-101B-9397-08002B2CF9AE}" pid="16" name="TYPE_ABS_DATE">
    <vt:lpwstr>380120190210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5738608;24379510;18143552;23521664;20732772;20994843;21661958</vt:lpwstr>
  </property>
  <property fmtid="{D5CDD505-2E9C-101B-9397-08002B2CF9AE}" pid="36" name="LAWLISTTMP1">
    <vt:lpwstr>4216/007.a:2;007.c:2;010:2</vt:lpwstr>
  </property>
  <property fmtid="{D5CDD505-2E9C-101B-9397-08002B2CF9AE}" pid="37" name="LAWLISTTMP2">
    <vt:lpwstr>70301/287.a;040d.a</vt:lpwstr>
  </property>
  <property fmtid="{D5CDD505-2E9C-101B-9397-08002B2CF9AE}" pid="38" name="LAWLISTTMP3">
    <vt:lpwstr>71553</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20190319</vt:lpwstr>
  </property>
  <property fmtid="{D5CDD505-2E9C-101B-9397-08002B2CF9AE}" pid="73" name="METAKZER">
    <vt:lpwstr>עומרי</vt:lpwstr>
  </property>
</Properties>
</file>