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54240" w:rsidRPr="00FE6658" w14:paraId="51DA9841" w14:textId="77777777" w:rsidTr="00A112F6">
        <w:trPr>
          <w:trHeight w:hRule="exact" w:val="418"/>
          <w:jc w:val="center"/>
        </w:trPr>
        <w:tc>
          <w:tcPr>
            <w:tcW w:w="8720" w:type="dxa"/>
            <w:gridSpan w:val="3"/>
          </w:tcPr>
          <w:p w14:paraId="47D1ACAF" w14:textId="77777777" w:rsidR="00C54240" w:rsidRPr="00FE6658" w:rsidRDefault="00C54240" w:rsidP="00A112F6">
            <w:pPr>
              <w:pStyle w:val="a3"/>
              <w:tabs>
                <w:tab w:val="clear" w:pos="8306"/>
              </w:tabs>
              <w:jc w:val="center"/>
              <w:rPr>
                <w:rFonts w:ascii="Tahoma" w:hAnsi="Tahoma" w:cs="Tahoma"/>
                <w:b/>
                <w:bCs/>
                <w:color w:val="000080"/>
                <w:sz w:val="20"/>
                <w:szCs w:val="20"/>
                <w:rtl/>
              </w:rPr>
            </w:pPr>
            <w:bookmarkStart w:id="0" w:name="LastJudge"/>
            <w:r w:rsidRPr="00FE6658">
              <w:rPr>
                <w:rFonts w:ascii="Tahoma" w:hAnsi="Tahoma" w:cs="Tahoma"/>
                <w:b/>
                <w:bCs/>
                <w:color w:val="000080"/>
                <w:sz w:val="20"/>
                <w:szCs w:val="20"/>
                <w:rtl/>
              </w:rPr>
              <w:t>בית משפט השלום בנתניה</w:t>
            </w:r>
          </w:p>
        </w:tc>
      </w:tr>
      <w:tr w:rsidR="00C54240" w:rsidRPr="00FE6658" w14:paraId="69336918" w14:textId="77777777" w:rsidTr="00A112F6">
        <w:trPr>
          <w:trHeight w:val="337"/>
          <w:jc w:val="center"/>
        </w:trPr>
        <w:tc>
          <w:tcPr>
            <w:tcW w:w="6396" w:type="dxa"/>
          </w:tcPr>
          <w:p w14:paraId="4A0FD7EB" w14:textId="77777777" w:rsidR="00C54240" w:rsidRPr="00FE6658" w:rsidRDefault="00C54240" w:rsidP="00A112F6">
            <w:pPr>
              <w:rPr>
                <w:b/>
                <w:bCs/>
                <w:sz w:val="26"/>
                <w:szCs w:val="26"/>
                <w:rtl/>
              </w:rPr>
            </w:pPr>
            <w:r w:rsidRPr="00FE6658">
              <w:rPr>
                <w:b/>
                <w:bCs/>
                <w:sz w:val="26"/>
                <w:szCs w:val="26"/>
                <w:rtl/>
              </w:rPr>
              <w:t>ת"פ</w:t>
            </w:r>
            <w:r w:rsidRPr="00FE6658">
              <w:rPr>
                <w:rFonts w:hint="cs"/>
                <w:b/>
                <w:bCs/>
                <w:sz w:val="26"/>
                <w:szCs w:val="26"/>
                <w:rtl/>
              </w:rPr>
              <w:t xml:space="preserve"> </w:t>
            </w:r>
            <w:r w:rsidRPr="00FE6658">
              <w:rPr>
                <w:b/>
                <w:bCs/>
                <w:sz w:val="26"/>
                <w:szCs w:val="26"/>
                <w:rtl/>
              </w:rPr>
              <w:t>12906-08-16</w:t>
            </w:r>
            <w:r w:rsidRPr="00FE6658">
              <w:rPr>
                <w:rFonts w:hint="cs"/>
                <w:b/>
                <w:bCs/>
                <w:sz w:val="26"/>
                <w:szCs w:val="26"/>
                <w:rtl/>
              </w:rPr>
              <w:t xml:space="preserve"> </w:t>
            </w:r>
            <w:r w:rsidRPr="00FE6658">
              <w:rPr>
                <w:b/>
                <w:bCs/>
                <w:sz w:val="26"/>
                <w:szCs w:val="26"/>
                <w:rtl/>
              </w:rPr>
              <w:t>מדינת ישראל נ' אנגל</w:t>
            </w:r>
          </w:p>
          <w:p w14:paraId="5CDB3832" w14:textId="77777777" w:rsidR="00C54240" w:rsidRPr="00FE6658" w:rsidRDefault="00C54240" w:rsidP="00A112F6">
            <w:pPr>
              <w:rPr>
                <w:b/>
                <w:bCs/>
                <w:sz w:val="26"/>
                <w:szCs w:val="26"/>
                <w:rtl/>
              </w:rPr>
            </w:pPr>
          </w:p>
        </w:tc>
        <w:tc>
          <w:tcPr>
            <w:tcW w:w="236" w:type="dxa"/>
          </w:tcPr>
          <w:p w14:paraId="6107D098" w14:textId="77777777" w:rsidR="00C54240" w:rsidRPr="00FE6658" w:rsidRDefault="00C54240" w:rsidP="00A112F6">
            <w:pPr>
              <w:pStyle w:val="a3"/>
              <w:jc w:val="right"/>
              <w:rPr>
                <w:b/>
                <w:bCs/>
                <w:sz w:val="26"/>
                <w:szCs w:val="26"/>
                <w:rtl/>
              </w:rPr>
            </w:pPr>
          </w:p>
        </w:tc>
        <w:tc>
          <w:tcPr>
            <w:tcW w:w="2088" w:type="dxa"/>
          </w:tcPr>
          <w:p w14:paraId="03DA4FC8" w14:textId="77777777" w:rsidR="00C54240" w:rsidRPr="00FE6658" w:rsidRDefault="00C54240" w:rsidP="00A112F6">
            <w:pPr>
              <w:pStyle w:val="a3"/>
              <w:tabs>
                <w:tab w:val="clear" w:pos="4153"/>
              </w:tabs>
              <w:jc w:val="right"/>
              <w:rPr>
                <w:b/>
                <w:bCs/>
                <w:sz w:val="26"/>
                <w:szCs w:val="26"/>
                <w:rtl/>
              </w:rPr>
            </w:pPr>
            <w:r w:rsidRPr="00FE6658">
              <w:rPr>
                <w:b/>
                <w:bCs/>
                <w:sz w:val="26"/>
                <w:szCs w:val="26"/>
                <w:rtl/>
              </w:rPr>
              <w:t>10 ינואר 2018</w:t>
            </w:r>
          </w:p>
        </w:tc>
      </w:tr>
    </w:tbl>
    <w:p w14:paraId="7453BBD2" w14:textId="77777777" w:rsidR="00C54240" w:rsidRPr="00FE6658" w:rsidRDefault="00C54240" w:rsidP="00C54240">
      <w:pPr>
        <w:pStyle w:val="a3"/>
        <w:jc w:val="center"/>
        <w:rPr>
          <w:rFonts w:ascii="Tahoma" w:hAnsi="Tahoma" w:cs="Tahoma"/>
          <w:b/>
          <w:bCs/>
          <w:color w:val="000080"/>
          <w:sz w:val="20"/>
          <w:szCs w:val="20"/>
          <w:rtl/>
        </w:rPr>
      </w:pPr>
    </w:p>
    <w:p w14:paraId="4B595C07" w14:textId="77777777" w:rsidR="00C54240" w:rsidRPr="00FE6658" w:rsidRDefault="00C54240" w:rsidP="00C5424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A112F6" w:rsidRPr="00FE6658" w14:paraId="45614B46" w14:textId="77777777" w:rsidTr="00C54240">
        <w:trPr>
          <w:gridAfter w:val="1"/>
          <w:wAfter w:w="56" w:type="dxa"/>
        </w:trPr>
        <w:tc>
          <w:tcPr>
            <w:tcW w:w="8718" w:type="dxa"/>
            <w:gridSpan w:val="2"/>
            <w:shd w:val="clear" w:color="auto" w:fill="auto"/>
          </w:tcPr>
          <w:p w14:paraId="3E2C5262" w14:textId="77777777" w:rsidR="00C54240" w:rsidRPr="00FE6658" w:rsidRDefault="00C54240" w:rsidP="00A112F6">
            <w:pPr>
              <w:rPr>
                <w:b/>
                <w:bCs/>
                <w:sz w:val="26"/>
                <w:szCs w:val="26"/>
                <w:rtl/>
              </w:rPr>
            </w:pPr>
            <w:r w:rsidRPr="00FE6658">
              <w:rPr>
                <w:rFonts w:hint="cs"/>
                <w:b/>
                <w:bCs/>
                <w:sz w:val="26"/>
                <w:szCs w:val="26"/>
                <w:rtl/>
              </w:rPr>
              <w:t>לפני כבוד ה</w:t>
            </w:r>
            <w:r w:rsidRPr="00FE6658">
              <w:rPr>
                <w:b/>
                <w:bCs/>
                <w:sz w:val="26"/>
                <w:szCs w:val="26"/>
                <w:rtl/>
              </w:rPr>
              <w:t>שופט עמית פרייז</w:t>
            </w:r>
            <w:r w:rsidRPr="00FE6658">
              <w:rPr>
                <w:rStyle w:val="TimesNewRomanTimesNewRoman"/>
                <w:rtl/>
              </w:rPr>
              <w:t xml:space="preserve"> </w:t>
            </w:r>
          </w:p>
        </w:tc>
      </w:tr>
      <w:tr w:rsidR="00A112F6" w:rsidRPr="00FE6658" w14:paraId="03FF2D73" w14:textId="77777777" w:rsidTr="00C54240">
        <w:trPr>
          <w:cantSplit/>
          <w:trHeight w:val="724"/>
        </w:trPr>
        <w:tc>
          <w:tcPr>
            <w:tcW w:w="2880" w:type="dxa"/>
            <w:shd w:val="clear" w:color="auto" w:fill="auto"/>
          </w:tcPr>
          <w:p w14:paraId="409195D2" w14:textId="77777777" w:rsidR="00C54240" w:rsidRPr="00FE6658" w:rsidRDefault="00C54240" w:rsidP="00C54240">
            <w:pPr>
              <w:ind w:left="26"/>
              <w:rPr>
                <w:b/>
                <w:bCs/>
                <w:sz w:val="26"/>
                <w:szCs w:val="26"/>
                <w:rtl/>
              </w:rPr>
            </w:pPr>
            <w:bookmarkStart w:id="1" w:name="FirstAppellant"/>
          </w:p>
          <w:p w14:paraId="2C2D6784" w14:textId="77777777" w:rsidR="00C54240" w:rsidRPr="00FE6658" w:rsidRDefault="00C54240" w:rsidP="00C54240">
            <w:pPr>
              <w:ind w:left="26"/>
              <w:rPr>
                <w:b/>
                <w:bCs/>
                <w:sz w:val="26"/>
                <w:szCs w:val="26"/>
                <w:rtl/>
              </w:rPr>
            </w:pPr>
            <w:r w:rsidRPr="00FE6658">
              <w:rPr>
                <w:rFonts w:hint="cs"/>
                <w:b/>
                <w:bCs/>
                <w:sz w:val="26"/>
                <w:szCs w:val="26"/>
                <w:rtl/>
              </w:rPr>
              <w:t>ה</w:t>
            </w:r>
            <w:r w:rsidRPr="00FE6658">
              <w:rPr>
                <w:b/>
                <w:bCs/>
                <w:sz w:val="26"/>
                <w:szCs w:val="26"/>
                <w:rtl/>
              </w:rPr>
              <w:t>מאשימה</w:t>
            </w:r>
          </w:p>
        </w:tc>
        <w:tc>
          <w:tcPr>
            <w:tcW w:w="5922" w:type="dxa"/>
            <w:gridSpan w:val="2"/>
            <w:shd w:val="clear" w:color="auto" w:fill="auto"/>
          </w:tcPr>
          <w:p w14:paraId="64E8FEB4" w14:textId="77777777" w:rsidR="00C54240" w:rsidRPr="00FE6658" w:rsidRDefault="00C54240" w:rsidP="00A112F6">
            <w:pPr>
              <w:rPr>
                <w:rtl/>
              </w:rPr>
            </w:pPr>
          </w:p>
          <w:p w14:paraId="598031BB" w14:textId="77777777" w:rsidR="00C54240" w:rsidRPr="00FE6658" w:rsidRDefault="00C54240" w:rsidP="00A112F6">
            <w:pPr>
              <w:rPr>
                <w:b/>
                <w:bCs/>
                <w:sz w:val="26"/>
                <w:szCs w:val="26"/>
                <w:rtl/>
              </w:rPr>
            </w:pPr>
            <w:r w:rsidRPr="00FE6658">
              <w:rPr>
                <w:rFonts w:hint="cs"/>
                <w:rtl/>
              </w:rPr>
              <w:t xml:space="preserve"> </w:t>
            </w:r>
            <w:r w:rsidRPr="00FE6658">
              <w:rPr>
                <w:b/>
                <w:bCs/>
                <w:sz w:val="26"/>
                <w:szCs w:val="26"/>
                <w:rtl/>
              </w:rPr>
              <w:t>מדינת ישראל</w:t>
            </w:r>
          </w:p>
          <w:p w14:paraId="2600B3D1" w14:textId="77777777" w:rsidR="00C54240" w:rsidRPr="00FE6658" w:rsidRDefault="00C54240" w:rsidP="00A112F6">
            <w:pPr>
              <w:rPr>
                <w:b/>
                <w:bCs/>
                <w:sz w:val="26"/>
                <w:szCs w:val="26"/>
                <w:rtl/>
              </w:rPr>
            </w:pPr>
          </w:p>
        </w:tc>
      </w:tr>
      <w:bookmarkEnd w:id="1"/>
      <w:tr w:rsidR="00A112F6" w:rsidRPr="00FE6658" w14:paraId="67341B2E" w14:textId="77777777" w:rsidTr="00C54240">
        <w:tc>
          <w:tcPr>
            <w:tcW w:w="8802" w:type="dxa"/>
            <w:gridSpan w:val="3"/>
            <w:shd w:val="clear" w:color="auto" w:fill="auto"/>
            <w:vAlign w:val="center"/>
          </w:tcPr>
          <w:p w14:paraId="6F7F440E" w14:textId="77777777" w:rsidR="00C54240" w:rsidRPr="00FE6658" w:rsidRDefault="00C54240" w:rsidP="00C54240">
            <w:pPr>
              <w:jc w:val="center"/>
              <w:rPr>
                <w:rFonts w:ascii="Arial" w:hAnsi="Arial"/>
                <w:b/>
                <w:bCs/>
                <w:sz w:val="26"/>
                <w:szCs w:val="26"/>
                <w:rtl/>
              </w:rPr>
            </w:pPr>
            <w:r w:rsidRPr="00FE6658">
              <w:rPr>
                <w:rFonts w:ascii="Arial" w:hAnsi="Arial"/>
                <w:b/>
                <w:bCs/>
                <w:sz w:val="26"/>
                <w:szCs w:val="26"/>
                <w:rtl/>
              </w:rPr>
              <w:t>נגד</w:t>
            </w:r>
          </w:p>
          <w:p w14:paraId="0062BE88" w14:textId="77777777" w:rsidR="00C54240" w:rsidRPr="00FE6658" w:rsidRDefault="00C54240" w:rsidP="00A112F6">
            <w:pPr>
              <w:rPr>
                <w:rFonts w:ascii="Arial" w:hAnsi="Arial" w:hint="cs"/>
                <w:b/>
                <w:bCs/>
                <w:sz w:val="26"/>
                <w:szCs w:val="26"/>
              </w:rPr>
            </w:pPr>
          </w:p>
        </w:tc>
      </w:tr>
      <w:tr w:rsidR="00A112F6" w:rsidRPr="00FE6658" w14:paraId="2541F7B1" w14:textId="77777777" w:rsidTr="00C54240">
        <w:tc>
          <w:tcPr>
            <w:tcW w:w="2880" w:type="dxa"/>
            <w:shd w:val="clear" w:color="auto" w:fill="auto"/>
          </w:tcPr>
          <w:p w14:paraId="5503A142" w14:textId="77777777" w:rsidR="00C54240" w:rsidRPr="00FE6658" w:rsidRDefault="00C54240" w:rsidP="00C54240">
            <w:pPr>
              <w:ind w:left="26"/>
              <w:rPr>
                <w:b/>
                <w:bCs/>
                <w:sz w:val="26"/>
                <w:szCs w:val="26"/>
                <w:rtl/>
              </w:rPr>
            </w:pPr>
            <w:r w:rsidRPr="00FE6658">
              <w:rPr>
                <w:rFonts w:hint="cs"/>
                <w:b/>
                <w:bCs/>
                <w:sz w:val="26"/>
                <w:szCs w:val="26"/>
                <w:rtl/>
              </w:rPr>
              <w:t>ה</w:t>
            </w:r>
            <w:r w:rsidRPr="00FE6658">
              <w:rPr>
                <w:b/>
                <w:bCs/>
                <w:sz w:val="26"/>
                <w:szCs w:val="26"/>
                <w:rtl/>
              </w:rPr>
              <w:t>נאשם</w:t>
            </w:r>
          </w:p>
        </w:tc>
        <w:tc>
          <w:tcPr>
            <w:tcW w:w="5922" w:type="dxa"/>
            <w:gridSpan w:val="2"/>
            <w:shd w:val="clear" w:color="auto" w:fill="auto"/>
          </w:tcPr>
          <w:p w14:paraId="074E3846" w14:textId="77777777" w:rsidR="00C54240" w:rsidRPr="00FE6658" w:rsidRDefault="00C54240" w:rsidP="00247BF8">
            <w:pPr>
              <w:rPr>
                <w:rFonts w:hint="cs"/>
                <w:b/>
                <w:bCs/>
                <w:sz w:val="26"/>
                <w:szCs w:val="26"/>
                <w:rtl/>
              </w:rPr>
            </w:pPr>
            <w:r w:rsidRPr="00FE6658">
              <w:rPr>
                <w:rFonts w:hint="cs"/>
                <w:rtl/>
              </w:rPr>
              <w:t xml:space="preserve"> </w:t>
            </w:r>
            <w:r w:rsidRPr="00FE6658">
              <w:rPr>
                <w:b/>
                <w:bCs/>
                <w:sz w:val="26"/>
                <w:szCs w:val="26"/>
                <w:rtl/>
              </w:rPr>
              <w:t>דו</w:t>
            </w:r>
            <w:r w:rsidRPr="00FE6658">
              <w:rPr>
                <w:rFonts w:hint="cs"/>
                <w:b/>
                <w:bCs/>
                <w:sz w:val="26"/>
                <w:szCs w:val="26"/>
                <w:rtl/>
              </w:rPr>
              <w:t>ר</w:t>
            </w:r>
            <w:r w:rsidRPr="00FE6658">
              <w:rPr>
                <w:b/>
                <w:bCs/>
                <w:sz w:val="26"/>
                <w:szCs w:val="26"/>
                <w:rtl/>
              </w:rPr>
              <w:t xml:space="preserve"> אנגל</w:t>
            </w:r>
            <w:r w:rsidRPr="00FE6658">
              <w:rPr>
                <w:rFonts w:hint="cs"/>
                <w:rtl/>
              </w:rPr>
              <w:t xml:space="preserve"> </w:t>
            </w:r>
          </w:p>
          <w:p w14:paraId="5ED179FE" w14:textId="77777777" w:rsidR="00C54240" w:rsidRPr="00FE6658" w:rsidRDefault="00C54240" w:rsidP="00A112F6">
            <w:pPr>
              <w:rPr>
                <w:b/>
                <w:bCs/>
                <w:sz w:val="26"/>
                <w:szCs w:val="26"/>
                <w:rtl/>
              </w:rPr>
            </w:pPr>
          </w:p>
        </w:tc>
      </w:tr>
    </w:tbl>
    <w:p w14:paraId="6EC802C9" w14:textId="77777777" w:rsidR="00C54240" w:rsidRPr="00FE6658" w:rsidRDefault="00C54240" w:rsidP="00C54240">
      <w:pPr>
        <w:spacing w:line="360" w:lineRule="auto"/>
        <w:jc w:val="both"/>
        <w:rPr>
          <w:sz w:val="6"/>
          <w:szCs w:val="6"/>
          <w:rtl/>
        </w:rPr>
      </w:pPr>
      <w:r w:rsidRPr="00FE6658">
        <w:rPr>
          <w:sz w:val="6"/>
          <w:szCs w:val="6"/>
          <w:rtl/>
        </w:rPr>
        <w:t>&lt;#2#&gt;</w:t>
      </w:r>
    </w:p>
    <w:p w14:paraId="0A1FCFC9" w14:textId="77777777" w:rsidR="00C54240" w:rsidRPr="00FE6658" w:rsidRDefault="00C54240" w:rsidP="00C54240">
      <w:pPr>
        <w:pStyle w:val="12"/>
        <w:rPr>
          <w:u w:val="none"/>
          <w:rtl/>
        </w:rPr>
      </w:pPr>
      <w:r w:rsidRPr="00FE6658">
        <w:rPr>
          <w:rFonts w:hint="cs"/>
          <w:u w:val="none"/>
          <w:rtl/>
        </w:rPr>
        <w:t>נוכחים:</w:t>
      </w:r>
    </w:p>
    <w:p w14:paraId="017301C1" w14:textId="77777777" w:rsidR="00C54240" w:rsidRPr="00FE6658" w:rsidRDefault="00C54240" w:rsidP="00C54240">
      <w:pPr>
        <w:pStyle w:val="12"/>
        <w:rPr>
          <w:b w:val="0"/>
          <w:bCs w:val="0"/>
          <w:u w:val="none"/>
        </w:rPr>
      </w:pPr>
      <w:bookmarkStart w:id="2" w:name="FirstLawyer"/>
      <w:r w:rsidRPr="00FE6658">
        <w:rPr>
          <w:rFonts w:hint="cs"/>
          <w:b w:val="0"/>
          <w:bCs w:val="0"/>
          <w:u w:val="none"/>
          <w:rtl/>
        </w:rPr>
        <w:t>ב"כ</w:t>
      </w:r>
      <w:bookmarkEnd w:id="2"/>
      <w:r w:rsidRPr="00FE6658">
        <w:rPr>
          <w:rFonts w:hint="cs"/>
          <w:b w:val="0"/>
          <w:bCs w:val="0"/>
          <w:u w:val="none"/>
          <w:rtl/>
        </w:rPr>
        <w:t xml:space="preserve"> המאשימה עו"ד רוני אלסטר</w:t>
      </w:r>
    </w:p>
    <w:p w14:paraId="3416F147" w14:textId="77777777" w:rsidR="00C54240" w:rsidRPr="00FE6658" w:rsidRDefault="00C54240" w:rsidP="00C54240">
      <w:pPr>
        <w:pStyle w:val="12"/>
        <w:rPr>
          <w:b w:val="0"/>
          <w:bCs w:val="0"/>
          <w:u w:val="none"/>
          <w:rtl/>
        </w:rPr>
      </w:pPr>
      <w:r w:rsidRPr="00FE6658">
        <w:rPr>
          <w:rFonts w:hint="cs"/>
          <w:b w:val="0"/>
          <w:bCs w:val="0"/>
          <w:u w:val="none"/>
          <w:rtl/>
        </w:rPr>
        <w:t xml:space="preserve">הנאשם וב"כ עו"ד מירון רוזנטל </w:t>
      </w:r>
    </w:p>
    <w:p w14:paraId="6F32F20E" w14:textId="77777777" w:rsidR="00C54240" w:rsidRPr="00FE6658" w:rsidRDefault="00C54240" w:rsidP="00C54240">
      <w:pPr>
        <w:pStyle w:val="12"/>
        <w:rPr>
          <w:b w:val="0"/>
          <w:bCs w:val="0"/>
          <w:u w:val="none"/>
          <w:rtl/>
        </w:rPr>
      </w:pPr>
    </w:p>
    <w:p w14:paraId="107CF072" w14:textId="77777777" w:rsidR="00C54240" w:rsidRPr="00FE6658" w:rsidRDefault="00C54240" w:rsidP="00C54240">
      <w:pPr>
        <w:pStyle w:val="12"/>
        <w:rPr>
          <w:b w:val="0"/>
          <w:bCs w:val="0"/>
          <w:u w:val="none"/>
          <w:rtl/>
        </w:rPr>
      </w:pPr>
    </w:p>
    <w:p w14:paraId="2421101F" w14:textId="77777777" w:rsidR="00247BF8" w:rsidRDefault="00C54240" w:rsidP="00C54240">
      <w:pPr>
        <w:tabs>
          <w:tab w:val="left" w:pos="566"/>
        </w:tabs>
        <w:spacing w:line="360" w:lineRule="auto"/>
        <w:jc w:val="center"/>
        <w:rPr>
          <w:rFonts w:ascii="Arial" w:hAnsi="Arial"/>
          <w:sz w:val="28"/>
          <w:szCs w:val="28"/>
          <w:rtl/>
        </w:rPr>
      </w:pPr>
      <w:r w:rsidRPr="00FE6658">
        <w:rPr>
          <w:rFonts w:ascii="Arial" w:hAnsi="Arial"/>
          <w:b/>
          <w:color w:val="FF0000"/>
          <w:sz w:val="28"/>
          <w:rtl/>
        </w:rPr>
        <w:t>במסמך זה הושמטו פרוטוקולים</w:t>
      </w:r>
      <w:bookmarkStart w:id="3" w:name="LawTable"/>
      <w:bookmarkEnd w:id="3"/>
    </w:p>
    <w:p w14:paraId="23742C69" w14:textId="77777777" w:rsidR="00247BF8" w:rsidRPr="00247BF8" w:rsidRDefault="00247BF8" w:rsidP="00247BF8">
      <w:pPr>
        <w:tabs>
          <w:tab w:val="left" w:pos="566"/>
        </w:tabs>
        <w:spacing w:after="120" w:line="240" w:lineRule="exact"/>
        <w:ind w:left="283" w:hanging="283"/>
        <w:jc w:val="both"/>
        <w:rPr>
          <w:rFonts w:ascii="FrankRuehl" w:hAnsi="FrankRuehl" w:cs="FrankRuehl"/>
          <w:rtl/>
        </w:rPr>
      </w:pPr>
    </w:p>
    <w:p w14:paraId="3AD885FF" w14:textId="77777777" w:rsidR="00247BF8" w:rsidRPr="00247BF8" w:rsidRDefault="00247BF8" w:rsidP="00247BF8">
      <w:pPr>
        <w:tabs>
          <w:tab w:val="left" w:pos="566"/>
        </w:tabs>
        <w:spacing w:after="120" w:line="240" w:lineRule="exact"/>
        <w:ind w:left="283" w:hanging="283"/>
        <w:jc w:val="both"/>
        <w:rPr>
          <w:rFonts w:ascii="FrankRuehl" w:hAnsi="FrankRuehl" w:cs="FrankRuehl"/>
          <w:rtl/>
        </w:rPr>
      </w:pPr>
      <w:r w:rsidRPr="00247BF8">
        <w:rPr>
          <w:rFonts w:ascii="FrankRuehl" w:hAnsi="FrankRuehl" w:cs="FrankRuehl"/>
          <w:rtl/>
        </w:rPr>
        <w:t xml:space="preserve">חקיקה שאוזכרה: </w:t>
      </w:r>
    </w:p>
    <w:p w14:paraId="1F9956EA" w14:textId="77777777" w:rsidR="00247BF8" w:rsidRPr="00247BF8" w:rsidRDefault="00247BF8" w:rsidP="00247BF8">
      <w:pPr>
        <w:tabs>
          <w:tab w:val="left" w:pos="566"/>
        </w:tabs>
        <w:spacing w:after="120" w:line="240" w:lineRule="exact"/>
        <w:ind w:left="283" w:hanging="283"/>
        <w:jc w:val="both"/>
        <w:rPr>
          <w:rFonts w:ascii="FrankRuehl" w:hAnsi="FrankRuehl" w:cs="FrankRuehl"/>
          <w:rtl/>
        </w:rPr>
      </w:pPr>
      <w:hyperlink r:id="rId7" w:history="1">
        <w:r w:rsidRPr="00247BF8">
          <w:rPr>
            <w:rFonts w:ascii="FrankRuehl" w:hAnsi="FrankRuehl" w:cs="FrankRuehl"/>
            <w:color w:val="0000FF"/>
            <w:u w:val="single"/>
            <w:rtl/>
          </w:rPr>
          <w:t>פקודת הסמים המסוכנים [נוסח חדש], תשל"ג-1973</w:t>
        </w:r>
      </w:hyperlink>
    </w:p>
    <w:p w14:paraId="58A8093A" w14:textId="77777777" w:rsidR="00247BF8" w:rsidRPr="00247BF8" w:rsidRDefault="00247BF8" w:rsidP="00247BF8">
      <w:pPr>
        <w:tabs>
          <w:tab w:val="left" w:pos="566"/>
        </w:tabs>
        <w:spacing w:after="120" w:line="240" w:lineRule="exact"/>
        <w:ind w:left="283" w:hanging="283"/>
        <w:jc w:val="both"/>
        <w:rPr>
          <w:rFonts w:ascii="FrankRuehl" w:hAnsi="FrankRuehl" w:cs="FrankRuehl"/>
          <w:rtl/>
        </w:rPr>
      </w:pPr>
    </w:p>
    <w:p w14:paraId="4176D514" w14:textId="77777777" w:rsidR="00247BF8" w:rsidRPr="00247BF8" w:rsidRDefault="00247BF8" w:rsidP="00C54240">
      <w:pPr>
        <w:tabs>
          <w:tab w:val="left" w:pos="566"/>
        </w:tabs>
        <w:spacing w:line="360" w:lineRule="auto"/>
        <w:jc w:val="center"/>
        <w:rPr>
          <w:rFonts w:ascii="Arial" w:hAnsi="Arial"/>
          <w:sz w:val="28"/>
          <w:szCs w:val="28"/>
          <w:rtl/>
        </w:rPr>
      </w:pPr>
      <w:bookmarkStart w:id="4" w:name="LawTable_End"/>
      <w:bookmarkEnd w:id="4"/>
    </w:p>
    <w:p w14:paraId="06D94666" w14:textId="77777777" w:rsidR="00247BF8" w:rsidRPr="00247BF8" w:rsidRDefault="00247BF8" w:rsidP="00C54240">
      <w:pPr>
        <w:tabs>
          <w:tab w:val="left" w:pos="566"/>
        </w:tabs>
        <w:spacing w:line="360" w:lineRule="auto"/>
        <w:jc w:val="center"/>
        <w:rPr>
          <w:rFonts w:ascii="Arial" w:hAnsi="Arial"/>
          <w:b/>
          <w:bCs/>
          <w:sz w:val="28"/>
          <w:szCs w:val="28"/>
          <w:rtl/>
        </w:rPr>
      </w:pPr>
    </w:p>
    <w:p w14:paraId="586E5A45" w14:textId="77777777" w:rsidR="00C54240" w:rsidRPr="00247BF8" w:rsidRDefault="00C54240" w:rsidP="00C54240">
      <w:pPr>
        <w:tabs>
          <w:tab w:val="left" w:pos="566"/>
        </w:tabs>
        <w:spacing w:line="360" w:lineRule="auto"/>
        <w:jc w:val="center"/>
        <w:rPr>
          <w:rFonts w:ascii="Arial" w:hAnsi="Arial"/>
          <w:b/>
          <w:bCs/>
          <w:sz w:val="28"/>
          <w:szCs w:val="28"/>
          <w:rtl/>
        </w:rPr>
      </w:pPr>
    </w:p>
    <w:p w14:paraId="1C89F125" w14:textId="77777777" w:rsidR="00FE6658" w:rsidRPr="00FE6658" w:rsidRDefault="00FE6658" w:rsidP="00C54240">
      <w:pPr>
        <w:tabs>
          <w:tab w:val="left" w:pos="566"/>
        </w:tabs>
        <w:spacing w:line="360" w:lineRule="auto"/>
        <w:jc w:val="center"/>
        <w:rPr>
          <w:rFonts w:ascii="Arial" w:hAnsi="Arial"/>
          <w:b/>
          <w:bCs/>
          <w:sz w:val="28"/>
          <w:szCs w:val="28"/>
          <w:rtl/>
        </w:rPr>
      </w:pPr>
    </w:p>
    <w:p w14:paraId="72F4D761" w14:textId="77777777" w:rsidR="00FE6658" w:rsidRPr="00FE6658" w:rsidRDefault="00FE6658" w:rsidP="00FE6658">
      <w:pPr>
        <w:tabs>
          <w:tab w:val="left" w:pos="566"/>
        </w:tabs>
        <w:spacing w:line="360" w:lineRule="auto"/>
        <w:jc w:val="center"/>
        <w:rPr>
          <w:rFonts w:ascii="Arial" w:hAnsi="Arial"/>
          <w:b/>
          <w:bCs/>
          <w:sz w:val="28"/>
          <w:szCs w:val="28"/>
          <w:u w:val="single"/>
          <w:rtl/>
        </w:rPr>
      </w:pPr>
      <w:bookmarkStart w:id="5" w:name="PsakDin"/>
      <w:bookmarkEnd w:id="0"/>
      <w:r w:rsidRPr="00FE6658">
        <w:rPr>
          <w:rFonts w:ascii="Arial" w:hAnsi="Arial"/>
          <w:b/>
          <w:bCs/>
          <w:sz w:val="28"/>
          <w:szCs w:val="28"/>
          <w:u w:val="single"/>
          <w:rtl/>
        </w:rPr>
        <w:t>גזר דין</w:t>
      </w:r>
    </w:p>
    <w:bookmarkEnd w:id="5"/>
    <w:p w14:paraId="35F79442" w14:textId="77777777" w:rsidR="00C54240" w:rsidRDefault="00C54240" w:rsidP="00C54240">
      <w:pPr>
        <w:tabs>
          <w:tab w:val="left" w:pos="566"/>
        </w:tabs>
        <w:spacing w:line="360" w:lineRule="auto"/>
        <w:jc w:val="both"/>
        <w:rPr>
          <w:rtl/>
        </w:rPr>
      </w:pPr>
    </w:p>
    <w:p w14:paraId="75FF70BB" w14:textId="77777777" w:rsidR="00C54240" w:rsidRDefault="00C54240" w:rsidP="00C54240">
      <w:pPr>
        <w:tabs>
          <w:tab w:val="left" w:pos="566"/>
        </w:tabs>
        <w:spacing w:line="360" w:lineRule="auto"/>
        <w:jc w:val="both"/>
        <w:rPr>
          <w:rtl/>
        </w:rPr>
      </w:pPr>
      <w:bookmarkStart w:id="6" w:name="ABSTRACT_START"/>
      <w:bookmarkEnd w:id="6"/>
      <w:r w:rsidRPr="00300654">
        <w:rPr>
          <w:rFonts w:hint="cs"/>
          <w:rtl/>
        </w:rPr>
        <w:t xml:space="preserve">הנאשם הורשע על פי הודאתו, </w:t>
      </w:r>
      <w:r>
        <w:rPr>
          <w:rFonts w:hint="cs"/>
          <w:rtl/>
        </w:rPr>
        <w:t xml:space="preserve">בביצוע עבירה של החזקת סמים שלא לצריכה עצמית. מדובר באירוע מחודש יולי 2016, כאשר במחסום בכניסה לאילת התברר כי הנאשם מחזיק ברשותו 2 שקיות של סם מסוכן מסוג קוקאין במשקל של קרוב ל-10 גרם נטו כל שקית. הנאשם היה באותה עת ברכב עם חברים בדרכם לחופשה באילת. </w:t>
      </w:r>
    </w:p>
    <w:p w14:paraId="63949E15" w14:textId="77777777" w:rsidR="00C54240" w:rsidRDefault="00C54240" w:rsidP="00C54240">
      <w:pPr>
        <w:tabs>
          <w:tab w:val="left" w:pos="566"/>
        </w:tabs>
        <w:spacing w:line="360" w:lineRule="auto"/>
        <w:jc w:val="both"/>
        <w:rPr>
          <w:rtl/>
        </w:rPr>
      </w:pPr>
    </w:p>
    <w:p w14:paraId="5781780D" w14:textId="77777777" w:rsidR="00C54240" w:rsidRDefault="00C54240" w:rsidP="00C54240">
      <w:pPr>
        <w:tabs>
          <w:tab w:val="left" w:pos="566"/>
        </w:tabs>
        <w:spacing w:line="360" w:lineRule="auto"/>
        <w:jc w:val="both"/>
        <w:rPr>
          <w:rtl/>
        </w:rPr>
      </w:pPr>
      <w:bookmarkStart w:id="7" w:name="ABSTRACT_END"/>
      <w:bookmarkEnd w:id="7"/>
      <w:r>
        <w:rPr>
          <w:rFonts w:hint="cs"/>
          <w:rtl/>
        </w:rPr>
        <w:t xml:space="preserve">תחילה ייאמר כי בשונה מתיקים רבים הבאים בפני ביהמ"ש זה מדובר במקרה שבפניי בסם שמוגדר כסם קשה וזאת מבלי להמעיט בחומרת השימוש בסמים שנחשבים קלים יותר. </w:t>
      </w:r>
    </w:p>
    <w:p w14:paraId="1CE75E32" w14:textId="77777777" w:rsidR="00C54240" w:rsidRDefault="00C54240" w:rsidP="00C54240">
      <w:pPr>
        <w:tabs>
          <w:tab w:val="left" w:pos="566"/>
        </w:tabs>
        <w:spacing w:line="360" w:lineRule="auto"/>
        <w:jc w:val="both"/>
        <w:rPr>
          <w:rtl/>
        </w:rPr>
      </w:pPr>
    </w:p>
    <w:p w14:paraId="731564F9" w14:textId="77777777" w:rsidR="00C54240" w:rsidRDefault="00C54240" w:rsidP="00C54240">
      <w:pPr>
        <w:tabs>
          <w:tab w:val="left" w:pos="566"/>
        </w:tabs>
        <w:spacing w:line="360" w:lineRule="auto"/>
        <w:jc w:val="both"/>
        <w:rPr>
          <w:rtl/>
        </w:rPr>
      </w:pPr>
      <w:r>
        <w:rPr>
          <w:rFonts w:hint="cs"/>
          <w:rtl/>
        </w:rPr>
        <w:t xml:space="preserve">נוסף על כך יש לתת את הדעת על הכמויות הגדולות יחסית של סם מסוג זה שהחזיק הנאשם . מדובר בכמויות שמספיקות למספר לא מועט של מנות של סם זה כפי שמקובל בקרב צרכניו. הסניגור הבהיר שלמרות זאת, הרי שהנאשם ייעד את הסם לצריכתו העצמית בלבד, ומציין </w:t>
      </w:r>
      <w:r>
        <w:rPr>
          <w:rFonts w:hint="cs"/>
          <w:rtl/>
        </w:rPr>
        <w:lastRenderedPageBreak/>
        <w:t xml:space="preserve">שהנאשם באותה תקופה עשה שימוש אינטנסיבי בסמים לרבות סמים קשים כך שתוך מספר ימים היה עושה שימוש בכל הכמות שנתפסה עימו. </w:t>
      </w:r>
    </w:p>
    <w:p w14:paraId="16CFA93C" w14:textId="77777777" w:rsidR="00C54240" w:rsidRDefault="00C54240" w:rsidP="00C54240">
      <w:pPr>
        <w:tabs>
          <w:tab w:val="left" w:pos="566"/>
        </w:tabs>
        <w:spacing w:line="360" w:lineRule="auto"/>
        <w:jc w:val="both"/>
        <w:rPr>
          <w:rtl/>
        </w:rPr>
      </w:pPr>
    </w:p>
    <w:p w14:paraId="379C112E" w14:textId="77777777" w:rsidR="00C54240" w:rsidRDefault="00C54240" w:rsidP="00C54240">
      <w:pPr>
        <w:tabs>
          <w:tab w:val="left" w:pos="566"/>
        </w:tabs>
        <w:spacing w:line="360" w:lineRule="auto"/>
        <w:jc w:val="both"/>
        <w:rPr>
          <w:rtl/>
        </w:rPr>
      </w:pPr>
      <w:r>
        <w:rPr>
          <w:rFonts w:hint="cs"/>
          <w:rtl/>
        </w:rPr>
        <w:t xml:space="preserve">אף אם אניח כעובדה את הדברים שנאמרים על ידי הסניגור, מה עוד שאלה עולים בקנה אחד עם האמור בתסקיר לגבי אופן השימוש של הנאשם בסמים באותה עת ובשנים שקדמו לכך, הרי שעדיין יש לתת את הדעת על הפוטנציאל של הגעת חלק מאותה כמות למשתמשים נוספים . אדרבה, שהנאשם כאמור היה בדרך לאילת לחופשה עם חברים כאשר לדברי הסניגור חלק מהחופשה כלל שהיה עם אנשים נוספים, בנסיבות חברתיות. לפיכך, מדובר בפוטנציאל שלא היה בעלמא. </w:t>
      </w:r>
    </w:p>
    <w:p w14:paraId="794BD5E4" w14:textId="77777777" w:rsidR="00C54240" w:rsidRDefault="00C54240" w:rsidP="00C54240">
      <w:pPr>
        <w:tabs>
          <w:tab w:val="left" w:pos="566"/>
        </w:tabs>
        <w:spacing w:line="360" w:lineRule="auto"/>
        <w:jc w:val="both"/>
        <w:rPr>
          <w:rtl/>
        </w:rPr>
      </w:pPr>
    </w:p>
    <w:p w14:paraId="6D599744" w14:textId="77777777" w:rsidR="00C54240" w:rsidRDefault="00C54240" w:rsidP="00C54240">
      <w:pPr>
        <w:tabs>
          <w:tab w:val="left" w:pos="566"/>
        </w:tabs>
        <w:spacing w:line="360" w:lineRule="auto"/>
        <w:jc w:val="both"/>
        <w:rPr>
          <w:rtl/>
        </w:rPr>
      </w:pPr>
      <w:r>
        <w:rPr>
          <w:rFonts w:hint="cs"/>
          <w:rtl/>
        </w:rPr>
        <w:t xml:space="preserve">הפסיקה שהוגשה בפניי רובה מתייחסת לפסקי דין שיצאו תחת ערכאה זו בפני מותבים מקבילים ועל כן אין בה כל כח מנחה ומחייב . הוצג פס"ד אחד של ערכאה גבוהה יותר שכוחו להנחות ואף הוא עוסק בנסיבות קלות יותר מבחינת המעשה ובמידה לא מועטה מבחינת הנאשמת באותה עת, ומדובר אף בפסק דין שאינו מייצג ככלל את פסיקתו שלאותו ביהמ"ש מחוזי. </w:t>
      </w:r>
    </w:p>
    <w:p w14:paraId="210D0D42" w14:textId="77777777" w:rsidR="00C54240" w:rsidRDefault="00C54240" w:rsidP="00C54240">
      <w:pPr>
        <w:tabs>
          <w:tab w:val="left" w:pos="566"/>
        </w:tabs>
        <w:spacing w:line="360" w:lineRule="auto"/>
        <w:jc w:val="both"/>
        <w:rPr>
          <w:rtl/>
        </w:rPr>
      </w:pPr>
    </w:p>
    <w:p w14:paraId="0CC252B4" w14:textId="77777777" w:rsidR="00C54240" w:rsidRDefault="00C54240" w:rsidP="00C54240">
      <w:pPr>
        <w:tabs>
          <w:tab w:val="left" w:pos="566"/>
        </w:tabs>
        <w:spacing w:line="360" w:lineRule="auto"/>
        <w:jc w:val="both"/>
        <w:rPr>
          <w:rtl/>
        </w:rPr>
      </w:pPr>
      <w:r>
        <w:rPr>
          <w:rFonts w:hint="cs"/>
          <w:rtl/>
        </w:rPr>
        <w:t xml:space="preserve">בשים לב לכל האמור עד כה, הרי שסבורני כי יש מקום לקבוע מתחם ענישה של מאסר בפועל בעיקרו שלא על דרך עבודות שירות אולם באופן נמוך מעט מזו שהציעה התביעה. אני אומד את המתחם בנסיבות אלה כך שהוא נע בין 12 חודשים מאסר בפועל ל-30 חודשים מאסר בפועל וזאת בשילוב מאסר על תנאי ורכיבים כספיים וכן פסילת רישיון נהיגה. </w:t>
      </w:r>
    </w:p>
    <w:p w14:paraId="15EB7FF0" w14:textId="77777777" w:rsidR="00C54240" w:rsidRDefault="00C54240" w:rsidP="00C54240">
      <w:pPr>
        <w:tabs>
          <w:tab w:val="left" w:pos="566"/>
        </w:tabs>
        <w:spacing w:line="360" w:lineRule="auto"/>
        <w:jc w:val="both"/>
        <w:rPr>
          <w:rtl/>
        </w:rPr>
      </w:pPr>
    </w:p>
    <w:p w14:paraId="0697C4AD" w14:textId="77777777" w:rsidR="00C54240" w:rsidRDefault="00C54240" w:rsidP="00C54240">
      <w:pPr>
        <w:tabs>
          <w:tab w:val="left" w:pos="566"/>
        </w:tabs>
        <w:spacing w:line="360" w:lineRule="auto"/>
        <w:jc w:val="both"/>
        <w:rPr>
          <w:rtl/>
        </w:rPr>
      </w:pPr>
      <w:r>
        <w:rPr>
          <w:rFonts w:hint="cs"/>
          <w:rtl/>
        </w:rPr>
        <w:t xml:space="preserve">בד בבד כפי שמטבע הדברים היה לב טיעוני ההגנה הרי שבמקרה זה קיים שיקול שיקומי של ממש. מדובר בנאשם שהיה פשוט בתהום מבחינת השימוש בסמים, ובכלל בכלל חייו אשר מרוצם נפגע אנושות בעקבות התנהלותו ביחס לסמים. ההליך שהחל באותה תפיסה במחסום בדרך לאילת היה נקודת מפנה מבחינתו כאשר לאחר מעצר של כחודש פנה לאפיק טיפולי ו השתלב בו בהצלחה יוצאת דופן, הדברים אמורים בכך שהנאשם נטל חלק פעיל משמעותי ומפנים בטיפול ללא עליות ומורדות כמו שקורה לא אחת בענין מטופלים אחרים ובהתאם לכך נמצא לאחר הטיפול במשך תקופה ארוכה כאשר הוא נקי משימוש בסמים. בנסיבות אלה, שירות המבחן אף ממליץ שלא להטיל על הנאשם כל מאסר בפועל, ולהסתפק ברכיבים של של"צ וצו מבחן. הסניגור מן הסתם מבקש לאמץ עמדה זו. </w:t>
      </w:r>
    </w:p>
    <w:p w14:paraId="0760D3F4" w14:textId="77777777" w:rsidR="00C54240" w:rsidRDefault="00C54240" w:rsidP="00C54240">
      <w:pPr>
        <w:tabs>
          <w:tab w:val="left" w:pos="566"/>
        </w:tabs>
        <w:spacing w:line="360" w:lineRule="auto"/>
        <w:jc w:val="both"/>
        <w:rPr>
          <w:rtl/>
        </w:rPr>
      </w:pPr>
    </w:p>
    <w:p w14:paraId="28AFE679" w14:textId="77777777" w:rsidR="00C54240" w:rsidRDefault="00C54240" w:rsidP="00C54240">
      <w:pPr>
        <w:tabs>
          <w:tab w:val="left" w:pos="566"/>
        </w:tabs>
        <w:spacing w:line="360" w:lineRule="auto"/>
        <w:jc w:val="both"/>
        <w:rPr>
          <w:rtl/>
        </w:rPr>
      </w:pPr>
      <w:r>
        <w:rPr>
          <w:rFonts w:hint="cs"/>
          <w:rtl/>
        </w:rPr>
        <w:t>אכן שיקום , בוודאי שיקום מוצלח מאוד ורציף כמו זה שבפניי מצדיק סטיה לקולא ממתחם הענישה. אכן באופן תיאורטי לאור לשונו של תיקון 113, אין כל הגבלה על האופן שבו יבטא ביהמ"ש את שיקולי השיקום כך שבאופן תיאורטי בקביעת מתחם מהכמות שציינתי, ניתן אף להגיע באמצעות שיקולי שיקום לאי הטלת מאסר בפועל כלל. יחד עם זאת, לאור טיב העבירות בהן מדובר, בדגש על סוג הסם וכמותו, הרי שסטיה לקולא מהמתחם צריכה להיעשות באופן שלא יפגע משמעותית באינטרס הציבורי להרתיע מהעבירות בהן מדובר אשר למרבה הצער אינה נחלת הנאשם שבפניי בלבד.</w:t>
      </w:r>
    </w:p>
    <w:p w14:paraId="7F297796" w14:textId="77777777" w:rsidR="00C54240" w:rsidRDefault="00C54240" w:rsidP="00C54240">
      <w:pPr>
        <w:tabs>
          <w:tab w:val="left" w:pos="566"/>
        </w:tabs>
        <w:spacing w:line="360" w:lineRule="auto"/>
        <w:jc w:val="both"/>
        <w:rPr>
          <w:rtl/>
        </w:rPr>
      </w:pPr>
    </w:p>
    <w:p w14:paraId="74DDA834" w14:textId="77777777" w:rsidR="00C54240" w:rsidRDefault="00C54240" w:rsidP="00C54240">
      <w:pPr>
        <w:tabs>
          <w:tab w:val="left" w:pos="566"/>
        </w:tabs>
        <w:spacing w:line="360" w:lineRule="auto"/>
        <w:jc w:val="both"/>
        <w:rPr>
          <w:rtl/>
        </w:rPr>
      </w:pPr>
      <w:r>
        <w:rPr>
          <w:rFonts w:hint="cs"/>
          <w:rtl/>
        </w:rPr>
        <w:lastRenderedPageBreak/>
        <w:t xml:space="preserve">בנסיבות אלה, וגם אם אני מתעלם מעברו הפלילי של הנאשם בהיותו כולל אמנם בעיקר עבירות סמים אך ישן מאדו, וגם אם אני מביא בחשבון את הפגיעה שכבר היתה בעקבות ההליך בחירותו של הנאשם בדמות הליכי מעצר של ממש ולאחר מכן מעצר בית כמעט מלא בהמשך חלקי, סבורני כי לא ניתן לקבל את עמדת ההגנה ואף לא עמדה קרובה לכך. </w:t>
      </w:r>
    </w:p>
    <w:p w14:paraId="768AD6B0" w14:textId="77777777" w:rsidR="00C54240" w:rsidRDefault="00C54240" w:rsidP="00C54240">
      <w:pPr>
        <w:tabs>
          <w:tab w:val="left" w:pos="566"/>
        </w:tabs>
        <w:spacing w:line="360" w:lineRule="auto"/>
        <w:jc w:val="both"/>
        <w:rPr>
          <w:rtl/>
        </w:rPr>
      </w:pPr>
    </w:p>
    <w:p w14:paraId="475B0B42" w14:textId="77777777" w:rsidR="00C54240" w:rsidRDefault="00C54240" w:rsidP="00C54240">
      <w:pPr>
        <w:tabs>
          <w:tab w:val="left" w:pos="566"/>
        </w:tabs>
        <w:spacing w:line="360" w:lineRule="auto"/>
        <w:jc w:val="both"/>
        <w:rPr>
          <w:rtl/>
        </w:rPr>
      </w:pPr>
      <w:r>
        <w:rPr>
          <w:rFonts w:hint="cs"/>
          <w:rtl/>
        </w:rPr>
        <w:t xml:space="preserve">סבורני בנסיבות אלה, כי את השיקול השיקומי כבד המשקל במקרה זה, ניתן לבטא באופן מירבי אך בדרך של גזירת מאסר בפועל של עבודות שירות ולתקופה המירבית האפשרית. גם אם הנאשם וסניגורו סבורים שהדבר יפגע בהתקדמות המשמעותית של הנאשם שתוארה, הרי שבאיזון בין פגיעה זו לבין פגיעה באינטרס הציבורי כתוצאה מאי הטלת עבודות שירות או הטלתן בתקופה קצרה יותר, הכף נוטה לכוון האינטרס הציבורי. </w:t>
      </w:r>
    </w:p>
    <w:p w14:paraId="0ACBBD6B" w14:textId="77777777" w:rsidR="00C54240" w:rsidRDefault="00C54240" w:rsidP="00C54240">
      <w:pPr>
        <w:tabs>
          <w:tab w:val="left" w:pos="566"/>
        </w:tabs>
        <w:spacing w:line="360" w:lineRule="auto"/>
        <w:jc w:val="both"/>
        <w:rPr>
          <w:rtl/>
        </w:rPr>
      </w:pPr>
    </w:p>
    <w:p w14:paraId="452E6E90" w14:textId="77777777" w:rsidR="00C54240" w:rsidRDefault="00C54240" w:rsidP="00C54240">
      <w:pPr>
        <w:tabs>
          <w:tab w:val="left" w:pos="566"/>
        </w:tabs>
        <w:spacing w:line="360" w:lineRule="auto"/>
        <w:jc w:val="both"/>
        <w:rPr>
          <w:rtl/>
        </w:rPr>
      </w:pPr>
      <w:r>
        <w:rPr>
          <w:rFonts w:hint="cs"/>
          <w:rtl/>
        </w:rPr>
        <w:t>לצד זאת יש להטיל על הנאשם מאסר מותנה משמעותי לרבות בעבירות שעניינן שימוש בסם מסוכן .</w:t>
      </w:r>
    </w:p>
    <w:p w14:paraId="21546919" w14:textId="77777777" w:rsidR="00C54240" w:rsidRDefault="00C54240" w:rsidP="00C54240">
      <w:pPr>
        <w:tabs>
          <w:tab w:val="left" w:pos="566"/>
        </w:tabs>
        <w:spacing w:line="360" w:lineRule="auto"/>
        <w:jc w:val="both"/>
        <w:rPr>
          <w:rtl/>
        </w:rPr>
      </w:pPr>
    </w:p>
    <w:p w14:paraId="3E50B54E" w14:textId="77777777" w:rsidR="00C54240" w:rsidRDefault="00C54240" w:rsidP="00C54240">
      <w:pPr>
        <w:tabs>
          <w:tab w:val="left" w:pos="566"/>
        </w:tabs>
        <w:spacing w:line="360" w:lineRule="auto"/>
        <w:jc w:val="both"/>
        <w:rPr>
          <w:rtl/>
        </w:rPr>
      </w:pPr>
      <w:r>
        <w:rPr>
          <w:rFonts w:hint="cs"/>
          <w:rtl/>
        </w:rPr>
        <w:t xml:space="preserve">רכיב נוסף שיש מקום לגזור הינו קנס. לענין זה ייאמר שגם בעבירות של שימוש והחזקה של סמים קלים יותר בכמויות קטנות יותר, לא אחת מוטל רכיב של כזה, ועל כן יש מקום שהקנס במקרה שלפני לאור טיב הסם וכמותו, יהיה קנס בשיעור של אלפי שקלים תוך פריסה לתשלומים כדי שהנאשם יוכל לעמוד בו. </w:t>
      </w:r>
    </w:p>
    <w:p w14:paraId="39484748" w14:textId="77777777" w:rsidR="00C54240" w:rsidRDefault="00C54240" w:rsidP="00C54240">
      <w:pPr>
        <w:tabs>
          <w:tab w:val="left" w:pos="566"/>
        </w:tabs>
        <w:spacing w:line="360" w:lineRule="auto"/>
        <w:jc w:val="both"/>
        <w:rPr>
          <w:rtl/>
        </w:rPr>
      </w:pPr>
    </w:p>
    <w:p w14:paraId="24E355BF" w14:textId="77777777" w:rsidR="00C54240" w:rsidRDefault="00C54240" w:rsidP="00C54240">
      <w:pPr>
        <w:tabs>
          <w:tab w:val="left" w:pos="566"/>
        </w:tabs>
        <w:spacing w:line="360" w:lineRule="auto"/>
        <w:jc w:val="both"/>
        <w:rPr>
          <w:rtl/>
        </w:rPr>
      </w:pPr>
      <w:r>
        <w:rPr>
          <w:rFonts w:hint="cs"/>
          <w:rtl/>
        </w:rPr>
        <w:t>באשר לפסילת רישיון הנהיגה הרי שמצד אחד הנאשם נקי כיום מסמים ועל כן בנהיגתו לא מסכן את העושים בדרכים . יובהר שהנאשם לא נוהג כיום אולם במסגרת צעידתו במסלול הנורמטיבי הוא אף מנסה לקבל רישיון נהיגה, ועל כן יש להידרש להעדר הסיכון לעיל. מנגד יש להביא בחשבון את העובדה שמדובר בסם שנתפס ברכב, ובנוסף לכך לאור טיב הסם וכמותו יש מקום בהקשר של הרתעת הרבים אף לרכיב של פסילת רישיון נהיגה אשר בנסיבות הענין רובו יהיה מותנה אך עדין יהיה מדובר בפסילה בפועל של מספר חודשים .</w:t>
      </w:r>
    </w:p>
    <w:p w14:paraId="405D49E4" w14:textId="77777777" w:rsidR="00C54240" w:rsidRDefault="00C54240" w:rsidP="00C54240">
      <w:pPr>
        <w:tabs>
          <w:tab w:val="left" w:pos="566"/>
        </w:tabs>
        <w:spacing w:line="360" w:lineRule="auto"/>
        <w:jc w:val="both"/>
        <w:rPr>
          <w:rtl/>
        </w:rPr>
      </w:pPr>
    </w:p>
    <w:p w14:paraId="55E890EF" w14:textId="77777777" w:rsidR="00C54240" w:rsidRDefault="00C54240" w:rsidP="00C54240">
      <w:pPr>
        <w:tabs>
          <w:tab w:val="left" w:pos="566"/>
        </w:tabs>
        <w:spacing w:line="360" w:lineRule="auto"/>
        <w:jc w:val="both"/>
        <w:rPr>
          <w:rtl/>
        </w:rPr>
      </w:pPr>
      <w:r>
        <w:rPr>
          <w:rFonts w:hint="cs"/>
          <w:rtl/>
        </w:rPr>
        <w:t xml:space="preserve">נוסף על כך יש מקום להטיל על הנאשם צו מבחן לצורך פיקוח על המשך התקדמותו בטיפול שטרם הסתיים ואף צפוי להימשך עוד חודשים לא מעטים. </w:t>
      </w:r>
    </w:p>
    <w:p w14:paraId="560D0A3F" w14:textId="77777777" w:rsidR="00C54240" w:rsidRDefault="00C54240" w:rsidP="00C54240">
      <w:pPr>
        <w:tabs>
          <w:tab w:val="left" w:pos="566"/>
        </w:tabs>
        <w:spacing w:line="360" w:lineRule="auto"/>
        <w:jc w:val="both"/>
        <w:rPr>
          <w:rtl/>
        </w:rPr>
      </w:pPr>
    </w:p>
    <w:p w14:paraId="4D4F0288" w14:textId="77777777" w:rsidR="00C54240" w:rsidRDefault="00C54240" w:rsidP="00C54240">
      <w:pPr>
        <w:tabs>
          <w:tab w:val="left" w:pos="566"/>
        </w:tabs>
        <w:spacing w:line="360" w:lineRule="auto"/>
        <w:jc w:val="both"/>
        <w:rPr>
          <w:rtl/>
        </w:rPr>
      </w:pPr>
      <w:r>
        <w:rPr>
          <w:rFonts w:hint="cs"/>
          <w:rtl/>
        </w:rPr>
        <w:t>בשים לב לכל האמור, אני גוזר על הנאשם את העונשים הבאים:</w:t>
      </w:r>
    </w:p>
    <w:p w14:paraId="6B20E79B" w14:textId="77777777" w:rsidR="00C54240" w:rsidRPr="00817293" w:rsidRDefault="00C54240" w:rsidP="00C54240">
      <w:pPr>
        <w:numPr>
          <w:ilvl w:val="0"/>
          <w:numId w:val="1"/>
        </w:numPr>
        <w:tabs>
          <w:tab w:val="left" w:pos="566"/>
        </w:tabs>
        <w:snapToGrid w:val="0"/>
        <w:spacing w:line="360" w:lineRule="auto"/>
        <w:ind w:left="658" w:hanging="298"/>
        <w:jc w:val="both"/>
        <w:rPr>
          <w:rtl/>
        </w:rPr>
      </w:pPr>
      <w:r w:rsidRPr="00817293">
        <w:rPr>
          <w:rFonts w:hint="cs"/>
          <w:rtl/>
        </w:rPr>
        <w:t xml:space="preserve">מאסר בפועל של </w:t>
      </w:r>
      <w:r>
        <w:rPr>
          <w:rFonts w:hint="cs"/>
          <w:rtl/>
        </w:rPr>
        <w:t>6</w:t>
      </w:r>
      <w:r w:rsidRPr="00817293">
        <w:rPr>
          <w:rFonts w:hint="cs"/>
          <w:rtl/>
        </w:rPr>
        <w:t xml:space="preserve"> חודשים אשר ירוצו בדרך של עבודות שירות, החל מיום </w:t>
      </w:r>
      <w:r>
        <w:rPr>
          <w:rFonts w:hint="cs"/>
          <w:rtl/>
        </w:rPr>
        <w:t>12.4.18</w:t>
      </w:r>
      <w:r w:rsidRPr="00817293">
        <w:rPr>
          <w:rFonts w:hint="cs"/>
          <w:rtl/>
        </w:rPr>
        <w:t>.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r>
        <w:rPr>
          <w:rFonts w:hint="cs"/>
          <w:rtl/>
        </w:rPr>
        <w:t>יובהר כי ימי מעצרו של הנאשם היו שיקול בגזירת העונש ולא יובאו במנין ימי עבודות השירות.</w:t>
      </w:r>
    </w:p>
    <w:p w14:paraId="68621B18" w14:textId="77777777" w:rsidR="00C54240" w:rsidRPr="00300654" w:rsidRDefault="00C54240" w:rsidP="00C54240">
      <w:pPr>
        <w:numPr>
          <w:ilvl w:val="0"/>
          <w:numId w:val="1"/>
        </w:numPr>
        <w:tabs>
          <w:tab w:val="left" w:pos="566"/>
        </w:tabs>
        <w:snapToGrid w:val="0"/>
        <w:spacing w:line="360" w:lineRule="auto"/>
        <w:ind w:left="658" w:hanging="298"/>
        <w:jc w:val="both"/>
        <w:rPr>
          <w:rtl/>
        </w:rPr>
      </w:pPr>
      <w:r w:rsidRPr="00300654">
        <w:rPr>
          <w:rFonts w:hint="cs"/>
          <w:rtl/>
        </w:rPr>
        <w:t xml:space="preserve">מאסר על תנאי של </w:t>
      </w:r>
      <w:r>
        <w:rPr>
          <w:rFonts w:hint="cs"/>
          <w:rtl/>
        </w:rPr>
        <w:t>9</w:t>
      </w:r>
      <w:r w:rsidRPr="00300654">
        <w:rPr>
          <w:rFonts w:hint="cs"/>
          <w:rtl/>
        </w:rPr>
        <w:t xml:space="preserve"> חודשים למשך 3 שנים מהיום, והתנאי הוא שלא יעבור </w:t>
      </w:r>
      <w:r>
        <w:rPr>
          <w:rFonts w:hint="cs"/>
          <w:rtl/>
        </w:rPr>
        <w:t xml:space="preserve">עבירה על </w:t>
      </w:r>
      <w:hyperlink r:id="rId8" w:history="1">
        <w:r w:rsidR="00FE6658" w:rsidRPr="00FE6658">
          <w:rPr>
            <w:color w:val="0000FF"/>
            <w:u w:val="single"/>
            <w:rtl/>
          </w:rPr>
          <w:t>פקודת הסמים המסוכנים</w:t>
        </w:r>
      </w:hyperlink>
      <w:r w:rsidRPr="00300654">
        <w:rPr>
          <w:rFonts w:hint="cs"/>
          <w:rtl/>
        </w:rPr>
        <w:t xml:space="preserve">. </w:t>
      </w:r>
    </w:p>
    <w:p w14:paraId="16B6563E" w14:textId="77777777" w:rsidR="00C54240" w:rsidRPr="00300654" w:rsidRDefault="00C54240" w:rsidP="00C54240">
      <w:pPr>
        <w:numPr>
          <w:ilvl w:val="0"/>
          <w:numId w:val="1"/>
        </w:numPr>
        <w:tabs>
          <w:tab w:val="left" w:pos="566"/>
        </w:tabs>
        <w:snapToGrid w:val="0"/>
        <w:spacing w:line="360" w:lineRule="auto"/>
        <w:ind w:left="658" w:hanging="298"/>
        <w:jc w:val="both"/>
      </w:pPr>
      <w:r w:rsidRPr="00300654">
        <w:rPr>
          <w:rFonts w:hint="cs"/>
          <w:rtl/>
        </w:rPr>
        <w:t xml:space="preserve">קנס בסך </w:t>
      </w:r>
      <w:r>
        <w:rPr>
          <w:rFonts w:hint="cs"/>
          <w:rtl/>
        </w:rPr>
        <w:t>3000</w:t>
      </w:r>
      <w:r w:rsidRPr="00300654">
        <w:rPr>
          <w:rFonts w:hint="cs"/>
          <w:rtl/>
        </w:rPr>
        <w:t xml:space="preserve"> ₪,</w:t>
      </w:r>
      <w:r>
        <w:rPr>
          <w:rFonts w:hint="cs"/>
          <w:rtl/>
        </w:rPr>
        <w:t xml:space="preserve"> כאשר בהסכמת אימו של הנאשם הפיקדון שהופקד בסך 2000 ₪ בתיק </w:t>
      </w:r>
      <w:hyperlink r:id="rId9" w:history="1">
        <w:r w:rsidR="00FE6658" w:rsidRPr="00FE6658">
          <w:rPr>
            <w:color w:val="0000FF"/>
            <w:u w:val="single"/>
            <w:rtl/>
          </w:rPr>
          <w:t>מ"ת 12930-08-16</w:t>
        </w:r>
      </w:hyperlink>
      <w:r>
        <w:rPr>
          <w:rFonts w:hint="cs"/>
          <w:rtl/>
        </w:rPr>
        <w:t xml:space="preserve">, ישמש לתשלום הקנס. יתרת הקנס בסך 1000 ₪ תשולם ב-5 תשלומים חודשיים שווים ורצופים </w:t>
      </w:r>
      <w:r w:rsidRPr="00300654">
        <w:rPr>
          <w:rFonts w:hint="cs"/>
          <w:rtl/>
        </w:rPr>
        <w:t>החל מיום</w:t>
      </w:r>
      <w:r>
        <w:rPr>
          <w:rFonts w:hint="cs"/>
        </w:rPr>
        <w:t xml:space="preserve"> </w:t>
      </w:r>
      <w:r>
        <w:rPr>
          <w:rFonts w:hint="cs"/>
          <w:rtl/>
        </w:rPr>
        <w:t>15.4.18</w:t>
      </w:r>
      <w:r w:rsidRPr="00300654">
        <w:rPr>
          <w:rFonts w:hint="cs"/>
          <w:rtl/>
        </w:rPr>
        <w:t xml:space="preserve"> ובכל </w:t>
      </w:r>
      <w:r>
        <w:rPr>
          <w:rFonts w:hint="cs"/>
          <w:rtl/>
        </w:rPr>
        <w:t>15</w:t>
      </w:r>
      <w:r w:rsidRPr="00300654">
        <w:rPr>
          <w:rFonts w:hint="cs"/>
          <w:rtl/>
        </w:rPr>
        <w:t xml:space="preserve"> לכל חודש עוקב. לא ישולם תשלום אחד במועד</w:t>
      </w:r>
      <w:r>
        <w:rPr>
          <w:rFonts w:hint="cs"/>
          <w:rtl/>
        </w:rPr>
        <w:t>ו – תעמוד כל היתרה לפרעון מיידי כאשר במידת הצורך תוצא לנאשם פקודת מאסר של 10 ימים תמורת אי תשלום הקנס.</w:t>
      </w:r>
    </w:p>
    <w:p w14:paraId="6C1738ED" w14:textId="77777777" w:rsidR="00C54240" w:rsidRPr="00817293" w:rsidRDefault="00C54240" w:rsidP="00C54240">
      <w:pPr>
        <w:numPr>
          <w:ilvl w:val="0"/>
          <w:numId w:val="1"/>
        </w:numPr>
        <w:tabs>
          <w:tab w:val="left" w:pos="566"/>
        </w:tabs>
        <w:snapToGrid w:val="0"/>
        <w:spacing w:line="360" w:lineRule="auto"/>
        <w:ind w:left="658" w:hanging="298"/>
        <w:jc w:val="both"/>
        <w:rPr>
          <w:rtl/>
        </w:rPr>
      </w:pPr>
      <w:r w:rsidRPr="00817293">
        <w:rPr>
          <w:rFonts w:hint="cs"/>
          <w:rtl/>
        </w:rPr>
        <w:t xml:space="preserve">פסילה בפועל מלהחזיק ו/או מלקבל רישיון נהיגה לתקופה של </w:t>
      </w:r>
      <w:r>
        <w:rPr>
          <w:rFonts w:hint="cs"/>
          <w:rtl/>
        </w:rPr>
        <w:t>6</w:t>
      </w:r>
      <w:r w:rsidRPr="00817293">
        <w:rPr>
          <w:rFonts w:hint="cs"/>
          <w:rtl/>
        </w:rPr>
        <w:t xml:space="preserve">  חודשים החל מהיום</w:t>
      </w:r>
      <w:r>
        <w:rPr>
          <w:rFonts w:hint="cs"/>
          <w:rtl/>
        </w:rPr>
        <w:t xml:space="preserve"> . </w:t>
      </w:r>
      <w:r w:rsidRPr="00817293">
        <w:rPr>
          <w:rFonts w:hint="cs"/>
          <w:rtl/>
        </w:rPr>
        <w:t xml:space="preserve">נוכח דברי הנאשם כי אין לו רישיון נהיגה, יש להסתפק בכך חלף אקט של הפקדת הרישיון במזכירות. </w:t>
      </w:r>
    </w:p>
    <w:p w14:paraId="51EFC2F9" w14:textId="77777777" w:rsidR="00C54240" w:rsidRDefault="00C54240" w:rsidP="00C54240">
      <w:pPr>
        <w:numPr>
          <w:ilvl w:val="0"/>
          <w:numId w:val="1"/>
        </w:numPr>
        <w:tabs>
          <w:tab w:val="left" w:pos="566"/>
        </w:tabs>
        <w:snapToGrid w:val="0"/>
        <w:spacing w:line="360" w:lineRule="auto"/>
        <w:ind w:left="658" w:hanging="298"/>
        <w:jc w:val="both"/>
      </w:pPr>
      <w:r w:rsidRPr="00300654">
        <w:rPr>
          <w:rFonts w:hint="cs"/>
          <w:rtl/>
        </w:rPr>
        <w:t xml:space="preserve">פסילה על תנאי מלהחזיק ו/או לקבל רישיון נהיגה לתקופה של </w:t>
      </w:r>
      <w:r>
        <w:rPr>
          <w:rFonts w:hint="cs"/>
          <w:rtl/>
        </w:rPr>
        <w:t>12</w:t>
      </w:r>
      <w:r w:rsidRPr="00300654">
        <w:rPr>
          <w:rFonts w:hint="cs"/>
          <w:rtl/>
        </w:rPr>
        <w:t xml:space="preserve"> חודשים באם בתוך 3 שנים </w:t>
      </w:r>
      <w:r>
        <w:rPr>
          <w:rFonts w:hint="cs"/>
          <w:rtl/>
        </w:rPr>
        <w:t xml:space="preserve">מהיום, יעבור עבירה על </w:t>
      </w:r>
      <w:hyperlink r:id="rId10" w:history="1">
        <w:r w:rsidR="00FE6658" w:rsidRPr="00FE6658">
          <w:rPr>
            <w:color w:val="0000FF"/>
            <w:u w:val="single"/>
            <w:rtl/>
          </w:rPr>
          <w:t>פקודת הסמים המסוכנים</w:t>
        </w:r>
      </w:hyperlink>
      <w:r w:rsidRPr="00300654">
        <w:rPr>
          <w:rFonts w:hint="cs"/>
          <w:rtl/>
        </w:rPr>
        <w:t>.</w:t>
      </w:r>
      <w:r>
        <w:rPr>
          <w:rFonts w:hint="cs"/>
          <w:rtl/>
        </w:rPr>
        <w:t xml:space="preserve"> </w:t>
      </w:r>
    </w:p>
    <w:p w14:paraId="7617B36E" w14:textId="77777777" w:rsidR="00C54240" w:rsidRPr="002E3F60" w:rsidRDefault="00C54240" w:rsidP="00C54240">
      <w:pPr>
        <w:pStyle w:val="a9"/>
        <w:numPr>
          <w:ilvl w:val="0"/>
          <w:numId w:val="1"/>
        </w:numPr>
        <w:tabs>
          <w:tab w:val="left" w:pos="566"/>
        </w:tabs>
        <w:snapToGrid w:val="0"/>
        <w:spacing w:line="360" w:lineRule="auto"/>
        <w:jc w:val="both"/>
        <w:rPr>
          <w:rFonts w:cs="David"/>
          <w:sz w:val="22"/>
          <w:szCs w:val="22"/>
        </w:rPr>
      </w:pPr>
      <w:r>
        <w:rPr>
          <w:rFonts w:cs="David" w:hint="cs"/>
          <w:rtl/>
        </w:rPr>
        <w:t>ניתן בזאת לנאשם צו מבחן למשך שנה. הבהרתי לנאשם</w:t>
      </w:r>
      <w:r w:rsidRPr="002E3F60">
        <w:rPr>
          <w:rFonts w:cs="David" w:hint="cs"/>
          <w:rtl/>
        </w:rPr>
        <w:t xml:space="preserve"> </w:t>
      </w:r>
      <w:r>
        <w:rPr>
          <w:rFonts w:cs="David" w:hint="cs"/>
          <w:rtl/>
        </w:rPr>
        <w:t>את משמעות צו המבחן, ושאם חלילה י</w:t>
      </w:r>
      <w:r w:rsidRPr="002E3F60">
        <w:rPr>
          <w:rFonts w:cs="David" w:hint="cs"/>
          <w:rtl/>
        </w:rPr>
        <w:t xml:space="preserve">פר אותו, ניתן יהיה לבחון מחדש את אופן סיום </w:t>
      </w:r>
      <w:r>
        <w:rPr>
          <w:rFonts w:cs="David" w:hint="cs"/>
          <w:rtl/>
        </w:rPr>
        <w:t>המשפט, לרבות החמרה בעונש. הנאשם הסכים</w:t>
      </w:r>
      <w:r w:rsidRPr="002E3F60">
        <w:rPr>
          <w:rFonts w:cs="David" w:hint="cs"/>
          <w:rtl/>
        </w:rPr>
        <w:t xml:space="preserve"> בנסיבות אלה לבצע את צו המבחן.</w:t>
      </w:r>
    </w:p>
    <w:p w14:paraId="064B6F29" w14:textId="77777777" w:rsidR="00C54240" w:rsidRPr="002E3F60" w:rsidRDefault="00C54240" w:rsidP="00C54240">
      <w:pPr>
        <w:tabs>
          <w:tab w:val="left" w:pos="566"/>
        </w:tabs>
        <w:snapToGrid w:val="0"/>
        <w:spacing w:line="360" w:lineRule="auto"/>
        <w:jc w:val="both"/>
        <w:rPr>
          <w:rtl/>
        </w:rPr>
      </w:pPr>
    </w:p>
    <w:p w14:paraId="16F43676" w14:textId="77777777" w:rsidR="00C54240" w:rsidRDefault="00C54240" w:rsidP="00C54240">
      <w:pPr>
        <w:tabs>
          <w:tab w:val="left" w:pos="566"/>
        </w:tabs>
        <w:snapToGrid w:val="0"/>
        <w:spacing w:line="360" w:lineRule="auto"/>
        <w:ind w:left="567" w:hanging="567"/>
        <w:jc w:val="both"/>
        <w:rPr>
          <w:rtl/>
        </w:rPr>
      </w:pP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 xml:space="preserve">הסמים שנתפסו. </w:t>
      </w:r>
    </w:p>
    <w:p w14:paraId="31DA1A0B" w14:textId="77777777" w:rsidR="00C54240" w:rsidRDefault="00C54240" w:rsidP="00C54240">
      <w:pPr>
        <w:tabs>
          <w:tab w:val="left" w:pos="566"/>
        </w:tabs>
        <w:snapToGrid w:val="0"/>
        <w:spacing w:line="360" w:lineRule="auto"/>
        <w:ind w:left="567" w:hanging="567"/>
        <w:jc w:val="both"/>
        <w:rPr>
          <w:rtl/>
        </w:rPr>
      </w:pPr>
    </w:p>
    <w:p w14:paraId="1725F549" w14:textId="77777777" w:rsidR="00C54240" w:rsidRPr="00300654" w:rsidRDefault="00C54240" w:rsidP="00C54240">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263FAA78" w14:textId="77777777" w:rsidR="00C54240" w:rsidRPr="00F15069" w:rsidRDefault="00C54240" w:rsidP="00C54240">
      <w:pPr>
        <w:tabs>
          <w:tab w:val="left" w:pos="566"/>
        </w:tabs>
        <w:snapToGrid w:val="0"/>
        <w:spacing w:line="360" w:lineRule="auto"/>
        <w:ind w:left="567" w:hanging="567"/>
        <w:jc w:val="both"/>
        <w:rPr>
          <w:rtl/>
        </w:rPr>
      </w:pPr>
    </w:p>
    <w:p w14:paraId="737B72DD" w14:textId="77777777" w:rsidR="00C54240" w:rsidRDefault="00C54240" w:rsidP="00C54240">
      <w:pPr>
        <w:tabs>
          <w:tab w:val="left" w:pos="566"/>
        </w:tabs>
        <w:snapToGrid w:val="0"/>
        <w:spacing w:line="360" w:lineRule="auto"/>
        <w:ind w:left="567" w:hanging="567"/>
        <w:jc w:val="both"/>
        <w:rPr>
          <w:b/>
          <w:bCs/>
          <w:u w:val="double"/>
          <w:rtl/>
        </w:rPr>
      </w:pPr>
      <w:r>
        <w:rPr>
          <w:rFonts w:hint="cs"/>
          <w:b/>
          <w:bCs/>
          <w:rtl/>
        </w:rPr>
        <w:t xml:space="preserve">המזכירות תשלח העתק מגזר הדין לממונה על עבודות שירות. </w:t>
      </w:r>
      <w:r>
        <w:rPr>
          <w:rFonts w:hint="cs"/>
          <w:b/>
          <w:bCs/>
        </w:rPr>
        <w:t xml:space="preserve"> </w:t>
      </w:r>
    </w:p>
    <w:p w14:paraId="61F28E1B" w14:textId="77777777" w:rsidR="00C54240" w:rsidRDefault="00C54240" w:rsidP="00C54240">
      <w:pPr>
        <w:spacing w:line="360" w:lineRule="auto"/>
        <w:jc w:val="both"/>
        <w:rPr>
          <w:sz w:val="6"/>
          <w:szCs w:val="6"/>
          <w:rtl/>
        </w:rPr>
      </w:pPr>
      <w:r>
        <w:rPr>
          <w:sz w:val="6"/>
          <w:szCs w:val="6"/>
          <w:rtl/>
        </w:rPr>
        <w:t>&lt;#4#&gt;</w:t>
      </w:r>
    </w:p>
    <w:p w14:paraId="31428B89" w14:textId="77777777" w:rsidR="00C54240" w:rsidRDefault="00C54240" w:rsidP="00C54240">
      <w:pPr>
        <w:rPr>
          <w:rtl/>
        </w:rPr>
      </w:pPr>
    </w:p>
    <w:p w14:paraId="60EFC58F" w14:textId="77777777" w:rsidR="00C54240" w:rsidRDefault="00FE6658" w:rsidP="00C54240">
      <w:pPr>
        <w:rPr>
          <w:rtl/>
        </w:rPr>
      </w:pPr>
      <w:r>
        <w:rPr>
          <w:b/>
          <w:bCs/>
          <w:rtl/>
        </w:rPr>
        <w:t xml:space="preserve">ניתנה והודעה היום כ"ג טבת תשע"ח, 10/01/2018 במעמד הנוכחים. </w:t>
      </w:r>
    </w:p>
    <w:p w14:paraId="697AE107" w14:textId="77777777" w:rsidR="00C54240" w:rsidRPr="00FE6658" w:rsidRDefault="00FE6658" w:rsidP="00C54240">
      <w:pPr>
        <w:rPr>
          <w:color w:val="FFFFFF"/>
          <w:sz w:val="2"/>
          <w:szCs w:val="2"/>
          <w:rtl/>
        </w:rPr>
      </w:pPr>
      <w:r w:rsidRPr="00FE665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112F6" w14:paraId="7039BDD9" w14:textId="77777777" w:rsidTr="00C54240">
        <w:trPr>
          <w:trHeight w:val="316"/>
          <w:jc w:val="right"/>
        </w:trPr>
        <w:tc>
          <w:tcPr>
            <w:tcW w:w="3936" w:type="dxa"/>
            <w:shd w:val="clear" w:color="auto" w:fill="auto"/>
            <w:vAlign w:val="bottom"/>
          </w:tcPr>
          <w:p w14:paraId="2A17C0D5" w14:textId="77777777" w:rsidR="00C54240" w:rsidRPr="00FE6658" w:rsidRDefault="00FE6658" w:rsidP="00C54240">
            <w:pPr>
              <w:jc w:val="center"/>
              <w:rPr>
                <w:color w:val="FFFFFF"/>
                <w:sz w:val="2"/>
                <w:szCs w:val="2"/>
              </w:rPr>
            </w:pPr>
            <w:r w:rsidRPr="00FE6658">
              <w:rPr>
                <w:color w:val="FFFFFF"/>
                <w:sz w:val="2"/>
                <w:szCs w:val="2"/>
                <w:rtl/>
              </w:rPr>
              <w:t>54678313</w:t>
            </w:r>
            <w:r w:rsidR="00C54240" w:rsidRPr="00FE6658">
              <w:rPr>
                <w:color w:val="FFFFFF"/>
                <w:sz w:val="2"/>
                <w:szCs w:val="2"/>
                <w:rtl/>
              </w:rPr>
              <w:t xml:space="preserve">     </w:t>
            </w:r>
          </w:p>
          <w:p w14:paraId="6C4D6572" w14:textId="77777777" w:rsidR="00C54240" w:rsidRDefault="00C54240" w:rsidP="00C54240">
            <w:pPr>
              <w:jc w:val="center"/>
              <w:rPr>
                <w:rtl/>
              </w:rPr>
            </w:pPr>
          </w:p>
        </w:tc>
      </w:tr>
      <w:tr w:rsidR="00A112F6" w14:paraId="7A8D7F89" w14:textId="77777777" w:rsidTr="00C54240">
        <w:trPr>
          <w:trHeight w:val="361"/>
          <w:jc w:val="right"/>
        </w:trPr>
        <w:tc>
          <w:tcPr>
            <w:tcW w:w="3936" w:type="dxa"/>
            <w:shd w:val="clear" w:color="auto" w:fill="auto"/>
          </w:tcPr>
          <w:p w14:paraId="72351C59" w14:textId="77777777" w:rsidR="00C54240" w:rsidRPr="00C54240" w:rsidRDefault="00C54240" w:rsidP="00C54240">
            <w:pPr>
              <w:jc w:val="center"/>
              <w:rPr>
                <w:b/>
                <w:bCs/>
                <w:rtl/>
              </w:rPr>
            </w:pPr>
            <w:r w:rsidRPr="00C54240">
              <w:rPr>
                <w:b/>
                <w:bCs/>
                <w:rtl/>
              </w:rPr>
              <w:t>עמית</w:t>
            </w:r>
            <w:r w:rsidRPr="00C54240">
              <w:rPr>
                <w:rFonts w:hint="cs"/>
                <w:b/>
                <w:bCs/>
                <w:rtl/>
              </w:rPr>
              <w:t xml:space="preserve"> </w:t>
            </w:r>
            <w:r w:rsidRPr="00C54240">
              <w:rPr>
                <w:b/>
                <w:bCs/>
                <w:rtl/>
              </w:rPr>
              <w:t>פרייז</w:t>
            </w:r>
            <w:r w:rsidRPr="00C54240">
              <w:rPr>
                <w:rFonts w:hint="cs"/>
                <w:b/>
                <w:bCs/>
                <w:rtl/>
              </w:rPr>
              <w:t xml:space="preserve">, </w:t>
            </w:r>
            <w:r w:rsidRPr="00C54240">
              <w:rPr>
                <w:b/>
                <w:bCs/>
                <w:rtl/>
              </w:rPr>
              <w:t>שופט</w:t>
            </w:r>
          </w:p>
        </w:tc>
      </w:tr>
    </w:tbl>
    <w:p w14:paraId="216298B1" w14:textId="77777777" w:rsidR="00C54240" w:rsidRDefault="00C54240" w:rsidP="00C54240">
      <w:pPr>
        <w:rPr>
          <w:rtl/>
        </w:rPr>
      </w:pPr>
    </w:p>
    <w:p w14:paraId="5E8883C2" w14:textId="77777777" w:rsidR="00C54240" w:rsidRDefault="00C54240" w:rsidP="00C54240">
      <w:pPr>
        <w:rPr>
          <w:rtl/>
        </w:rPr>
      </w:pPr>
    </w:p>
    <w:p w14:paraId="363391ED" w14:textId="77777777" w:rsidR="00C54240" w:rsidRDefault="00C54240" w:rsidP="00C54240">
      <w:pPr>
        <w:spacing w:line="360" w:lineRule="auto"/>
        <w:jc w:val="center"/>
        <w:rPr>
          <w:rtl/>
        </w:rPr>
      </w:pPr>
    </w:p>
    <w:p w14:paraId="737212E0" w14:textId="77777777" w:rsidR="00C54240" w:rsidRPr="00F15069" w:rsidRDefault="00C54240" w:rsidP="00C54240">
      <w:pPr>
        <w:spacing w:line="360" w:lineRule="auto"/>
        <w:jc w:val="both"/>
        <w:rPr>
          <w:rtl/>
        </w:rPr>
      </w:pPr>
      <w:r>
        <w:rPr>
          <w:rtl/>
        </w:rPr>
        <w:t xml:space="preserve"> </w:t>
      </w:r>
    </w:p>
    <w:p w14:paraId="7A4B1D26" w14:textId="77777777" w:rsidR="00FE6658" w:rsidRPr="00FE6658" w:rsidRDefault="00FE6658" w:rsidP="00FE6658">
      <w:pPr>
        <w:keepNext/>
        <w:rPr>
          <w:color w:val="000000"/>
          <w:sz w:val="22"/>
          <w:szCs w:val="22"/>
          <w:rtl/>
        </w:rPr>
      </w:pPr>
      <w:r w:rsidRPr="00FE6658">
        <w:rPr>
          <w:color w:val="000000"/>
          <w:sz w:val="22"/>
          <w:szCs w:val="22"/>
          <w:rtl/>
        </w:rPr>
        <w:t>עמית פרייז 54678313</w:t>
      </w:r>
    </w:p>
    <w:p w14:paraId="2EAA2BB9" w14:textId="77777777" w:rsidR="00FE6658" w:rsidRDefault="00FE6658" w:rsidP="00FE6658">
      <w:r w:rsidRPr="00FE6658">
        <w:rPr>
          <w:color w:val="000000"/>
          <w:rtl/>
        </w:rPr>
        <w:t>נוסח מסמך זה כפוף לשינויי ניסוח ועריכה</w:t>
      </w:r>
    </w:p>
    <w:p w14:paraId="515C27DB" w14:textId="77777777" w:rsidR="00FE6658" w:rsidRDefault="00FE6658" w:rsidP="00FE6658">
      <w:pPr>
        <w:rPr>
          <w:rtl/>
        </w:rPr>
      </w:pPr>
    </w:p>
    <w:p w14:paraId="5771D99E" w14:textId="77777777" w:rsidR="00FE6658" w:rsidRDefault="00FE6658" w:rsidP="00FE6658">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45B6732A" w14:textId="77777777" w:rsidR="00247BF8" w:rsidRPr="00247BF8" w:rsidRDefault="00247BF8" w:rsidP="00247BF8">
      <w:pPr>
        <w:keepNext/>
        <w:rPr>
          <w:color w:val="000000"/>
          <w:sz w:val="22"/>
          <w:szCs w:val="22"/>
          <w:rtl/>
        </w:rPr>
      </w:pPr>
    </w:p>
    <w:p w14:paraId="036CFA43" w14:textId="77777777" w:rsidR="00FE6658" w:rsidRPr="00FE6658" w:rsidRDefault="00FE6658" w:rsidP="00247BF8">
      <w:pPr>
        <w:rPr>
          <w:color w:val="0000FF"/>
          <w:u w:val="single"/>
        </w:rPr>
      </w:pPr>
    </w:p>
    <w:sectPr w:rsidR="00FE6658" w:rsidRPr="00FE6658" w:rsidSect="00247BF8">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FADC5" w14:textId="77777777" w:rsidR="000A0485" w:rsidRDefault="000A0485" w:rsidP="00EB268A">
      <w:r>
        <w:separator/>
      </w:r>
    </w:p>
  </w:endnote>
  <w:endnote w:type="continuationSeparator" w:id="0">
    <w:p w14:paraId="1BA7D74F" w14:textId="77777777" w:rsidR="000A0485" w:rsidRDefault="000A0485" w:rsidP="00EB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A7419" w14:textId="77777777" w:rsidR="000A0485" w:rsidRDefault="000A0485" w:rsidP="00247BF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248B18" w14:textId="77777777" w:rsidR="000A0485" w:rsidRPr="00247BF8" w:rsidRDefault="000A0485" w:rsidP="00247BF8">
    <w:pPr>
      <w:pStyle w:val="a5"/>
      <w:pBdr>
        <w:top w:val="single" w:sz="4" w:space="1" w:color="auto"/>
        <w:between w:val="single" w:sz="4" w:space="0" w:color="auto"/>
      </w:pBdr>
      <w:spacing w:after="60"/>
      <w:jc w:val="center"/>
      <w:rPr>
        <w:rFonts w:ascii="FrankRuehl" w:hAnsi="FrankRuehl" w:cs="FrankRuehl"/>
        <w:color w:val="000000"/>
      </w:rPr>
    </w:pPr>
    <w:r w:rsidRPr="00247B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20CE2" w14:textId="77777777" w:rsidR="000A0485" w:rsidRDefault="000A0485" w:rsidP="00247BF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356D">
      <w:rPr>
        <w:rFonts w:ascii="FrankRuehl" w:hAnsi="FrankRuehl" w:cs="FrankRuehl"/>
        <w:noProof/>
        <w:rtl/>
      </w:rPr>
      <w:t>1</w:t>
    </w:r>
    <w:r>
      <w:rPr>
        <w:rFonts w:ascii="FrankRuehl" w:hAnsi="FrankRuehl" w:cs="FrankRuehl"/>
        <w:rtl/>
      </w:rPr>
      <w:fldChar w:fldCharType="end"/>
    </w:r>
  </w:p>
  <w:p w14:paraId="36C4F55F" w14:textId="77777777" w:rsidR="000A0485" w:rsidRPr="00247BF8" w:rsidRDefault="000A0485" w:rsidP="00247BF8">
    <w:pPr>
      <w:pStyle w:val="a5"/>
      <w:pBdr>
        <w:top w:val="single" w:sz="4" w:space="1" w:color="auto"/>
        <w:between w:val="single" w:sz="4" w:space="0" w:color="auto"/>
      </w:pBdr>
      <w:spacing w:after="60"/>
      <w:jc w:val="center"/>
      <w:rPr>
        <w:rFonts w:ascii="FrankRuehl" w:hAnsi="FrankRuehl" w:cs="FrankRuehl"/>
        <w:color w:val="000000"/>
      </w:rPr>
    </w:pPr>
    <w:r w:rsidRPr="00247BF8">
      <w:rPr>
        <w:rFonts w:ascii="FrankRuehl" w:hAnsi="FrankRuehl" w:cs="FrankRuehl"/>
        <w:color w:val="000000"/>
      </w:rPr>
      <w:pict w14:anchorId="599E1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B8ED6" w14:textId="77777777" w:rsidR="000A0485" w:rsidRDefault="000A0485" w:rsidP="00EB268A">
      <w:r>
        <w:separator/>
      </w:r>
    </w:p>
  </w:footnote>
  <w:footnote w:type="continuationSeparator" w:id="0">
    <w:p w14:paraId="0B9E1EED" w14:textId="77777777" w:rsidR="000A0485" w:rsidRDefault="000A0485" w:rsidP="00EB2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15268" w14:textId="77777777" w:rsidR="000A0485" w:rsidRPr="00247BF8" w:rsidRDefault="000A0485" w:rsidP="00247BF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12906-08-16</w:t>
    </w:r>
    <w:r>
      <w:rPr>
        <w:color w:val="000000"/>
        <w:sz w:val="22"/>
        <w:szCs w:val="22"/>
        <w:rtl/>
      </w:rPr>
      <w:tab/>
      <w:t xml:space="preserve"> מדינת ישראל נ' דור אנגל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90463" w14:textId="77777777" w:rsidR="000A0485" w:rsidRPr="00247BF8" w:rsidRDefault="000A0485" w:rsidP="00247BF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12906-08-16</w:t>
    </w:r>
    <w:r>
      <w:rPr>
        <w:color w:val="000000"/>
        <w:sz w:val="22"/>
        <w:szCs w:val="22"/>
        <w:rtl/>
      </w:rPr>
      <w:tab/>
      <w:t xml:space="preserve"> מדינת ישראל נ' דור אנגל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63D411E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701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54240"/>
    <w:rsid w:val="000A0485"/>
    <w:rsid w:val="00247BF8"/>
    <w:rsid w:val="002D7B2F"/>
    <w:rsid w:val="003A6025"/>
    <w:rsid w:val="009A356D"/>
    <w:rsid w:val="009D762E"/>
    <w:rsid w:val="00A112F6"/>
    <w:rsid w:val="00BA16A0"/>
    <w:rsid w:val="00C54240"/>
    <w:rsid w:val="00E17684"/>
    <w:rsid w:val="00EB268A"/>
    <w:rsid w:val="00FE66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47C54B"/>
  <w15:chartTrackingRefBased/>
  <w15:docId w15:val="{8FD08A14-CF73-4019-9A98-9AB13879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4240"/>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54240"/>
    <w:pPr>
      <w:tabs>
        <w:tab w:val="center" w:pos="4153"/>
        <w:tab w:val="right" w:pos="8306"/>
      </w:tabs>
    </w:pPr>
  </w:style>
  <w:style w:type="character" w:customStyle="1" w:styleId="a4">
    <w:name w:val="כותרת עליונה תו"/>
    <w:link w:val="a3"/>
    <w:rsid w:val="00C54240"/>
    <w:rPr>
      <w:rFonts w:ascii="David" w:eastAsia="David" w:hAnsi="David" w:cs="David"/>
      <w:sz w:val="24"/>
      <w:szCs w:val="24"/>
    </w:rPr>
  </w:style>
  <w:style w:type="paragraph" w:styleId="a5">
    <w:name w:val="footer"/>
    <w:basedOn w:val="a"/>
    <w:link w:val="a6"/>
    <w:rsid w:val="00C54240"/>
    <w:pPr>
      <w:tabs>
        <w:tab w:val="center" w:pos="4153"/>
        <w:tab w:val="right" w:pos="8306"/>
      </w:tabs>
    </w:pPr>
  </w:style>
  <w:style w:type="character" w:customStyle="1" w:styleId="a6">
    <w:name w:val="כותרת תחתונה תו"/>
    <w:link w:val="a5"/>
    <w:rsid w:val="00C54240"/>
    <w:rPr>
      <w:rFonts w:ascii="David" w:eastAsia="David" w:hAnsi="David" w:cs="David"/>
      <w:sz w:val="24"/>
      <w:szCs w:val="24"/>
    </w:rPr>
  </w:style>
  <w:style w:type="table" w:styleId="a7">
    <w:name w:val="Table Grid"/>
    <w:basedOn w:val="a1"/>
    <w:rsid w:val="00C542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54240"/>
  </w:style>
  <w:style w:type="character" w:customStyle="1" w:styleId="TimesNewRomanTimesNewRoman">
    <w:name w:val="סגנון (לטיני) Times New Roman (עברית ושפות אחרות) Times New Roman..."/>
    <w:rsid w:val="00C5424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C54240"/>
    <w:rPr>
      <w:rFonts w:ascii="Times New Roman" w:eastAsia="Times New Roman" w:hAnsi="Times New Roman"/>
      <w:b/>
      <w:bCs/>
      <w:u w:val="single"/>
    </w:rPr>
  </w:style>
  <w:style w:type="paragraph" w:styleId="a9">
    <w:name w:val="List Paragraph"/>
    <w:basedOn w:val="a"/>
    <w:qFormat/>
    <w:rsid w:val="00C54240"/>
    <w:pPr>
      <w:ind w:left="720"/>
      <w:contextualSpacing/>
    </w:pPr>
    <w:rPr>
      <w:rFonts w:ascii="Times New Roman" w:eastAsia="Times New Roman" w:hAnsi="Times New Roman" w:cs="Times New Roman"/>
    </w:rPr>
  </w:style>
  <w:style w:type="character" w:styleId="aa">
    <w:name w:val="line number"/>
    <w:rsid w:val="00FE6658"/>
  </w:style>
  <w:style w:type="character" w:styleId="Hyperlink">
    <w:name w:val="Hyperlink"/>
    <w:rsid w:val="00FE6658"/>
    <w:rPr>
      <w:color w:val="0563C1"/>
      <w:u w:val="single"/>
    </w:rPr>
  </w:style>
  <w:style w:type="character" w:styleId="ab">
    <w:name w:val="Unresolved Mention"/>
    <w:rsid w:val="00FE66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case/2191168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6776</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3276914</vt:i4>
      </vt:variant>
      <vt:variant>
        <vt:i4>6</vt:i4>
      </vt:variant>
      <vt:variant>
        <vt:i4>0</vt:i4>
      </vt:variant>
      <vt:variant>
        <vt:i4>5</vt:i4>
      </vt:variant>
      <vt:variant>
        <vt:lpwstr>http://www.nevo.co.il/case/21911688</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2025-04-22T23:08:00Z</dcterms:created>
  <dcterms:modified xsi:type="dcterms:W3CDTF">2025-04-22T23:08:00Z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12906</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דור אנגל </vt:lpwstr>
  </property>
  <property fmtid="{D5CDD505-2E9C-101B-9397-08002B2CF9AE}" pid="10" name="LAWYER">
    <vt:lpwstr>רוני אלסטר;מירון רוזנטל</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20180110</vt:lpwstr>
  </property>
  <property fmtid="{D5CDD505-2E9C-101B-9397-08002B2CF9AE}" pid="14" name="TYPE_N_DATE">
    <vt:lpwstr>38020180110</vt:lpwstr>
  </property>
  <property fmtid="{D5CDD505-2E9C-101B-9397-08002B2CF9AE}" pid="15" name="CASESLISTTMP1">
    <vt:lpwstr>21911688</vt:lpwstr>
  </property>
  <property fmtid="{D5CDD505-2E9C-101B-9397-08002B2CF9AE}" pid="16" name="WORDNUMPAGES">
    <vt:lpwstr>4</vt:lpwstr>
  </property>
  <property fmtid="{D5CDD505-2E9C-101B-9397-08002B2CF9AE}" pid="17" name="TYPE_ABS_DATE">
    <vt:lpwstr>380020180110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4216:2</vt:lpwstr>
  </property>
</Properties>
</file>