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3E4EA1" w:rsidRPr="00997287" w14:paraId="2ECDB910" w14:textId="77777777" w:rsidTr="004E5AC8">
        <w:trPr>
          <w:gridAfter w:val="1"/>
          <w:wAfter w:w="99" w:type="dxa"/>
          <w:trHeight w:hRule="exact" w:val="418"/>
          <w:jc w:val="center"/>
        </w:trPr>
        <w:tc>
          <w:tcPr>
            <w:tcW w:w="8721" w:type="dxa"/>
            <w:gridSpan w:val="3"/>
          </w:tcPr>
          <w:p w14:paraId="1A14E624" w14:textId="77777777" w:rsidR="003E4EA1" w:rsidRPr="00997287" w:rsidRDefault="003E4EA1" w:rsidP="004E6966">
            <w:pPr>
              <w:pStyle w:val="a3"/>
              <w:jc w:val="center"/>
              <w:rPr>
                <w:rFonts w:ascii="FrankRuehl" w:hAnsi="FrankRuehl" w:cs="FrankRuehl"/>
                <w:b/>
                <w:bCs/>
                <w:color w:val="000080"/>
                <w:sz w:val="28"/>
                <w:szCs w:val="28"/>
                <w:rtl/>
              </w:rPr>
            </w:pPr>
            <w:bookmarkStart w:id="0" w:name="LastJudge"/>
            <w:r w:rsidRPr="00997287">
              <w:rPr>
                <w:rFonts w:ascii="FrankRuehl" w:hAnsi="FrankRuehl" w:cs="FrankRuehl"/>
                <w:b/>
                <w:bCs/>
                <w:color w:val="000080"/>
                <w:sz w:val="28"/>
                <w:szCs w:val="28"/>
                <w:rtl/>
              </w:rPr>
              <w:t>בית משפט השלום בירושלים</w:t>
            </w:r>
          </w:p>
        </w:tc>
      </w:tr>
      <w:tr w:rsidR="003E4EA1" w:rsidRPr="00997287" w14:paraId="622C36C5" w14:textId="77777777" w:rsidTr="004E5AC8">
        <w:trPr>
          <w:gridAfter w:val="1"/>
          <w:wAfter w:w="99" w:type="dxa"/>
          <w:trHeight w:val="337"/>
          <w:jc w:val="center"/>
        </w:trPr>
        <w:tc>
          <w:tcPr>
            <w:tcW w:w="5054" w:type="dxa"/>
            <w:gridSpan w:val="2"/>
          </w:tcPr>
          <w:p w14:paraId="25416751" w14:textId="77777777" w:rsidR="003E4EA1" w:rsidRPr="00997287" w:rsidRDefault="003E4EA1" w:rsidP="004E6966">
            <w:pPr>
              <w:rPr>
                <w:rFonts w:ascii="FrankRuehl" w:hAnsi="FrankRuehl" w:cs="FrankRuehl"/>
                <w:b/>
                <w:bCs/>
                <w:sz w:val="28"/>
                <w:szCs w:val="28"/>
                <w:rtl/>
              </w:rPr>
            </w:pPr>
            <w:r w:rsidRPr="00997287">
              <w:rPr>
                <w:rFonts w:ascii="FrankRuehl" w:hAnsi="FrankRuehl" w:cs="FrankRuehl"/>
                <w:b/>
                <w:bCs/>
                <w:sz w:val="28"/>
                <w:szCs w:val="28"/>
                <w:rtl/>
              </w:rPr>
              <w:t>ת"פ 16387-08-16 מדינת ישראל נ' ממן</w:t>
            </w:r>
          </w:p>
          <w:p w14:paraId="5925535C" w14:textId="77777777" w:rsidR="003E4EA1" w:rsidRPr="00997287" w:rsidRDefault="003E4EA1" w:rsidP="004E6966">
            <w:pPr>
              <w:pStyle w:val="a3"/>
              <w:rPr>
                <w:rFonts w:ascii="FrankRuehl" w:hAnsi="FrankRuehl" w:cs="FrankRuehl"/>
                <w:b/>
                <w:bCs/>
                <w:sz w:val="28"/>
                <w:szCs w:val="28"/>
                <w:rtl/>
              </w:rPr>
            </w:pPr>
          </w:p>
        </w:tc>
        <w:tc>
          <w:tcPr>
            <w:tcW w:w="3667" w:type="dxa"/>
          </w:tcPr>
          <w:p w14:paraId="07FBCE76" w14:textId="77777777" w:rsidR="003E4EA1" w:rsidRPr="00997287" w:rsidRDefault="003E4EA1" w:rsidP="004E6966">
            <w:pPr>
              <w:pStyle w:val="a3"/>
              <w:jc w:val="right"/>
              <w:rPr>
                <w:rFonts w:cs="FrankRuehl"/>
                <w:sz w:val="28"/>
                <w:szCs w:val="28"/>
                <w:rtl/>
              </w:rPr>
            </w:pPr>
          </w:p>
        </w:tc>
      </w:tr>
      <w:tr w:rsidR="003E4EA1" w:rsidRPr="00997287" w14:paraId="6D194170" w14:textId="77777777" w:rsidTr="004E5A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53DFC5B" w14:textId="77777777" w:rsidR="003E4EA1" w:rsidRPr="00997287" w:rsidRDefault="003E4EA1" w:rsidP="003E4EA1">
            <w:pPr>
              <w:jc w:val="both"/>
              <w:rPr>
                <w:rFonts w:ascii="FrankRuehl" w:hAnsi="FrankRuehl" w:cs="FrankRuehl"/>
                <w:b/>
                <w:bCs/>
                <w:sz w:val="28"/>
                <w:szCs w:val="28"/>
              </w:rPr>
            </w:pPr>
            <w:r w:rsidRPr="00997287">
              <w:rPr>
                <w:rFonts w:hint="cs"/>
                <w:rtl/>
              </w:rPr>
              <w:t xml:space="preserve"> </w:t>
            </w:r>
            <w:r w:rsidRPr="00997287">
              <w:rPr>
                <w:rFonts w:ascii="FrankRuehl" w:hAnsi="FrankRuehl" w:cs="FrankRuehl"/>
                <w:b/>
                <w:bCs/>
                <w:sz w:val="28"/>
                <w:szCs w:val="28"/>
                <w:rtl/>
              </w:rPr>
              <w:t xml:space="preserve">בפני </w:t>
            </w:r>
          </w:p>
        </w:tc>
        <w:tc>
          <w:tcPr>
            <w:tcW w:w="7897" w:type="dxa"/>
            <w:gridSpan w:val="3"/>
            <w:tcBorders>
              <w:top w:val="nil"/>
              <w:left w:val="nil"/>
              <w:bottom w:val="nil"/>
              <w:right w:val="nil"/>
            </w:tcBorders>
            <w:shd w:val="clear" w:color="auto" w:fill="auto"/>
          </w:tcPr>
          <w:p w14:paraId="46071243" w14:textId="77777777" w:rsidR="003E4EA1" w:rsidRPr="00997287" w:rsidRDefault="003E4EA1" w:rsidP="004E6966">
            <w:pPr>
              <w:rPr>
                <w:rFonts w:ascii="FrankRuehl" w:hAnsi="FrankRuehl" w:cs="FrankRuehl"/>
                <w:b/>
                <w:bCs/>
                <w:sz w:val="28"/>
                <w:szCs w:val="28"/>
                <w:rtl/>
              </w:rPr>
            </w:pPr>
            <w:r w:rsidRPr="00997287">
              <w:rPr>
                <w:rFonts w:ascii="FrankRuehl" w:hAnsi="FrankRuehl" w:cs="FrankRuehl"/>
                <w:b/>
                <w:bCs/>
                <w:sz w:val="28"/>
                <w:szCs w:val="28"/>
                <w:rtl/>
              </w:rPr>
              <w:t>כבוד השופט  דוד שאול גבאי ריכטר</w:t>
            </w:r>
          </w:p>
          <w:p w14:paraId="18548110" w14:textId="77777777" w:rsidR="003E4EA1" w:rsidRPr="00997287" w:rsidRDefault="003E4EA1" w:rsidP="004E6966">
            <w:pPr>
              <w:rPr>
                <w:rFonts w:ascii="FrankRuehl" w:hAnsi="FrankRuehl" w:cs="FrankRuehl"/>
                <w:b/>
                <w:bCs/>
                <w:sz w:val="28"/>
                <w:szCs w:val="28"/>
                <w:rtl/>
              </w:rPr>
            </w:pPr>
          </w:p>
          <w:p w14:paraId="7CE80BCA" w14:textId="77777777" w:rsidR="003E4EA1" w:rsidRPr="00997287" w:rsidRDefault="003E4EA1" w:rsidP="003E4EA1">
            <w:pPr>
              <w:jc w:val="both"/>
              <w:rPr>
                <w:rFonts w:ascii="FrankRuehl" w:hAnsi="FrankRuehl" w:cs="FrankRuehl"/>
                <w:b/>
                <w:bCs/>
                <w:sz w:val="28"/>
                <w:szCs w:val="28"/>
              </w:rPr>
            </w:pPr>
          </w:p>
        </w:tc>
      </w:tr>
      <w:tr w:rsidR="003E4EA1" w:rsidRPr="00997287" w14:paraId="257FEBA1" w14:textId="77777777" w:rsidTr="004E5A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F045AB" w14:textId="77777777" w:rsidR="003E4EA1" w:rsidRPr="00997287" w:rsidRDefault="003E4EA1" w:rsidP="003E4EA1">
            <w:pPr>
              <w:jc w:val="both"/>
              <w:rPr>
                <w:rFonts w:ascii="FrankRuehl" w:hAnsi="FrankRuehl" w:cs="FrankRuehl"/>
                <w:b/>
                <w:bCs/>
                <w:sz w:val="28"/>
                <w:szCs w:val="28"/>
              </w:rPr>
            </w:pPr>
            <w:bookmarkStart w:id="1" w:name="FirstAppellant"/>
            <w:r w:rsidRPr="00997287">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28ADA530" w14:textId="77777777" w:rsidR="003E4EA1" w:rsidRPr="00997287" w:rsidRDefault="003E4EA1" w:rsidP="004E6966">
            <w:pPr>
              <w:rPr>
                <w:rFonts w:ascii="FrankRuehl" w:hAnsi="FrankRuehl" w:cs="FrankRuehl"/>
                <w:b/>
                <w:bCs/>
                <w:sz w:val="28"/>
                <w:szCs w:val="28"/>
              </w:rPr>
            </w:pPr>
            <w:r w:rsidRPr="00997287">
              <w:rPr>
                <w:rFonts w:ascii="FrankRuehl" w:hAnsi="FrankRuehl" w:cs="FrankRuehl"/>
                <w:b/>
                <w:bCs/>
                <w:sz w:val="28"/>
                <w:szCs w:val="28"/>
                <w:rtl/>
              </w:rPr>
              <w:t>מדינת ישראל</w:t>
            </w:r>
          </w:p>
        </w:tc>
        <w:tc>
          <w:tcPr>
            <w:tcW w:w="3771" w:type="dxa"/>
            <w:gridSpan w:val="2"/>
            <w:tcBorders>
              <w:top w:val="nil"/>
              <w:left w:val="nil"/>
              <w:bottom w:val="nil"/>
              <w:right w:val="nil"/>
            </w:tcBorders>
            <w:shd w:val="clear" w:color="auto" w:fill="auto"/>
          </w:tcPr>
          <w:p w14:paraId="28A6E3DA" w14:textId="77777777" w:rsidR="003E4EA1" w:rsidRPr="00997287" w:rsidRDefault="003E4EA1" w:rsidP="003E4EA1">
            <w:pPr>
              <w:jc w:val="both"/>
              <w:rPr>
                <w:rFonts w:ascii="FrankRuehl" w:hAnsi="FrankRuehl" w:cs="FrankRuehl"/>
                <w:b/>
                <w:bCs/>
                <w:sz w:val="28"/>
                <w:szCs w:val="28"/>
              </w:rPr>
            </w:pPr>
          </w:p>
        </w:tc>
      </w:tr>
      <w:tr w:rsidR="003E4EA1" w:rsidRPr="00997287" w14:paraId="3991A8D4" w14:textId="77777777" w:rsidTr="004E5A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77F3344" w14:textId="77777777" w:rsidR="003E4EA1" w:rsidRPr="00997287" w:rsidRDefault="003E4EA1" w:rsidP="003E4EA1">
            <w:pPr>
              <w:jc w:val="both"/>
              <w:rPr>
                <w:rFonts w:ascii="FrankRuehl" w:hAnsi="FrankRuehl" w:cs="FrankRuehl"/>
                <w:b/>
                <w:bCs/>
                <w:sz w:val="28"/>
                <w:szCs w:val="28"/>
                <w:rtl/>
              </w:rPr>
            </w:pPr>
            <w:bookmarkStart w:id="2" w:name="FirstLawyer"/>
            <w:bookmarkEnd w:id="1"/>
          </w:p>
        </w:tc>
        <w:tc>
          <w:tcPr>
            <w:tcW w:w="4126" w:type="dxa"/>
            <w:tcBorders>
              <w:top w:val="nil"/>
              <w:left w:val="nil"/>
              <w:bottom w:val="nil"/>
              <w:right w:val="nil"/>
            </w:tcBorders>
            <w:shd w:val="clear" w:color="auto" w:fill="auto"/>
          </w:tcPr>
          <w:p w14:paraId="25DE7EE3" w14:textId="77777777" w:rsidR="003E4EA1" w:rsidRPr="00997287" w:rsidRDefault="003E4EA1" w:rsidP="003E4EA1">
            <w:pPr>
              <w:jc w:val="both"/>
              <w:rPr>
                <w:rFonts w:ascii="FrankRuehl" w:hAnsi="FrankRuehl" w:cs="FrankRuehl"/>
                <w:b/>
                <w:bCs/>
                <w:sz w:val="28"/>
                <w:szCs w:val="28"/>
                <w:rtl/>
              </w:rPr>
            </w:pPr>
            <w:r w:rsidRPr="00997287">
              <w:rPr>
                <w:rFonts w:ascii="FrankRuehl" w:hAnsi="FrankRuehl" w:cs="FrankRuehl" w:hint="cs"/>
                <w:b/>
                <w:bCs/>
                <w:sz w:val="28"/>
                <w:szCs w:val="28"/>
                <w:rtl/>
              </w:rPr>
              <w:t xml:space="preserve">ע"י ב"כ עו"ד שירלי אוחיון </w:t>
            </w:r>
          </w:p>
          <w:p w14:paraId="63B6935E" w14:textId="77777777" w:rsidR="003E4EA1" w:rsidRPr="00997287" w:rsidRDefault="003E4EA1" w:rsidP="003E4EA1">
            <w:pPr>
              <w:jc w:val="both"/>
              <w:rPr>
                <w:rFonts w:ascii="FrankRuehl" w:hAnsi="FrankRuehl" w:cs="FrankRuehl"/>
                <w:b/>
                <w:bCs/>
                <w:sz w:val="28"/>
                <w:szCs w:val="28"/>
                <w:rtl/>
              </w:rPr>
            </w:pPr>
            <w:r w:rsidRPr="00997287">
              <w:rPr>
                <w:rFonts w:ascii="FrankRuehl" w:hAnsi="FrankRuehl" w:cs="FrankRuehl" w:hint="cs"/>
                <w:b/>
                <w:bCs/>
                <w:sz w:val="28"/>
                <w:szCs w:val="28"/>
                <w:rtl/>
              </w:rPr>
              <w:t>מתביעות ירושלים</w:t>
            </w:r>
          </w:p>
        </w:tc>
        <w:tc>
          <w:tcPr>
            <w:tcW w:w="3771" w:type="dxa"/>
            <w:gridSpan w:val="2"/>
            <w:tcBorders>
              <w:top w:val="nil"/>
              <w:left w:val="nil"/>
              <w:bottom w:val="nil"/>
              <w:right w:val="nil"/>
            </w:tcBorders>
            <w:shd w:val="clear" w:color="auto" w:fill="auto"/>
          </w:tcPr>
          <w:p w14:paraId="6E40733C" w14:textId="77777777" w:rsidR="003E4EA1" w:rsidRPr="00997287" w:rsidRDefault="003E4EA1" w:rsidP="003E4EA1">
            <w:pPr>
              <w:jc w:val="right"/>
              <w:rPr>
                <w:rFonts w:ascii="FrankRuehl" w:hAnsi="FrankRuehl" w:cs="FrankRuehl"/>
                <w:b/>
                <w:bCs/>
                <w:sz w:val="28"/>
                <w:szCs w:val="28"/>
                <w:rtl/>
              </w:rPr>
            </w:pPr>
            <w:r w:rsidRPr="00997287">
              <w:rPr>
                <w:rFonts w:ascii="FrankRuehl" w:hAnsi="FrankRuehl" w:cs="FrankRuehl"/>
                <w:b/>
                <w:bCs/>
                <w:sz w:val="28"/>
                <w:szCs w:val="28"/>
                <w:rtl/>
              </w:rPr>
              <w:t>המאשימה</w:t>
            </w:r>
          </w:p>
        </w:tc>
      </w:tr>
      <w:bookmarkEnd w:id="2"/>
      <w:tr w:rsidR="003E4EA1" w:rsidRPr="00997287" w14:paraId="4C69E88D" w14:textId="77777777" w:rsidTr="004E5A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069360" w14:textId="77777777" w:rsidR="003E4EA1" w:rsidRPr="00997287" w:rsidRDefault="003E4EA1" w:rsidP="003E4EA1">
            <w:pPr>
              <w:jc w:val="both"/>
              <w:rPr>
                <w:rFonts w:ascii="FrankRuehl" w:hAnsi="FrankRuehl" w:cs="FrankRuehl"/>
                <w:b/>
                <w:bCs/>
                <w:sz w:val="28"/>
                <w:szCs w:val="28"/>
                <w:rtl/>
              </w:rPr>
            </w:pPr>
          </w:p>
        </w:tc>
        <w:tc>
          <w:tcPr>
            <w:tcW w:w="7897" w:type="dxa"/>
            <w:gridSpan w:val="3"/>
            <w:tcBorders>
              <w:top w:val="nil"/>
              <w:left w:val="nil"/>
              <w:bottom w:val="nil"/>
              <w:right w:val="nil"/>
            </w:tcBorders>
            <w:shd w:val="clear" w:color="auto" w:fill="auto"/>
          </w:tcPr>
          <w:p w14:paraId="2B5092DB" w14:textId="77777777" w:rsidR="003E4EA1" w:rsidRPr="00997287" w:rsidRDefault="003E4EA1" w:rsidP="003E4EA1">
            <w:pPr>
              <w:jc w:val="center"/>
              <w:rPr>
                <w:rFonts w:ascii="FrankRuehl" w:hAnsi="FrankRuehl" w:cs="FrankRuehl"/>
                <w:b/>
                <w:bCs/>
                <w:sz w:val="28"/>
                <w:szCs w:val="28"/>
                <w:rtl/>
              </w:rPr>
            </w:pPr>
          </w:p>
          <w:p w14:paraId="4D1EB240" w14:textId="77777777" w:rsidR="003E4EA1" w:rsidRPr="00997287" w:rsidRDefault="003E4EA1" w:rsidP="003E4EA1">
            <w:pPr>
              <w:jc w:val="center"/>
              <w:rPr>
                <w:rFonts w:ascii="FrankRuehl" w:hAnsi="FrankRuehl" w:cs="FrankRuehl"/>
                <w:b/>
                <w:bCs/>
                <w:sz w:val="28"/>
                <w:szCs w:val="28"/>
                <w:rtl/>
              </w:rPr>
            </w:pPr>
            <w:r w:rsidRPr="00997287">
              <w:rPr>
                <w:rFonts w:ascii="FrankRuehl" w:hAnsi="FrankRuehl" w:cs="FrankRuehl"/>
                <w:b/>
                <w:bCs/>
                <w:sz w:val="28"/>
                <w:szCs w:val="28"/>
                <w:rtl/>
              </w:rPr>
              <w:t>נגד</w:t>
            </w:r>
          </w:p>
          <w:p w14:paraId="2DA92129" w14:textId="77777777" w:rsidR="003E4EA1" w:rsidRPr="00997287" w:rsidRDefault="003E4EA1" w:rsidP="003E4EA1">
            <w:pPr>
              <w:jc w:val="both"/>
              <w:rPr>
                <w:rFonts w:ascii="FrankRuehl" w:hAnsi="FrankRuehl" w:cs="FrankRuehl"/>
                <w:b/>
                <w:bCs/>
                <w:sz w:val="28"/>
                <w:szCs w:val="28"/>
              </w:rPr>
            </w:pPr>
          </w:p>
        </w:tc>
      </w:tr>
      <w:tr w:rsidR="003E4EA1" w:rsidRPr="00997287" w14:paraId="7BCC18B7" w14:textId="77777777" w:rsidTr="004E5A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60B4E14" w14:textId="77777777" w:rsidR="003E4EA1" w:rsidRPr="00997287" w:rsidRDefault="003E4EA1" w:rsidP="004E6966">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4ABF1B79" w14:textId="77777777" w:rsidR="003E4EA1" w:rsidRPr="00997287" w:rsidRDefault="003E4EA1" w:rsidP="004E6966">
            <w:pPr>
              <w:rPr>
                <w:rFonts w:ascii="FrankRuehl" w:hAnsi="FrankRuehl" w:cs="FrankRuehl"/>
                <w:b/>
                <w:bCs/>
                <w:sz w:val="28"/>
                <w:szCs w:val="28"/>
                <w:rtl/>
              </w:rPr>
            </w:pPr>
            <w:r w:rsidRPr="00997287">
              <w:rPr>
                <w:rFonts w:ascii="FrankRuehl" w:hAnsi="FrankRuehl" w:cs="FrankRuehl"/>
                <w:b/>
                <w:bCs/>
                <w:sz w:val="28"/>
                <w:szCs w:val="28"/>
                <w:rtl/>
              </w:rPr>
              <w:t>סמי ממן</w:t>
            </w:r>
          </w:p>
        </w:tc>
        <w:tc>
          <w:tcPr>
            <w:tcW w:w="3771" w:type="dxa"/>
            <w:gridSpan w:val="2"/>
            <w:tcBorders>
              <w:top w:val="nil"/>
              <w:left w:val="nil"/>
              <w:bottom w:val="nil"/>
              <w:right w:val="nil"/>
            </w:tcBorders>
            <w:shd w:val="clear" w:color="auto" w:fill="auto"/>
          </w:tcPr>
          <w:p w14:paraId="208DD25E" w14:textId="77777777" w:rsidR="003E4EA1" w:rsidRPr="00997287" w:rsidRDefault="003E4EA1" w:rsidP="003E4EA1">
            <w:pPr>
              <w:jc w:val="right"/>
              <w:rPr>
                <w:rFonts w:ascii="FrankRuehl" w:hAnsi="FrankRuehl" w:cs="FrankRuehl"/>
                <w:b/>
                <w:bCs/>
                <w:sz w:val="28"/>
                <w:szCs w:val="28"/>
              </w:rPr>
            </w:pPr>
          </w:p>
        </w:tc>
      </w:tr>
      <w:tr w:rsidR="003E4EA1" w:rsidRPr="00997287" w14:paraId="1036062D" w14:textId="77777777" w:rsidTr="004E5A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FDD2A00" w14:textId="77777777" w:rsidR="003E4EA1" w:rsidRPr="00997287" w:rsidRDefault="003E4EA1" w:rsidP="003E4EA1">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42A13637" w14:textId="77777777" w:rsidR="003E4EA1" w:rsidRPr="00997287" w:rsidRDefault="003E4EA1" w:rsidP="003E4EA1">
            <w:pPr>
              <w:jc w:val="both"/>
              <w:rPr>
                <w:rFonts w:ascii="FrankRuehl" w:hAnsi="FrankRuehl" w:cs="FrankRuehl"/>
                <w:b/>
                <w:bCs/>
                <w:sz w:val="28"/>
                <w:szCs w:val="28"/>
                <w:rtl/>
              </w:rPr>
            </w:pPr>
            <w:r w:rsidRPr="00997287">
              <w:rPr>
                <w:rFonts w:ascii="FrankRuehl" w:hAnsi="FrankRuehl" w:cs="FrankRuehl" w:hint="cs"/>
                <w:b/>
                <w:bCs/>
                <w:sz w:val="28"/>
                <w:szCs w:val="28"/>
                <w:rtl/>
              </w:rPr>
              <w:t xml:space="preserve">ע"י ב"כ עו"ד ניק קאופמן </w:t>
            </w:r>
          </w:p>
          <w:p w14:paraId="3DA9AB41" w14:textId="77777777" w:rsidR="003E4EA1" w:rsidRPr="00997287" w:rsidRDefault="003E4EA1" w:rsidP="003E4EA1">
            <w:pPr>
              <w:jc w:val="both"/>
              <w:rPr>
                <w:rFonts w:ascii="FrankRuehl" w:hAnsi="FrankRuehl" w:cs="FrankRuehl"/>
                <w:b/>
                <w:bCs/>
                <w:sz w:val="28"/>
                <w:szCs w:val="28"/>
                <w:rtl/>
              </w:rPr>
            </w:pPr>
            <w:r w:rsidRPr="00997287">
              <w:rPr>
                <w:rFonts w:ascii="FrankRuehl" w:hAnsi="FrankRuehl" w:cs="FrankRuehl" w:hint="cs"/>
                <w:b/>
                <w:bCs/>
                <w:sz w:val="28"/>
                <w:szCs w:val="28"/>
                <w:rtl/>
              </w:rPr>
              <w:t>ועו"ד עידן גמליאלי מטעם הסניגוריה הציבורית</w:t>
            </w:r>
          </w:p>
        </w:tc>
        <w:tc>
          <w:tcPr>
            <w:tcW w:w="3771" w:type="dxa"/>
            <w:gridSpan w:val="2"/>
            <w:tcBorders>
              <w:top w:val="nil"/>
              <w:left w:val="nil"/>
              <w:bottom w:val="nil"/>
              <w:right w:val="nil"/>
            </w:tcBorders>
            <w:shd w:val="clear" w:color="auto" w:fill="auto"/>
          </w:tcPr>
          <w:p w14:paraId="311BBD32" w14:textId="77777777" w:rsidR="003E4EA1" w:rsidRPr="00997287" w:rsidRDefault="003E4EA1" w:rsidP="003E4EA1">
            <w:pPr>
              <w:jc w:val="right"/>
              <w:rPr>
                <w:rFonts w:ascii="FrankRuehl" w:hAnsi="FrankRuehl" w:cs="FrankRuehl"/>
                <w:b/>
                <w:bCs/>
                <w:sz w:val="28"/>
                <w:szCs w:val="28"/>
              </w:rPr>
            </w:pPr>
            <w:r w:rsidRPr="00997287">
              <w:rPr>
                <w:rFonts w:ascii="FrankRuehl" w:hAnsi="FrankRuehl" w:cs="FrankRuehl"/>
                <w:b/>
                <w:bCs/>
                <w:sz w:val="28"/>
                <w:szCs w:val="28"/>
                <w:rtl/>
              </w:rPr>
              <w:t>הנאשם</w:t>
            </w:r>
          </w:p>
        </w:tc>
      </w:tr>
    </w:tbl>
    <w:p w14:paraId="0397AC1E" w14:textId="77777777" w:rsidR="004E5AC8" w:rsidRDefault="004E5AC8" w:rsidP="00997287">
      <w:pPr>
        <w:rPr>
          <w:rFonts w:ascii="FrankRuehl" w:hAnsi="FrankRuehl" w:cs="FrankRuehl"/>
          <w:sz w:val="28"/>
          <w:szCs w:val="28"/>
          <w:rtl/>
        </w:rPr>
      </w:pPr>
    </w:p>
    <w:p w14:paraId="6CB29E1D" w14:textId="77777777" w:rsidR="004E5AC8" w:rsidRPr="004E5AC8" w:rsidRDefault="004E5AC8" w:rsidP="004E5AC8">
      <w:pPr>
        <w:spacing w:after="120" w:line="240" w:lineRule="exact"/>
        <w:ind w:left="283" w:hanging="283"/>
        <w:jc w:val="both"/>
        <w:rPr>
          <w:rFonts w:ascii="FrankRuehl" w:hAnsi="FrankRuehl" w:cs="FrankRuehl"/>
          <w:rtl/>
        </w:rPr>
      </w:pPr>
    </w:p>
    <w:p w14:paraId="1B68A69D" w14:textId="77777777" w:rsidR="00661DEE" w:rsidRPr="00661DEE" w:rsidRDefault="00661DEE" w:rsidP="00661DEE">
      <w:pPr>
        <w:spacing w:before="120" w:after="120" w:line="240" w:lineRule="exact"/>
        <w:ind w:left="283" w:hanging="283"/>
        <w:jc w:val="both"/>
        <w:rPr>
          <w:rFonts w:ascii="FrankRuehl" w:hAnsi="FrankRuehl" w:cs="FrankRuehl"/>
          <w:rtl/>
        </w:rPr>
      </w:pPr>
    </w:p>
    <w:p w14:paraId="18CC940D" w14:textId="77777777" w:rsidR="002B263A" w:rsidRDefault="002B263A" w:rsidP="002B263A">
      <w:pPr>
        <w:rPr>
          <w:rFonts w:ascii="FrankRuehl" w:hAnsi="FrankRuehl" w:cs="FrankRuehl"/>
          <w:sz w:val="28"/>
          <w:szCs w:val="28"/>
          <w:rtl/>
        </w:rPr>
      </w:pPr>
      <w:bookmarkStart w:id="3" w:name="LawTable"/>
      <w:bookmarkEnd w:id="3"/>
    </w:p>
    <w:p w14:paraId="7B588758" w14:textId="77777777" w:rsidR="002B263A" w:rsidRPr="002B263A" w:rsidRDefault="002B263A" w:rsidP="002B263A">
      <w:pPr>
        <w:spacing w:before="120" w:after="120" w:line="240" w:lineRule="exact"/>
        <w:ind w:left="283" w:hanging="283"/>
        <w:jc w:val="both"/>
        <w:rPr>
          <w:rFonts w:ascii="FrankRuehl" w:hAnsi="FrankRuehl" w:cs="FrankRuehl"/>
          <w:rtl/>
        </w:rPr>
      </w:pPr>
    </w:p>
    <w:p w14:paraId="0E4D25E5" w14:textId="77777777" w:rsidR="002B263A" w:rsidRPr="002B263A" w:rsidRDefault="002B263A" w:rsidP="002B263A">
      <w:pPr>
        <w:spacing w:before="120" w:after="120" w:line="240" w:lineRule="exact"/>
        <w:ind w:left="283" w:hanging="283"/>
        <w:jc w:val="both"/>
        <w:rPr>
          <w:rFonts w:ascii="FrankRuehl" w:hAnsi="FrankRuehl" w:cs="FrankRuehl"/>
          <w:rtl/>
        </w:rPr>
      </w:pPr>
    </w:p>
    <w:p w14:paraId="40B37D76" w14:textId="77777777" w:rsidR="002B263A" w:rsidRPr="002B263A" w:rsidRDefault="002B263A" w:rsidP="002B263A">
      <w:pPr>
        <w:spacing w:before="120" w:after="120" w:line="240" w:lineRule="exact"/>
        <w:ind w:left="283" w:hanging="283"/>
        <w:jc w:val="both"/>
        <w:rPr>
          <w:rFonts w:ascii="FrankRuehl" w:hAnsi="FrankRuehl" w:cs="FrankRuehl"/>
          <w:rtl/>
        </w:rPr>
      </w:pPr>
      <w:r w:rsidRPr="002B263A">
        <w:rPr>
          <w:rFonts w:ascii="FrankRuehl" w:hAnsi="FrankRuehl" w:cs="FrankRuehl"/>
          <w:rtl/>
        </w:rPr>
        <w:t xml:space="preserve">חקיקה שאוזכרה: </w:t>
      </w:r>
    </w:p>
    <w:p w14:paraId="40E0E558" w14:textId="77777777" w:rsidR="002B263A" w:rsidRPr="002B263A" w:rsidRDefault="002B263A" w:rsidP="002B263A">
      <w:pPr>
        <w:spacing w:before="120" w:after="120" w:line="240" w:lineRule="exact"/>
        <w:ind w:left="283" w:hanging="283"/>
        <w:jc w:val="both"/>
        <w:rPr>
          <w:rFonts w:ascii="FrankRuehl" w:hAnsi="FrankRuehl" w:cs="FrankRuehl"/>
          <w:rtl/>
        </w:rPr>
      </w:pPr>
      <w:hyperlink r:id="rId7" w:history="1">
        <w:r w:rsidRPr="002B263A">
          <w:rPr>
            <w:rFonts w:ascii="FrankRuehl" w:hAnsi="FrankRuehl" w:cs="FrankRuehl"/>
            <w:color w:val="0000FF"/>
            <w:rtl/>
          </w:rPr>
          <w:t>פקודת הסמים המסוכנים [נוסח חדש], תשל"ג-1973</w:t>
        </w:r>
      </w:hyperlink>
      <w:r w:rsidRPr="002B263A">
        <w:rPr>
          <w:rFonts w:ascii="FrankRuehl" w:hAnsi="FrankRuehl" w:cs="FrankRuehl"/>
          <w:rtl/>
        </w:rPr>
        <w:t xml:space="preserve">: סע'  </w:t>
      </w:r>
      <w:hyperlink r:id="rId8" w:history="1">
        <w:r w:rsidRPr="002B263A">
          <w:rPr>
            <w:rFonts w:ascii="FrankRuehl" w:hAnsi="FrankRuehl" w:cs="FrankRuehl"/>
            <w:color w:val="0000FF"/>
            <w:rtl/>
          </w:rPr>
          <w:t>13</w:t>
        </w:r>
      </w:hyperlink>
      <w:r w:rsidRPr="002B263A">
        <w:rPr>
          <w:rFonts w:ascii="FrankRuehl" w:hAnsi="FrankRuehl" w:cs="FrankRuehl"/>
          <w:rtl/>
        </w:rPr>
        <w:t xml:space="preserve">, </w:t>
      </w:r>
      <w:hyperlink r:id="rId9" w:history="1">
        <w:r w:rsidRPr="002B263A">
          <w:rPr>
            <w:rFonts w:ascii="FrankRuehl" w:hAnsi="FrankRuehl" w:cs="FrankRuehl"/>
            <w:color w:val="0000FF"/>
            <w:rtl/>
          </w:rPr>
          <w:t>14</w:t>
        </w:r>
      </w:hyperlink>
      <w:r w:rsidRPr="002B263A">
        <w:rPr>
          <w:rFonts w:ascii="FrankRuehl" w:hAnsi="FrankRuehl" w:cs="FrankRuehl"/>
          <w:rtl/>
        </w:rPr>
        <w:t xml:space="preserve">, </w:t>
      </w:r>
      <w:hyperlink r:id="rId10" w:history="1">
        <w:r w:rsidRPr="002B263A">
          <w:rPr>
            <w:rFonts w:ascii="FrankRuehl" w:hAnsi="FrankRuehl" w:cs="FrankRuehl"/>
            <w:color w:val="0000FF"/>
            <w:rtl/>
          </w:rPr>
          <w:t>19א</w:t>
        </w:r>
      </w:hyperlink>
    </w:p>
    <w:p w14:paraId="0ECB33C5" w14:textId="77777777" w:rsidR="002B263A" w:rsidRPr="002B263A" w:rsidRDefault="002B263A" w:rsidP="002B263A">
      <w:pPr>
        <w:spacing w:before="120" w:after="120" w:line="240" w:lineRule="exact"/>
        <w:ind w:left="283" w:hanging="283"/>
        <w:jc w:val="both"/>
        <w:rPr>
          <w:rFonts w:ascii="FrankRuehl" w:hAnsi="FrankRuehl" w:cs="FrankRuehl"/>
          <w:rtl/>
        </w:rPr>
      </w:pPr>
      <w:hyperlink r:id="rId11" w:history="1">
        <w:r w:rsidRPr="002B263A">
          <w:rPr>
            <w:rFonts w:ascii="FrankRuehl" w:hAnsi="FrankRuehl" w:cs="FrankRuehl"/>
            <w:color w:val="0000FF"/>
            <w:rtl/>
          </w:rPr>
          <w:t>חוק העונשין, תשל"ז-1977</w:t>
        </w:r>
      </w:hyperlink>
      <w:r w:rsidRPr="002B263A">
        <w:rPr>
          <w:rFonts w:ascii="FrankRuehl" w:hAnsi="FrankRuehl" w:cs="FrankRuehl"/>
          <w:rtl/>
        </w:rPr>
        <w:t xml:space="preserve">: סע'  </w:t>
      </w:r>
      <w:hyperlink r:id="rId12" w:history="1">
        <w:r w:rsidRPr="002B263A">
          <w:rPr>
            <w:rFonts w:ascii="FrankRuehl" w:hAnsi="FrankRuehl" w:cs="FrankRuehl"/>
            <w:color w:val="0000FF"/>
            <w:rtl/>
          </w:rPr>
          <w:t>40ט'</w:t>
        </w:r>
      </w:hyperlink>
      <w:r w:rsidRPr="002B263A">
        <w:rPr>
          <w:rFonts w:ascii="FrankRuehl" w:hAnsi="FrankRuehl" w:cs="FrankRuehl"/>
          <w:rtl/>
        </w:rPr>
        <w:t xml:space="preserve">, </w:t>
      </w:r>
      <w:hyperlink r:id="rId13" w:history="1">
        <w:r w:rsidRPr="002B263A">
          <w:rPr>
            <w:rFonts w:ascii="FrankRuehl" w:hAnsi="FrankRuehl" w:cs="FrankRuehl"/>
            <w:color w:val="0000FF"/>
            <w:rtl/>
          </w:rPr>
          <w:t>40יא</w:t>
        </w:r>
      </w:hyperlink>
      <w:r w:rsidRPr="002B263A">
        <w:rPr>
          <w:rFonts w:ascii="FrankRuehl" w:hAnsi="FrankRuehl" w:cs="FrankRuehl"/>
          <w:rtl/>
        </w:rPr>
        <w:t xml:space="preserve">, </w:t>
      </w:r>
      <w:hyperlink r:id="rId14" w:history="1">
        <w:r w:rsidRPr="002B263A">
          <w:rPr>
            <w:rFonts w:ascii="FrankRuehl" w:hAnsi="FrankRuehl" w:cs="FrankRuehl"/>
            <w:color w:val="0000FF"/>
            <w:rtl/>
          </w:rPr>
          <w:t>499(א)(1)</w:t>
        </w:r>
      </w:hyperlink>
    </w:p>
    <w:p w14:paraId="248DB508" w14:textId="77777777" w:rsidR="002B263A" w:rsidRPr="002B263A" w:rsidRDefault="002B263A" w:rsidP="002B263A">
      <w:pPr>
        <w:rPr>
          <w:rFonts w:ascii="FrankRuehl" w:hAnsi="FrankRuehl" w:cs="FrankRuehl"/>
          <w:sz w:val="28"/>
          <w:szCs w:val="28"/>
          <w:rtl/>
        </w:rPr>
      </w:pPr>
      <w:bookmarkStart w:id="4" w:name="LawTable_End"/>
      <w:bookmarkEnd w:id="4"/>
    </w:p>
    <w:p w14:paraId="6B66AAAD" w14:textId="77777777" w:rsidR="003E4EA1" w:rsidRPr="00661DEE" w:rsidRDefault="003E4EA1" w:rsidP="00661DEE">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E4EA1" w14:paraId="40DC992D" w14:textId="77777777" w:rsidTr="003E4EA1">
        <w:trPr>
          <w:trHeight w:val="355"/>
          <w:jc w:val="center"/>
        </w:trPr>
        <w:tc>
          <w:tcPr>
            <w:tcW w:w="8820" w:type="dxa"/>
            <w:tcBorders>
              <w:top w:val="nil"/>
              <w:left w:val="nil"/>
              <w:bottom w:val="nil"/>
              <w:right w:val="nil"/>
            </w:tcBorders>
            <w:shd w:val="clear" w:color="auto" w:fill="auto"/>
          </w:tcPr>
          <w:p w14:paraId="5CAEA695" w14:textId="77777777" w:rsidR="00997287" w:rsidRPr="00997287" w:rsidRDefault="00997287" w:rsidP="00997287">
            <w:pPr>
              <w:jc w:val="center"/>
              <w:rPr>
                <w:rFonts w:ascii="Arial" w:hAnsi="Arial" w:cs="FrankRuehl"/>
                <w:b/>
                <w:bCs/>
                <w:sz w:val="40"/>
                <w:szCs w:val="40"/>
                <w:u w:val="single"/>
                <w:rtl/>
              </w:rPr>
            </w:pPr>
            <w:bookmarkStart w:id="5" w:name="PsakDin" w:colFirst="0" w:colLast="0"/>
            <w:bookmarkEnd w:id="0"/>
            <w:r w:rsidRPr="00997287">
              <w:rPr>
                <w:rFonts w:ascii="Arial" w:hAnsi="Arial" w:cs="FrankRuehl"/>
                <w:b/>
                <w:bCs/>
                <w:sz w:val="40"/>
                <w:szCs w:val="40"/>
                <w:u w:val="single"/>
                <w:rtl/>
              </w:rPr>
              <w:t>גזר דין</w:t>
            </w:r>
          </w:p>
          <w:p w14:paraId="33398629" w14:textId="77777777" w:rsidR="003E4EA1" w:rsidRPr="00997287" w:rsidRDefault="003E4EA1" w:rsidP="00997287">
            <w:pPr>
              <w:jc w:val="center"/>
              <w:rPr>
                <w:rFonts w:ascii="Arial" w:hAnsi="Arial" w:cs="FrankRuehl"/>
                <w:bCs/>
                <w:sz w:val="32"/>
                <w:szCs w:val="32"/>
                <w:u w:val="single"/>
                <w:rtl/>
              </w:rPr>
            </w:pPr>
          </w:p>
        </w:tc>
      </w:tr>
      <w:bookmarkEnd w:id="5"/>
    </w:tbl>
    <w:p w14:paraId="69ED3BB8" w14:textId="77777777" w:rsidR="003E4EA1" w:rsidRPr="00B05847" w:rsidRDefault="003E4EA1" w:rsidP="003E4EA1">
      <w:pPr>
        <w:rPr>
          <w:rFonts w:ascii="Arial" w:hAnsi="Arial"/>
          <w:rtl/>
        </w:rPr>
      </w:pPr>
    </w:p>
    <w:p w14:paraId="4D190305" w14:textId="77777777" w:rsidR="003E4EA1" w:rsidRPr="00B26EA6" w:rsidRDefault="003E4EA1" w:rsidP="003E4EA1">
      <w:pPr>
        <w:spacing w:line="360" w:lineRule="auto"/>
        <w:rPr>
          <w:rFonts w:cs="FrankRuehl"/>
          <w:b/>
          <w:bCs/>
          <w:sz w:val="28"/>
          <w:szCs w:val="28"/>
          <w:u w:val="single"/>
        </w:rPr>
      </w:pPr>
      <w:r w:rsidRPr="00B26EA6">
        <w:rPr>
          <w:rFonts w:cs="FrankRuehl" w:hint="cs"/>
          <w:b/>
          <w:bCs/>
          <w:sz w:val="28"/>
          <w:szCs w:val="28"/>
          <w:u w:val="single"/>
          <w:rtl/>
        </w:rPr>
        <w:t>כתב האישום</w:t>
      </w:r>
    </w:p>
    <w:p w14:paraId="5395B659" w14:textId="77777777" w:rsidR="003E4EA1" w:rsidRPr="00B26EA6" w:rsidRDefault="003E4EA1" w:rsidP="003E4EA1">
      <w:pPr>
        <w:spacing w:line="360" w:lineRule="auto"/>
        <w:jc w:val="both"/>
        <w:rPr>
          <w:rFonts w:cs="FrankRuehl"/>
          <w:sz w:val="28"/>
          <w:szCs w:val="28"/>
          <w:rtl/>
        </w:rPr>
      </w:pPr>
      <w:bookmarkStart w:id="6" w:name="ABSTRACT_START"/>
      <w:bookmarkEnd w:id="6"/>
      <w:r w:rsidRPr="00B26EA6">
        <w:rPr>
          <w:rFonts w:cs="FrankRuehl" w:hint="cs"/>
          <w:sz w:val="28"/>
          <w:szCs w:val="28"/>
          <w:rtl/>
        </w:rPr>
        <w:t>הנאשם הורשע על פי הודאתו בעבירות ובעובדות המנויות בכתב האישום המתוקן, כפי שיפורט להלן:</w:t>
      </w:r>
    </w:p>
    <w:p w14:paraId="318164E0" w14:textId="77777777" w:rsidR="003E4EA1" w:rsidRPr="00B26EA6" w:rsidRDefault="003E4EA1" w:rsidP="003E4EA1">
      <w:pPr>
        <w:spacing w:line="360" w:lineRule="auto"/>
        <w:jc w:val="both"/>
        <w:rPr>
          <w:rFonts w:cs="FrankRuehl"/>
          <w:sz w:val="28"/>
          <w:szCs w:val="28"/>
          <w:u w:val="single"/>
          <w:rtl/>
        </w:rPr>
      </w:pPr>
    </w:p>
    <w:p w14:paraId="4C07B878" w14:textId="77777777" w:rsidR="003E4EA1" w:rsidRPr="00B26EA6" w:rsidRDefault="003E4EA1" w:rsidP="003E4EA1">
      <w:pPr>
        <w:spacing w:line="360" w:lineRule="auto"/>
        <w:jc w:val="both"/>
        <w:rPr>
          <w:rFonts w:cs="FrankRuehl"/>
          <w:sz w:val="28"/>
          <w:szCs w:val="28"/>
          <w:rtl/>
        </w:rPr>
      </w:pPr>
      <w:r w:rsidRPr="00B26EA6">
        <w:rPr>
          <w:rFonts w:cs="FrankRuehl" w:hint="cs"/>
          <w:sz w:val="28"/>
          <w:szCs w:val="28"/>
          <w:u w:val="single"/>
          <w:rtl/>
        </w:rPr>
        <w:t>האישום הראשון</w:t>
      </w:r>
      <w:r w:rsidRPr="00B26EA6">
        <w:rPr>
          <w:rFonts w:cs="FrankRuehl" w:hint="cs"/>
          <w:sz w:val="28"/>
          <w:szCs w:val="28"/>
          <w:rtl/>
        </w:rPr>
        <w:t xml:space="preserve"> </w:t>
      </w:r>
      <w:r w:rsidRPr="00B26EA6">
        <w:rPr>
          <w:rFonts w:cs="FrankRuehl"/>
          <w:sz w:val="28"/>
          <w:szCs w:val="28"/>
          <w:rtl/>
        </w:rPr>
        <w:t>–</w:t>
      </w:r>
      <w:r w:rsidRPr="00B26EA6">
        <w:rPr>
          <w:rFonts w:cs="FrankRuehl" w:hint="cs"/>
          <w:sz w:val="28"/>
          <w:szCs w:val="28"/>
          <w:rtl/>
        </w:rPr>
        <w:t xml:space="preserve"> ביום 21.3.2016 מכר הנאשם לשוטר סמוי אותו הכיר ערב לפני כן בפאב, סם מסוג חשיש במשקל 22.83 גרם. בעקבות שיחה בין השניים בפאב, אמר הנאשם לשוטר כי יוכל לארגן לו חשיש מרוקאי מחברים באשדוד. אז גם שוחח מהטלפון של השוטר עם "שמעון" ביום </w:t>
      </w:r>
      <w:r w:rsidRPr="00B26EA6">
        <w:rPr>
          <w:rFonts w:cs="FrankRuehl" w:hint="cs"/>
          <w:sz w:val="28"/>
          <w:szCs w:val="28"/>
          <w:rtl/>
        </w:rPr>
        <w:lastRenderedPageBreak/>
        <w:t xml:space="preserve">העסקה נסעו השניים לאשדוד, תוך שהנאשם משוחח מהטלפון של השוטר לצורך תיאום העסקה. בסופו של דבר, הגיעו השניים לאשדוד, ולאחר דין ודברים, שמעון מסר לשוטר את הסם וקיבל מהשוטר 1,400 ₪ בתמורה. הנאשם והשוטר חזרו יחדיו לירושלים כשהשוטר סירב לתת לנאשם </w:t>
      </w:r>
      <w:bookmarkStart w:id="7" w:name="ABSTRACT_END"/>
      <w:bookmarkEnd w:id="7"/>
      <w:r w:rsidRPr="00B26EA6">
        <w:rPr>
          <w:rFonts w:cs="FrankRuehl" w:hint="cs"/>
          <w:sz w:val="28"/>
          <w:szCs w:val="28"/>
          <w:rtl/>
        </w:rPr>
        <w:t xml:space="preserve">מקצת מהסם, לבקשת הנאשם. בגין כך הודה והרשע הנאשם בביצוע עבירה של </w:t>
      </w:r>
      <w:r w:rsidRPr="00B26EA6">
        <w:rPr>
          <w:rFonts w:cs="FrankRuehl" w:hint="cs"/>
          <w:b/>
          <w:bCs/>
          <w:sz w:val="28"/>
          <w:szCs w:val="28"/>
          <w:rtl/>
        </w:rPr>
        <w:t>סחר בסם מסוכן</w:t>
      </w:r>
      <w:r w:rsidRPr="00B26EA6">
        <w:rPr>
          <w:rFonts w:cs="FrankRuehl" w:hint="cs"/>
          <w:sz w:val="28"/>
          <w:szCs w:val="28"/>
          <w:rtl/>
        </w:rPr>
        <w:t xml:space="preserve">, לפי </w:t>
      </w:r>
      <w:hyperlink r:id="rId15" w:history="1">
        <w:r w:rsidR="004E5AC8" w:rsidRPr="004E5AC8">
          <w:rPr>
            <w:rStyle w:val="Hyperlink"/>
            <w:rFonts w:cs="FrankRuehl" w:hint="eastAsia"/>
            <w:sz w:val="28"/>
            <w:szCs w:val="28"/>
            <w:rtl/>
          </w:rPr>
          <w:t>סעיפים</w:t>
        </w:r>
        <w:r w:rsidR="004E5AC8" w:rsidRPr="004E5AC8">
          <w:rPr>
            <w:rStyle w:val="Hyperlink"/>
            <w:rFonts w:cs="FrankRuehl"/>
            <w:sz w:val="28"/>
            <w:szCs w:val="28"/>
            <w:rtl/>
          </w:rPr>
          <w:t xml:space="preserve"> 13</w:t>
        </w:r>
      </w:hyperlink>
      <w:r w:rsidRPr="00B26EA6">
        <w:rPr>
          <w:rFonts w:cs="FrankRuehl" w:hint="cs"/>
          <w:sz w:val="28"/>
          <w:szCs w:val="28"/>
          <w:rtl/>
        </w:rPr>
        <w:t xml:space="preserve"> ו-</w:t>
      </w:r>
      <w:hyperlink r:id="rId16" w:history="1">
        <w:r w:rsidR="004E5AC8" w:rsidRPr="004E5AC8">
          <w:rPr>
            <w:rStyle w:val="Hyperlink"/>
            <w:rFonts w:cs="FrankRuehl"/>
            <w:sz w:val="28"/>
            <w:szCs w:val="28"/>
            <w:rtl/>
          </w:rPr>
          <w:t>19א</w:t>
        </w:r>
      </w:hyperlink>
      <w:r w:rsidRPr="00B26EA6">
        <w:rPr>
          <w:rFonts w:cs="FrankRuehl" w:hint="cs"/>
          <w:sz w:val="28"/>
          <w:szCs w:val="28"/>
          <w:rtl/>
        </w:rPr>
        <w:t xml:space="preserve"> ל</w:t>
      </w:r>
      <w:hyperlink r:id="rId17" w:history="1">
        <w:r w:rsidR="00997287" w:rsidRPr="00997287">
          <w:rPr>
            <w:rFonts w:cs="FrankRuehl"/>
            <w:color w:val="0000FF"/>
            <w:sz w:val="28"/>
            <w:szCs w:val="28"/>
            <w:u w:val="single"/>
            <w:rtl/>
          </w:rPr>
          <w:t>פקודת הסמים המסוכנים</w:t>
        </w:r>
      </w:hyperlink>
      <w:r w:rsidRPr="00B26EA6">
        <w:rPr>
          <w:rFonts w:cs="FrankRuehl" w:hint="cs"/>
          <w:sz w:val="28"/>
          <w:szCs w:val="28"/>
          <w:rtl/>
        </w:rPr>
        <w:t>;</w:t>
      </w:r>
    </w:p>
    <w:p w14:paraId="5F3CBE4A" w14:textId="77777777" w:rsidR="003E4EA1" w:rsidRPr="00B26EA6" w:rsidRDefault="003E4EA1" w:rsidP="003E4EA1">
      <w:pPr>
        <w:spacing w:line="360" w:lineRule="auto"/>
        <w:jc w:val="both"/>
        <w:rPr>
          <w:rFonts w:cs="FrankRuehl"/>
          <w:sz w:val="28"/>
          <w:szCs w:val="28"/>
          <w:u w:val="single"/>
          <w:rtl/>
        </w:rPr>
      </w:pPr>
    </w:p>
    <w:p w14:paraId="385D0FE6" w14:textId="77777777" w:rsidR="003E4EA1" w:rsidRPr="00B26EA6" w:rsidRDefault="003E4EA1" w:rsidP="003E4EA1">
      <w:pPr>
        <w:spacing w:line="360" w:lineRule="auto"/>
        <w:jc w:val="both"/>
        <w:rPr>
          <w:rFonts w:cs="FrankRuehl"/>
          <w:sz w:val="28"/>
          <w:szCs w:val="28"/>
          <w:rtl/>
        </w:rPr>
      </w:pPr>
      <w:r w:rsidRPr="00B26EA6">
        <w:rPr>
          <w:rFonts w:cs="FrankRuehl" w:hint="cs"/>
          <w:sz w:val="28"/>
          <w:szCs w:val="28"/>
          <w:u w:val="single"/>
          <w:rtl/>
        </w:rPr>
        <w:t>האישום השני</w:t>
      </w:r>
      <w:r w:rsidRPr="00B26EA6">
        <w:rPr>
          <w:rFonts w:cs="FrankRuehl" w:hint="cs"/>
          <w:sz w:val="28"/>
          <w:szCs w:val="28"/>
          <w:rtl/>
        </w:rPr>
        <w:t xml:space="preserve"> </w:t>
      </w:r>
      <w:r w:rsidRPr="00B26EA6">
        <w:rPr>
          <w:rFonts w:cs="FrankRuehl"/>
          <w:sz w:val="28"/>
          <w:szCs w:val="28"/>
          <w:rtl/>
        </w:rPr>
        <w:t>–</w:t>
      </w:r>
      <w:r w:rsidRPr="00B26EA6">
        <w:rPr>
          <w:rFonts w:cs="FrankRuehl" w:hint="cs"/>
          <w:sz w:val="28"/>
          <w:szCs w:val="28"/>
          <w:rtl/>
        </w:rPr>
        <w:t xml:space="preserve"> ביום 28.3.2016 תיווך הנאשם בין השוטר לאחרים, כשהאחרים מכרו לשוטר סוליית חשיש במשקל 94.96 גרם נטו תמורת 4,000 ₪. היוזמה לעסקה הייתה של השוטר, והנאשם קישר בינו לבין האחרים, כאשר העסקה בוצעה באשדוד, בנוכחות הנאשם, כשהאחרון אף קיבל 100 ₪ בעטיה. בגין כך הודה הנאשם והורשע בביצוע עבירה של </w:t>
      </w:r>
      <w:r w:rsidRPr="00B26EA6">
        <w:rPr>
          <w:rFonts w:cs="FrankRuehl" w:hint="cs"/>
          <w:b/>
          <w:bCs/>
          <w:sz w:val="28"/>
          <w:szCs w:val="28"/>
          <w:rtl/>
        </w:rPr>
        <w:t>תיווך לסחר בסמים,</w:t>
      </w:r>
      <w:r w:rsidRPr="00B26EA6">
        <w:rPr>
          <w:rFonts w:cs="FrankRuehl" w:hint="cs"/>
          <w:sz w:val="28"/>
          <w:szCs w:val="28"/>
          <w:rtl/>
        </w:rPr>
        <w:t xml:space="preserve"> לפי </w:t>
      </w:r>
      <w:hyperlink r:id="rId18" w:history="1">
        <w:r w:rsidR="004E5AC8" w:rsidRPr="004E5AC8">
          <w:rPr>
            <w:rStyle w:val="Hyperlink"/>
            <w:rFonts w:cs="FrankRuehl" w:hint="eastAsia"/>
            <w:sz w:val="28"/>
            <w:szCs w:val="28"/>
            <w:rtl/>
          </w:rPr>
          <w:t>סעיף</w:t>
        </w:r>
        <w:r w:rsidR="004E5AC8" w:rsidRPr="004E5AC8">
          <w:rPr>
            <w:rStyle w:val="Hyperlink"/>
            <w:rFonts w:cs="FrankRuehl"/>
            <w:sz w:val="28"/>
            <w:szCs w:val="28"/>
            <w:rtl/>
          </w:rPr>
          <w:t xml:space="preserve"> 14</w:t>
        </w:r>
      </w:hyperlink>
      <w:r w:rsidRPr="00B26EA6">
        <w:rPr>
          <w:rFonts w:cs="FrankRuehl" w:hint="cs"/>
          <w:sz w:val="28"/>
          <w:szCs w:val="28"/>
          <w:rtl/>
        </w:rPr>
        <w:t xml:space="preserve"> לפקודת הסמים;</w:t>
      </w:r>
    </w:p>
    <w:p w14:paraId="6537BD6C" w14:textId="77777777" w:rsidR="003E4EA1" w:rsidRPr="00B26EA6" w:rsidRDefault="003E4EA1" w:rsidP="003E4EA1">
      <w:pPr>
        <w:spacing w:line="360" w:lineRule="auto"/>
        <w:jc w:val="both"/>
        <w:rPr>
          <w:rFonts w:cs="FrankRuehl"/>
          <w:sz w:val="28"/>
          <w:szCs w:val="28"/>
          <w:u w:val="single"/>
          <w:rtl/>
        </w:rPr>
      </w:pPr>
    </w:p>
    <w:p w14:paraId="266AD464" w14:textId="77777777" w:rsidR="003E4EA1" w:rsidRPr="00B26EA6" w:rsidRDefault="003E4EA1" w:rsidP="003E4EA1">
      <w:pPr>
        <w:spacing w:line="360" w:lineRule="auto"/>
        <w:jc w:val="both"/>
        <w:rPr>
          <w:rFonts w:cs="FrankRuehl"/>
          <w:sz w:val="28"/>
          <w:szCs w:val="28"/>
          <w:rtl/>
        </w:rPr>
      </w:pPr>
      <w:r w:rsidRPr="00B26EA6">
        <w:rPr>
          <w:rFonts w:cs="FrankRuehl" w:hint="cs"/>
          <w:sz w:val="28"/>
          <w:szCs w:val="28"/>
          <w:u w:val="single"/>
          <w:rtl/>
        </w:rPr>
        <w:t>האישום השלישי</w:t>
      </w:r>
      <w:r w:rsidRPr="00B26EA6">
        <w:rPr>
          <w:rFonts w:cs="FrankRuehl" w:hint="cs"/>
          <w:sz w:val="28"/>
          <w:szCs w:val="28"/>
          <w:rtl/>
        </w:rPr>
        <w:t xml:space="preserve"> </w:t>
      </w:r>
      <w:r w:rsidRPr="00B26EA6">
        <w:rPr>
          <w:rFonts w:cs="FrankRuehl"/>
          <w:sz w:val="28"/>
          <w:szCs w:val="28"/>
          <w:rtl/>
        </w:rPr>
        <w:t>–</w:t>
      </w:r>
      <w:r w:rsidRPr="00B26EA6">
        <w:rPr>
          <w:rFonts w:cs="FrankRuehl" w:hint="cs"/>
          <w:sz w:val="28"/>
          <w:szCs w:val="28"/>
          <w:rtl/>
        </w:rPr>
        <w:t xml:space="preserve"> ביום 4.4.2016 קשר הנאשם קשר יחד עם אחרים למכור סמים לשוטר. בתחילה, ביקש השוטר לרכוש כמות גדולה בשווי 18,000 ₪, שהפחידה את הנאשם והאחרים. לבסוף סוכם על רכישת שתי סוליות חשיש, ואולם העסקה לא יצאה אל הפועל. בגין כך הודה הנאשם והורשע בביצוע עבירה של קשירת קשר לביצוע פשע, לפי </w:t>
      </w:r>
      <w:hyperlink r:id="rId19" w:history="1">
        <w:r w:rsidR="004E5AC8" w:rsidRPr="004E5AC8">
          <w:rPr>
            <w:rStyle w:val="Hyperlink"/>
            <w:rFonts w:cs="FrankRuehl" w:hint="eastAsia"/>
            <w:sz w:val="28"/>
            <w:szCs w:val="28"/>
            <w:rtl/>
          </w:rPr>
          <w:t>סעיף</w:t>
        </w:r>
        <w:r w:rsidR="004E5AC8" w:rsidRPr="004E5AC8">
          <w:rPr>
            <w:rStyle w:val="Hyperlink"/>
            <w:rFonts w:cs="FrankRuehl"/>
            <w:sz w:val="28"/>
            <w:szCs w:val="28"/>
            <w:rtl/>
          </w:rPr>
          <w:t xml:space="preserve"> 499(א)(1)</w:t>
        </w:r>
      </w:hyperlink>
      <w:r w:rsidRPr="00B26EA6">
        <w:rPr>
          <w:rFonts w:cs="FrankRuehl" w:hint="cs"/>
          <w:sz w:val="28"/>
          <w:szCs w:val="28"/>
          <w:rtl/>
        </w:rPr>
        <w:t xml:space="preserve"> ל</w:t>
      </w:r>
      <w:hyperlink r:id="rId20" w:history="1">
        <w:r w:rsidR="00997287" w:rsidRPr="00997287">
          <w:rPr>
            <w:rFonts w:cs="FrankRuehl"/>
            <w:color w:val="0000FF"/>
            <w:sz w:val="28"/>
            <w:szCs w:val="28"/>
            <w:u w:val="single"/>
            <w:rtl/>
          </w:rPr>
          <w:t>חוק העונשין</w:t>
        </w:r>
      </w:hyperlink>
      <w:r w:rsidRPr="00B26EA6">
        <w:rPr>
          <w:rFonts w:cs="FrankRuehl" w:hint="cs"/>
          <w:sz w:val="28"/>
          <w:szCs w:val="28"/>
          <w:rtl/>
        </w:rPr>
        <w:t xml:space="preserve">, התשל"ז-1977 (להלן </w:t>
      </w:r>
      <w:r w:rsidRPr="00B26EA6">
        <w:rPr>
          <w:rFonts w:cs="FrankRuehl"/>
          <w:sz w:val="28"/>
          <w:szCs w:val="28"/>
          <w:rtl/>
        </w:rPr>
        <w:t>–</w:t>
      </w:r>
      <w:r w:rsidRPr="00B26EA6">
        <w:rPr>
          <w:rFonts w:cs="FrankRuehl" w:hint="cs"/>
          <w:sz w:val="28"/>
          <w:szCs w:val="28"/>
          <w:rtl/>
        </w:rPr>
        <w:t xml:space="preserve"> </w:t>
      </w:r>
      <w:r w:rsidRPr="00B26EA6">
        <w:rPr>
          <w:rFonts w:cs="FrankRuehl" w:hint="cs"/>
          <w:b/>
          <w:bCs/>
          <w:sz w:val="28"/>
          <w:szCs w:val="28"/>
          <w:rtl/>
        </w:rPr>
        <w:t>החוק</w:t>
      </w:r>
      <w:r w:rsidRPr="00B26EA6">
        <w:rPr>
          <w:rFonts w:cs="FrankRuehl" w:hint="cs"/>
          <w:sz w:val="28"/>
          <w:szCs w:val="28"/>
          <w:rtl/>
        </w:rPr>
        <w:t>).</w:t>
      </w:r>
    </w:p>
    <w:p w14:paraId="6B62D957" w14:textId="77777777" w:rsidR="003E4EA1" w:rsidRPr="00B26EA6" w:rsidRDefault="003E4EA1" w:rsidP="003E4EA1">
      <w:pPr>
        <w:spacing w:line="360" w:lineRule="auto"/>
        <w:jc w:val="both"/>
        <w:rPr>
          <w:rFonts w:cs="FrankRuehl"/>
          <w:sz w:val="28"/>
          <w:szCs w:val="28"/>
        </w:rPr>
      </w:pPr>
    </w:p>
    <w:p w14:paraId="4A38D6B7" w14:textId="77777777" w:rsidR="003E4EA1" w:rsidRPr="00B26EA6" w:rsidRDefault="003E4EA1" w:rsidP="003E4EA1">
      <w:pPr>
        <w:spacing w:line="360" w:lineRule="auto"/>
        <w:jc w:val="both"/>
        <w:rPr>
          <w:rFonts w:cs="FrankRuehl"/>
          <w:b/>
          <w:bCs/>
          <w:sz w:val="28"/>
          <w:szCs w:val="28"/>
          <w:u w:val="single"/>
        </w:rPr>
      </w:pPr>
      <w:r w:rsidRPr="00B26EA6">
        <w:rPr>
          <w:rFonts w:cs="FrankRuehl" w:hint="cs"/>
          <w:b/>
          <w:bCs/>
          <w:sz w:val="28"/>
          <w:szCs w:val="28"/>
          <w:u w:val="single"/>
          <w:rtl/>
        </w:rPr>
        <w:t>מהלך הדיון</w:t>
      </w:r>
    </w:p>
    <w:p w14:paraId="01920AEB" w14:textId="77777777" w:rsidR="003E4EA1" w:rsidRPr="00B26EA6" w:rsidRDefault="003E4EA1" w:rsidP="003E4EA1">
      <w:pPr>
        <w:spacing w:line="360" w:lineRule="auto"/>
        <w:jc w:val="both"/>
        <w:rPr>
          <w:rFonts w:cs="FrankRuehl"/>
          <w:sz w:val="28"/>
          <w:szCs w:val="28"/>
          <w:rtl/>
        </w:rPr>
      </w:pPr>
      <w:r w:rsidRPr="00B26EA6">
        <w:rPr>
          <w:rFonts w:cs="FrankRuehl" w:hint="cs"/>
          <w:sz w:val="28"/>
          <w:szCs w:val="28"/>
          <w:rtl/>
        </w:rPr>
        <w:t>כתב האישום בתיק זה הוגש יחד עם בקשה למעצרו של הנאשם עד לתום ההליכים נגדו, ביום 7.8.2016. לאחר הפניית הנאשם לשירות המבחן, החליט חברי, כב' השופט מינטקביץ', על שחרורו של הנאשם בתנאים לקהילת "בית אביבה", וזאת ביום 26.10.2016 (יום השחרור לקהילה). הנאשם שהה בקהילה במשך שנה תמימה, וביום 25.10.2016 עבר לשלב ה"הוסטל" שם שהה תקופה ארוכה והשתלב בעבודה. יחד עם זאת, לאחר סיום כל אלה, ניתק הנאשם קשר למעשה, עם שירות המבחן, ולא המשיך במתן בדיקות שתן או בהמשך מעקב טיפולי.</w:t>
      </w:r>
      <w:r>
        <w:rPr>
          <w:rFonts w:cs="FrankRuehl" w:hint="cs"/>
          <w:sz w:val="28"/>
          <w:szCs w:val="28"/>
          <w:rtl/>
        </w:rPr>
        <w:t xml:space="preserve"> </w:t>
      </w:r>
      <w:r w:rsidRPr="00B26EA6">
        <w:rPr>
          <w:rFonts w:cs="FrankRuehl" w:hint="cs"/>
          <w:sz w:val="28"/>
          <w:szCs w:val="28"/>
          <w:rtl/>
        </w:rPr>
        <w:t>ביום 3.10.2018 הודה הנאשם בכתב אישום מתוקן, במסגרת הסדר דיוני שלא כלל הסכמה עונשית, כשהמאשימה הודיעה שעמדתה היא למאסר. הדיונים נדחו מעת לעת על-מנת לאפשר לנאשם, למרות קשייו המרובים, למצות את התהליך הטיפולי</w:t>
      </w:r>
      <w:r>
        <w:rPr>
          <w:rFonts w:cs="FrankRuehl" w:hint="cs"/>
          <w:sz w:val="28"/>
          <w:szCs w:val="28"/>
          <w:rtl/>
        </w:rPr>
        <w:t>, לצערנו ללא הצלחה</w:t>
      </w:r>
      <w:r w:rsidRPr="00B26EA6">
        <w:rPr>
          <w:rFonts w:cs="FrankRuehl" w:hint="cs"/>
          <w:sz w:val="28"/>
          <w:szCs w:val="28"/>
          <w:rtl/>
        </w:rPr>
        <w:t>.</w:t>
      </w:r>
    </w:p>
    <w:p w14:paraId="5AB98414" w14:textId="77777777" w:rsidR="003E4EA1" w:rsidRPr="00B26EA6" w:rsidRDefault="003E4EA1" w:rsidP="003E4EA1">
      <w:pPr>
        <w:spacing w:line="360" w:lineRule="auto"/>
        <w:jc w:val="both"/>
        <w:rPr>
          <w:rFonts w:cs="FrankRuehl"/>
          <w:b/>
          <w:bCs/>
          <w:sz w:val="28"/>
          <w:szCs w:val="28"/>
          <w:u w:val="single"/>
          <w:rtl/>
        </w:rPr>
      </w:pPr>
    </w:p>
    <w:p w14:paraId="1A0CE1A4" w14:textId="77777777" w:rsidR="003E4EA1" w:rsidRPr="00B26EA6" w:rsidRDefault="003E4EA1" w:rsidP="003E4EA1">
      <w:pPr>
        <w:spacing w:line="360" w:lineRule="auto"/>
        <w:jc w:val="both"/>
        <w:rPr>
          <w:rFonts w:cs="FrankRuehl"/>
          <w:b/>
          <w:bCs/>
          <w:sz w:val="28"/>
          <w:szCs w:val="28"/>
          <w:u w:val="single"/>
          <w:rtl/>
        </w:rPr>
      </w:pPr>
      <w:r w:rsidRPr="00B26EA6">
        <w:rPr>
          <w:rFonts w:cs="FrankRuehl" w:hint="cs"/>
          <w:b/>
          <w:bCs/>
          <w:sz w:val="28"/>
          <w:szCs w:val="28"/>
          <w:u w:val="single"/>
          <w:rtl/>
        </w:rPr>
        <w:t>תסקירי שירות המבחן</w:t>
      </w:r>
    </w:p>
    <w:p w14:paraId="7B38FE82" w14:textId="77777777" w:rsidR="003E4EA1" w:rsidRPr="00B26EA6" w:rsidRDefault="003E4EA1" w:rsidP="003E4EA1">
      <w:pPr>
        <w:spacing w:line="360" w:lineRule="auto"/>
        <w:jc w:val="both"/>
        <w:rPr>
          <w:rFonts w:cs="FrankRuehl"/>
          <w:sz w:val="28"/>
          <w:szCs w:val="28"/>
          <w:rtl/>
        </w:rPr>
      </w:pPr>
      <w:r w:rsidRPr="00B26EA6">
        <w:rPr>
          <w:rFonts w:cs="FrankRuehl" w:hint="cs"/>
          <w:sz w:val="28"/>
          <w:szCs w:val="28"/>
          <w:rtl/>
        </w:rPr>
        <w:lastRenderedPageBreak/>
        <w:t xml:space="preserve">בעניינו של הנאשם הוגשו תסקירים רבים. מהתסקיר שהוגש בעניינו של הנאשם בחודש אוגוסט 2019 עולה, כי הנאשם כבן </w:t>
      </w:r>
      <w:r>
        <w:rPr>
          <w:rFonts w:cs="FrankRuehl" w:hint="cs"/>
          <w:sz w:val="28"/>
          <w:szCs w:val="28"/>
          <w:rtl/>
        </w:rPr>
        <w:t>31 (כיום כבן 34)</w:t>
      </w:r>
      <w:r w:rsidRPr="00B26EA6">
        <w:rPr>
          <w:rFonts w:cs="FrankRuehl" w:hint="cs"/>
          <w:sz w:val="28"/>
          <w:szCs w:val="28"/>
          <w:rtl/>
        </w:rPr>
        <w:t xml:space="preserve">, רווק. הוא עלה ממרוקו בהיותו כבן 15 ושהה בפנימיה. הוא סיים בהצלחה 12 שנות לימוד עם בגרות מלאה. עם זאת, כשהיה כבן 16, היה מעורב בתאונה בעת טיול, שבה נפגע קשה בראשו. פציעתו הצריכה שיקום ממושך, הוא הוכר כנכה בביטוח הלאומי, בגין כך לא גויס לצבא. הוא אף נדרש לטיפול תרופתי פסיכיאטרי בשל חרדות מהן סבל. הוא החל להשתמש בסמים בתחילת שנות העשרים לחייו, לרבות חשיש וקוקאין, וכן צרך באופן מופרז אלכוהול. בשנת 2014 ניסה להיגמל ביוזמתו, ללא הצלחה. קשריו עם משפחתו מורכבים מהסיבות שנמנו בתסקיר, כך שלא אחת, מצא עצמו מחוסר דיור ומקום לינה קבוע. הוא </w:t>
      </w:r>
      <w:r>
        <w:rPr>
          <w:rFonts w:cs="FrankRuehl" w:hint="cs"/>
          <w:sz w:val="28"/>
          <w:szCs w:val="28"/>
          <w:rtl/>
        </w:rPr>
        <w:t>התקשה להחזיק</w:t>
      </w:r>
      <w:r w:rsidRPr="00B26EA6">
        <w:rPr>
          <w:rFonts w:cs="FrankRuehl" w:hint="cs"/>
          <w:sz w:val="28"/>
          <w:szCs w:val="28"/>
          <w:rtl/>
        </w:rPr>
        <w:t xml:space="preserve"> בעבודות לאורך זמן ולא שמר על יציבות כללית בחייו. למרות הצלחתו בתהליך הגמילה האחרון, שתואר לפני כן, שבוצע במסגרת הליך המעצר בתיק הנוכחי, הוא לא </w:t>
      </w:r>
      <w:r>
        <w:rPr>
          <w:rFonts w:cs="FrankRuehl" w:hint="cs"/>
          <w:sz w:val="28"/>
          <w:szCs w:val="28"/>
          <w:rtl/>
        </w:rPr>
        <w:t xml:space="preserve">הצליח </w:t>
      </w:r>
      <w:r w:rsidRPr="00B26EA6">
        <w:rPr>
          <w:rFonts w:cs="FrankRuehl" w:hint="cs"/>
          <w:sz w:val="28"/>
          <w:szCs w:val="28"/>
          <w:rtl/>
        </w:rPr>
        <w:t xml:space="preserve"> להמשיך לשתף פעולה עם שירות המבחן במסגרת התיק העיקרי, ולנוכח היעדר מתן בדיקות שתן, שירות המבחן לא יכול היה לדעת מה מצב צריכת הסמים של הנאשם לעת הגשת התסקיר. שירות המבחן ציין, כי הנאשם נוטל אחריות חלקית בלבד למעשים, הוא מאופיין באימפולסיביות ובחוסר יציבות, ובהיעדר שיתוף פעולה, לא ניתן לבוא בהמלצה טיפולית בעניינו. יצוין, כי מהתסקיר עולה כי לנאשם רישום פלילי בעבירת אלימות נגד בת זוג, אולם הליך זה הסתיים מחמת מצבו הנפשי של הנאשם. בהקשר זה יצוין, כי הנאשם נבדק ע"י פסיכיאטר במסגרת הליך המעצר, ולא נמצאו קשיים באחריותו או בכשירותו. </w:t>
      </w:r>
    </w:p>
    <w:p w14:paraId="5488A854" w14:textId="77777777" w:rsidR="003E4EA1" w:rsidRPr="00B26EA6" w:rsidRDefault="003E4EA1" w:rsidP="003E4EA1">
      <w:pPr>
        <w:spacing w:line="360" w:lineRule="auto"/>
        <w:jc w:val="both"/>
        <w:rPr>
          <w:rFonts w:cs="FrankRuehl"/>
          <w:sz w:val="28"/>
          <w:szCs w:val="28"/>
          <w:rtl/>
        </w:rPr>
      </w:pPr>
    </w:p>
    <w:p w14:paraId="19AE75F6" w14:textId="77777777" w:rsidR="003E4EA1" w:rsidRPr="00B26EA6" w:rsidRDefault="003E4EA1" w:rsidP="003E4EA1">
      <w:pPr>
        <w:spacing w:line="360" w:lineRule="auto"/>
        <w:jc w:val="both"/>
        <w:rPr>
          <w:rFonts w:cs="FrankRuehl"/>
          <w:sz w:val="28"/>
          <w:szCs w:val="28"/>
          <w:rtl/>
        </w:rPr>
      </w:pPr>
      <w:r w:rsidRPr="00B26EA6">
        <w:rPr>
          <w:rFonts w:cs="FrankRuehl" w:hint="cs"/>
          <w:sz w:val="28"/>
          <w:szCs w:val="28"/>
          <w:rtl/>
        </w:rPr>
        <w:t xml:space="preserve">בתסקיר המשלים בחודש ספטמבר 2019 שב וחזר שירות המבחן על סקירת חוסר שיתוף הפעולה של הנאשם, ואי-נטילת בדיקות סמים ממנו. השירות התרשם כי הנאשם הגיע לפגישה עמו תחת השפעת סמים, התרשם מחוסר מוטיבציה לטיפול ולהסתייעות בשירות המבחן, ולכן שב ונמנע מהמלצה טיפולית. </w:t>
      </w:r>
    </w:p>
    <w:p w14:paraId="54F010DE" w14:textId="77777777" w:rsidR="003E4EA1" w:rsidRPr="00B26EA6" w:rsidRDefault="003E4EA1" w:rsidP="003E4EA1">
      <w:pPr>
        <w:spacing w:line="360" w:lineRule="auto"/>
        <w:jc w:val="both"/>
        <w:rPr>
          <w:rFonts w:cs="FrankRuehl"/>
          <w:sz w:val="28"/>
          <w:szCs w:val="28"/>
          <w:rtl/>
        </w:rPr>
      </w:pPr>
    </w:p>
    <w:p w14:paraId="18C3FED3" w14:textId="77777777" w:rsidR="003E4EA1" w:rsidRPr="00B26EA6" w:rsidRDefault="003E4EA1" w:rsidP="003E4EA1">
      <w:pPr>
        <w:spacing w:line="360" w:lineRule="auto"/>
        <w:jc w:val="both"/>
        <w:rPr>
          <w:rFonts w:cs="FrankRuehl"/>
          <w:sz w:val="28"/>
          <w:szCs w:val="28"/>
        </w:rPr>
      </w:pPr>
      <w:r w:rsidRPr="00B26EA6">
        <w:rPr>
          <w:rFonts w:cs="FrankRuehl" w:hint="cs"/>
          <w:sz w:val="28"/>
          <w:szCs w:val="28"/>
          <w:rtl/>
        </w:rPr>
        <w:t xml:space="preserve">בתסקירים נוספים עולה, כי הנאשם המשיך שלא למסור בדיקות שתן בשירות המבחן. לצד זאת, בירר באופן עצמאי פניה לטיפול גמילה, שבסופו של דבר לא יצא אל הפועל לאחר שהנאשם נמלך בדעתו והחליט שלא ללכת לטיפול במסגרת כוללנית, למרות שנמצא מתאים לכך. </w:t>
      </w:r>
      <w:r>
        <w:rPr>
          <w:rFonts w:cs="FrankRuehl" w:hint="cs"/>
          <w:sz w:val="28"/>
          <w:szCs w:val="28"/>
          <w:rtl/>
        </w:rPr>
        <w:t>בהמשך נותק כללי הקשר עם גורמי הטיפול.</w:t>
      </w:r>
    </w:p>
    <w:p w14:paraId="3213A6E4" w14:textId="77777777" w:rsidR="003E4EA1" w:rsidRPr="00B26EA6" w:rsidRDefault="003E4EA1" w:rsidP="003E4EA1">
      <w:pPr>
        <w:spacing w:line="360" w:lineRule="auto"/>
        <w:jc w:val="both"/>
        <w:rPr>
          <w:rFonts w:cs="FrankRuehl"/>
          <w:b/>
          <w:bCs/>
          <w:sz w:val="28"/>
          <w:szCs w:val="28"/>
          <w:u w:val="single"/>
          <w:rtl/>
        </w:rPr>
      </w:pPr>
    </w:p>
    <w:p w14:paraId="36F6422F" w14:textId="77777777" w:rsidR="003E4EA1" w:rsidRPr="00B26EA6" w:rsidRDefault="003E4EA1" w:rsidP="003E4EA1">
      <w:pPr>
        <w:spacing w:line="360" w:lineRule="auto"/>
        <w:jc w:val="both"/>
        <w:rPr>
          <w:rFonts w:cs="FrankRuehl"/>
          <w:b/>
          <w:bCs/>
          <w:sz w:val="28"/>
          <w:szCs w:val="28"/>
          <w:u w:val="single"/>
          <w:rtl/>
        </w:rPr>
      </w:pPr>
      <w:r w:rsidRPr="00B26EA6">
        <w:rPr>
          <w:rFonts w:cs="FrankRuehl" w:hint="cs"/>
          <w:b/>
          <w:bCs/>
          <w:sz w:val="28"/>
          <w:szCs w:val="28"/>
          <w:u w:val="single"/>
          <w:rtl/>
        </w:rPr>
        <w:t>חוות דעת של הממונה על עבודות השירות</w:t>
      </w:r>
    </w:p>
    <w:p w14:paraId="2055D83F" w14:textId="77777777" w:rsidR="003E4EA1" w:rsidRPr="00B26EA6" w:rsidRDefault="003E4EA1" w:rsidP="003E4EA1">
      <w:pPr>
        <w:spacing w:line="360" w:lineRule="auto"/>
        <w:jc w:val="both"/>
        <w:rPr>
          <w:rFonts w:cs="FrankRuehl"/>
          <w:sz w:val="28"/>
          <w:szCs w:val="28"/>
          <w:rtl/>
        </w:rPr>
      </w:pPr>
      <w:r>
        <w:rPr>
          <w:rFonts w:cs="FrankRuehl" w:hint="cs"/>
          <w:sz w:val="28"/>
          <w:szCs w:val="28"/>
          <w:rtl/>
        </w:rPr>
        <w:t xml:space="preserve">בסופו של יום לא ניתן היה להגיש חוות דעת של הממונה על עבודות השירות בשל קשיים של הנאשם. </w:t>
      </w:r>
    </w:p>
    <w:p w14:paraId="1855B431" w14:textId="77777777" w:rsidR="003E4EA1" w:rsidRPr="00B26EA6" w:rsidRDefault="003E4EA1" w:rsidP="003E4EA1">
      <w:pPr>
        <w:spacing w:line="360" w:lineRule="auto"/>
        <w:jc w:val="both"/>
        <w:rPr>
          <w:rFonts w:cs="FrankRuehl"/>
          <w:sz w:val="28"/>
          <w:szCs w:val="28"/>
          <w:rtl/>
        </w:rPr>
      </w:pPr>
    </w:p>
    <w:p w14:paraId="2AEE8455" w14:textId="77777777" w:rsidR="003E4EA1" w:rsidRPr="00B26EA6" w:rsidRDefault="003E4EA1" w:rsidP="003E4EA1">
      <w:pPr>
        <w:spacing w:line="360" w:lineRule="auto"/>
        <w:jc w:val="both"/>
        <w:rPr>
          <w:rFonts w:cs="FrankRuehl"/>
          <w:b/>
          <w:bCs/>
          <w:sz w:val="28"/>
          <w:szCs w:val="28"/>
          <w:u w:val="single"/>
          <w:rtl/>
        </w:rPr>
      </w:pPr>
      <w:r w:rsidRPr="00B26EA6">
        <w:rPr>
          <w:rFonts w:cs="FrankRuehl" w:hint="cs"/>
          <w:b/>
          <w:bCs/>
          <w:sz w:val="28"/>
          <w:szCs w:val="28"/>
          <w:u w:val="single"/>
          <w:rtl/>
        </w:rPr>
        <w:t>טיעונים לעונש</w:t>
      </w:r>
    </w:p>
    <w:p w14:paraId="1B578420" w14:textId="77777777" w:rsidR="003E4EA1" w:rsidRPr="00B26EA6" w:rsidRDefault="003E4EA1" w:rsidP="003E4EA1">
      <w:pPr>
        <w:spacing w:line="360" w:lineRule="auto"/>
        <w:jc w:val="both"/>
        <w:rPr>
          <w:rFonts w:cs="FrankRuehl"/>
          <w:sz w:val="28"/>
          <w:szCs w:val="28"/>
          <w:rtl/>
        </w:rPr>
      </w:pPr>
      <w:r w:rsidRPr="00B26EA6">
        <w:rPr>
          <w:rFonts w:cs="FrankRuehl" w:hint="cs"/>
          <w:sz w:val="28"/>
          <w:szCs w:val="28"/>
          <w:rtl/>
        </w:rPr>
        <w:t xml:space="preserve">הצדדים לא הגיעו להסכמה עונשית. </w:t>
      </w:r>
    </w:p>
    <w:p w14:paraId="077491E6" w14:textId="77777777" w:rsidR="003E4EA1" w:rsidRPr="00B26EA6" w:rsidRDefault="003E4EA1" w:rsidP="003E4EA1">
      <w:pPr>
        <w:spacing w:line="360" w:lineRule="auto"/>
        <w:jc w:val="both"/>
        <w:rPr>
          <w:rFonts w:cs="FrankRuehl"/>
          <w:sz w:val="28"/>
          <w:szCs w:val="28"/>
          <w:rtl/>
        </w:rPr>
      </w:pPr>
      <w:r w:rsidRPr="00B26EA6">
        <w:rPr>
          <w:rFonts w:cs="FrankRuehl" w:hint="cs"/>
          <w:sz w:val="28"/>
          <w:szCs w:val="28"/>
          <w:rtl/>
        </w:rPr>
        <w:t xml:space="preserve">מחד, ב"כ המאשימה ביקשה </w:t>
      </w:r>
      <w:r>
        <w:rPr>
          <w:rFonts w:cs="FrankRuehl" w:hint="cs"/>
          <w:sz w:val="28"/>
          <w:szCs w:val="28"/>
          <w:rtl/>
        </w:rPr>
        <w:t xml:space="preserve">להטיל על הנאשם מאסר ממושך תוך שעמדה על חוסר שיתוף הפעולה של הנאשם למרות ההזדמנויות שניתנו לו וענישה נלווית. </w:t>
      </w:r>
      <w:r w:rsidRPr="00B26EA6">
        <w:rPr>
          <w:rFonts w:cs="FrankRuehl" w:hint="cs"/>
          <w:sz w:val="28"/>
          <w:szCs w:val="28"/>
          <w:rtl/>
        </w:rPr>
        <w:t xml:space="preserve">מאידך, הסניגור </w:t>
      </w:r>
      <w:r>
        <w:rPr>
          <w:rFonts w:cs="FrankRuehl" w:hint="cs"/>
          <w:sz w:val="28"/>
          <w:szCs w:val="28"/>
          <w:rtl/>
        </w:rPr>
        <w:t>הדגיש את קשייו את הנאשם ומאפייניו נוכח קורות חייו, וביקש להתחשב במצבו ולהקל בעונשו. הסניגור הציג מסמכים רפואיים הנוגעים לנסיבותיו הרפואיות של הנאשם, שיש להן קשר ישיר לתאונה הקשה שעבר, ולהשפעתה על המשך חייו.</w:t>
      </w:r>
    </w:p>
    <w:p w14:paraId="1E0DE8F7" w14:textId="77777777" w:rsidR="003E4EA1" w:rsidRPr="00B26EA6" w:rsidRDefault="003E4EA1" w:rsidP="003E4EA1">
      <w:pPr>
        <w:spacing w:line="360" w:lineRule="auto"/>
        <w:jc w:val="both"/>
        <w:rPr>
          <w:rFonts w:cs="FrankRuehl"/>
          <w:b/>
          <w:bCs/>
          <w:sz w:val="28"/>
          <w:szCs w:val="28"/>
          <w:u w:val="single"/>
          <w:rtl/>
        </w:rPr>
      </w:pPr>
    </w:p>
    <w:p w14:paraId="16AF1F5A" w14:textId="77777777" w:rsidR="003E4EA1" w:rsidRPr="00B26EA6" w:rsidRDefault="003E4EA1" w:rsidP="003E4EA1">
      <w:pPr>
        <w:spacing w:line="360" w:lineRule="auto"/>
        <w:jc w:val="both"/>
        <w:rPr>
          <w:rFonts w:cs="FrankRuehl"/>
          <w:b/>
          <w:bCs/>
          <w:sz w:val="28"/>
          <w:szCs w:val="28"/>
          <w:u w:val="single"/>
          <w:rtl/>
        </w:rPr>
      </w:pPr>
      <w:r w:rsidRPr="00B26EA6">
        <w:rPr>
          <w:rFonts w:cs="FrankRuehl" w:hint="cs"/>
          <w:b/>
          <w:bCs/>
          <w:sz w:val="28"/>
          <w:szCs w:val="28"/>
          <w:u w:val="single"/>
          <w:rtl/>
        </w:rPr>
        <w:t xml:space="preserve">קביעת מתחם הענישה </w:t>
      </w:r>
      <w:r w:rsidRPr="00B26EA6">
        <w:rPr>
          <w:rFonts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57528E72" w14:textId="77777777" w:rsidR="003E4EA1" w:rsidRPr="00B26EA6" w:rsidRDefault="003E4EA1" w:rsidP="003E4EA1">
      <w:pPr>
        <w:spacing w:line="360" w:lineRule="auto"/>
        <w:jc w:val="both"/>
        <w:rPr>
          <w:rFonts w:cs="FrankRuehl"/>
          <w:b/>
          <w:bCs/>
          <w:sz w:val="28"/>
          <w:szCs w:val="28"/>
          <w:u w:val="single"/>
          <w:rtl/>
        </w:rPr>
      </w:pPr>
    </w:p>
    <w:p w14:paraId="152F8196" w14:textId="77777777" w:rsidR="003E4EA1" w:rsidRPr="00B26EA6" w:rsidRDefault="003E4EA1" w:rsidP="003E4EA1">
      <w:pPr>
        <w:spacing w:line="360" w:lineRule="auto"/>
        <w:jc w:val="both"/>
        <w:rPr>
          <w:rFonts w:cs="FrankRuehl"/>
          <w:sz w:val="28"/>
          <w:szCs w:val="28"/>
          <w:rtl/>
        </w:rPr>
      </w:pPr>
      <w:r w:rsidRPr="00B26EA6">
        <w:rPr>
          <w:rFonts w:cs="FrankRuehl" w:hint="cs"/>
          <w:b/>
          <w:bCs/>
          <w:sz w:val="28"/>
          <w:szCs w:val="28"/>
          <w:u w:val="single"/>
          <w:rtl/>
        </w:rPr>
        <w:t xml:space="preserve">אשר לערך המוגן </w:t>
      </w:r>
      <w:r w:rsidRPr="00B26EA6">
        <w:rPr>
          <w:rFonts w:cs="FrankRuehl" w:hint="cs"/>
          <w:sz w:val="28"/>
          <w:szCs w:val="28"/>
          <w:rtl/>
        </w:rPr>
        <w:t>–</w:t>
      </w:r>
      <w:r w:rsidRPr="00B26EA6">
        <w:rPr>
          <w:rFonts w:cs="FrankRuehl" w:hint="cs"/>
          <w:b/>
          <w:bCs/>
          <w:sz w:val="28"/>
          <w:szCs w:val="28"/>
          <w:rtl/>
        </w:rPr>
        <w:t xml:space="preserve"> סחר בסמים</w:t>
      </w:r>
      <w:r w:rsidRPr="00B26EA6">
        <w:rPr>
          <w:rFonts w:cs="FrankRuehl" w:hint="cs"/>
          <w:sz w:val="28"/>
          <w:szCs w:val="28"/>
          <w:rtl/>
        </w:rPr>
        <w:t xml:space="preserve"> – ברע"פ </w:t>
      </w:r>
      <w:hyperlink r:id="rId21" w:history="1">
        <w:r w:rsidR="00661DEE" w:rsidRPr="00661DEE">
          <w:rPr>
            <w:rFonts w:cs="FrankRuehl"/>
            <w:color w:val="0000FF"/>
            <w:sz w:val="28"/>
            <w:szCs w:val="28"/>
            <w:u w:val="single"/>
            <w:rtl/>
          </w:rPr>
          <w:t xml:space="preserve">3343/07 </w:t>
        </w:r>
      </w:hyperlink>
      <w:r w:rsidRPr="00B26EA6">
        <w:rPr>
          <w:rFonts w:cs="FrankRuehl" w:hint="cs"/>
          <w:sz w:val="28"/>
          <w:szCs w:val="28"/>
          <w:rtl/>
        </w:rPr>
        <w:t xml:space="preserve"> </w:t>
      </w:r>
      <w:r w:rsidRPr="00B26EA6">
        <w:rPr>
          <w:rFonts w:cs="FrankRuehl" w:hint="cs"/>
          <w:b/>
          <w:bCs/>
          <w:sz w:val="28"/>
          <w:szCs w:val="28"/>
          <w:u w:val="single"/>
          <w:rtl/>
        </w:rPr>
        <w:t>מכאוי</w:t>
      </w:r>
      <w:r w:rsidRPr="00B26EA6">
        <w:rPr>
          <w:rFonts w:cs="FrankRuehl" w:hint="cs"/>
          <w:sz w:val="28"/>
          <w:szCs w:val="28"/>
          <w:rtl/>
        </w:rPr>
        <w:t xml:space="preserve"> נ' </w:t>
      </w:r>
      <w:r w:rsidRPr="00B26EA6">
        <w:rPr>
          <w:rFonts w:cs="FrankRuehl" w:hint="cs"/>
          <w:b/>
          <w:bCs/>
          <w:sz w:val="28"/>
          <w:szCs w:val="28"/>
          <w:u w:val="single"/>
          <w:rtl/>
        </w:rPr>
        <w:t>מ"</w:t>
      </w:r>
      <w:r w:rsidRPr="00B26EA6">
        <w:rPr>
          <w:rFonts w:cs="FrankRuehl" w:hint="cs"/>
          <w:sz w:val="28"/>
          <w:szCs w:val="28"/>
          <w:rtl/>
        </w:rPr>
        <w:t>י (מיום 26.7.2017) נאמר: "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 למשפחותיהם".</w:t>
      </w:r>
    </w:p>
    <w:p w14:paraId="5A8B069F" w14:textId="77777777" w:rsidR="003E4EA1" w:rsidRPr="00B26EA6" w:rsidRDefault="003E4EA1" w:rsidP="003E4EA1">
      <w:pPr>
        <w:spacing w:line="360" w:lineRule="auto"/>
        <w:jc w:val="both"/>
        <w:rPr>
          <w:rFonts w:cs="FrankRuehl"/>
          <w:sz w:val="28"/>
          <w:szCs w:val="28"/>
          <w:rtl/>
        </w:rPr>
      </w:pPr>
    </w:p>
    <w:p w14:paraId="2289E545" w14:textId="77777777" w:rsidR="003E4EA1" w:rsidRPr="00B26EA6" w:rsidRDefault="003E4EA1" w:rsidP="003E4EA1">
      <w:pPr>
        <w:spacing w:line="360" w:lineRule="auto"/>
        <w:jc w:val="both"/>
        <w:rPr>
          <w:rFonts w:cs="FrankRuehl"/>
          <w:sz w:val="28"/>
          <w:szCs w:val="28"/>
        </w:rPr>
      </w:pPr>
      <w:r w:rsidRPr="00B26EA6">
        <w:rPr>
          <w:rFonts w:cs="FrankRuehl" w:hint="cs"/>
          <w:b/>
          <w:bCs/>
          <w:sz w:val="28"/>
          <w:szCs w:val="28"/>
          <w:u w:val="single"/>
          <w:rtl/>
        </w:rPr>
        <w:t xml:space="preserve">נסיבות הקשורות בביצוע העבירה, לפי </w:t>
      </w:r>
      <w:hyperlink r:id="rId22" w:history="1">
        <w:r w:rsidR="004E5AC8" w:rsidRPr="004E5AC8">
          <w:rPr>
            <w:rStyle w:val="Hyperlink"/>
            <w:rFonts w:cs="FrankRuehl" w:hint="eastAsia"/>
            <w:b/>
            <w:bCs/>
            <w:sz w:val="28"/>
            <w:szCs w:val="28"/>
            <w:rtl/>
          </w:rPr>
          <w:t>סעיף</w:t>
        </w:r>
        <w:r w:rsidR="004E5AC8" w:rsidRPr="004E5AC8">
          <w:rPr>
            <w:rStyle w:val="Hyperlink"/>
            <w:rFonts w:cs="FrankRuehl"/>
            <w:b/>
            <w:bCs/>
            <w:sz w:val="28"/>
            <w:szCs w:val="28"/>
            <w:rtl/>
          </w:rPr>
          <w:t xml:space="preserve"> 40ט'</w:t>
        </w:r>
      </w:hyperlink>
      <w:r w:rsidRPr="00B26EA6">
        <w:rPr>
          <w:rFonts w:cs="FrankRuehl" w:hint="cs"/>
          <w:b/>
          <w:bCs/>
          <w:sz w:val="28"/>
          <w:szCs w:val="28"/>
          <w:u w:val="single"/>
          <w:rtl/>
        </w:rPr>
        <w:t xml:space="preserve"> ל</w:t>
      </w:r>
      <w:hyperlink r:id="rId23" w:history="1">
        <w:r w:rsidR="00997287" w:rsidRPr="00997287">
          <w:rPr>
            <w:rFonts w:cs="FrankRuehl"/>
            <w:b/>
            <w:bCs/>
            <w:color w:val="0000FF"/>
            <w:sz w:val="28"/>
            <w:szCs w:val="28"/>
            <w:u w:val="single"/>
            <w:rtl/>
          </w:rPr>
          <w:t>חוק העונשין</w:t>
        </w:r>
      </w:hyperlink>
      <w:r w:rsidRPr="00B26EA6">
        <w:rPr>
          <w:rFonts w:cs="FrankRuehl" w:hint="cs"/>
          <w:b/>
          <w:bCs/>
          <w:sz w:val="28"/>
          <w:szCs w:val="28"/>
          <w:rtl/>
        </w:rPr>
        <w:t xml:space="preserve"> – </w:t>
      </w:r>
      <w:r w:rsidRPr="00B26EA6">
        <w:rPr>
          <w:rFonts w:cs="FrankRuehl" w:hint="cs"/>
          <w:sz w:val="28"/>
          <w:szCs w:val="28"/>
          <w:rtl/>
        </w:rPr>
        <w:t>בין הנסיבות הקשורות בביצוע העבירה יש לשקול את אלה, לעניין קביעת המתחם: מדובר בעבירות מתוכננות, שהצריכו תיאום ואף נסיעה בין עירונית לצורך מימון העסקה; העבירות בוצעו מתוך בצע כסף; מדובר בנאשם בגיר שחזקה שידע את הפסול שבמעשיו</w:t>
      </w:r>
      <w:r>
        <w:rPr>
          <w:rFonts w:cs="FrankRuehl" w:hint="cs"/>
          <w:sz w:val="28"/>
          <w:szCs w:val="28"/>
          <w:rtl/>
        </w:rPr>
        <w:t>. יחד עם זאת, מהמסמכים שהוצגו לי עולה כי הנאשם אכן סובל מלקות שיש לקחת אותה בחשבון ביחס למידת אחריותו בסופו של יום, אם כי יש  לתת לכך משקל מוגבל</w:t>
      </w:r>
      <w:r w:rsidRPr="00B26EA6">
        <w:rPr>
          <w:rFonts w:cs="FrankRuehl" w:hint="cs"/>
          <w:sz w:val="28"/>
          <w:szCs w:val="28"/>
          <w:rtl/>
        </w:rPr>
        <w:t>; הנזק מביצוע עבירות סמים הוא נזק פוטנציאלי חמור, בשל הכנסת משתמשים תמימים למעגל המכורים לסמים. במקרנו מדובר בסוכן, כך שהנזק בפועל היה מצומצם, אם כי החשיבות היא דווקא בנזק הפוטנציאלי, אשר נובע מהישנות העבירות ותכנונן וכן מעצם יכולתו של הנאשם להוות גורם פעיל בהוצאה לפועל של עסקאות סמים. מדובר בכמויות לא קטנות של סם.</w:t>
      </w:r>
      <w:r>
        <w:rPr>
          <w:rFonts w:cs="FrankRuehl" w:hint="cs"/>
          <w:sz w:val="28"/>
          <w:szCs w:val="28"/>
          <w:rtl/>
        </w:rPr>
        <w:t xml:space="preserve"> </w:t>
      </w:r>
    </w:p>
    <w:p w14:paraId="1F2D43F0" w14:textId="77777777" w:rsidR="003E4EA1" w:rsidRPr="00B26EA6" w:rsidRDefault="003E4EA1" w:rsidP="003E4EA1">
      <w:pPr>
        <w:spacing w:line="360" w:lineRule="auto"/>
        <w:jc w:val="both"/>
        <w:rPr>
          <w:rFonts w:cs="FrankRuehl"/>
          <w:b/>
          <w:bCs/>
          <w:sz w:val="28"/>
          <w:szCs w:val="28"/>
          <w:u w:val="single"/>
          <w:rtl/>
        </w:rPr>
      </w:pPr>
    </w:p>
    <w:p w14:paraId="269406AF" w14:textId="77777777" w:rsidR="003E4EA1" w:rsidRPr="00B26EA6" w:rsidRDefault="003E4EA1" w:rsidP="003E4EA1">
      <w:pPr>
        <w:spacing w:line="360" w:lineRule="auto"/>
        <w:jc w:val="both"/>
        <w:rPr>
          <w:rFonts w:cs="FrankRuehl"/>
          <w:sz w:val="28"/>
          <w:szCs w:val="28"/>
          <w:rtl/>
        </w:rPr>
      </w:pPr>
      <w:r w:rsidRPr="00B26EA6">
        <w:rPr>
          <w:rFonts w:cs="FrankRuehl" w:hint="cs"/>
          <w:b/>
          <w:bCs/>
          <w:sz w:val="28"/>
          <w:szCs w:val="28"/>
          <w:u w:val="single"/>
          <w:rtl/>
        </w:rPr>
        <w:t>מדיניות הענישה הנוהגת</w:t>
      </w:r>
      <w:r w:rsidRPr="00B26EA6">
        <w:rPr>
          <w:rFonts w:cs="FrankRuehl" w:hint="cs"/>
          <w:b/>
          <w:bCs/>
          <w:sz w:val="28"/>
          <w:szCs w:val="28"/>
          <w:rtl/>
        </w:rPr>
        <w:t xml:space="preserve"> – </w:t>
      </w:r>
      <w:r w:rsidRPr="00B26EA6">
        <w:rPr>
          <w:rFonts w:cs="FrankRuehl" w:hint="cs"/>
          <w:sz w:val="28"/>
          <w:szCs w:val="28"/>
          <w:rtl/>
        </w:rPr>
        <w:t>הכלל בעבירות של סחר בסמים הוא מאסר בפועל. יחד עם זאת בהתאם לנסיבות המעשה ולנסיבות העושה, תיתכן גם ענישה אחרת. מפנה ל</w:t>
      </w:r>
      <w:hyperlink r:id="rId24" w:history="1">
        <w:r w:rsidR="00997287" w:rsidRPr="00997287">
          <w:rPr>
            <w:rFonts w:cs="FrankRuehl"/>
            <w:color w:val="0000FF"/>
            <w:sz w:val="28"/>
            <w:szCs w:val="28"/>
            <w:u w:val="single"/>
            <w:rtl/>
          </w:rPr>
          <w:t>רע"פ 5494/19</w:t>
        </w:r>
      </w:hyperlink>
      <w:r w:rsidRPr="00B26EA6">
        <w:rPr>
          <w:rFonts w:cs="FrankRuehl" w:hint="cs"/>
          <w:sz w:val="28"/>
          <w:szCs w:val="28"/>
          <w:rtl/>
        </w:rPr>
        <w:t xml:space="preserve"> </w:t>
      </w:r>
      <w:r w:rsidRPr="00B26EA6">
        <w:rPr>
          <w:rFonts w:cs="FrankRuehl" w:hint="cs"/>
          <w:b/>
          <w:bCs/>
          <w:sz w:val="28"/>
          <w:szCs w:val="28"/>
          <w:u w:val="single"/>
          <w:rtl/>
        </w:rPr>
        <w:t>רנד</w:t>
      </w:r>
      <w:r w:rsidRPr="00B26EA6">
        <w:rPr>
          <w:rFonts w:cs="FrankRuehl" w:hint="cs"/>
          <w:sz w:val="28"/>
          <w:szCs w:val="28"/>
          <w:rtl/>
        </w:rPr>
        <w:t xml:space="preserve"> נ' </w:t>
      </w:r>
      <w:r w:rsidRPr="00B26EA6">
        <w:rPr>
          <w:rFonts w:cs="FrankRuehl" w:hint="cs"/>
          <w:b/>
          <w:bCs/>
          <w:sz w:val="28"/>
          <w:szCs w:val="28"/>
          <w:u w:val="single"/>
          <w:rtl/>
        </w:rPr>
        <w:t>מ"י</w:t>
      </w:r>
      <w:r w:rsidRPr="00B26EA6">
        <w:rPr>
          <w:rFonts w:cs="FrankRuehl" w:hint="cs"/>
          <w:sz w:val="28"/>
          <w:szCs w:val="28"/>
          <w:rtl/>
        </w:rPr>
        <w:t xml:space="preserve"> (מיום 22.8.2019), שם דובר בסחר בסם מסוג קריסטל ושימוש בקוקאין, כך שהנסיבות חמורות מענייננו. שם אושר מתחם ענישה שבין 6 ל-18 חודשי מאסר ועונש של 6 חודשי מאסר בעבודות שירות, כשהוער שמדובר בעונש מקל, אך כזה מהתחשב בנסיבותיו של הנאשם; ב</w:t>
      </w:r>
      <w:hyperlink r:id="rId25" w:history="1">
        <w:r w:rsidR="00997287" w:rsidRPr="00997287">
          <w:rPr>
            <w:rFonts w:cs="FrankRuehl"/>
            <w:color w:val="0000FF"/>
            <w:sz w:val="28"/>
            <w:szCs w:val="28"/>
            <w:u w:val="single"/>
            <w:rtl/>
          </w:rPr>
          <w:t>רע"פ 1183/18</w:t>
        </w:r>
      </w:hyperlink>
      <w:r w:rsidRPr="00B26EA6">
        <w:rPr>
          <w:rFonts w:cs="FrankRuehl" w:hint="cs"/>
          <w:sz w:val="28"/>
          <w:szCs w:val="28"/>
          <w:rtl/>
        </w:rPr>
        <w:t xml:space="preserve"> </w:t>
      </w:r>
      <w:r w:rsidRPr="00B26EA6">
        <w:rPr>
          <w:rFonts w:cs="FrankRuehl" w:hint="cs"/>
          <w:b/>
          <w:bCs/>
          <w:sz w:val="28"/>
          <w:szCs w:val="28"/>
          <w:u w:val="single"/>
          <w:rtl/>
        </w:rPr>
        <w:t>ששון</w:t>
      </w:r>
      <w:r w:rsidRPr="00B26EA6">
        <w:rPr>
          <w:rFonts w:cs="FrankRuehl" w:hint="cs"/>
          <w:sz w:val="28"/>
          <w:szCs w:val="28"/>
          <w:rtl/>
        </w:rPr>
        <w:t xml:space="preserve"> נ' </w:t>
      </w:r>
      <w:r w:rsidRPr="00B26EA6">
        <w:rPr>
          <w:rFonts w:cs="FrankRuehl" w:hint="cs"/>
          <w:b/>
          <w:bCs/>
          <w:sz w:val="28"/>
          <w:szCs w:val="28"/>
          <w:u w:val="single"/>
          <w:rtl/>
        </w:rPr>
        <w:t>מ"י</w:t>
      </w:r>
      <w:r w:rsidRPr="00B26EA6">
        <w:rPr>
          <w:rFonts w:cs="FrankRuehl" w:hint="cs"/>
          <w:sz w:val="28"/>
          <w:szCs w:val="28"/>
          <w:rtl/>
        </w:rPr>
        <w:t xml:space="preserve"> (מיום 21.3.2018) אושר מתחם שבין מספר חודש מאסר ועד 12 חודשי מאסר, ועונש של 5 חודשי מאסר לריצוי בעבודות שירות בנסיבות של סחר בסם מסוג </w:t>
      </w:r>
      <w:r w:rsidRPr="00B26EA6">
        <w:rPr>
          <w:rFonts w:cs="FrankRuehl" w:hint="cs"/>
          <w:sz w:val="28"/>
          <w:szCs w:val="28"/>
        </w:rPr>
        <w:t>LSD</w:t>
      </w:r>
      <w:r w:rsidRPr="00B26EA6">
        <w:rPr>
          <w:rFonts w:cs="FrankRuehl" w:hint="cs"/>
          <w:sz w:val="28"/>
          <w:szCs w:val="28"/>
          <w:rtl/>
        </w:rPr>
        <w:t>, שגם הוא, חמור מאשר ענייננו; ב</w:t>
      </w:r>
      <w:hyperlink r:id="rId26" w:history="1">
        <w:r w:rsidR="00997287" w:rsidRPr="00997287">
          <w:rPr>
            <w:rFonts w:cs="FrankRuehl"/>
            <w:color w:val="0000FF"/>
            <w:sz w:val="28"/>
            <w:szCs w:val="28"/>
            <w:u w:val="single"/>
            <w:rtl/>
          </w:rPr>
          <w:t>רע"פ 7996/12</w:t>
        </w:r>
      </w:hyperlink>
      <w:r w:rsidRPr="00B26EA6">
        <w:rPr>
          <w:rFonts w:cs="FrankRuehl" w:hint="cs"/>
          <w:sz w:val="28"/>
          <w:szCs w:val="28"/>
          <w:rtl/>
        </w:rPr>
        <w:t xml:space="preserve"> </w:t>
      </w:r>
      <w:r w:rsidRPr="00B26EA6">
        <w:rPr>
          <w:rFonts w:cs="FrankRuehl" w:hint="cs"/>
          <w:b/>
          <w:bCs/>
          <w:sz w:val="28"/>
          <w:szCs w:val="28"/>
          <w:u w:val="single"/>
          <w:rtl/>
        </w:rPr>
        <w:t>יוסף</w:t>
      </w:r>
      <w:r w:rsidRPr="00B26EA6">
        <w:rPr>
          <w:rFonts w:cs="FrankRuehl" w:hint="cs"/>
          <w:sz w:val="28"/>
          <w:szCs w:val="28"/>
          <w:rtl/>
        </w:rPr>
        <w:t xml:space="preserve"> נ' </w:t>
      </w:r>
      <w:r w:rsidRPr="00B26EA6">
        <w:rPr>
          <w:rFonts w:cs="FrankRuehl" w:hint="cs"/>
          <w:b/>
          <w:bCs/>
          <w:sz w:val="28"/>
          <w:szCs w:val="28"/>
          <w:u w:val="single"/>
          <w:rtl/>
        </w:rPr>
        <w:t>מ"י</w:t>
      </w:r>
      <w:r w:rsidRPr="00B26EA6">
        <w:rPr>
          <w:rFonts w:cs="FrankRuehl" w:hint="cs"/>
          <w:sz w:val="28"/>
          <w:szCs w:val="28"/>
          <w:rtl/>
        </w:rPr>
        <w:t xml:space="preserve"> (מיום 23.1.2013) אושר מתחם ענישה שבין 7 ל-18 חודשי מאסר בגין סחר בחשיש וקקאין, ועונש מאסר של 21 חודשים. </w:t>
      </w:r>
    </w:p>
    <w:p w14:paraId="17D13FC5" w14:textId="77777777" w:rsidR="003E4EA1" w:rsidRPr="00B26EA6" w:rsidRDefault="003E4EA1" w:rsidP="003E4EA1">
      <w:pPr>
        <w:spacing w:line="360" w:lineRule="auto"/>
        <w:jc w:val="both"/>
        <w:rPr>
          <w:rFonts w:cs="FrankRuehl"/>
          <w:b/>
          <w:bCs/>
          <w:sz w:val="28"/>
          <w:szCs w:val="28"/>
          <w:u w:val="single"/>
          <w:rtl/>
        </w:rPr>
      </w:pPr>
    </w:p>
    <w:p w14:paraId="51881406" w14:textId="77777777" w:rsidR="003E4EA1" w:rsidRPr="00B26EA6" w:rsidRDefault="003E4EA1" w:rsidP="003E4EA1">
      <w:pPr>
        <w:spacing w:line="360" w:lineRule="auto"/>
        <w:jc w:val="both"/>
        <w:rPr>
          <w:rFonts w:cs="FrankRuehl"/>
          <w:sz w:val="28"/>
          <w:szCs w:val="28"/>
          <w:rtl/>
        </w:rPr>
      </w:pPr>
      <w:r w:rsidRPr="00B26EA6">
        <w:rPr>
          <w:rFonts w:cs="FrankRuehl" w:hint="cs"/>
          <w:b/>
          <w:bCs/>
          <w:sz w:val="28"/>
          <w:szCs w:val="28"/>
          <w:u w:val="single"/>
          <w:rtl/>
        </w:rPr>
        <w:t>מתחם הענישה</w:t>
      </w:r>
      <w:r w:rsidRPr="00B26EA6">
        <w:rPr>
          <w:rFonts w:cs="FrankRuehl" w:hint="cs"/>
          <w:sz w:val="28"/>
          <w:szCs w:val="28"/>
          <w:rtl/>
        </w:rPr>
        <w:t xml:space="preserve"> – לפיכך, מתחם הענישה צריך לעמוד על בין 3 ל-12 חודשי מאסר לרבות אפשרות של ריצוי המאסר בדרך של עבודות שירות, כאשר מדובר במתחם אחד לשלושת האישום, שכן מדובר באירוע אחד על פי הזהות שבין הצדדים, אופן פעולת הנאשם והסוכן, סוג הסמים וסמיכות הזמנים הרבה </w:t>
      </w:r>
      <w:r w:rsidRPr="00B26EA6">
        <w:rPr>
          <w:rFonts w:cs="FrankRuehl"/>
          <w:sz w:val="28"/>
          <w:szCs w:val="28"/>
          <w:rtl/>
        </w:rPr>
        <w:t>–</w:t>
      </w:r>
      <w:r w:rsidRPr="00B26EA6">
        <w:rPr>
          <w:rFonts w:cs="FrankRuehl" w:hint="cs"/>
          <w:sz w:val="28"/>
          <w:szCs w:val="28"/>
          <w:rtl/>
        </w:rPr>
        <w:t xml:space="preserve"> הקריטריונים הנדרשים לבחינת "קשר הדוק". ר' בהקשר זה: </w:t>
      </w:r>
      <w:hyperlink r:id="rId27" w:history="1">
        <w:r w:rsidR="00997287" w:rsidRPr="00997287">
          <w:rPr>
            <w:rFonts w:cs="FrankRuehl"/>
            <w:color w:val="0000FF"/>
            <w:sz w:val="28"/>
            <w:szCs w:val="28"/>
            <w:u w:val="single"/>
            <w:rtl/>
          </w:rPr>
          <w:t>ע"פ 4910/13</w:t>
        </w:r>
      </w:hyperlink>
      <w:r w:rsidRPr="00B26EA6">
        <w:rPr>
          <w:rFonts w:cs="FrankRuehl" w:hint="cs"/>
          <w:sz w:val="28"/>
          <w:szCs w:val="28"/>
          <w:rtl/>
        </w:rPr>
        <w:t xml:space="preserve"> </w:t>
      </w:r>
      <w:r w:rsidRPr="00B26EA6">
        <w:rPr>
          <w:rFonts w:cs="FrankRuehl" w:hint="cs"/>
          <w:b/>
          <w:bCs/>
          <w:sz w:val="28"/>
          <w:szCs w:val="28"/>
          <w:u w:val="single"/>
          <w:rtl/>
        </w:rPr>
        <w:t xml:space="preserve">בני ג'אבר </w:t>
      </w:r>
      <w:r w:rsidRPr="00B26EA6">
        <w:rPr>
          <w:rFonts w:cs="FrankRuehl" w:hint="cs"/>
          <w:sz w:val="28"/>
          <w:szCs w:val="28"/>
          <w:rtl/>
        </w:rPr>
        <w:t xml:space="preserve"> נ' </w:t>
      </w:r>
      <w:r w:rsidRPr="00B26EA6">
        <w:rPr>
          <w:rFonts w:cs="FrankRuehl" w:hint="cs"/>
          <w:b/>
          <w:bCs/>
          <w:sz w:val="28"/>
          <w:szCs w:val="28"/>
          <w:u w:val="single"/>
          <w:rtl/>
        </w:rPr>
        <w:t>מ"י</w:t>
      </w:r>
      <w:r w:rsidRPr="00B26EA6">
        <w:rPr>
          <w:rFonts w:cs="FrankRuehl" w:hint="cs"/>
          <w:sz w:val="28"/>
          <w:szCs w:val="28"/>
          <w:rtl/>
        </w:rPr>
        <w:t xml:space="preserve"> (מיום 29.10.2014).</w:t>
      </w:r>
    </w:p>
    <w:p w14:paraId="6C751181" w14:textId="77777777" w:rsidR="003E4EA1" w:rsidRPr="00B26EA6" w:rsidRDefault="003E4EA1" w:rsidP="003E4EA1">
      <w:pPr>
        <w:spacing w:line="360" w:lineRule="auto"/>
        <w:jc w:val="both"/>
        <w:rPr>
          <w:rFonts w:cs="FrankRuehl"/>
          <w:b/>
          <w:bCs/>
          <w:sz w:val="28"/>
          <w:szCs w:val="28"/>
          <w:rtl/>
        </w:rPr>
      </w:pPr>
    </w:p>
    <w:p w14:paraId="622D6E35" w14:textId="77777777" w:rsidR="003E4EA1" w:rsidRPr="00B26EA6" w:rsidRDefault="003E4EA1" w:rsidP="003E4EA1">
      <w:pPr>
        <w:spacing w:line="360" w:lineRule="auto"/>
        <w:jc w:val="both"/>
        <w:rPr>
          <w:rFonts w:cs="FrankRuehl"/>
          <w:sz w:val="28"/>
          <w:szCs w:val="28"/>
          <w:rtl/>
        </w:rPr>
      </w:pPr>
      <w:r w:rsidRPr="00B26EA6">
        <w:rPr>
          <w:rFonts w:cs="FrankRuehl" w:hint="cs"/>
          <w:b/>
          <w:bCs/>
          <w:sz w:val="28"/>
          <w:szCs w:val="28"/>
          <w:u w:val="single"/>
          <w:rtl/>
        </w:rPr>
        <w:t xml:space="preserve">נסיבות שאינן קשורות בביצוע העבירה לפי </w:t>
      </w:r>
      <w:hyperlink r:id="rId28" w:history="1">
        <w:r w:rsidR="004E5AC8" w:rsidRPr="004E5AC8">
          <w:rPr>
            <w:rStyle w:val="Hyperlink"/>
            <w:rFonts w:cs="FrankRuehl" w:hint="eastAsia"/>
            <w:b/>
            <w:bCs/>
            <w:sz w:val="28"/>
            <w:szCs w:val="28"/>
            <w:rtl/>
          </w:rPr>
          <w:t>סעיף</w:t>
        </w:r>
        <w:r w:rsidR="004E5AC8" w:rsidRPr="004E5AC8">
          <w:rPr>
            <w:rStyle w:val="Hyperlink"/>
            <w:rFonts w:cs="FrankRuehl"/>
            <w:b/>
            <w:bCs/>
            <w:sz w:val="28"/>
            <w:szCs w:val="28"/>
            <w:rtl/>
          </w:rPr>
          <w:t xml:space="preserve"> 40י"א</w:t>
        </w:r>
      </w:hyperlink>
      <w:r w:rsidRPr="00B26EA6">
        <w:rPr>
          <w:rFonts w:cs="FrankRuehl" w:hint="cs"/>
          <w:b/>
          <w:bCs/>
          <w:sz w:val="28"/>
          <w:szCs w:val="28"/>
          <w:u w:val="single"/>
          <w:rtl/>
        </w:rPr>
        <w:t xml:space="preserve"> ל</w:t>
      </w:r>
      <w:hyperlink r:id="rId29" w:history="1">
        <w:r w:rsidR="00997287" w:rsidRPr="00997287">
          <w:rPr>
            <w:rFonts w:cs="FrankRuehl"/>
            <w:b/>
            <w:bCs/>
            <w:color w:val="0000FF"/>
            <w:sz w:val="28"/>
            <w:szCs w:val="28"/>
            <w:u w:val="single"/>
            <w:rtl/>
          </w:rPr>
          <w:t>חוק העונשין</w:t>
        </w:r>
      </w:hyperlink>
      <w:r w:rsidRPr="00B26EA6">
        <w:rPr>
          <w:rFonts w:cs="FrankRuehl" w:hint="cs"/>
          <w:b/>
          <w:bCs/>
          <w:sz w:val="28"/>
          <w:szCs w:val="28"/>
          <w:rtl/>
        </w:rPr>
        <w:t xml:space="preserve"> – </w:t>
      </w:r>
      <w:r w:rsidRPr="00B26EA6">
        <w:rPr>
          <w:rFonts w:cs="FrankRuehl" w:hint="cs"/>
          <w:sz w:val="28"/>
          <w:szCs w:val="28"/>
          <w:rtl/>
        </w:rPr>
        <w:t xml:space="preserve">ניתן  לתת משקל לנסיבות הבאות שאינן קשורות בביצוע העבירה, במסגרת גזירת העונש בתוך המתחם: מדובר בנאשם כבן </w:t>
      </w:r>
      <w:r>
        <w:rPr>
          <w:rFonts w:cs="FrankRuehl" w:hint="cs"/>
          <w:sz w:val="28"/>
          <w:szCs w:val="28"/>
          <w:rtl/>
        </w:rPr>
        <w:t>34</w:t>
      </w:r>
      <w:r w:rsidRPr="00B26EA6">
        <w:rPr>
          <w:rFonts w:cs="FrankRuehl" w:hint="cs"/>
          <w:sz w:val="28"/>
          <w:szCs w:val="28"/>
          <w:rtl/>
        </w:rPr>
        <w:t>, רווק, שאין משפחה הנסמכת עליו לצרכי פרנסתה וכלכלתה; נסיבותיו האישיות של הנאשם אינן פשוטות, ולחלקן התייחס שירות המבחן בתסקיר</w:t>
      </w:r>
      <w:r>
        <w:rPr>
          <w:rFonts w:cs="FrankRuehl" w:hint="cs"/>
          <w:sz w:val="28"/>
          <w:szCs w:val="28"/>
          <w:rtl/>
        </w:rPr>
        <w:t>י</w:t>
      </w:r>
      <w:r w:rsidRPr="00B26EA6">
        <w:rPr>
          <w:rFonts w:cs="FrankRuehl" w:hint="cs"/>
          <w:sz w:val="28"/>
          <w:szCs w:val="28"/>
          <w:rtl/>
        </w:rPr>
        <w:t>ו, ולא אביאן כאן מחמת צנעת הפרט; נדמה כי תחושת התלישות של הנאשם לאורך השנים שבאה לידי ביטוי בקשר הלא יציב עם משפחתו, נדודיו וחוסר יכולתו למצוא מנוח לכף רגלו, היו ברקע המעשים; לנאשם רישום פלילי בעבירה לא רלבנטית, שהסתיים בשל מצבו הנפשי, ואף זהו שיקול לקולא; הנאשם מעולם לא ריצה עונש מאסר וידועה ההשפעה הרעה של מאסר ראשון על אדם; קיים רכיב של חלוף זמן מאז ביצוע העבירות, כאשר היה פער זמנים בין ביצוע העבירות במרץ 2016 ועד מעצרו של הנאשם ביולי-אוגוסט 2018. לצד כל אלה, כל ניסיונותיו של בית המשפט להושיט יד לנאשם לצורך מיצוי תהליך טיפולי, וזאת תוך התחשבות בנסיבות חייו, עלו בתוהו, בשל התנהלות הנאשם עצמו, שהחמיץ הזדמנות אחר הזדמנות לעלות על מסלול שיקום. ברור לבית המשפט, כי גמילה ושיקום מהתמכרות אינם בגדר מילה בלבד, וכי יש קושי רב ללכת בדרך זאת, ונדרשים לכך כוחות משמעותיים. ואולם, יש גבול לכברת הדרך שבית המשפט יכול ללכת לטובת נאשם, שבסופו של יום, לא מוצא את הכוחות להתמודד עם מצבו למרבה הצער. הדברים נאמרים, שעה שההליך נמשך זמן רב, והדחיות כולן, נבעו מהרצון למצות את התהליך הטיפולי, שנכשל.</w:t>
      </w:r>
    </w:p>
    <w:p w14:paraId="03E9DA46" w14:textId="77777777" w:rsidR="003E4EA1" w:rsidRPr="00B26EA6" w:rsidRDefault="003E4EA1" w:rsidP="003E4EA1">
      <w:pPr>
        <w:rPr>
          <w:rFonts w:cs="FrankRuehl"/>
          <w:sz w:val="28"/>
          <w:szCs w:val="28"/>
          <w:rtl/>
        </w:rPr>
      </w:pPr>
    </w:p>
    <w:p w14:paraId="3D675BF0" w14:textId="77777777" w:rsidR="003E4EA1" w:rsidRPr="00B26EA6" w:rsidRDefault="003E4EA1" w:rsidP="003E4EA1">
      <w:pPr>
        <w:spacing w:line="360" w:lineRule="auto"/>
        <w:jc w:val="both"/>
        <w:rPr>
          <w:rFonts w:cs="FrankRuehl"/>
          <w:sz w:val="28"/>
          <w:szCs w:val="28"/>
          <w:rtl/>
        </w:rPr>
      </w:pPr>
      <w:r w:rsidRPr="00B26EA6">
        <w:rPr>
          <w:rFonts w:cs="FrankRuehl" w:hint="cs"/>
          <w:b/>
          <w:bCs/>
          <w:sz w:val="28"/>
          <w:szCs w:val="28"/>
          <w:u w:val="single"/>
          <w:rtl/>
        </w:rPr>
        <w:t>המיקום במתחם</w:t>
      </w:r>
      <w:r w:rsidRPr="00B26EA6">
        <w:rPr>
          <w:rFonts w:cs="FrankRuehl" w:hint="cs"/>
          <w:sz w:val="28"/>
          <w:szCs w:val="28"/>
          <w:rtl/>
        </w:rPr>
        <w:t xml:space="preserve"> </w:t>
      </w:r>
      <w:r w:rsidRPr="00B26EA6">
        <w:rPr>
          <w:rFonts w:cs="FrankRuehl"/>
          <w:sz w:val="28"/>
          <w:szCs w:val="28"/>
          <w:rtl/>
        </w:rPr>
        <w:t>–</w:t>
      </w:r>
      <w:r w:rsidRPr="00B26EA6">
        <w:rPr>
          <w:rFonts w:cs="FrankRuehl" w:hint="cs"/>
          <w:sz w:val="28"/>
          <w:szCs w:val="28"/>
          <w:rtl/>
        </w:rPr>
        <w:t xml:space="preserve"> יש להעמיד את הנאשם באמצע מתחם הענישה שקבעתי ויש להטיל עליו מאסר בפועל מאחורי סורג ובריח. </w:t>
      </w:r>
    </w:p>
    <w:p w14:paraId="413EDBFB" w14:textId="77777777" w:rsidR="003E4EA1" w:rsidRPr="00B26EA6" w:rsidRDefault="003E4EA1" w:rsidP="003E4EA1">
      <w:pPr>
        <w:spacing w:line="360" w:lineRule="auto"/>
        <w:jc w:val="both"/>
        <w:rPr>
          <w:rFonts w:cs="FrankRuehl"/>
          <w:b/>
          <w:bCs/>
          <w:sz w:val="28"/>
          <w:szCs w:val="28"/>
          <w:u w:val="single"/>
          <w:rtl/>
        </w:rPr>
      </w:pPr>
    </w:p>
    <w:p w14:paraId="238A0533" w14:textId="77777777" w:rsidR="003E4EA1" w:rsidRPr="00B26EA6" w:rsidRDefault="003E4EA1" w:rsidP="003E4EA1">
      <w:pPr>
        <w:spacing w:line="360" w:lineRule="auto"/>
        <w:jc w:val="both"/>
        <w:rPr>
          <w:rFonts w:cs="FrankRuehl"/>
          <w:b/>
          <w:bCs/>
          <w:sz w:val="28"/>
          <w:szCs w:val="28"/>
          <w:u w:val="single"/>
          <w:rtl/>
        </w:rPr>
      </w:pPr>
      <w:r w:rsidRPr="00B26EA6">
        <w:rPr>
          <w:rFonts w:cs="FrankRuehl" w:hint="cs"/>
          <w:b/>
          <w:bCs/>
          <w:sz w:val="28"/>
          <w:szCs w:val="28"/>
          <w:u w:val="single"/>
          <w:rtl/>
        </w:rPr>
        <w:t>גזירת הדין</w:t>
      </w:r>
    </w:p>
    <w:p w14:paraId="00F64747" w14:textId="77777777" w:rsidR="003E4EA1" w:rsidRPr="00B26EA6" w:rsidRDefault="003E4EA1" w:rsidP="003E4EA1">
      <w:pPr>
        <w:spacing w:line="360" w:lineRule="auto"/>
        <w:jc w:val="both"/>
        <w:rPr>
          <w:rFonts w:cs="FrankRuehl"/>
          <w:sz w:val="28"/>
          <w:szCs w:val="28"/>
          <w:rtl/>
        </w:rPr>
      </w:pPr>
      <w:r w:rsidRPr="00B26EA6">
        <w:rPr>
          <w:rFonts w:cs="FrankRuehl" w:hint="cs"/>
          <w:sz w:val="28"/>
          <w:szCs w:val="28"/>
          <w:rtl/>
        </w:rPr>
        <w:t>לפיכך, אני מחליט לגזור על הנאשם את העונשים הבאים:</w:t>
      </w:r>
    </w:p>
    <w:p w14:paraId="031928CB" w14:textId="77777777" w:rsidR="003E4EA1" w:rsidRPr="00B26EA6" w:rsidRDefault="003E4EA1" w:rsidP="003E4EA1">
      <w:pPr>
        <w:numPr>
          <w:ilvl w:val="0"/>
          <w:numId w:val="1"/>
        </w:numPr>
        <w:spacing w:after="160" w:line="360" w:lineRule="auto"/>
        <w:contextualSpacing/>
        <w:jc w:val="both"/>
        <w:rPr>
          <w:rFonts w:cs="FrankRuehl"/>
          <w:sz w:val="28"/>
          <w:szCs w:val="28"/>
          <w:rtl/>
        </w:rPr>
      </w:pPr>
      <w:r>
        <w:rPr>
          <w:rFonts w:cs="FrankRuehl" w:hint="cs"/>
          <w:sz w:val="28"/>
          <w:szCs w:val="28"/>
          <w:rtl/>
        </w:rPr>
        <w:t xml:space="preserve">6 </w:t>
      </w:r>
      <w:r w:rsidRPr="00B26EA6">
        <w:rPr>
          <w:rFonts w:cs="FrankRuehl" w:hint="cs"/>
          <w:sz w:val="28"/>
          <w:szCs w:val="28"/>
          <w:rtl/>
        </w:rPr>
        <w:t xml:space="preserve">חודשי מאסר בפועל </w:t>
      </w:r>
      <w:r>
        <w:rPr>
          <w:rFonts w:cs="FrankRuehl" w:hint="cs"/>
          <w:sz w:val="28"/>
          <w:szCs w:val="28"/>
          <w:rtl/>
        </w:rPr>
        <w:t xml:space="preserve">ויום אחד </w:t>
      </w:r>
      <w:r w:rsidRPr="00B26EA6">
        <w:rPr>
          <w:rFonts w:cs="FrankRuehl" w:hint="cs"/>
          <w:sz w:val="28"/>
          <w:szCs w:val="28"/>
          <w:rtl/>
        </w:rPr>
        <w:t xml:space="preserve">לריצוי </w:t>
      </w:r>
      <w:r>
        <w:rPr>
          <w:rFonts w:cs="FrankRuehl" w:hint="cs"/>
          <w:sz w:val="28"/>
          <w:szCs w:val="28"/>
          <w:rtl/>
        </w:rPr>
        <w:t>בניכוי מלא של ימי מעצרו בתיק זה ובתיק מעצר הקשור</w:t>
      </w:r>
      <w:r w:rsidRPr="00B26EA6">
        <w:rPr>
          <w:rFonts w:cs="FrankRuehl" w:hint="cs"/>
          <w:sz w:val="28"/>
          <w:szCs w:val="28"/>
          <w:rtl/>
        </w:rPr>
        <w:t>;</w:t>
      </w:r>
    </w:p>
    <w:p w14:paraId="773E977C" w14:textId="77777777" w:rsidR="003E4EA1" w:rsidRPr="00B26EA6" w:rsidRDefault="003E4EA1" w:rsidP="003E4EA1">
      <w:pPr>
        <w:numPr>
          <w:ilvl w:val="0"/>
          <w:numId w:val="1"/>
        </w:numPr>
        <w:spacing w:after="160" w:line="360" w:lineRule="auto"/>
        <w:contextualSpacing/>
        <w:jc w:val="both"/>
        <w:rPr>
          <w:rFonts w:cs="FrankRuehl"/>
          <w:sz w:val="28"/>
          <w:szCs w:val="28"/>
        </w:rPr>
      </w:pPr>
      <w:r w:rsidRPr="00B26EA6">
        <w:rPr>
          <w:rFonts w:cs="FrankRuehl" w:hint="cs"/>
          <w:sz w:val="28"/>
          <w:szCs w:val="28"/>
          <w:rtl/>
        </w:rPr>
        <w:t xml:space="preserve">8 חודשי מאסר, שלא ירוצו אלא אם יעבור הנאשם כל עבירת פשע לפי </w:t>
      </w:r>
      <w:hyperlink r:id="rId30" w:history="1">
        <w:r w:rsidR="00997287" w:rsidRPr="00997287">
          <w:rPr>
            <w:rFonts w:cs="FrankRuehl"/>
            <w:color w:val="0000FF"/>
            <w:sz w:val="28"/>
            <w:szCs w:val="28"/>
            <w:u w:val="single"/>
            <w:rtl/>
          </w:rPr>
          <w:t>פקודת הסמים המסוכנים</w:t>
        </w:r>
      </w:hyperlink>
      <w:r w:rsidRPr="00B26EA6">
        <w:rPr>
          <w:rFonts w:cs="FrankRuehl" w:hint="cs"/>
          <w:sz w:val="28"/>
          <w:szCs w:val="28"/>
          <w:rtl/>
        </w:rPr>
        <w:t>, בתוך 3 שנים מיום שחרורו;</w:t>
      </w:r>
    </w:p>
    <w:p w14:paraId="37466E0A" w14:textId="77777777" w:rsidR="003E4EA1" w:rsidRPr="00B26EA6" w:rsidRDefault="003E4EA1" w:rsidP="003E4EA1">
      <w:pPr>
        <w:numPr>
          <w:ilvl w:val="0"/>
          <w:numId w:val="1"/>
        </w:numPr>
        <w:spacing w:after="160" w:line="360" w:lineRule="auto"/>
        <w:contextualSpacing/>
        <w:jc w:val="both"/>
        <w:rPr>
          <w:rFonts w:cs="FrankRuehl"/>
          <w:sz w:val="28"/>
          <w:szCs w:val="28"/>
          <w:rtl/>
        </w:rPr>
      </w:pPr>
      <w:r w:rsidRPr="00B26EA6">
        <w:rPr>
          <w:rFonts w:cs="FrankRuehl" w:hint="cs"/>
          <w:sz w:val="28"/>
          <w:szCs w:val="28"/>
          <w:rtl/>
        </w:rPr>
        <w:t xml:space="preserve">חודש מאסר שלא ירוצה, אלא אם יעבור הנאשם על עבירת עוון לפי </w:t>
      </w:r>
      <w:hyperlink r:id="rId31" w:history="1">
        <w:r w:rsidR="00997287" w:rsidRPr="00997287">
          <w:rPr>
            <w:rFonts w:cs="FrankRuehl"/>
            <w:color w:val="0000FF"/>
            <w:sz w:val="28"/>
            <w:szCs w:val="28"/>
            <w:u w:val="single"/>
            <w:rtl/>
          </w:rPr>
          <w:t>פקודת הסמים המסוכנים</w:t>
        </w:r>
      </w:hyperlink>
      <w:r w:rsidRPr="00B26EA6">
        <w:rPr>
          <w:rFonts w:cs="FrankRuehl" w:hint="cs"/>
          <w:sz w:val="28"/>
          <w:szCs w:val="28"/>
          <w:rtl/>
        </w:rPr>
        <w:t xml:space="preserve"> וכן עבירה של קשירת קשר לפשע או לעוון, בתוך 3 שנים מיום שחרורו;</w:t>
      </w:r>
    </w:p>
    <w:p w14:paraId="23F835D9" w14:textId="77777777" w:rsidR="003E4EA1" w:rsidRPr="00B26EA6" w:rsidRDefault="003E4EA1" w:rsidP="003E4EA1">
      <w:pPr>
        <w:numPr>
          <w:ilvl w:val="0"/>
          <w:numId w:val="1"/>
        </w:numPr>
        <w:spacing w:after="160" w:line="360" w:lineRule="auto"/>
        <w:contextualSpacing/>
        <w:jc w:val="both"/>
        <w:rPr>
          <w:rFonts w:cs="FrankRuehl"/>
          <w:sz w:val="28"/>
          <w:szCs w:val="28"/>
        </w:rPr>
      </w:pPr>
      <w:r>
        <w:rPr>
          <w:rFonts w:cs="FrankRuehl" w:hint="cs"/>
          <w:sz w:val="28"/>
          <w:szCs w:val="28"/>
          <w:rtl/>
        </w:rPr>
        <w:t xml:space="preserve">בנסיבות חייו של הנאשם, מצאתי להימנע מהטלת רכיב כספי. </w:t>
      </w:r>
    </w:p>
    <w:p w14:paraId="043692DD" w14:textId="77777777" w:rsidR="003E4EA1" w:rsidRDefault="003E4EA1" w:rsidP="003E4EA1">
      <w:pPr>
        <w:spacing w:line="360" w:lineRule="auto"/>
        <w:rPr>
          <w:rFonts w:ascii="FrankRuehl" w:hAnsi="FrankRuehl" w:cs="FrankRuehl"/>
          <w:sz w:val="28"/>
          <w:szCs w:val="28"/>
          <w:rtl/>
        </w:rPr>
      </w:pPr>
    </w:p>
    <w:p w14:paraId="3CACD145" w14:textId="77777777" w:rsidR="003E4EA1" w:rsidRDefault="003E4EA1" w:rsidP="003E4EA1">
      <w:pPr>
        <w:spacing w:line="360" w:lineRule="auto"/>
        <w:rPr>
          <w:rFonts w:ascii="FrankRuehl" w:hAnsi="FrankRuehl" w:cs="FrankRuehl"/>
          <w:sz w:val="28"/>
          <w:szCs w:val="28"/>
          <w:rtl/>
        </w:rPr>
      </w:pPr>
      <w:r>
        <w:rPr>
          <w:rFonts w:ascii="FrankRuehl" w:hAnsi="FrankRuehl" w:cs="FrankRuehl" w:hint="cs"/>
          <w:sz w:val="28"/>
          <w:szCs w:val="28"/>
          <w:rtl/>
        </w:rPr>
        <w:t>נוכח מצבו התלוש של הנאשם, שב"ס מתבקשת להתייחס אליו כאל אסיר נזקק ומתבקש לנפק לו את כל הדרוש ע"פ נהלי שב"ס.</w:t>
      </w:r>
    </w:p>
    <w:p w14:paraId="4CE52B9E" w14:textId="77777777" w:rsidR="003E4EA1" w:rsidRDefault="003E4EA1" w:rsidP="003E4EA1">
      <w:pPr>
        <w:spacing w:line="360" w:lineRule="auto"/>
        <w:rPr>
          <w:rFonts w:ascii="FrankRuehl" w:hAnsi="FrankRuehl" w:cs="FrankRuehl"/>
          <w:sz w:val="28"/>
          <w:szCs w:val="28"/>
          <w:rtl/>
        </w:rPr>
      </w:pPr>
    </w:p>
    <w:p w14:paraId="0EC7274A" w14:textId="77777777" w:rsidR="003E4EA1" w:rsidRPr="00B26EA6" w:rsidRDefault="003E4EA1" w:rsidP="003E4EA1">
      <w:pPr>
        <w:spacing w:line="360" w:lineRule="auto"/>
        <w:rPr>
          <w:rFonts w:ascii="FrankRuehl" w:hAnsi="FrankRuehl" w:cs="FrankRuehl"/>
          <w:sz w:val="28"/>
          <w:szCs w:val="28"/>
          <w:rtl/>
        </w:rPr>
      </w:pPr>
      <w:r w:rsidRPr="00B26EA6">
        <w:rPr>
          <w:rFonts w:ascii="FrankRuehl" w:hAnsi="FrankRuehl" w:cs="FrankRuehl" w:hint="cs"/>
          <w:sz w:val="28"/>
          <w:szCs w:val="28"/>
          <w:rtl/>
        </w:rPr>
        <w:t>יש לשלוח לשירות המבחן ולממונה על עבודות שירות.</w:t>
      </w:r>
    </w:p>
    <w:p w14:paraId="093B0206" w14:textId="77777777" w:rsidR="003E4EA1" w:rsidRPr="00B26EA6" w:rsidRDefault="003E4EA1" w:rsidP="003E4EA1">
      <w:pPr>
        <w:rPr>
          <w:rFonts w:ascii="FrankRuehl" w:hAnsi="FrankRuehl" w:cs="FrankRuehl"/>
          <w:sz w:val="28"/>
          <w:szCs w:val="28"/>
          <w:rtl/>
        </w:rPr>
      </w:pPr>
    </w:p>
    <w:p w14:paraId="37C9663D" w14:textId="77777777" w:rsidR="003E4EA1" w:rsidRPr="00B26EA6" w:rsidRDefault="003E4EA1" w:rsidP="003E4EA1">
      <w:pPr>
        <w:rPr>
          <w:rFonts w:ascii="FrankRuehl" w:hAnsi="FrankRuehl" w:cs="FrankRuehl"/>
          <w:sz w:val="28"/>
          <w:szCs w:val="28"/>
        </w:rPr>
      </w:pPr>
      <w:r w:rsidRPr="00B26EA6">
        <w:rPr>
          <w:rFonts w:ascii="FrankRuehl" w:hAnsi="FrankRuehl" w:cs="FrankRuehl" w:hint="cs"/>
          <w:sz w:val="28"/>
          <w:szCs w:val="28"/>
          <w:rtl/>
        </w:rPr>
        <w:t>זכות ערעור כחוק לבית המשפט המחוזי בירושלים בתוך 45 יום מהיום.</w:t>
      </w:r>
    </w:p>
    <w:p w14:paraId="446405A1" w14:textId="77777777" w:rsidR="003E4EA1" w:rsidRPr="00997287" w:rsidRDefault="00997287" w:rsidP="003E4EA1">
      <w:pPr>
        <w:rPr>
          <w:color w:val="FFFFFF"/>
          <w:sz w:val="2"/>
          <w:szCs w:val="2"/>
        </w:rPr>
      </w:pPr>
      <w:r w:rsidRPr="00997287">
        <w:rPr>
          <w:color w:val="FFFFFF"/>
          <w:sz w:val="2"/>
          <w:szCs w:val="2"/>
          <w:rtl/>
        </w:rPr>
        <w:t>5129371</w:t>
      </w:r>
    </w:p>
    <w:p w14:paraId="4C38D8AA" w14:textId="77777777" w:rsidR="003E4EA1" w:rsidRDefault="00997287" w:rsidP="003E4EA1">
      <w:pPr>
        <w:rPr>
          <w:rFonts w:cs="FrankRuehl"/>
          <w:sz w:val="28"/>
          <w:szCs w:val="28"/>
          <w:rtl/>
        </w:rPr>
      </w:pPr>
      <w:bookmarkStart w:id="8" w:name="Nitan"/>
      <w:r w:rsidRPr="00997287">
        <w:rPr>
          <w:rFonts w:ascii="Arial" w:hAnsi="Arial"/>
          <w:color w:val="FFFFFF"/>
          <w:sz w:val="2"/>
          <w:szCs w:val="2"/>
          <w:rtl/>
        </w:rPr>
        <w:t>54678313</w:t>
      </w:r>
      <w:r>
        <w:rPr>
          <w:rFonts w:ascii="Arial" w:hAnsi="Arial"/>
          <w:rtl/>
        </w:rPr>
        <w:t xml:space="preserve">ניתן היום,  ג' ניסן תשפ"ב, 04 אפריל 2022, במעמד הצדדים. </w:t>
      </w:r>
      <w:bookmarkEnd w:id="8"/>
    </w:p>
    <w:p w14:paraId="3BDCD02B" w14:textId="77777777" w:rsidR="003E4EA1" w:rsidRDefault="003E4EA1" w:rsidP="0099728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12AD65E" w14:textId="77777777" w:rsidR="003E4EA1" w:rsidRDefault="003E4EA1" w:rsidP="003E4EA1">
      <w:pPr>
        <w:jc w:val="center"/>
        <w:rPr>
          <w:rFonts w:ascii="Arial" w:hAnsi="Arial" w:cs="FrankRuehl"/>
          <w:sz w:val="28"/>
          <w:szCs w:val="28"/>
          <w:rtl/>
        </w:rPr>
      </w:pPr>
    </w:p>
    <w:p w14:paraId="036E9856" w14:textId="77777777" w:rsidR="003E4EA1" w:rsidRDefault="003E4EA1" w:rsidP="003E4EA1">
      <w:pPr>
        <w:rPr>
          <w:rFonts w:cs="FrankRuehl"/>
          <w:sz w:val="28"/>
          <w:szCs w:val="28"/>
          <w:rtl/>
        </w:rPr>
      </w:pPr>
    </w:p>
    <w:p w14:paraId="44D6D9F5" w14:textId="77777777" w:rsidR="003E4EA1" w:rsidRPr="004E5AC8" w:rsidRDefault="004E5AC8" w:rsidP="003E4EA1">
      <w:pPr>
        <w:pStyle w:val="a3"/>
        <w:jc w:val="center"/>
        <w:rPr>
          <w:color w:val="FFFFFF"/>
          <w:sz w:val="2"/>
          <w:szCs w:val="2"/>
          <w:rtl/>
        </w:rPr>
      </w:pPr>
      <w:r w:rsidRPr="004E5AC8">
        <w:rPr>
          <w:color w:val="FFFFFF"/>
          <w:sz w:val="2"/>
          <w:szCs w:val="2"/>
          <w:rtl/>
        </w:rPr>
        <w:t>5129371</w:t>
      </w:r>
    </w:p>
    <w:p w14:paraId="0174671F" w14:textId="77777777" w:rsidR="007964EC" w:rsidRPr="004E5AC8" w:rsidRDefault="004E5AC8" w:rsidP="00997287">
      <w:pPr>
        <w:keepNext/>
        <w:rPr>
          <w:rFonts w:ascii="David" w:hAnsi="David"/>
          <w:color w:val="FFFFFF"/>
          <w:sz w:val="2"/>
          <w:szCs w:val="2"/>
          <w:rtl/>
        </w:rPr>
      </w:pPr>
      <w:r w:rsidRPr="004E5AC8">
        <w:rPr>
          <w:rFonts w:ascii="David" w:hAnsi="David"/>
          <w:color w:val="FFFFFF"/>
          <w:sz w:val="2"/>
          <w:szCs w:val="2"/>
          <w:rtl/>
        </w:rPr>
        <w:t>54678313</w:t>
      </w:r>
    </w:p>
    <w:p w14:paraId="69A4BEF1" w14:textId="77777777" w:rsidR="00997287" w:rsidRDefault="00997287" w:rsidP="00997287">
      <w:pPr>
        <w:rPr>
          <w:rtl/>
        </w:rPr>
      </w:pPr>
    </w:p>
    <w:p w14:paraId="703E039B" w14:textId="77777777" w:rsidR="00997287" w:rsidRDefault="00997287" w:rsidP="00997287">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161D57BC" w14:textId="77777777" w:rsidR="004E5AC8" w:rsidRPr="004E5AC8" w:rsidRDefault="004E5AC8" w:rsidP="004E5AC8">
      <w:pPr>
        <w:keepNext/>
        <w:rPr>
          <w:rFonts w:ascii="David" w:hAnsi="David"/>
          <w:color w:val="000000"/>
          <w:sz w:val="22"/>
          <w:szCs w:val="22"/>
          <w:rtl/>
        </w:rPr>
      </w:pPr>
    </w:p>
    <w:p w14:paraId="7EBB75AD" w14:textId="77777777" w:rsidR="004E5AC8" w:rsidRPr="004E5AC8" w:rsidRDefault="004E5AC8" w:rsidP="004E5AC8">
      <w:pPr>
        <w:keepNext/>
        <w:rPr>
          <w:rFonts w:ascii="David" w:hAnsi="David"/>
          <w:color w:val="000000"/>
          <w:sz w:val="22"/>
          <w:szCs w:val="22"/>
          <w:rtl/>
        </w:rPr>
      </w:pPr>
      <w:r w:rsidRPr="004E5AC8">
        <w:rPr>
          <w:rFonts w:ascii="David" w:hAnsi="David"/>
          <w:color w:val="000000"/>
          <w:sz w:val="22"/>
          <w:szCs w:val="22"/>
          <w:rtl/>
        </w:rPr>
        <w:t>דוד שאול גבאי ריכטר 54678313-/</w:t>
      </w:r>
    </w:p>
    <w:p w14:paraId="789E5864" w14:textId="77777777" w:rsidR="00997287" w:rsidRPr="00997287" w:rsidRDefault="004E5AC8" w:rsidP="004E5AC8">
      <w:pPr>
        <w:rPr>
          <w:color w:val="0000FF"/>
          <w:u w:val="single"/>
        </w:rPr>
      </w:pPr>
      <w:r w:rsidRPr="004E5AC8">
        <w:rPr>
          <w:color w:val="000000"/>
          <w:u w:val="single"/>
          <w:rtl/>
        </w:rPr>
        <w:t>נוסח מסמך זה כפוף לשינויי ניסוח ועריכה</w:t>
      </w:r>
    </w:p>
    <w:sectPr w:rsidR="00997287" w:rsidRPr="00997287" w:rsidSect="004E5AC8">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9D800" w14:textId="77777777" w:rsidR="00D35BE2" w:rsidRDefault="00D35BE2" w:rsidP="00BB1E8E">
      <w:r>
        <w:separator/>
      </w:r>
    </w:p>
  </w:endnote>
  <w:endnote w:type="continuationSeparator" w:id="0">
    <w:p w14:paraId="2B618458" w14:textId="77777777" w:rsidR="00D35BE2" w:rsidRDefault="00D35BE2" w:rsidP="00BB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9AD0E" w14:textId="77777777" w:rsidR="004E5AC8" w:rsidRDefault="004E5AC8" w:rsidP="004E5A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00B9CC" w14:textId="77777777" w:rsidR="004E6966" w:rsidRPr="004E5AC8" w:rsidRDefault="004E5AC8" w:rsidP="004E5AC8">
    <w:pPr>
      <w:pStyle w:val="a5"/>
      <w:pBdr>
        <w:top w:val="single" w:sz="4" w:space="1" w:color="auto"/>
        <w:between w:val="single" w:sz="4" w:space="0" w:color="auto"/>
      </w:pBdr>
      <w:spacing w:after="60"/>
      <w:jc w:val="center"/>
      <w:rPr>
        <w:rFonts w:ascii="FrankRuehl" w:hAnsi="FrankRuehl" w:cs="FrankRuehl"/>
        <w:color w:val="000000"/>
      </w:rPr>
    </w:pPr>
    <w:r w:rsidRPr="004E5A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5896B" w14:textId="77777777" w:rsidR="004E5AC8" w:rsidRDefault="004E5AC8" w:rsidP="004E5A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41A95">
      <w:rPr>
        <w:rFonts w:ascii="FrankRuehl" w:hAnsi="FrankRuehl" w:cs="FrankRuehl"/>
        <w:noProof/>
        <w:rtl/>
      </w:rPr>
      <w:t>1</w:t>
    </w:r>
    <w:r>
      <w:rPr>
        <w:rFonts w:ascii="FrankRuehl" w:hAnsi="FrankRuehl" w:cs="FrankRuehl"/>
        <w:rtl/>
      </w:rPr>
      <w:fldChar w:fldCharType="end"/>
    </w:r>
  </w:p>
  <w:p w14:paraId="7AB58E28" w14:textId="77777777" w:rsidR="004E6966" w:rsidRPr="004E5AC8" w:rsidRDefault="004E5AC8" w:rsidP="004E5AC8">
    <w:pPr>
      <w:pStyle w:val="a5"/>
      <w:pBdr>
        <w:top w:val="single" w:sz="4" w:space="1" w:color="auto"/>
        <w:between w:val="single" w:sz="4" w:space="0" w:color="auto"/>
      </w:pBdr>
      <w:spacing w:after="60"/>
      <w:jc w:val="center"/>
      <w:rPr>
        <w:rFonts w:ascii="FrankRuehl" w:hAnsi="FrankRuehl" w:cs="FrankRuehl"/>
        <w:color w:val="000000"/>
      </w:rPr>
    </w:pPr>
    <w:r w:rsidRPr="004E5AC8">
      <w:rPr>
        <w:rFonts w:ascii="FrankRuehl" w:hAnsi="FrankRuehl" w:cs="FrankRuehl"/>
        <w:color w:val="000000"/>
      </w:rPr>
      <w:pict w14:anchorId="051DB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3C37E" w14:textId="77777777" w:rsidR="00D35BE2" w:rsidRDefault="00D35BE2" w:rsidP="00BB1E8E">
      <w:r>
        <w:separator/>
      </w:r>
    </w:p>
  </w:footnote>
  <w:footnote w:type="continuationSeparator" w:id="0">
    <w:p w14:paraId="51622AD6" w14:textId="77777777" w:rsidR="00D35BE2" w:rsidRDefault="00D35BE2" w:rsidP="00BB1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5FBE1" w14:textId="77777777" w:rsidR="00997287" w:rsidRPr="004E5AC8" w:rsidRDefault="004E5AC8" w:rsidP="004E5A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16387-08-16</w:t>
    </w:r>
    <w:r>
      <w:rPr>
        <w:rFonts w:ascii="David" w:hAnsi="David"/>
        <w:color w:val="000000"/>
        <w:sz w:val="22"/>
        <w:szCs w:val="22"/>
        <w:rtl/>
      </w:rPr>
      <w:tab/>
      <w:t xml:space="preserve"> מדינת ישראל נ' סמי ממן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D8A90" w14:textId="77777777" w:rsidR="00997287" w:rsidRPr="004E5AC8" w:rsidRDefault="004E5AC8" w:rsidP="004E5A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16387-08-16</w:t>
    </w:r>
    <w:r>
      <w:rPr>
        <w:rFonts w:ascii="David" w:hAnsi="David"/>
        <w:color w:val="000000"/>
        <w:sz w:val="22"/>
        <w:szCs w:val="22"/>
        <w:rtl/>
      </w:rPr>
      <w:tab/>
      <w:t xml:space="preserve"> מדינת ישראל נ' סמי ממן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877399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4EA1"/>
    <w:rsid w:val="001B5A3B"/>
    <w:rsid w:val="002B263A"/>
    <w:rsid w:val="003E4EA1"/>
    <w:rsid w:val="004E5AC8"/>
    <w:rsid w:val="004E6966"/>
    <w:rsid w:val="00661DEE"/>
    <w:rsid w:val="007964EC"/>
    <w:rsid w:val="007E06D6"/>
    <w:rsid w:val="00841A95"/>
    <w:rsid w:val="0084290E"/>
    <w:rsid w:val="00997287"/>
    <w:rsid w:val="00A14553"/>
    <w:rsid w:val="00A97B95"/>
    <w:rsid w:val="00BB1E8E"/>
    <w:rsid w:val="00D35BE2"/>
    <w:rsid w:val="00F154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7B119B"/>
  <w15:chartTrackingRefBased/>
  <w15:docId w15:val="{8BA2FCB0-F16A-40D7-B419-E2361188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4EA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E4EA1"/>
    <w:pPr>
      <w:tabs>
        <w:tab w:val="center" w:pos="4153"/>
        <w:tab w:val="right" w:pos="8306"/>
      </w:tabs>
    </w:pPr>
  </w:style>
  <w:style w:type="character" w:customStyle="1" w:styleId="a4">
    <w:name w:val="כותרת עליונה תו"/>
    <w:link w:val="a3"/>
    <w:rsid w:val="003E4EA1"/>
    <w:rPr>
      <w:rFonts w:ascii="Times New Roman" w:eastAsia="Times New Roman" w:hAnsi="Times New Roman" w:cs="David"/>
      <w:sz w:val="24"/>
      <w:szCs w:val="24"/>
    </w:rPr>
  </w:style>
  <w:style w:type="paragraph" w:styleId="a5">
    <w:name w:val="footer"/>
    <w:basedOn w:val="a"/>
    <w:link w:val="a6"/>
    <w:rsid w:val="003E4EA1"/>
    <w:pPr>
      <w:tabs>
        <w:tab w:val="center" w:pos="4153"/>
        <w:tab w:val="right" w:pos="8306"/>
      </w:tabs>
    </w:pPr>
  </w:style>
  <w:style w:type="character" w:customStyle="1" w:styleId="a6">
    <w:name w:val="כותרת תחתונה תו"/>
    <w:link w:val="a5"/>
    <w:rsid w:val="003E4EA1"/>
    <w:rPr>
      <w:rFonts w:ascii="Times New Roman" w:eastAsia="Times New Roman" w:hAnsi="Times New Roman" w:cs="David"/>
      <w:sz w:val="24"/>
      <w:szCs w:val="24"/>
    </w:rPr>
  </w:style>
  <w:style w:type="table" w:styleId="a7">
    <w:name w:val="Table Grid"/>
    <w:basedOn w:val="a1"/>
    <w:rsid w:val="003E4E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E4EA1"/>
  </w:style>
  <w:style w:type="character" w:styleId="Hyperlink">
    <w:name w:val="Hyperlink"/>
    <w:rsid w:val="00997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14" TargetMode="External"/><Relationship Id="rId26" Type="http://schemas.openxmlformats.org/officeDocument/2006/relationships/hyperlink" Target="http://www.nevo.co.il/case/5605484" TargetMode="External"/><Relationship Id="rId21" Type="http://schemas.openxmlformats.org/officeDocument/2006/relationships/hyperlink" Target="http://www.nevo.co.il/case/5896323"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3748897"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5977712"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ja" TargetMode="External"/><Relationship Id="rId36" Type="http://schemas.openxmlformats.org/officeDocument/2006/relationships/footer" Target="footer2.xml"/><Relationship Id="rId10" Type="http://schemas.openxmlformats.org/officeDocument/2006/relationships/hyperlink" Target="http://www.nevo.co.il/law/4216/19a" TargetMode="External"/><Relationship Id="rId19" Type="http://schemas.openxmlformats.org/officeDocument/2006/relationships/hyperlink" Target="http://www.nevo.co.il/law/70301/499.a.1"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1812</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10856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3473535</vt:i4>
      </vt:variant>
      <vt:variant>
        <vt:i4>57</vt:i4>
      </vt:variant>
      <vt:variant>
        <vt:i4>0</vt:i4>
      </vt:variant>
      <vt:variant>
        <vt:i4>5</vt:i4>
      </vt:variant>
      <vt:variant>
        <vt:lpwstr>http://www.nevo.co.il/case/5605484</vt:lpwstr>
      </vt:variant>
      <vt:variant>
        <vt:lpwstr/>
      </vt:variant>
      <vt:variant>
        <vt:i4>3407995</vt:i4>
      </vt:variant>
      <vt:variant>
        <vt:i4>54</vt:i4>
      </vt:variant>
      <vt:variant>
        <vt:i4>0</vt:i4>
      </vt:variant>
      <vt:variant>
        <vt:i4>5</vt:i4>
      </vt:variant>
      <vt:variant>
        <vt:lpwstr>http://www.nevo.co.il/case/23748897</vt:lpwstr>
      </vt:variant>
      <vt:variant>
        <vt:lpwstr/>
      </vt:variant>
      <vt:variant>
        <vt:i4>3997809</vt:i4>
      </vt:variant>
      <vt:variant>
        <vt:i4>51</vt:i4>
      </vt:variant>
      <vt:variant>
        <vt:i4>0</vt:i4>
      </vt:variant>
      <vt:variant>
        <vt:i4>5</vt:i4>
      </vt:variant>
      <vt:variant>
        <vt:lpwstr>http://www.nevo.co.il/case/25977712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3932280</vt:i4>
      </vt:variant>
      <vt:variant>
        <vt:i4>42</vt:i4>
      </vt:variant>
      <vt:variant>
        <vt:i4>0</vt:i4>
      </vt:variant>
      <vt:variant>
        <vt:i4>5</vt:i4>
      </vt:variant>
      <vt:variant>
        <vt:lpwstr>http://www.nevo.co.il/case/5896323</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5177418</vt:i4>
      </vt:variant>
      <vt:variant>
        <vt:i4>33</vt:i4>
      </vt:variant>
      <vt:variant>
        <vt:i4>0</vt:i4>
      </vt:variant>
      <vt:variant>
        <vt:i4>5</vt:i4>
      </vt:variant>
      <vt:variant>
        <vt:lpwstr>http://www.nevo.co.il/law/4216/14</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2025-04-22T23:09:00Z</dcterms:created>
  <dcterms:modified xsi:type="dcterms:W3CDTF">2025-04-22T23:09:00Z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16387</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סמי ממן</vt:lpwstr>
  </property>
  <property fmtid="{D5CDD505-2E9C-101B-9397-08002B2CF9AE}" pid="10" name="LAWYER">
    <vt:lpwstr>שירלי אוחיון;ניק קאופמן;עידן גמליאלי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20220404</vt:lpwstr>
  </property>
  <property fmtid="{D5CDD505-2E9C-101B-9397-08002B2CF9AE}" pid="14" name="TYPE_N_DATE">
    <vt:lpwstr>38020220404</vt:lpwstr>
  </property>
  <property fmtid="{D5CDD505-2E9C-101B-9397-08002B2CF9AE}" pid="15" name="WORDNUMPAGES">
    <vt:lpwstr>6</vt:lpwstr>
  </property>
  <property fmtid="{D5CDD505-2E9C-101B-9397-08002B2CF9AE}" pid="16" name="TYPE_ABS_DATE">
    <vt:lpwstr>380020220404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5896323;25977712;23748897;5605484;13093721</vt:lpwstr>
  </property>
  <property fmtid="{D5CDD505-2E9C-101B-9397-08002B2CF9AE}" pid="36" name="LAWLISTTMP1">
    <vt:lpwstr>4216/013;019a;014</vt:lpwstr>
  </property>
  <property fmtid="{D5CDD505-2E9C-101B-9397-08002B2CF9AE}" pid="37" name="LAWLISTTMP2">
    <vt:lpwstr>70301/499.a.1;040i;40ja</vt:lpwstr>
  </property>
</Properties>
</file>