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300ED" w:rsidRPr="003E2A15" w14:paraId="3780631C" w14:textId="77777777" w:rsidTr="002C658E">
        <w:trPr>
          <w:trHeight w:hRule="exact" w:val="418"/>
          <w:jc w:val="center"/>
        </w:trPr>
        <w:tc>
          <w:tcPr>
            <w:tcW w:w="8720" w:type="dxa"/>
            <w:gridSpan w:val="3"/>
          </w:tcPr>
          <w:p w14:paraId="55945B53" w14:textId="77777777" w:rsidR="008300ED" w:rsidRPr="003E2A15" w:rsidRDefault="008300ED" w:rsidP="002C658E">
            <w:pPr>
              <w:pStyle w:val="a3"/>
              <w:tabs>
                <w:tab w:val="clear" w:pos="8306"/>
              </w:tabs>
              <w:jc w:val="center"/>
              <w:rPr>
                <w:rFonts w:ascii="Tahoma" w:hAnsi="Tahoma" w:cs="Tahoma"/>
                <w:b/>
                <w:bCs/>
                <w:color w:val="000080"/>
                <w:sz w:val="20"/>
                <w:szCs w:val="20"/>
                <w:rtl/>
              </w:rPr>
            </w:pPr>
            <w:bookmarkStart w:id="0" w:name="LastJudge"/>
            <w:r w:rsidRPr="003E2A15">
              <w:rPr>
                <w:rFonts w:ascii="Tahoma" w:hAnsi="Tahoma" w:cs="Tahoma"/>
                <w:b/>
                <w:bCs/>
                <w:color w:val="000080"/>
                <w:sz w:val="20"/>
                <w:szCs w:val="20"/>
                <w:rtl/>
              </w:rPr>
              <w:t>בית משפט השלום בנתניה</w:t>
            </w:r>
          </w:p>
        </w:tc>
      </w:tr>
      <w:tr w:rsidR="008300ED" w:rsidRPr="003E2A15" w14:paraId="291A2886" w14:textId="77777777" w:rsidTr="002C658E">
        <w:trPr>
          <w:trHeight w:val="337"/>
          <w:jc w:val="center"/>
        </w:trPr>
        <w:tc>
          <w:tcPr>
            <w:tcW w:w="6396" w:type="dxa"/>
          </w:tcPr>
          <w:p w14:paraId="5366E87C" w14:textId="77777777" w:rsidR="008300ED" w:rsidRPr="003E2A15" w:rsidRDefault="008300ED" w:rsidP="002C658E">
            <w:pPr>
              <w:rPr>
                <w:b/>
                <w:bCs/>
                <w:sz w:val="26"/>
                <w:szCs w:val="26"/>
                <w:rtl/>
              </w:rPr>
            </w:pPr>
            <w:r w:rsidRPr="003E2A15">
              <w:rPr>
                <w:b/>
                <w:bCs/>
                <w:sz w:val="26"/>
                <w:szCs w:val="26"/>
                <w:rtl/>
              </w:rPr>
              <w:t>ת"פ</w:t>
            </w:r>
            <w:r w:rsidRPr="003E2A15">
              <w:rPr>
                <w:rFonts w:hint="cs"/>
                <w:b/>
                <w:bCs/>
                <w:sz w:val="26"/>
                <w:szCs w:val="26"/>
                <w:rtl/>
              </w:rPr>
              <w:t xml:space="preserve"> </w:t>
            </w:r>
            <w:r w:rsidRPr="003E2A15">
              <w:rPr>
                <w:b/>
                <w:bCs/>
                <w:sz w:val="26"/>
                <w:szCs w:val="26"/>
                <w:rtl/>
              </w:rPr>
              <w:t>19606-08-16</w:t>
            </w:r>
            <w:r w:rsidRPr="003E2A15">
              <w:rPr>
                <w:rFonts w:hint="cs"/>
                <w:b/>
                <w:bCs/>
                <w:sz w:val="26"/>
                <w:szCs w:val="26"/>
                <w:rtl/>
              </w:rPr>
              <w:t xml:space="preserve"> </w:t>
            </w:r>
            <w:r w:rsidRPr="003E2A15">
              <w:rPr>
                <w:b/>
                <w:bCs/>
                <w:sz w:val="26"/>
                <w:szCs w:val="26"/>
                <w:rtl/>
              </w:rPr>
              <w:t>מדינת ישראל נ' בר נוף</w:t>
            </w:r>
            <w:r w:rsidRPr="003E2A15">
              <w:rPr>
                <w:b/>
                <w:bCs/>
                <w:sz w:val="26"/>
                <w:szCs w:val="26"/>
                <w:rtl/>
              </w:rPr>
              <w:br/>
            </w:r>
            <w:r w:rsidRPr="003E2A15">
              <w:rPr>
                <w:rFonts w:hint="cs"/>
                <w:rtl/>
              </w:rPr>
              <w:t>ת"פ 26125-11-16</w:t>
            </w:r>
          </w:p>
          <w:p w14:paraId="2DF1C98B" w14:textId="77777777" w:rsidR="008300ED" w:rsidRPr="003E2A15" w:rsidRDefault="008300ED" w:rsidP="002C658E">
            <w:pPr>
              <w:rPr>
                <w:b/>
                <w:bCs/>
                <w:sz w:val="26"/>
                <w:szCs w:val="26"/>
                <w:rtl/>
              </w:rPr>
            </w:pPr>
          </w:p>
        </w:tc>
        <w:tc>
          <w:tcPr>
            <w:tcW w:w="236" w:type="dxa"/>
          </w:tcPr>
          <w:p w14:paraId="2FCDB3F0" w14:textId="77777777" w:rsidR="008300ED" w:rsidRPr="003E2A15" w:rsidRDefault="008300ED" w:rsidP="002C658E">
            <w:pPr>
              <w:pStyle w:val="a3"/>
              <w:jc w:val="right"/>
              <w:rPr>
                <w:b/>
                <w:bCs/>
                <w:sz w:val="26"/>
                <w:szCs w:val="26"/>
                <w:rtl/>
              </w:rPr>
            </w:pPr>
          </w:p>
        </w:tc>
        <w:tc>
          <w:tcPr>
            <w:tcW w:w="2088" w:type="dxa"/>
          </w:tcPr>
          <w:p w14:paraId="017CBAE2" w14:textId="77777777" w:rsidR="008300ED" w:rsidRPr="003E2A15" w:rsidRDefault="008300ED" w:rsidP="002C658E">
            <w:pPr>
              <w:pStyle w:val="a3"/>
              <w:tabs>
                <w:tab w:val="clear" w:pos="4153"/>
              </w:tabs>
              <w:jc w:val="right"/>
              <w:rPr>
                <w:b/>
                <w:bCs/>
                <w:sz w:val="26"/>
                <w:szCs w:val="26"/>
                <w:rtl/>
              </w:rPr>
            </w:pPr>
            <w:r w:rsidRPr="003E2A15">
              <w:rPr>
                <w:b/>
                <w:bCs/>
                <w:sz w:val="26"/>
                <w:szCs w:val="26"/>
                <w:rtl/>
              </w:rPr>
              <w:t>07 ספטמבר 2017</w:t>
            </w:r>
          </w:p>
        </w:tc>
      </w:tr>
    </w:tbl>
    <w:p w14:paraId="6B916DE7" w14:textId="77777777" w:rsidR="008300ED" w:rsidRPr="003E2A15" w:rsidRDefault="008300ED" w:rsidP="008300ED">
      <w:pPr>
        <w:pStyle w:val="a3"/>
        <w:jc w:val="center"/>
        <w:rPr>
          <w:rFonts w:ascii="Tahoma" w:hAnsi="Tahoma" w:cs="Tahoma"/>
          <w:b/>
          <w:bCs/>
          <w:color w:val="000080"/>
          <w:sz w:val="20"/>
          <w:szCs w:val="20"/>
          <w:rtl/>
        </w:rPr>
      </w:pPr>
    </w:p>
    <w:p w14:paraId="4532185D" w14:textId="77777777" w:rsidR="008300ED" w:rsidRPr="003E2A15" w:rsidRDefault="008300ED" w:rsidP="008300E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C658E" w:rsidRPr="003E2A15" w14:paraId="24303AE8" w14:textId="77777777" w:rsidTr="008300ED">
        <w:trPr>
          <w:gridAfter w:val="1"/>
          <w:wAfter w:w="56" w:type="dxa"/>
        </w:trPr>
        <w:tc>
          <w:tcPr>
            <w:tcW w:w="8718" w:type="dxa"/>
            <w:gridSpan w:val="2"/>
            <w:shd w:val="clear" w:color="auto" w:fill="auto"/>
          </w:tcPr>
          <w:p w14:paraId="2DDD7723" w14:textId="77777777" w:rsidR="008300ED" w:rsidRPr="003E2A15" w:rsidRDefault="008300ED" w:rsidP="002C658E">
            <w:pPr>
              <w:rPr>
                <w:b/>
                <w:bCs/>
                <w:sz w:val="26"/>
                <w:szCs w:val="26"/>
                <w:rtl/>
              </w:rPr>
            </w:pPr>
            <w:r w:rsidRPr="003E2A15">
              <w:rPr>
                <w:rFonts w:hint="cs"/>
                <w:b/>
                <w:bCs/>
                <w:sz w:val="26"/>
                <w:szCs w:val="26"/>
                <w:rtl/>
              </w:rPr>
              <w:t>לפני כבוד ה</w:t>
            </w:r>
            <w:r w:rsidRPr="003E2A15">
              <w:rPr>
                <w:b/>
                <w:bCs/>
                <w:sz w:val="26"/>
                <w:szCs w:val="26"/>
                <w:rtl/>
              </w:rPr>
              <w:t>שופט עמית פרייז</w:t>
            </w:r>
            <w:r w:rsidRPr="003E2A15">
              <w:rPr>
                <w:rStyle w:val="TimesNewRomanTimesNewRoman"/>
                <w:rtl/>
              </w:rPr>
              <w:t xml:space="preserve"> </w:t>
            </w:r>
          </w:p>
        </w:tc>
      </w:tr>
      <w:tr w:rsidR="002C658E" w:rsidRPr="003E2A15" w14:paraId="5B899E4C" w14:textId="77777777" w:rsidTr="008300ED">
        <w:trPr>
          <w:cantSplit/>
          <w:trHeight w:val="724"/>
        </w:trPr>
        <w:tc>
          <w:tcPr>
            <w:tcW w:w="2880" w:type="dxa"/>
            <w:shd w:val="clear" w:color="auto" w:fill="auto"/>
          </w:tcPr>
          <w:p w14:paraId="69508ACE" w14:textId="77777777" w:rsidR="008300ED" w:rsidRPr="003E2A15" w:rsidRDefault="008300ED" w:rsidP="008300ED">
            <w:pPr>
              <w:ind w:left="26"/>
              <w:rPr>
                <w:b/>
                <w:bCs/>
                <w:sz w:val="26"/>
                <w:szCs w:val="26"/>
                <w:rtl/>
              </w:rPr>
            </w:pPr>
            <w:bookmarkStart w:id="1" w:name="FirstAppellant"/>
          </w:p>
          <w:p w14:paraId="51E9E756" w14:textId="77777777" w:rsidR="008300ED" w:rsidRPr="003E2A15" w:rsidRDefault="008300ED" w:rsidP="008300ED">
            <w:pPr>
              <w:ind w:left="26"/>
              <w:rPr>
                <w:b/>
                <w:bCs/>
                <w:sz w:val="26"/>
                <w:szCs w:val="26"/>
                <w:rtl/>
              </w:rPr>
            </w:pPr>
            <w:r w:rsidRPr="003E2A15">
              <w:rPr>
                <w:rFonts w:hint="cs"/>
                <w:b/>
                <w:bCs/>
                <w:sz w:val="26"/>
                <w:szCs w:val="26"/>
                <w:rtl/>
              </w:rPr>
              <w:t>ה</w:t>
            </w:r>
            <w:r w:rsidRPr="003E2A15">
              <w:rPr>
                <w:b/>
                <w:bCs/>
                <w:sz w:val="26"/>
                <w:szCs w:val="26"/>
                <w:rtl/>
              </w:rPr>
              <w:t>מאשימה</w:t>
            </w:r>
          </w:p>
        </w:tc>
        <w:tc>
          <w:tcPr>
            <w:tcW w:w="5922" w:type="dxa"/>
            <w:gridSpan w:val="2"/>
            <w:shd w:val="clear" w:color="auto" w:fill="auto"/>
          </w:tcPr>
          <w:p w14:paraId="155CBAAB" w14:textId="77777777" w:rsidR="008300ED" w:rsidRPr="003E2A15" w:rsidRDefault="008300ED" w:rsidP="002C658E">
            <w:pPr>
              <w:rPr>
                <w:rtl/>
              </w:rPr>
            </w:pPr>
          </w:p>
          <w:p w14:paraId="2171DF3B" w14:textId="77777777" w:rsidR="008300ED" w:rsidRPr="003E2A15" w:rsidRDefault="008300ED" w:rsidP="002C658E">
            <w:pPr>
              <w:rPr>
                <w:b/>
                <w:bCs/>
                <w:sz w:val="26"/>
                <w:szCs w:val="26"/>
                <w:rtl/>
              </w:rPr>
            </w:pPr>
            <w:r w:rsidRPr="003E2A15">
              <w:rPr>
                <w:rFonts w:hint="cs"/>
                <w:rtl/>
              </w:rPr>
              <w:t xml:space="preserve"> </w:t>
            </w:r>
            <w:r w:rsidRPr="003E2A15">
              <w:rPr>
                <w:b/>
                <w:bCs/>
                <w:sz w:val="26"/>
                <w:szCs w:val="26"/>
                <w:rtl/>
              </w:rPr>
              <w:t>מדינת ישראל</w:t>
            </w:r>
          </w:p>
          <w:p w14:paraId="288D9B40" w14:textId="77777777" w:rsidR="008300ED" w:rsidRPr="003E2A15" w:rsidRDefault="008300ED" w:rsidP="002C658E">
            <w:pPr>
              <w:rPr>
                <w:b/>
                <w:bCs/>
                <w:sz w:val="26"/>
                <w:szCs w:val="26"/>
                <w:rtl/>
              </w:rPr>
            </w:pPr>
          </w:p>
        </w:tc>
      </w:tr>
      <w:bookmarkEnd w:id="1"/>
      <w:tr w:rsidR="002C658E" w:rsidRPr="003E2A15" w14:paraId="5573A89A" w14:textId="77777777" w:rsidTr="008300ED">
        <w:tc>
          <w:tcPr>
            <w:tcW w:w="8802" w:type="dxa"/>
            <w:gridSpan w:val="3"/>
            <w:shd w:val="clear" w:color="auto" w:fill="auto"/>
            <w:vAlign w:val="center"/>
          </w:tcPr>
          <w:p w14:paraId="498A9E5A" w14:textId="77777777" w:rsidR="008300ED" w:rsidRPr="003E2A15" w:rsidRDefault="008300ED" w:rsidP="008300ED">
            <w:pPr>
              <w:jc w:val="center"/>
              <w:rPr>
                <w:rFonts w:ascii="Arial" w:hAnsi="Arial"/>
                <w:b/>
                <w:bCs/>
                <w:sz w:val="26"/>
                <w:szCs w:val="26"/>
                <w:rtl/>
              </w:rPr>
            </w:pPr>
            <w:r w:rsidRPr="003E2A15">
              <w:rPr>
                <w:rFonts w:ascii="Arial" w:hAnsi="Arial"/>
                <w:b/>
                <w:bCs/>
                <w:sz w:val="26"/>
                <w:szCs w:val="26"/>
                <w:rtl/>
              </w:rPr>
              <w:t>נגד</w:t>
            </w:r>
          </w:p>
          <w:p w14:paraId="65E9CD3E" w14:textId="77777777" w:rsidR="008300ED" w:rsidRPr="003E2A15" w:rsidRDefault="008300ED" w:rsidP="002C658E">
            <w:pPr>
              <w:rPr>
                <w:rFonts w:ascii="Arial" w:hAnsi="Arial"/>
                <w:b/>
                <w:bCs/>
                <w:sz w:val="26"/>
                <w:szCs w:val="26"/>
              </w:rPr>
            </w:pPr>
          </w:p>
        </w:tc>
      </w:tr>
      <w:tr w:rsidR="002C658E" w:rsidRPr="003E2A15" w14:paraId="5C6663F9" w14:textId="77777777" w:rsidTr="008300ED">
        <w:tc>
          <w:tcPr>
            <w:tcW w:w="2880" w:type="dxa"/>
            <w:shd w:val="clear" w:color="auto" w:fill="auto"/>
          </w:tcPr>
          <w:p w14:paraId="5117F70F" w14:textId="77777777" w:rsidR="008300ED" w:rsidRPr="003E2A15" w:rsidRDefault="008300ED" w:rsidP="008300ED">
            <w:pPr>
              <w:ind w:left="26"/>
              <w:rPr>
                <w:b/>
                <w:bCs/>
                <w:sz w:val="26"/>
                <w:szCs w:val="26"/>
                <w:rtl/>
              </w:rPr>
            </w:pPr>
            <w:r w:rsidRPr="003E2A15">
              <w:rPr>
                <w:rFonts w:hint="cs"/>
                <w:b/>
                <w:bCs/>
                <w:sz w:val="26"/>
                <w:szCs w:val="26"/>
                <w:rtl/>
              </w:rPr>
              <w:t>ה</w:t>
            </w:r>
            <w:r w:rsidRPr="003E2A15">
              <w:rPr>
                <w:b/>
                <w:bCs/>
                <w:sz w:val="26"/>
                <w:szCs w:val="26"/>
                <w:rtl/>
              </w:rPr>
              <w:t>נאשם</w:t>
            </w:r>
          </w:p>
        </w:tc>
        <w:tc>
          <w:tcPr>
            <w:tcW w:w="5922" w:type="dxa"/>
            <w:gridSpan w:val="2"/>
            <w:shd w:val="clear" w:color="auto" w:fill="auto"/>
          </w:tcPr>
          <w:p w14:paraId="1F6DCF7F" w14:textId="77777777" w:rsidR="008300ED" w:rsidRPr="003E2A15" w:rsidRDefault="008300ED" w:rsidP="00EA4918">
            <w:pPr>
              <w:rPr>
                <w:b/>
                <w:bCs/>
                <w:sz w:val="26"/>
                <w:szCs w:val="26"/>
                <w:rtl/>
              </w:rPr>
            </w:pPr>
            <w:r w:rsidRPr="003E2A15">
              <w:rPr>
                <w:rFonts w:hint="cs"/>
                <w:rtl/>
              </w:rPr>
              <w:t xml:space="preserve"> </w:t>
            </w:r>
            <w:r w:rsidRPr="003E2A15">
              <w:rPr>
                <w:b/>
                <w:bCs/>
                <w:sz w:val="26"/>
                <w:szCs w:val="26"/>
                <w:rtl/>
              </w:rPr>
              <w:t>אלון בר נוף</w:t>
            </w:r>
            <w:r w:rsidRPr="003E2A15">
              <w:rPr>
                <w:rFonts w:hint="cs"/>
                <w:rtl/>
              </w:rPr>
              <w:t xml:space="preserve"> </w:t>
            </w:r>
          </w:p>
          <w:p w14:paraId="52BDF4D5" w14:textId="77777777" w:rsidR="008300ED" w:rsidRPr="003E2A15" w:rsidRDefault="008300ED" w:rsidP="002C658E">
            <w:pPr>
              <w:rPr>
                <w:b/>
                <w:bCs/>
                <w:sz w:val="26"/>
                <w:szCs w:val="26"/>
                <w:rtl/>
              </w:rPr>
            </w:pPr>
          </w:p>
        </w:tc>
      </w:tr>
    </w:tbl>
    <w:p w14:paraId="5F162411" w14:textId="77777777" w:rsidR="008300ED" w:rsidRPr="003E2A15" w:rsidRDefault="008300ED" w:rsidP="008300ED">
      <w:pPr>
        <w:spacing w:line="360" w:lineRule="auto"/>
        <w:jc w:val="both"/>
        <w:rPr>
          <w:sz w:val="6"/>
          <w:szCs w:val="6"/>
          <w:rtl/>
        </w:rPr>
      </w:pPr>
      <w:r w:rsidRPr="003E2A15">
        <w:rPr>
          <w:sz w:val="6"/>
          <w:szCs w:val="6"/>
          <w:rtl/>
        </w:rPr>
        <w:t>&lt;#2#&gt;</w:t>
      </w:r>
    </w:p>
    <w:p w14:paraId="6F728D7E" w14:textId="77777777" w:rsidR="008300ED" w:rsidRPr="003E2A15" w:rsidRDefault="008300ED" w:rsidP="008300ED">
      <w:pPr>
        <w:pStyle w:val="12"/>
        <w:rPr>
          <w:u w:val="none"/>
          <w:rtl/>
        </w:rPr>
      </w:pPr>
      <w:r w:rsidRPr="003E2A15">
        <w:rPr>
          <w:rFonts w:hint="cs"/>
          <w:u w:val="none"/>
          <w:rtl/>
        </w:rPr>
        <w:t>נוכחים:</w:t>
      </w:r>
    </w:p>
    <w:p w14:paraId="18AB1B81" w14:textId="77777777" w:rsidR="008300ED" w:rsidRPr="003E2A15" w:rsidRDefault="008300ED" w:rsidP="008300ED">
      <w:pPr>
        <w:pStyle w:val="12"/>
        <w:rPr>
          <w:b w:val="0"/>
          <w:bCs w:val="0"/>
          <w:u w:val="none"/>
        </w:rPr>
      </w:pPr>
      <w:bookmarkStart w:id="2" w:name="FirstLawyer"/>
      <w:r w:rsidRPr="003E2A15">
        <w:rPr>
          <w:rFonts w:hint="cs"/>
          <w:b w:val="0"/>
          <w:bCs w:val="0"/>
          <w:u w:val="none"/>
          <w:rtl/>
        </w:rPr>
        <w:t>ב"כ</w:t>
      </w:r>
      <w:bookmarkEnd w:id="2"/>
      <w:r w:rsidRPr="003E2A15">
        <w:rPr>
          <w:rFonts w:hint="cs"/>
          <w:b w:val="0"/>
          <w:bCs w:val="0"/>
          <w:u w:val="none"/>
          <w:rtl/>
        </w:rPr>
        <w:t xml:space="preserve"> המאשימה עו"ד אלמוג בן חמו</w:t>
      </w:r>
    </w:p>
    <w:p w14:paraId="774AD9BC" w14:textId="77777777" w:rsidR="008300ED" w:rsidRPr="003E2A15" w:rsidRDefault="008300ED" w:rsidP="008300ED">
      <w:pPr>
        <w:pStyle w:val="12"/>
        <w:rPr>
          <w:b w:val="0"/>
          <w:bCs w:val="0"/>
          <w:u w:val="none"/>
          <w:rtl/>
        </w:rPr>
      </w:pPr>
      <w:r w:rsidRPr="003E2A15">
        <w:rPr>
          <w:rFonts w:hint="cs"/>
          <w:b w:val="0"/>
          <w:bCs w:val="0"/>
          <w:u w:val="none"/>
          <w:rtl/>
        </w:rPr>
        <w:t xml:space="preserve">הנאשם וב"כ עו"ד  מירב נוסבוים מטעם הסניגוריה הציבורית </w:t>
      </w:r>
    </w:p>
    <w:p w14:paraId="0D8FF224" w14:textId="77777777" w:rsidR="008300ED" w:rsidRPr="003E2A15" w:rsidRDefault="008300ED" w:rsidP="008300ED">
      <w:pPr>
        <w:pStyle w:val="12"/>
        <w:rPr>
          <w:b w:val="0"/>
          <w:bCs w:val="0"/>
          <w:u w:val="none"/>
          <w:rtl/>
        </w:rPr>
      </w:pPr>
    </w:p>
    <w:p w14:paraId="664917D5" w14:textId="77777777" w:rsidR="008300ED" w:rsidRPr="003E2A15" w:rsidRDefault="008300ED" w:rsidP="008300ED">
      <w:pPr>
        <w:pStyle w:val="12"/>
        <w:rPr>
          <w:b w:val="0"/>
          <w:bCs w:val="0"/>
          <w:u w:val="none"/>
          <w:rtl/>
        </w:rPr>
      </w:pPr>
    </w:p>
    <w:p w14:paraId="1D242E88" w14:textId="77777777" w:rsidR="00EA4918" w:rsidRDefault="008300ED" w:rsidP="008300ED">
      <w:pPr>
        <w:pStyle w:val="a9"/>
        <w:spacing w:line="360" w:lineRule="auto"/>
        <w:jc w:val="center"/>
        <w:rPr>
          <w:rFonts w:ascii="Arial" w:eastAsia="David" w:hAnsi="Arial"/>
          <w:sz w:val="28"/>
          <w:szCs w:val="28"/>
          <w:rtl/>
        </w:rPr>
      </w:pPr>
      <w:r w:rsidRPr="003E2A15">
        <w:rPr>
          <w:rFonts w:ascii="Arial" w:eastAsia="David" w:hAnsi="Arial"/>
          <w:b/>
          <w:color w:val="FF0000"/>
          <w:sz w:val="28"/>
          <w:rtl/>
        </w:rPr>
        <w:t>במסמך זה הושמטו פרוטוקולים</w:t>
      </w:r>
      <w:bookmarkStart w:id="3" w:name="LawTable"/>
      <w:bookmarkEnd w:id="3"/>
    </w:p>
    <w:p w14:paraId="1019DD51" w14:textId="77777777" w:rsidR="00EA4918" w:rsidRPr="00EA4918" w:rsidRDefault="00EA4918" w:rsidP="00EA4918">
      <w:pPr>
        <w:pStyle w:val="a9"/>
        <w:spacing w:after="120" w:line="240" w:lineRule="exact"/>
        <w:ind w:left="283" w:hanging="283"/>
        <w:rPr>
          <w:rFonts w:ascii="FrankRuehl" w:eastAsia="David" w:hAnsi="FrankRuehl" w:cs="FrankRuehl"/>
          <w:sz w:val="24"/>
          <w:rtl/>
        </w:rPr>
      </w:pPr>
    </w:p>
    <w:p w14:paraId="4B4C31F5" w14:textId="77777777" w:rsidR="00EA4918" w:rsidRPr="00EA4918" w:rsidRDefault="00EA4918" w:rsidP="00EA4918">
      <w:pPr>
        <w:pStyle w:val="a9"/>
        <w:spacing w:after="120" w:line="240" w:lineRule="exact"/>
        <w:ind w:left="283" w:hanging="283"/>
        <w:rPr>
          <w:rFonts w:ascii="FrankRuehl" w:eastAsia="David" w:hAnsi="FrankRuehl" w:cs="FrankRuehl"/>
          <w:sz w:val="24"/>
          <w:rtl/>
        </w:rPr>
      </w:pPr>
      <w:r w:rsidRPr="00EA4918">
        <w:rPr>
          <w:rFonts w:ascii="FrankRuehl" w:eastAsia="David" w:hAnsi="FrankRuehl" w:cs="FrankRuehl"/>
          <w:sz w:val="24"/>
          <w:rtl/>
        </w:rPr>
        <w:t xml:space="preserve">חקיקה שאוזכרה: </w:t>
      </w:r>
    </w:p>
    <w:p w14:paraId="4525736C" w14:textId="77777777" w:rsidR="00EA4918" w:rsidRPr="00EA4918" w:rsidRDefault="00EA4918" w:rsidP="00EA4918">
      <w:pPr>
        <w:pStyle w:val="a9"/>
        <w:spacing w:after="120" w:line="240" w:lineRule="exact"/>
        <w:ind w:left="283" w:hanging="283"/>
        <w:rPr>
          <w:rFonts w:ascii="FrankRuehl" w:eastAsia="David" w:hAnsi="FrankRuehl" w:cs="FrankRuehl"/>
          <w:sz w:val="24"/>
          <w:rtl/>
        </w:rPr>
      </w:pPr>
      <w:hyperlink r:id="rId7" w:history="1">
        <w:r w:rsidRPr="00EA4918">
          <w:rPr>
            <w:rFonts w:ascii="FrankRuehl" w:eastAsia="David" w:hAnsi="FrankRuehl" w:cs="FrankRuehl"/>
            <w:color w:val="0000FF"/>
            <w:sz w:val="24"/>
            <w:u w:val="single"/>
            <w:rtl/>
          </w:rPr>
          <w:t>פקודת הסמים המסוכנים [נוסח חדש], תשל"ג-1973</w:t>
        </w:r>
      </w:hyperlink>
    </w:p>
    <w:p w14:paraId="48C9D3E5" w14:textId="77777777" w:rsidR="00EA4918" w:rsidRPr="00EA4918" w:rsidRDefault="00EA4918" w:rsidP="00EA4918">
      <w:pPr>
        <w:pStyle w:val="a9"/>
        <w:spacing w:after="120" w:line="240" w:lineRule="exact"/>
        <w:ind w:left="283" w:hanging="283"/>
        <w:rPr>
          <w:rFonts w:ascii="FrankRuehl" w:eastAsia="David" w:hAnsi="FrankRuehl" w:cs="FrankRuehl"/>
          <w:sz w:val="24"/>
          <w:rtl/>
        </w:rPr>
      </w:pPr>
    </w:p>
    <w:p w14:paraId="01D2D3FC" w14:textId="77777777" w:rsidR="003E2A15" w:rsidRPr="003E2A15" w:rsidRDefault="003E2A15" w:rsidP="00EA4918">
      <w:pPr>
        <w:pStyle w:val="a9"/>
        <w:spacing w:line="360" w:lineRule="auto"/>
        <w:jc w:val="center"/>
        <w:rPr>
          <w:rFonts w:ascii="Arial" w:eastAsia="David" w:hAnsi="Arial"/>
          <w:b/>
          <w:bCs/>
          <w:sz w:val="28"/>
          <w:szCs w:val="28"/>
          <w:u w:val="single"/>
          <w:rtl/>
        </w:rPr>
      </w:pPr>
      <w:bookmarkStart w:id="4" w:name="LawTable_End"/>
      <w:bookmarkStart w:id="5" w:name="PsakDin"/>
      <w:bookmarkEnd w:id="0"/>
      <w:bookmarkEnd w:id="4"/>
      <w:r w:rsidRPr="003E2A15">
        <w:rPr>
          <w:rFonts w:ascii="Arial" w:eastAsia="David" w:hAnsi="Arial"/>
          <w:b/>
          <w:bCs/>
          <w:sz w:val="28"/>
          <w:szCs w:val="28"/>
          <w:u w:val="single"/>
          <w:rtl/>
        </w:rPr>
        <w:t>גזר דין</w:t>
      </w:r>
    </w:p>
    <w:bookmarkEnd w:id="5"/>
    <w:p w14:paraId="101B0B38" w14:textId="77777777" w:rsidR="008300ED" w:rsidRPr="001B37D6" w:rsidRDefault="008300ED" w:rsidP="008300ED">
      <w:pPr>
        <w:pStyle w:val="a9"/>
        <w:spacing w:line="360" w:lineRule="auto"/>
        <w:rPr>
          <w:rFonts w:ascii="David" w:hAnsi="David"/>
          <w:sz w:val="24"/>
          <w:rtl/>
        </w:rPr>
      </w:pPr>
    </w:p>
    <w:p w14:paraId="788A1E50" w14:textId="77777777" w:rsidR="008300ED" w:rsidRDefault="008300ED" w:rsidP="008300ED">
      <w:pPr>
        <w:tabs>
          <w:tab w:val="left" w:pos="566"/>
        </w:tabs>
        <w:spacing w:line="360" w:lineRule="auto"/>
        <w:jc w:val="both"/>
        <w:rPr>
          <w:rtl/>
        </w:rPr>
      </w:pPr>
      <w:bookmarkStart w:id="6" w:name="ABSTRACT_START"/>
      <w:bookmarkEnd w:id="6"/>
      <w:r w:rsidRPr="00300654">
        <w:rPr>
          <w:rFonts w:hint="cs"/>
          <w:rtl/>
        </w:rPr>
        <w:t xml:space="preserve">הנאשם הורשע על פי הודאתו, </w:t>
      </w:r>
      <w:r>
        <w:rPr>
          <w:rFonts w:hint="cs"/>
          <w:rtl/>
        </w:rPr>
        <w:t xml:space="preserve">בבצוע 2 עבירות של החזקת סמים לצריכה עצמית ועבירה של גידול סמים מסוכנים. עיקר מעשיו של הנאשם נעוצים בגידול 289 שתילים של סם מסוכן מסוג קנבוס במשקל כולל של כ-8.5 קילוגרם נטו. לצד זאת החזיק הנאשם במועדים שונים בביתו כמות קטנה יחסית של סם מסוכן מסוג חשיש. </w:t>
      </w:r>
    </w:p>
    <w:p w14:paraId="65B9D208" w14:textId="77777777" w:rsidR="008300ED" w:rsidRDefault="008300ED" w:rsidP="008300ED">
      <w:pPr>
        <w:tabs>
          <w:tab w:val="left" w:pos="566"/>
        </w:tabs>
        <w:spacing w:line="360" w:lineRule="auto"/>
        <w:jc w:val="both"/>
        <w:rPr>
          <w:rtl/>
        </w:rPr>
      </w:pPr>
      <w:bookmarkStart w:id="7" w:name="ABSTRACT_END"/>
      <w:bookmarkEnd w:id="7"/>
    </w:p>
    <w:p w14:paraId="24BB5732" w14:textId="77777777" w:rsidR="008300ED" w:rsidRDefault="008300ED" w:rsidP="008300ED">
      <w:pPr>
        <w:tabs>
          <w:tab w:val="left" w:pos="566"/>
        </w:tabs>
        <w:spacing w:line="360" w:lineRule="auto"/>
        <w:jc w:val="both"/>
        <w:rPr>
          <w:rtl/>
        </w:rPr>
      </w:pPr>
      <w:r>
        <w:rPr>
          <w:rFonts w:hint="cs"/>
          <w:rtl/>
        </w:rPr>
        <w:t xml:space="preserve">באשר לעבירה העיקרית של הגידול הרי שמבחינת נסיבותיה יש לתת את הדעת בהיבט הכמותי על המספר הרב של השתילים שגודלו כאשר המשקל עשוי להטעות שכן מן הסתם התייחס למשקל השתילים להבדיל מהחומר הפעיל. בנוסף כפי שתיארה הסניגורית מדובר בשדה שבו גדלו השתילים כאשר גם אם הנאשם לא שתל אותם הרי שמן הסתם הטיפוח שלהם על ידו באמצעות השקייתם הוא העיקר ובכל מקרה הנגישות שלו לאותו שדה מקיימת את הפוטנציאל של הגעת תוצרי הגידול לידי משתמשים נוספים מלבד הנאשם. עם זאת יש לתת את הדעת לכך שמדובר בגידול באמצעים בסיסיים ביותר על דרך השקייה פשוטה וזאת להבדיל מגידול באמצעים אשר זוכים לכינוי מעבדה או מעבדת הידרו כפי שבא לידי ביטוי בחלק מפסקי הדין שהביאו הצדדים בפניי. </w:t>
      </w:r>
    </w:p>
    <w:p w14:paraId="420CEE48" w14:textId="77777777" w:rsidR="008300ED" w:rsidRDefault="008300ED" w:rsidP="008300ED">
      <w:pPr>
        <w:tabs>
          <w:tab w:val="left" w:pos="566"/>
        </w:tabs>
        <w:spacing w:line="360" w:lineRule="auto"/>
        <w:jc w:val="both"/>
        <w:rPr>
          <w:rtl/>
        </w:rPr>
      </w:pPr>
    </w:p>
    <w:p w14:paraId="051E2730" w14:textId="77777777" w:rsidR="008300ED" w:rsidRDefault="008300ED" w:rsidP="008300ED">
      <w:pPr>
        <w:tabs>
          <w:tab w:val="left" w:pos="566"/>
        </w:tabs>
        <w:spacing w:line="360" w:lineRule="auto"/>
        <w:jc w:val="both"/>
        <w:rPr>
          <w:rtl/>
        </w:rPr>
      </w:pPr>
      <w:r>
        <w:rPr>
          <w:rFonts w:hint="cs"/>
          <w:rtl/>
        </w:rPr>
        <w:t xml:space="preserve">מהפסיקה הרבה שהגישו הצדדים ובדגש על הפסיקה של ביהמ"ש העליון שכוחה מחייב, הרי שהתביעה צודקת עקרונית בכך שהמתחם הענישה הראוי במקרה זה מתבטא בעיקר במאסר בפועל </w:t>
      </w:r>
      <w:r>
        <w:rPr>
          <w:rFonts w:hint="cs"/>
          <w:rtl/>
        </w:rPr>
        <w:lastRenderedPageBreak/>
        <w:t xml:space="preserve">של בן 10 ל-24 חודשים כאשר ניתן להעלות על הדעת אף מתחם מעט יותר גבוה. עם זאת, השאלה המרכזית למקרה זה הינה האם יש מקום שלא להטיל על הנאשם מאסר בפועל על דרך כליאה של ממש וזאת בשים לב לשיקולים שיקומיים. </w:t>
      </w:r>
    </w:p>
    <w:p w14:paraId="70D2068B" w14:textId="77777777" w:rsidR="008300ED" w:rsidRDefault="008300ED" w:rsidP="008300ED">
      <w:pPr>
        <w:tabs>
          <w:tab w:val="left" w:pos="566"/>
        </w:tabs>
        <w:spacing w:line="360" w:lineRule="auto"/>
        <w:jc w:val="both"/>
        <w:rPr>
          <w:rtl/>
        </w:rPr>
      </w:pPr>
    </w:p>
    <w:p w14:paraId="445205D8" w14:textId="77777777" w:rsidR="008300ED" w:rsidRDefault="008300ED" w:rsidP="008300ED">
      <w:pPr>
        <w:tabs>
          <w:tab w:val="left" w:pos="566"/>
        </w:tabs>
        <w:spacing w:line="360" w:lineRule="auto"/>
        <w:jc w:val="both"/>
        <w:rPr>
          <w:rtl/>
        </w:rPr>
      </w:pPr>
      <w:r>
        <w:rPr>
          <w:rFonts w:hint="cs"/>
          <w:rtl/>
        </w:rPr>
        <w:t xml:space="preserve">לענין זה אין חולק שהנאשם מצוי בתהליך של שיקום הרי נמשך מזה כשנה, אולם צפוי להימשך עוד כשנה. משמע הנאשם לא בא בפני ביהמ"ש כאשר השתקם אלא מצוי בתהליך של שיקום ואולם הדבר מתבצע במשך זמן רב יחסית כאשר מהתסקיר של שירות המבחן שבא בפני ביהמ"ש לאחר כ-9 חודשי טיפול עולה כי השתלבותו של הנאשם בטיפול היתה מיטבית דבר שאינו מובן מאליו באשר לא אחת באים בפני ביהמ"ש נאשמים אשר השתלבותם בטיפול הינה חלקית ומגלה עליות ומורדות. הדברים משמעותיים במקרה זה בשים לב לכך שהתמדת הנאשם בטפול היתה לפחות עד לכתיבת תסקיר שירות המבחן כאשר אין כל סיבה להניח שהדבר השתנה ב-3 חודשים שחלפו לכך בהעדר כל ראיה לסתור ובוודאי כאשר בא בפני ביהמ"ש דוח עדכני מהגורם המטפל אשר מלכתחילה שירות המבחן פיקח על טיפול זה.  מכל מקום גם אם לא היה בא אותו דוח, הרי בסופו של דבר באופן איכותי ניתן לראות את הנאשם כמי שהשתלב באופן מיטבי בטיפול במשך חודשים רבים וגם אם יש חשש שהדבר לא יימשך בהכרח לאורך כל שלבי הטיפול, הרי שניתן לתת מענה לכך באמצעות צו מבחן אשר יאפשר במקרה של התממשות חשש זה, לשקול מחדש את עונשו של הנאשם. </w:t>
      </w:r>
    </w:p>
    <w:p w14:paraId="19B71958" w14:textId="77777777" w:rsidR="008300ED" w:rsidRDefault="008300ED" w:rsidP="008300ED">
      <w:pPr>
        <w:tabs>
          <w:tab w:val="left" w:pos="566"/>
        </w:tabs>
        <w:spacing w:line="360" w:lineRule="auto"/>
        <w:jc w:val="both"/>
        <w:rPr>
          <w:rtl/>
        </w:rPr>
      </w:pPr>
    </w:p>
    <w:p w14:paraId="205411B3" w14:textId="77777777" w:rsidR="008300ED" w:rsidRDefault="008300ED" w:rsidP="008300ED">
      <w:pPr>
        <w:tabs>
          <w:tab w:val="left" w:pos="566"/>
        </w:tabs>
        <w:spacing w:line="360" w:lineRule="auto"/>
        <w:jc w:val="both"/>
        <w:rPr>
          <w:rtl/>
        </w:rPr>
      </w:pPr>
      <w:r>
        <w:rPr>
          <w:rFonts w:hint="cs"/>
          <w:rtl/>
        </w:rPr>
        <w:t>בנוסף לכך יש להביא בחשבון את העובדה שהנאשם אמנם ביצע בעבר מאסר בפועל, אך הדבר היה בעת שירותו הצבאי לפני כ-20 שנה, ומאז לא ריצה כל מאסר בפועל. מעבר לכך צודקת הסניגורית כי יש הבדל מסוים לקולא מבחינת תנאי כליאה במסגרת שירות צבאי לרבות טיב האוכלוסיה הנכלאת לבין תנאי כליאה במסגרת רגילה. לכך יש להוסיף שבמסגרת ההליך הנוכחי הנאשם שהה במעצר במשך כחודש ועובדה זו בשילוב עם הטיפול מצביעה על כך שההליך הנוכחי הרתיע אותו והביא אותו לדרך של זניחת השימוש רב השנים שביצע בסמים קלים.  למותר לציין שכעולה מתסקיר שירות המבחן בדיקות שתן שנערכו לנאשם נמצאו נקיות.</w:t>
      </w:r>
    </w:p>
    <w:p w14:paraId="5437B381" w14:textId="77777777" w:rsidR="008300ED" w:rsidRDefault="008300ED" w:rsidP="008300ED">
      <w:pPr>
        <w:tabs>
          <w:tab w:val="left" w:pos="566"/>
        </w:tabs>
        <w:spacing w:line="360" w:lineRule="auto"/>
        <w:jc w:val="both"/>
        <w:rPr>
          <w:rtl/>
        </w:rPr>
      </w:pPr>
    </w:p>
    <w:p w14:paraId="77EE2D88" w14:textId="77777777" w:rsidR="008300ED" w:rsidRDefault="008300ED" w:rsidP="008300ED">
      <w:pPr>
        <w:tabs>
          <w:tab w:val="left" w:pos="566"/>
        </w:tabs>
        <w:spacing w:line="360" w:lineRule="auto"/>
        <w:jc w:val="both"/>
        <w:rPr>
          <w:rtl/>
        </w:rPr>
      </w:pPr>
      <w:r>
        <w:rPr>
          <w:rFonts w:hint="cs"/>
          <w:rtl/>
        </w:rPr>
        <w:t xml:space="preserve">עוד יש להביא בחשבון שהנאשם נפגע בחירותו פגיעה נוספת בגין ההליך בכך ששהה במעצר בית מלא במשך 3 חודשים ומאז עוד 9 חודשים במעצר בית חלקי למדי. </w:t>
      </w:r>
    </w:p>
    <w:p w14:paraId="0755BA2A" w14:textId="77777777" w:rsidR="008300ED" w:rsidRDefault="008300ED" w:rsidP="008300ED">
      <w:pPr>
        <w:tabs>
          <w:tab w:val="left" w:pos="566"/>
        </w:tabs>
        <w:spacing w:line="360" w:lineRule="auto"/>
        <w:jc w:val="both"/>
        <w:rPr>
          <w:rtl/>
        </w:rPr>
      </w:pPr>
    </w:p>
    <w:p w14:paraId="7ED38531" w14:textId="77777777" w:rsidR="008300ED" w:rsidRDefault="008300ED" w:rsidP="008300ED">
      <w:pPr>
        <w:tabs>
          <w:tab w:val="left" w:pos="566"/>
        </w:tabs>
        <w:spacing w:line="360" w:lineRule="auto"/>
        <w:jc w:val="both"/>
        <w:rPr>
          <w:rtl/>
        </w:rPr>
      </w:pPr>
      <w:r>
        <w:rPr>
          <w:rFonts w:hint="cs"/>
          <w:rtl/>
        </w:rPr>
        <w:t xml:space="preserve">בשים לב לכלל שיקולים אלה, סבורני כי אין צורך במקרה זה במאסר בפועל על דרך כליאה ממשית, ואולם הסטיה מהמתחם שתואר לא צריכה להיות קיצונית באופן המבוקש ולו כסעד ראשוני על ידי ההגנה. לטעמי כדי לשמור על שיקול ההלימה שהינו שיקול מרכזי בתורת הבניית הענישה הרי שיש מקום שהשיקול השיקומי יתבטא בכך שהמאסר בפועל במקרה זה יוטל אך על כך עבודות שירות ולתקופה המירבית שמאפשר רכיב שכזה. </w:t>
      </w:r>
    </w:p>
    <w:p w14:paraId="13A9A1E3" w14:textId="77777777" w:rsidR="008300ED" w:rsidRDefault="008300ED" w:rsidP="008300ED">
      <w:pPr>
        <w:tabs>
          <w:tab w:val="left" w:pos="566"/>
        </w:tabs>
        <w:spacing w:line="360" w:lineRule="auto"/>
        <w:jc w:val="both"/>
        <w:rPr>
          <w:rtl/>
        </w:rPr>
      </w:pPr>
    </w:p>
    <w:p w14:paraId="6DB44952" w14:textId="77777777" w:rsidR="008300ED" w:rsidRDefault="008300ED" w:rsidP="008300ED">
      <w:pPr>
        <w:tabs>
          <w:tab w:val="left" w:pos="566"/>
        </w:tabs>
        <w:spacing w:line="360" w:lineRule="auto"/>
        <w:jc w:val="both"/>
        <w:rPr>
          <w:rtl/>
        </w:rPr>
      </w:pPr>
      <w:r>
        <w:rPr>
          <w:rFonts w:hint="cs"/>
          <w:rtl/>
        </w:rPr>
        <w:t xml:space="preserve">בנוסף יש מקום לרכיבים של מאסר מותנה מרתיע, קנס בשיעור של אלפי שקלים, כאשר לענין פסילת רישיון הנהיגה  יש מקום להסתפק בפסילה מותנית, בשים לב לעתירת התביעה. כמובן שלצד כל אלה יש כאמור לעיל מקום להטיל צו מבחן במשך יתרת תקופת הטיפול. </w:t>
      </w:r>
    </w:p>
    <w:p w14:paraId="386DB00C" w14:textId="77777777" w:rsidR="008300ED" w:rsidRDefault="008300ED" w:rsidP="008300ED">
      <w:pPr>
        <w:tabs>
          <w:tab w:val="left" w:pos="566"/>
        </w:tabs>
        <w:spacing w:line="360" w:lineRule="auto"/>
        <w:jc w:val="both"/>
        <w:rPr>
          <w:rtl/>
        </w:rPr>
      </w:pPr>
    </w:p>
    <w:p w14:paraId="63078D81" w14:textId="77777777" w:rsidR="008300ED" w:rsidRPr="00300654" w:rsidRDefault="008300ED" w:rsidP="008300ED">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33CC8334" w14:textId="77777777" w:rsidR="008300ED" w:rsidRPr="00817293" w:rsidRDefault="008300ED" w:rsidP="008300ED">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6</w:t>
      </w:r>
      <w:r w:rsidRPr="00817293">
        <w:rPr>
          <w:rFonts w:hint="cs"/>
          <w:rtl/>
        </w:rPr>
        <w:t xml:space="preserve"> חודשים אשר ירוצו בדרך של עבודות שירות, החל מיום </w:t>
      </w:r>
      <w:r>
        <w:rPr>
          <w:rFonts w:hint="cs"/>
          <w:rtl/>
        </w:rPr>
        <w:t>18.10.17</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47D2269A" w14:textId="77777777" w:rsidR="008300ED" w:rsidRDefault="008300ED" w:rsidP="008300ED">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 xml:space="preserve">6 </w:t>
      </w:r>
      <w:r w:rsidRPr="00300654">
        <w:rPr>
          <w:rFonts w:hint="cs"/>
          <w:rtl/>
        </w:rPr>
        <w:t xml:space="preserve">חודשים למשך 3 שנים מהיום, והתנאי הוא שלא יעבור </w:t>
      </w:r>
      <w:r>
        <w:rPr>
          <w:rFonts w:hint="cs"/>
          <w:rtl/>
        </w:rPr>
        <w:t xml:space="preserve">עבירה על </w:t>
      </w:r>
      <w:hyperlink r:id="rId8" w:history="1">
        <w:r w:rsidR="003E2A15" w:rsidRPr="003E2A15">
          <w:rPr>
            <w:color w:val="0000FF"/>
            <w:u w:val="single"/>
            <w:rtl/>
          </w:rPr>
          <w:t>פקודת הסמים המסוכנים</w:t>
        </w:r>
      </w:hyperlink>
      <w:r>
        <w:rPr>
          <w:rFonts w:hint="cs"/>
          <w:rtl/>
        </w:rPr>
        <w:t xml:space="preserve"> מסוג עוון. </w:t>
      </w:r>
    </w:p>
    <w:p w14:paraId="641FAB13" w14:textId="77777777" w:rsidR="008300ED" w:rsidRDefault="008300ED" w:rsidP="008300ED">
      <w:pPr>
        <w:numPr>
          <w:ilvl w:val="0"/>
          <w:numId w:val="1"/>
        </w:numPr>
        <w:tabs>
          <w:tab w:val="left" w:pos="566"/>
        </w:tabs>
        <w:snapToGrid w:val="0"/>
        <w:spacing w:line="360" w:lineRule="auto"/>
        <w:ind w:left="658" w:hanging="298"/>
        <w:jc w:val="both"/>
      </w:pPr>
      <w:r>
        <w:rPr>
          <w:rFonts w:hint="cs"/>
          <w:rtl/>
        </w:rPr>
        <w:t xml:space="preserve">מאסר על תנאי של 9 חודשים למשך 3 שנים מהיום, והתנאי הוא שלא יעבור עבירה על </w:t>
      </w:r>
      <w:hyperlink r:id="rId9" w:history="1">
        <w:r w:rsidR="003E2A15" w:rsidRPr="003E2A15">
          <w:rPr>
            <w:color w:val="0000FF"/>
            <w:u w:val="single"/>
            <w:rtl/>
          </w:rPr>
          <w:t>פקודת הסמים המסוכנים</w:t>
        </w:r>
      </w:hyperlink>
      <w:r>
        <w:rPr>
          <w:rFonts w:hint="cs"/>
          <w:rtl/>
        </w:rPr>
        <w:t xml:space="preserve"> מסוג פשע. </w:t>
      </w:r>
    </w:p>
    <w:p w14:paraId="2DF2DC88" w14:textId="77777777" w:rsidR="008300ED" w:rsidRDefault="008300ED" w:rsidP="008300ED">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 xml:space="preserve">3000 ₪ אשר ישולם באמצעות הפיקדון בסכום זהה שהופקד בתיק </w:t>
      </w:r>
      <w:hyperlink r:id="rId10" w:history="1">
        <w:r w:rsidR="003E2A15" w:rsidRPr="003E2A15">
          <w:rPr>
            <w:color w:val="0000FF"/>
            <w:u w:val="single"/>
            <w:rtl/>
          </w:rPr>
          <w:t>מת 19631-08-16</w:t>
        </w:r>
      </w:hyperlink>
      <w:r>
        <w:rPr>
          <w:rFonts w:hint="cs"/>
          <w:rtl/>
        </w:rPr>
        <w:t>.</w:t>
      </w:r>
    </w:p>
    <w:p w14:paraId="59032512" w14:textId="77777777" w:rsidR="008300ED" w:rsidRDefault="008300ED" w:rsidP="008300ED">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6</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 יעבור עבירה על </w:t>
      </w:r>
      <w:hyperlink r:id="rId11" w:history="1">
        <w:r w:rsidR="003E2A15" w:rsidRPr="003E2A15">
          <w:rPr>
            <w:color w:val="0000FF"/>
            <w:u w:val="single"/>
            <w:rtl/>
          </w:rPr>
          <w:t>פקודת הסמים המסוכנים</w:t>
        </w:r>
      </w:hyperlink>
      <w:r w:rsidRPr="00300654">
        <w:rPr>
          <w:rFonts w:hint="cs"/>
          <w:rtl/>
        </w:rPr>
        <w:t>.</w:t>
      </w:r>
      <w:r>
        <w:rPr>
          <w:rFonts w:hint="cs"/>
          <w:rtl/>
        </w:rPr>
        <w:t xml:space="preserve"> </w:t>
      </w:r>
    </w:p>
    <w:p w14:paraId="68B2114F" w14:textId="77777777" w:rsidR="008300ED" w:rsidRPr="00300654" w:rsidRDefault="008300ED" w:rsidP="008300ED">
      <w:pPr>
        <w:numPr>
          <w:ilvl w:val="0"/>
          <w:numId w:val="1"/>
        </w:numPr>
        <w:tabs>
          <w:tab w:val="left" w:pos="566"/>
        </w:tabs>
        <w:snapToGrid w:val="0"/>
        <w:spacing w:line="360" w:lineRule="auto"/>
        <w:ind w:left="658" w:hanging="298"/>
        <w:jc w:val="both"/>
        <w:rPr>
          <w:rtl/>
        </w:rPr>
      </w:pPr>
      <w:r>
        <w:rPr>
          <w:rFonts w:hint="cs"/>
          <w:rtl/>
        </w:rPr>
        <w:t xml:space="preserve"> ניתן בזאת לנאשם צו מבחן למשך שנה. </w:t>
      </w:r>
    </w:p>
    <w:p w14:paraId="124EE183" w14:textId="77777777" w:rsidR="008300ED" w:rsidRDefault="008300ED" w:rsidP="008300ED">
      <w:pPr>
        <w:bidi w:val="0"/>
        <w:rPr>
          <w:rtl/>
        </w:rPr>
      </w:pPr>
    </w:p>
    <w:p w14:paraId="772E21F3" w14:textId="77777777" w:rsidR="008300ED" w:rsidRDefault="008300ED" w:rsidP="008300ED">
      <w:pPr>
        <w:tabs>
          <w:tab w:val="left" w:pos="566"/>
        </w:tabs>
        <w:snapToGrid w:val="0"/>
        <w:spacing w:line="360" w:lineRule="auto"/>
        <w:ind w:left="567" w:hanging="567"/>
        <w:jc w:val="both"/>
        <w:rPr>
          <w:rtl/>
        </w:rPr>
      </w:pPr>
    </w:p>
    <w:p w14:paraId="3FD94C6E" w14:textId="77777777" w:rsidR="008300ED" w:rsidRPr="00300654" w:rsidRDefault="008300ED" w:rsidP="008300ED">
      <w:pPr>
        <w:tabs>
          <w:tab w:val="left" w:pos="566"/>
        </w:tabs>
        <w:snapToGrid w:val="0"/>
        <w:spacing w:line="360" w:lineRule="auto"/>
        <w:ind w:left="567" w:hanging="567"/>
        <w:jc w:val="both"/>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 xml:space="preserve">הסמים שנתפסו. </w:t>
      </w:r>
    </w:p>
    <w:p w14:paraId="0E55FA32" w14:textId="77777777" w:rsidR="008300ED" w:rsidRPr="003C0848" w:rsidRDefault="008300ED" w:rsidP="008300ED">
      <w:pPr>
        <w:tabs>
          <w:tab w:val="left" w:pos="566"/>
        </w:tabs>
        <w:snapToGrid w:val="0"/>
        <w:spacing w:line="360" w:lineRule="auto"/>
        <w:ind w:left="567" w:hanging="567"/>
        <w:jc w:val="both"/>
        <w:rPr>
          <w:rtl/>
        </w:rPr>
      </w:pPr>
    </w:p>
    <w:p w14:paraId="136C08AA" w14:textId="77777777" w:rsidR="008300ED" w:rsidRPr="00300654" w:rsidRDefault="008300ED" w:rsidP="008300ED">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32951396" w14:textId="77777777" w:rsidR="008300ED" w:rsidRPr="007659E1" w:rsidRDefault="008300ED" w:rsidP="008300ED">
      <w:pPr>
        <w:tabs>
          <w:tab w:val="left" w:pos="566"/>
        </w:tabs>
        <w:snapToGrid w:val="0"/>
        <w:spacing w:line="360" w:lineRule="auto"/>
        <w:ind w:left="567" w:hanging="567"/>
        <w:jc w:val="both"/>
        <w:rPr>
          <w:rtl/>
        </w:rPr>
      </w:pPr>
    </w:p>
    <w:p w14:paraId="1C1D3351" w14:textId="77777777" w:rsidR="008300ED" w:rsidRPr="00300654" w:rsidRDefault="008300ED" w:rsidP="008300ED">
      <w:pPr>
        <w:tabs>
          <w:tab w:val="left" w:pos="566"/>
        </w:tabs>
        <w:snapToGrid w:val="0"/>
        <w:spacing w:line="360" w:lineRule="auto"/>
        <w:ind w:left="567" w:hanging="567"/>
        <w:jc w:val="both"/>
        <w:rPr>
          <w:b/>
          <w:bCs/>
          <w:rtl/>
        </w:rPr>
      </w:pPr>
      <w:r w:rsidRPr="00300654">
        <w:rPr>
          <w:rFonts w:hint="cs"/>
          <w:b/>
          <w:bCs/>
          <w:rtl/>
        </w:rPr>
        <w:t>המזכירות תשלח העתק מג</w:t>
      </w:r>
      <w:r>
        <w:rPr>
          <w:rFonts w:hint="cs"/>
          <w:b/>
          <w:bCs/>
          <w:rtl/>
        </w:rPr>
        <w:t xml:space="preserve">זר הדין לממונה על עבודות השירות וכן לשירות המבחן. </w:t>
      </w:r>
    </w:p>
    <w:p w14:paraId="27466B64" w14:textId="77777777" w:rsidR="008300ED" w:rsidRDefault="008300ED" w:rsidP="008300ED">
      <w:pPr>
        <w:spacing w:line="360" w:lineRule="auto"/>
        <w:jc w:val="both"/>
        <w:rPr>
          <w:rtl/>
        </w:rPr>
      </w:pPr>
      <w:r>
        <w:rPr>
          <w:rFonts w:hint="cs"/>
          <w:b/>
          <w:bCs/>
          <w:u w:val="double"/>
          <w:rtl/>
        </w:rPr>
        <w:t xml:space="preserve"> </w:t>
      </w:r>
    </w:p>
    <w:p w14:paraId="5392A14F" w14:textId="77777777" w:rsidR="008300ED" w:rsidRDefault="008300ED" w:rsidP="008300ED">
      <w:pPr>
        <w:spacing w:line="360" w:lineRule="auto"/>
        <w:jc w:val="both"/>
        <w:rPr>
          <w:sz w:val="6"/>
          <w:szCs w:val="6"/>
          <w:rtl/>
        </w:rPr>
      </w:pPr>
      <w:r>
        <w:rPr>
          <w:sz w:val="6"/>
          <w:szCs w:val="6"/>
          <w:rtl/>
        </w:rPr>
        <w:t>&lt;#5#&gt;</w:t>
      </w:r>
    </w:p>
    <w:p w14:paraId="3B434691" w14:textId="77777777" w:rsidR="008300ED" w:rsidRDefault="008300ED" w:rsidP="008300ED">
      <w:pPr>
        <w:jc w:val="right"/>
        <w:rPr>
          <w:rtl/>
        </w:rPr>
      </w:pPr>
    </w:p>
    <w:p w14:paraId="1EF6ED9D" w14:textId="77777777" w:rsidR="008300ED" w:rsidRDefault="008300ED" w:rsidP="008300ED">
      <w:pPr>
        <w:spacing w:line="360" w:lineRule="auto"/>
        <w:rPr>
          <w:rtl/>
        </w:rPr>
      </w:pPr>
      <w:r>
        <w:rPr>
          <w:rFonts w:hint="cs"/>
          <w:b/>
          <w:bCs/>
          <w:rtl/>
        </w:rPr>
        <w:t xml:space="preserve">ניתנה והודעה היום </w:t>
      </w:r>
      <w:r>
        <w:rPr>
          <w:b/>
          <w:bCs/>
          <w:rtl/>
        </w:rPr>
        <w:t>ט"ז אלול תשע"ז</w:t>
      </w:r>
      <w:r>
        <w:rPr>
          <w:rFonts w:hint="cs"/>
          <w:b/>
          <w:bCs/>
          <w:rtl/>
        </w:rPr>
        <w:t xml:space="preserve">, </w:t>
      </w:r>
      <w:r>
        <w:rPr>
          <w:b/>
          <w:bCs/>
        </w:rPr>
        <w:t>07/09/2017</w:t>
      </w:r>
      <w:r>
        <w:rPr>
          <w:rFonts w:hint="cs"/>
          <w:b/>
          <w:bCs/>
          <w:rtl/>
        </w:rPr>
        <w:t xml:space="preserve"> במעמד הנוכחים.</w:t>
      </w:r>
    </w:p>
    <w:p w14:paraId="020657B6" w14:textId="77777777" w:rsidR="008300ED" w:rsidRDefault="008300ED" w:rsidP="008300ED">
      <w:pPr>
        <w:jc w:val="center"/>
        <w:rPr>
          <w:rtl/>
        </w:rPr>
      </w:pPr>
    </w:p>
    <w:p w14:paraId="485F9305" w14:textId="77777777" w:rsidR="008300ED" w:rsidRDefault="008300ED" w:rsidP="008300E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C658E" w14:paraId="4399C69C" w14:textId="77777777" w:rsidTr="008300ED">
        <w:trPr>
          <w:trHeight w:val="316"/>
          <w:jc w:val="right"/>
        </w:trPr>
        <w:tc>
          <w:tcPr>
            <w:tcW w:w="3936" w:type="dxa"/>
            <w:shd w:val="clear" w:color="auto" w:fill="auto"/>
          </w:tcPr>
          <w:p w14:paraId="1597FF9D" w14:textId="77777777" w:rsidR="008300ED" w:rsidRDefault="008300ED" w:rsidP="008300ED">
            <w:pPr>
              <w:jc w:val="center"/>
            </w:pPr>
            <w:r>
              <w:rPr>
                <w:rtl/>
              </w:rPr>
              <w:t xml:space="preserve">     </w:t>
            </w:r>
          </w:p>
          <w:p w14:paraId="0335D785" w14:textId="77777777" w:rsidR="008300ED" w:rsidRDefault="008300ED" w:rsidP="008300ED">
            <w:pPr>
              <w:jc w:val="center"/>
              <w:rPr>
                <w:rtl/>
              </w:rPr>
            </w:pPr>
          </w:p>
        </w:tc>
      </w:tr>
      <w:tr w:rsidR="002C658E" w14:paraId="2A68EDF1" w14:textId="77777777" w:rsidTr="008300ED">
        <w:trPr>
          <w:trHeight w:val="361"/>
          <w:jc w:val="right"/>
        </w:trPr>
        <w:tc>
          <w:tcPr>
            <w:tcW w:w="3936" w:type="dxa"/>
            <w:shd w:val="clear" w:color="auto" w:fill="auto"/>
          </w:tcPr>
          <w:p w14:paraId="7D65187A" w14:textId="77777777" w:rsidR="008300ED" w:rsidRPr="008300ED" w:rsidRDefault="008300ED" w:rsidP="008300ED">
            <w:pPr>
              <w:jc w:val="center"/>
              <w:rPr>
                <w:b/>
                <w:bCs/>
                <w:rtl/>
              </w:rPr>
            </w:pPr>
            <w:r w:rsidRPr="008300ED">
              <w:rPr>
                <w:b/>
                <w:bCs/>
                <w:rtl/>
              </w:rPr>
              <w:t>עמית</w:t>
            </w:r>
            <w:r w:rsidRPr="008300ED">
              <w:rPr>
                <w:rFonts w:hint="cs"/>
                <w:b/>
                <w:bCs/>
                <w:rtl/>
              </w:rPr>
              <w:t xml:space="preserve"> </w:t>
            </w:r>
            <w:r w:rsidRPr="008300ED">
              <w:rPr>
                <w:b/>
                <w:bCs/>
                <w:rtl/>
              </w:rPr>
              <w:t xml:space="preserve">פרייז </w:t>
            </w:r>
            <w:r w:rsidRPr="008300ED">
              <w:rPr>
                <w:rFonts w:hint="cs"/>
                <w:b/>
                <w:bCs/>
                <w:rtl/>
              </w:rPr>
              <w:t xml:space="preserve">, </w:t>
            </w:r>
            <w:r w:rsidRPr="008300ED">
              <w:rPr>
                <w:b/>
                <w:bCs/>
                <w:rtl/>
              </w:rPr>
              <w:t xml:space="preserve">שופט </w:t>
            </w:r>
          </w:p>
        </w:tc>
      </w:tr>
    </w:tbl>
    <w:p w14:paraId="167D0681" w14:textId="77777777" w:rsidR="008300ED" w:rsidRDefault="008300ED" w:rsidP="008300ED">
      <w:pPr>
        <w:jc w:val="right"/>
        <w:rPr>
          <w:rtl/>
        </w:rPr>
      </w:pPr>
    </w:p>
    <w:p w14:paraId="556F2F12" w14:textId="77777777" w:rsidR="008300ED" w:rsidRDefault="008300ED" w:rsidP="00EA4918">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56DA5D3" w14:textId="77777777" w:rsidR="008300ED" w:rsidRDefault="008300ED" w:rsidP="008300ED">
      <w:pPr>
        <w:spacing w:line="360" w:lineRule="auto"/>
        <w:jc w:val="both"/>
        <w:rPr>
          <w:rtl/>
        </w:rPr>
      </w:pPr>
    </w:p>
    <w:p w14:paraId="7A7F52C9" w14:textId="77777777" w:rsidR="008300ED" w:rsidRDefault="008300ED" w:rsidP="008300ED">
      <w:pPr>
        <w:spacing w:line="360" w:lineRule="auto"/>
        <w:jc w:val="both"/>
        <w:rPr>
          <w:rtl/>
        </w:rPr>
      </w:pPr>
      <w:r>
        <w:rPr>
          <w:rFonts w:hint="cs"/>
          <w:rtl/>
        </w:rPr>
        <w:t xml:space="preserve">ממילא עבודות השירות אמורות להתחיל בעוד פרק זמן של כ-6 שבועות משמע קרוב מאוד לתקופה הנדרשת לצורך הגשת ערעור, על כן לא מצאתי צורך בעיכוב ביצוע. </w:t>
      </w:r>
    </w:p>
    <w:p w14:paraId="0197DFA3" w14:textId="77777777" w:rsidR="008300ED" w:rsidRDefault="008300ED" w:rsidP="008300ED">
      <w:pPr>
        <w:spacing w:line="360" w:lineRule="auto"/>
        <w:jc w:val="both"/>
        <w:rPr>
          <w:sz w:val="6"/>
          <w:szCs w:val="6"/>
          <w:rtl/>
        </w:rPr>
      </w:pPr>
      <w:r>
        <w:rPr>
          <w:sz w:val="6"/>
          <w:szCs w:val="6"/>
          <w:rtl/>
        </w:rPr>
        <w:t>&lt;#7#&gt;</w:t>
      </w:r>
    </w:p>
    <w:p w14:paraId="3A6B1202" w14:textId="77777777" w:rsidR="008300ED" w:rsidRPr="003E2A15" w:rsidRDefault="003E2A15" w:rsidP="008300ED">
      <w:pPr>
        <w:jc w:val="right"/>
        <w:rPr>
          <w:color w:val="FFFFFF"/>
          <w:sz w:val="2"/>
          <w:szCs w:val="2"/>
          <w:rtl/>
        </w:rPr>
      </w:pPr>
      <w:r w:rsidRPr="003E2A1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C658E" w14:paraId="5C68126B" w14:textId="77777777" w:rsidTr="008300ED">
        <w:trPr>
          <w:trHeight w:val="316"/>
          <w:jc w:val="right"/>
        </w:trPr>
        <w:tc>
          <w:tcPr>
            <w:tcW w:w="3936" w:type="dxa"/>
            <w:shd w:val="clear" w:color="auto" w:fill="auto"/>
          </w:tcPr>
          <w:p w14:paraId="389EAD7F" w14:textId="77777777" w:rsidR="008300ED" w:rsidRDefault="003E2A15" w:rsidP="008300ED">
            <w:pPr>
              <w:jc w:val="center"/>
            </w:pPr>
            <w:r w:rsidRPr="003E2A15">
              <w:rPr>
                <w:b/>
                <w:bCs/>
                <w:color w:val="FFFFFF"/>
                <w:sz w:val="2"/>
                <w:szCs w:val="2"/>
                <w:rtl/>
              </w:rPr>
              <w:t>54678313</w:t>
            </w:r>
            <w:r>
              <w:rPr>
                <w:b/>
                <w:bCs/>
                <w:rtl/>
              </w:rPr>
              <w:t xml:space="preserve">ניתנה והודעה היום ט"ז אלול תשע"ז, 07/09/2017 במעמד הנוכחים. </w:t>
            </w:r>
            <w:r w:rsidR="008300ED">
              <w:rPr>
                <w:rtl/>
              </w:rPr>
              <w:t xml:space="preserve">     </w:t>
            </w:r>
          </w:p>
          <w:p w14:paraId="3A72AD1D" w14:textId="77777777" w:rsidR="008300ED" w:rsidRDefault="008300ED" w:rsidP="008300ED">
            <w:pPr>
              <w:jc w:val="center"/>
              <w:rPr>
                <w:rtl/>
              </w:rPr>
            </w:pPr>
          </w:p>
        </w:tc>
      </w:tr>
      <w:tr w:rsidR="002C658E" w14:paraId="0E663CF9" w14:textId="77777777" w:rsidTr="008300ED">
        <w:trPr>
          <w:trHeight w:val="361"/>
          <w:jc w:val="right"/>
        </w:trPr>
        <w:tc>
          <w:tcPr>
            <w:tcW w:w="3936" w:type="dxa"/>
            <w:shd w:val="clear" w:color="auto" w:fill="auto"/>
          </w:tcPr>
          <w:p w14:paraId="1F976764" w14:textId="77777777" w:rsidR="008300ED" w:rsidRPr="008300ED" w:rsidRDefault="008300ED" w:rsidP="008300ED">
            <w:pPr>
              <w:jc w:val="center"/>
              <w:rPr>
                <w:b/>
                <w:bCs/>
                <w:rtl/>
              </w:rPr>
            </w:pPr>
            <w:r w:rsidRPr="008300ED">
              <w:rPr>
                <w:b/>
                <w:bCs/>
                <w:rtl/>
              </w:rPr>
              <w:t>עמית</w:t>
            </w:r>
            <w:r w:rsidRPr="008300ED">
              <w:rPr>
                <w:rFonts w:hint="cs"/>
                <w:b/>
                <w:bCs/>
                <w:rtl/>
              </w:rPr>
              <w:t xml:space="preserve"> </w:t>
            </w:r>
            <w:r w:rsidRPr="008300ED">
              <w:rPr>
                <w:b/>
                <w:bCs/>
                <w:rtl/>
              </w:rPr>
              <w:t xml:space="preserve">פרייז </w:t>
            </w:r>
            <w:r w:rsidRPr="008300ED">
              <w:rPr>
                <w:rFonts w:hint="cs"/>
                <w:b/>
                <w:bCs/>
                <w:rtl/>
              </w:rPr>
              <w:t xml:space="preserve">, </w:t>
            </w:r>
            <w:r w:rsidRPr="008300ED">
              <w:rPr>
                <w:b/>
                <w:bCs/>
                <w:rtl/>
              </w:rPr>
              <w:t xml:space="preserve">שופט </w:t>
            </w:r>
          </w:p>
        </w:tc>
      </w:tr>
    </w:tbl>
    <w:p w14:paraId="033DE78A" w14:textId="77777777" w:rsidR="008300ED" w:rsidRPr="003C0848" w:rsidRDefault="008300ED" w:rsidP="008300ED">
      <w:pPr>
        <w:jc w:val="right"/>
        <w:rPr>
          <w:rtl/>
        </w:rPr>
      </w:pPr>
    </w:p>
    <w:p w14:paraId="78E84CC1" w14:textId="77777777" w:rsidR="008300ED" w:rsidRDefault="00EA4918" w:rsidP="008300ED">
      <w:r w:rsidRPr="00EA4918">
        <w:rPr>
          <w:color w:val="FFFFFF"/>
          <w:sz w:val="2"/>
          <w:szCs w:val="2"/>
          <w:rtl/>
        </w:rPr>
        <w:t>5129371</w:t>
      </w:r>
      <w:r w:rsidR="008300ED">
        <w:rPr>
          <w:rtl/>
        </w:rPr>
        <w:t>הוקלד</w:t>
      </w:r>
      <w:r w:rsidR="008300ED">
        <w:t xml:space="preserve"> </w:t>
      </w:r>
      <w:r w:rsidR="008300ED">
        <w:rPr>
          <w:rtl/>
        </w:rPr>
        <w:t>על</w:t>
      </w:r>
      <w:r w:rsidR="008300ED">
        <w:t xml:space="preserve"> </w:t>
      </w:r>
      <w:r w:rsidR="008300ED">
        <w:rPr>
          <w:rtl/>
        </w:rPr>
        <w:t>ידי</w:t>
      </w:r>
      <w:r w:rsidR="008300ED">
        <w:t xml:space="preserve"> </w:t>
      </w:r>
      <w:r w:rsidR="008300ED">
        <w:rPr>
          <w:rtl/>
        </w:rPr>
        <w:t>סופיה</w:t>
      </w:r>
      <w:r w:rsidR="008300ED">
        <w:t xml:space="preserve"> </w:t>
      </w:r>
      <w:r w:rsidR="008300ED">
        <w:rPr>
          <w:rtl/>
        </w:rPr>
        <w:t>עטיה</w:t>
      </w:r>
    </w:p>
    <w:p w14:paraId="02D58E17" w14:textId="77777777" w:rsidR="002D7B2F" w:rsidRPr="00EA4918" w:rsidRDefault="00EA4918" w:rsidP="003E2A15">
      <w:pPr>
        <w:keepNext/>
        <w:rPr>
          <w:color w:val="FFFFFF"/>
          <w:sz w:val="2"/>
          <w:szCs w:val="2"/>
          <w:rtl/>
        </w:rPr>
      </w:pPr>
      <w:r w:rsidRPr="00EA4918">
        <w:rPr>
          <w:color w:val="FFFFFF"/>
          <w:sz w:val="2"/>
          <w:szCs w:val="2"/>
          <w:rtl/>
        </w:rPr>
        <w:t>512937154678313</w:t>
      </w:r>
    </w:p>
    <w:p w14:paraId="55B8CA37" w14:textId="77777777" w:rsidR="003E2A15" w:rsidRPr="003E2A15" w:rsidRDefault="00EA4918" w:rsidP="003E2A15">
      <w:pPr>
        <w:keepNext/>
        <w:rPr>
          <w:color w:val="000000"/>
          <w:sz w:val="22"/>
          <w:szCs w:val="22"/>
          <w:rtl/>
        </w:rPr>
      </w:pPr>
      <w:r w:rsidRPr="00EA4918">
        <w:rPr>
          <w:color w:val="FFFFFF"/>
          <w:sz w:val="2"/>
          <w:szCs w:val="2"/>
          <w:rtl/>
        </w:rPr>
        <w:t>54678313</w:t>
      </w:r>
      <w:r w:rsidR="003E2A15" w:rsidRPr="003E2A15">
        <w:rPr>
          <w:color w:val="000000"/>
          <w:sz w:val="22"/>
          <w:szCs w:val="22"/>
          <w:rtl/>
        </w:rPr>
        <w:t>עמית פרייז 54678313</w:t>
      </w:r>
    </w:p>
    <w:p w14:paraId="2D329339" w14:textId="77777777" w:rsidR="003E2A15" w:rsidRDefault="003E2A15" w:rsidP="003E2A15">
      <w:r w:rsidRPr="003E2A15">
        <w:rPr>
          <w:color w:val="000000"/>
          <w:rtl/>
        </w:rPr>
        <w:t>נוסח מסמך זה כפוף לשינויי ניסוח ועריכה</w:t>
      </w:r>
    </w:p>
    <w:p w14:paraId="0846CA20" w14:textId="77777777" w:rsidR="003E2A15" w:rsidRDefault="003E2A15" w:rsidP="003E2A15">
      <w:pPr>
        <w:rPr>
          <w:rtl/>
        </w:rPr>
      </w:pPr>
    </w:p>
    <w:p w14:paraId="1EC4EDFE" w14:textId="77777777" w:rsidR="003E2A15" w:rsidRDefault="003E2A15" w:rsidP="003E2A15">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03EADDE1" w14:textId="77777777" w:rsidR="003E2A15" w:rsidRPr="003E2A15" w:rsidRDefault="003E2A15" w:rsidP="00EA4918">
      <w:pPr>
        <w:rPr>
          <w:color w:val="0000FF"/>
          <w:u w:val="single"/>
        </w:rPr>
      </w:pPr>
    </w:p>
    <w:sectPr w:rsidR="003E2A15" w:rsidRPr="003E2A15" w:rsidSect="00EA4918">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5D950" w14:textId="77777777" w:rsidR="008775B7" w:rsidRDefault="008775B7" w:rsidP="00F87C75">
      <w:r>
        <w:separator/>
      </w:r>
    </w:p>
  </w:endnote>
  <w:endnote w:type="continuationSeparator" w:id="0">
    <w:p w14:paraId="7B331E86" w14:textId="77777777" w:rsidR="008775B7" w:rsidRDefault="008775B7" w:rsidP="00F8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1BA82" w14:textId="77777777" w:rsidR="008775B7" w:rsidRDefault="008775B7" w:rsidP="00EA49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53CCEA3" w14:textId="77777777" w:rsidR="008775B7" w:rsidRPr="00EA4918" w:rsidRDefault="008775B7" w:rsidP="00EA4918">
    <w:pPr>
      <w:pStyle w:val="a5"/>
      <w:pBdr>
        <w:top w:val="single" w:sz="4" w:space="1" w:color="auto"/>
        <w:between w:val="single" w:sz="4" w:space="0" w:color="auto"/>
      </w:pBdr>
      <w:spacing w:after="60"/>
      <w:jc w:val="center"/>
      <w:rPr>
        <w:rFonts w:ascii="FrankRuehl" w:hAnsi="FrankRuehl" w:cs="FrankRuehl"/>
        <w:color w:val="000000"/>
      </w:rPr>
    </w:pPr>
    <w:r w:rsidRPr="00EA49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1ADDF" w14:textId="77777777" w:rsidR="008775B7" w:rsidRDefault="008775B7" w:rsidP="00EA49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5682">
      <w:rPr>
        <w:rFonts w:ascii="FrankRuehl" w:hAnsi="FrankRuehl" w:cs="FrankRuehl"/>
        <w:noProof/>
        <w:rtl/>
      </w:rPr>
      <w:t>1</w:t>
    </w:r>
    <w:r>
      <w:rPr>
        <w:rFonts w:ascii="FrankRuehl" w:hAnsi="FrankRuehl" w:cs="FrankRuehl"/>
        <w:rtl/>
      </w:rPr>
      <w:fldChar w:fldCharType="end"/>
    </w:r>
  </w:p>
  <w:p w14:paraId="20B7E4D5" w14:textId="77777777" w:rsidR="008775B7" w:rsidRPr="00EA4918" w:rsidRDefault="008775B7" w:rsidP="00EA4918">
    <w:pPr>
      <w:pStyle w:val="a5"/>
      <w:pBdr>
        <w:top w:val="single" w:sz="4" w:space="1" w:color="auto"/>
        <w:between w:val="single" w:sz="4" w:space="0" w:color="auto"/>
      </w:pBdr>
      <w:spacing w:after="60"/>
      <w:jc w:val="center"/>
      <w:rPr>
        <w:rFonts w:ascii="FrankRuehl" w:hAnsi="FrankRuehl" w:cs="FrankRuehl"/>
        <w:color w:val="000000"/>
      </w:rPr>
    </w:pPr>
    <w:r w:rsidRPr="00EA4918">
      <w:rPr>
        <w:rFonts w:ascii="FrankRuehl" w:hAnsi="FrankRuehl" w:cs="FrankRuehl"/>
        <w:color w:val="000000"/>
      </w:rPr>
      <w:pict w14:anchorId="55EBB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5D3FC" w14:textId="77777777" w:rsidR="008775B7" w:rsidRDefault="008775B7" w:rsidP="00F87C75">
      <w:r>
        <w:separator/>
      </w:r>
    </w:p>
  </w:footnote>
  <w:footnote w:type="continuationSeparator" w:id="0">
    <w:p w14:paraId="2D5065FC" w14:textId="77777777" w:rsidR="008775B7" w:rsidRDefault="008775B7" w:rsidP="00F8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B7C3" w14:textId="77777777" w:rsidR="008775B7" w:rsidRPr="00EA4918" w:rsidRDefault="008775B7" w:rsidP="00EA491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19606-08-16</w:t>
    </w:r>
    <w:r>
      <w:rPr>
        <w:color w:val="000000"/>
        <w:sz w:val="22"/>
        <w:szCs w:val="22"/>
        <w:rtl/>
      </w:rPr>
      <w:tab/>
      <w:t xml:space="preserve"> מדינת ישראל נ' אלון בר נוף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06B97" w14:textId="77777777" w:rsidR="008775B7" w:rsidRPr="00EA4918" w:rsidRDefault="008775B7" w:rsidP="00EA491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19606-08-16</w:t>
    </w:r>
    <w:r>
      <w:rPr>
        <w:color w:val="000000"/>
        <w:sz w:val="22"/>
        <w:szCs w:val="22"/>
        <w:rtl/>
      </w:rPr>
      <w:tab/>
      <w:t xml:space="preserve"> מדינת ישראל נ' אלון בר נוף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66305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00ED"/>
    <w:rsid w:val="00247AED"/>
    <w:rsid w:val="002C658E"/>
    <w:rsid w:val="002D3651"/>
    <w:rsid w:val="002D7B2F"/>
    <w:rsid w:val="003E2A15"/>
    <w:rsid w:val="0049316E"/>
    <w:rsid w:val="008300ED"/>
    <w:rsid w:val="008775B7"/>
    <w:rsid w:val="00A5180E"/>
    <w:rsid w:val="00BA16A0"/>
    <w:rsid w:val="00CD5682"/>
    <w:rsid w:val="00EA4918"/>
    <w:rsid w:val="00F87C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EACC06"/>
  <w15:chartTrackingRefBased/>
  <w15:docId w15:val="{A36172E9-A12B-4E54-A73F-11BE1E9D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00ED"/>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00ED"/>
    <w:pPr>
      <w:tabs>
        <w:tab w:val="center" w:pos="4153"/>
        <w:tab w:val="right" w:pos="8306"/>
      </w:tabs>
    </w:pPr>
  </w:style>
  <w:style w:type="character" w:customStyle="1" w:styleId="a4">
    <w:name w:val="כותרת עליונה תו"/>
    <w:link w:val="a3"/>
    <w:rsid w:val="008300ED"/>
    <w:rPr>
      <w:rFonts w:ascii="David" w:eastAsia="David" w:hAnsi="David" w:cs="David"/>
      <w:sz w:val="24"/>
      <w:szCs w:val="24"/>
    </w:rPr>
  </w:style>
  <w:style w:type="paragraph" w:styleId="a5">
    <w:name w:val="footer"/>
    <w:basedOn w:val="a"/>
    <w:link w:val="a6"/>
    <w:rsid w:val="008300ED"/>
    <w:pPr>
      <w:tabs>
        <w:tab w:val="center" w:pos="4153"/>
        <w:tab w:val="right" w:pos="8306"/>
      </w:tabs>
    </w:pPr>
  </w:style>
  <w:style w:type="character" w:customStyle="1" w:styleId="a6">
    <w:name w:val="כותרת תחתונה תו"/>
    <w:link w:val="a5"/>
    <w:rsid w:val="008300ED"/>
    <w:rPr>
      <w:rFonts w:ascii="David" w:eastAsia="David" w:hAnsi="David" w:cs="David"/>
      <w:sz w:val="24"/>
      <w:szCs w:val="24"/>
    </w:rPr>
  </w:style>
  <w:style w:type="table" w:styleId="a7">
    <w:name w:val="Table Grid"/>
    <w:basedOn w:val="a1"/>
    <w:rsid w:val="008300ED"/>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00ED"/>
  </w:style>
  <w:style w:type="character" w:customStyle="1" w:styleId="TimesNewRomanTimesNewRoman">
    <w:name w:val="סגנון (לטיני) Times New Roman (עברית ושפות אחרות) Times New Roman..."/>
    <w:rsid w:val="008300E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300ED"/>
    <w:rPr>
      <w:rFonts w:ascii="Times New Roman" w:eastAsia="Times New Roman" w:hAnsi="Times New Roman"/>
      <w:b/>
      <w:bCs/>
      <w:u w:val="single"/>
    </w:rPr>
  </w:style>
  <w:style w:type="paragraph" w:styleId="a9">
    <w:name w:val="Body Text"/>
    <w:basedOn w:val="a"/>
    <w:link w:val="aa"/>
    <w:rsid w:val="008300ED"/>
    <w:pPr>
      <w:snapToGrid w:val="0"/>
      <w:jc w:val="both"/>
    </w:pPr>
    <w:rPr>
      <w:rFonts w:ascii="Times New Roman" w:eastAsia="Times New Roman" w:hAnsi="Times New Roman"/>
      <w:sz w:val="20"/>
    </w:rPr>
  </w:style>
  <w:style w:type="character" w:customStyle="1" w:styleId="aa">
    <w:name w:val="גוף טקסט תו"/>
    <w:link w:val="a9"/>
    <w:rsid w:val="008300ED"/>
    <w:rPr>
      <w:rFonts w:ascii="Times New Roman" w:eastAsia="Times New Roman" w:hAnsi="Times New Roman" w:cs="David"/>
      <w:sz w:val="20"/>
      <w:szCs w:val="24"/>
    </w:rPr>
  </w:style>
  <w:style w:type="character" w:styleId="ab">
    <w:name w:val="line number"/>
    <w:rsid w:val="008300ED"/>
  </w:style>
  <w:style w:type="character" w:styleId="Hyperlink">
    <w:name w:val="Hyperlink"/>
    <w:rsid w:val="003E2A15"/>
    <w:rPr>
      <w:color w:val="0563C1"/>
      <w:u w:val="single"/>
    </w:rPr>
  </w:style>
  <w:style w:type="character" w:styleId="ac">
    <w:name w:val="Unresolved Mention"/>
    <w:rsid w:val="003E2A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case/21564065"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5593</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3473523</vt:i4>
      </vt:variant>
      <vt:variant>
        <vt:i4>9</vt:i4>
      </vt:variant>
      <vt:variant>
        <vt:i4>0</vt:i4>
      </vt:variant>
      <vt:variant>
        <vt:i4>5</vt:i4>
      </vt:variant>
      <vt:variant>
        <vt:lpwstr>http://www.nevo.co.il/case/21564065</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19606;26125</vt:lpwstr>
  </property>
  <property fmtid="{D5CDD505-2E9C-101B-9397-08002B2CF9AE}" pid="6" name="NEWPARTB">
    <vt:lpwstr>08;11</vt:lpwstr>
  </property>
  <property fmtid="{D5CDD505-2E9C-101B-9397-08002B2CF9AE}" pid="7" name="NEWPARTC">
    <vt:lpwstr>16;16</vt:lpwstr>
  </property>
  <property fmtid="{D5CDD505-2E9C-101B-9397-08002B2CF9AE}" pid="8" name="APPELLANT">
    <vt:lpwstr>מדינת ישראל</vt:lpwstr>
  </property>
  <property fmtid="{D5CDD505-2E9C-101B-9397-08002B2CF9AE}" pid="9" name="APPELLEE">
    <vt:lpwstr>אלון בר נוף </vt:lpwstr>
  </property>
  <property fmtid="{D5CDD505-2E9C-101B-9397-08002B2CF9AE}" pid="10" name="LAWYER">
    <vt:lpwstr>אלמוג בן חמו;מירב נוסבוים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20170907</vt:lpwstr>
  </property>
  <property fmtid="{D5CDD505-2E9C-101B-9397-08002B2CF9AE}" pid="14" name="TYPE_N_DATE">
    <vt:lpwstr>38020170907</vt:lpwstr>
  </property>
  <property fmtid="{D5CDD505-2E9C-101B-9397-08002B2CF9AE}" pid="15" name="CASESLISTTMP1">
    <vt:lpwstr>21564065</vt:lpwstr>
  </property>
  <property fmtid="{D5CDD505-2E9C-101B-9397-08002B2CF9AE}" pid="16" name="WORDNUMPAGES">
    <vt:lpwstr>4</vt:lpwstr>
  </property>
  <property fmtid="{D5CDD505-2E9C-101B-9397-08002B2CF9AE}" pid="17" name="TYPE_ABS_DATE">
    <vt:lpwstr>380020170907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4216:3</vt:lpwstr>
  </property>
</Properties>
</file>