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43383" w:rsidRPr="007E011D" w14:paraId="49093951" w14:textId="77777777" w:rsidTr="003B381D">
        <w:trPr>
          <w:trHeight w:hRule="exact" w:val="418"/>
          <w:jc w:val="center"/>
        </w:trPr>
        <w:tc>
          <w:tcPr>
            <w:tcW w:w="8721" w:type="dxa"/>
            <w:gridSpan w:val="2"/>
          </w:tcPr>
          <w:p w14:paraId="21F181B1" w14:textId="77777777" w:rsidR="00643383" w:rsidRPr="007E011D" w:rsidRDefault="00643383" w:rsidP="00AB67EC">
            <w:pPr>
              <w:pStyle w:val="a3"/>
              <w:jc w:val="center"/>
              <w:rPr>
                <w:rFonts w:ascii="Tahoma" w:hAnsi="Tahoma" w:cs="Tahoma"/>
                <w:color w:val="000080"/>
                <w:rtl/>
              </w:rPr>
            </w:pPr>
            <w:bookmarkStart w:id="0" w:name="LastJudge"/>
            <w:r w:rsidRPr="007E011D">
              <w:rPr>
                <w:rFonts w:ascii="Tahoma" w:hAnsi="Tahoma" w:cs="Tahoma"/>
                <w:b/>
                <w:bCs/>
                <w:color w:val="000080"/>
                <w:sz w:val="20"/>
                <w:szCs w:val="20"/>
                <w:rtl/>
              </w:rPr>
              <w:t xml:space="preserve">בית משפט השלום בקריית גת - בשבתו בבימ"ש </w:t>
            </w:r>
            <w:r w:rsidRPr="007E011D">
              <w:rPr>
                <w:rFonts w:ascii="Tahoma" w:hAnsi="Tahoma" w:cs="Tahoma" w:hint="cs"/>
                <w:b/>
                <w:bCs/>
                <w:color w:val="000080"/>
                <w:sz w:val="20"/>
                <w:szCs w:val="20"/>
                <w:rtl/>
              </w:rPr>
              <w:t>אשקלון</w:t>
            </w:r>
          </w:p>
        </w:tc>
      </w:tr>
      <w:tr w:rsidR="00643383" w:rsidRPr="007E011D" w14:paraId="3CEDE446" w14:textId="77777777" w:rsidTr="003B381D">
        <w:trPr>
          <w:trHeight w:val="337"/>
          <w:jc w:val="center"/>
        </w:trPr>
        <w:tc>
          <w:tcPr>
            <w:tcW w:w="5056" w:type="dxa"/>
          </w:tcPr>
          <w:p w14:paraId="01E8C65A" w14:textId="77777777" w:rsidR="00643383" w:rsidRPr="007E011D" w:rsidRDefault="00643383" w:rsidP="00AB67EC">
            <w:pPr>
              <w:rPr>
                <w:rFonts w:cs="FrankRuehl"/>
                <w:sz w:val="28"/>
                <w:szCs w:val="28"/>
                <w:rtl/>
              </w:rPr>
            </w:pPr>
            <w:r w:rsidRPr="007E011D">
              <w:rPr>
                <w:rFonts w:cs="FrankRuehl"/>
                <w:sz w:val="28"/>
                <w:szCs w:val="28"/>
                <w:rtl/>
              </w:rPr>
              <w:t>ת"פ</w:t>
            </w:r>
            <w:r w:rsidRPr="007E011D">
              <w:rPr>
                <w:rFonts w:cs="FrankRuehl" w:hint="cs"/>
                <w:sz w:val="28"/>
                <w:szCs w:val="28"/>
                <w:rtl/>
              </w:rPr>
              <w:t xml:space="preserve"> </w:t>
            </w:r>
            <w:r w:rsidRPr="007E011D">
              <w:rPr>
                <w:rFonts w:cs="FrankRuehl"/>
                <w:sz w:val="28"/>
                <w:szCs w:val="28"/>
                <w:rtl/>
              </w:rPr>
              <w:t>19746-08-16</w:t>
            </w:r>
            <w:r w:rsidRPr="007E011D">
              <w:rPr>
                <w:rFonts w:cs="FrankRuehl" w:hint="cs"/>
                <w:sz w:val="28"/>
                <w:szCs w:val="28"/>
                <w:rtl/>
              </w:rPr>
              <w:t xml:space="preserve"> </w:t>
            </w:r>
            <w:r w:rsidRPr="007E011D">
              <w:rPr>
                <w:rFonts w:cs="FrankRuehl"/>
                <w:sz w:val="28"/>
                <w:szCs w:val="28"/>
                <w:rtl/>
              </w:rPr>
              <w:t>מדינת ישראל נ' גבריאלוב</w:t>
            </w:r>
          </w:p>
          <w:p w14:paraId="5A0E09B7" w14:textId="77777777" w:rsidR="00643383" w:rsidRPr="007E011D" w:rsidRDefault="00643383" w:rsidP="00AB67EC">
            <w:pPr>
              <w:pStyle w:val="a3"/>
              <w:rPr>
                <w:rFonts w:cs="FrankRuehl"/>
                <w:sz w:val="28"/>
                <w:szCs w:val="28"/>
                <w:rtl/>
              </w:rPr>
            </w:pPr>
          </w:p>
        </w:tc>
        <w:tc>
          <w:tcPr>
            <w:tcW w:w="3665" w:type="dxa"/>
          </w:tcPr>
          <w:p w14:paraId="679792F6" w14:textId="77777777" w:rsidR="00643383" w:rsidRPr="007E011D" w:rsidRDefault="00643383" w:rsidP="00AB67EC">
            <w:pPr>
              <w:pStyle w:val="a3"/>
              <w:jc w:val="right"/>
              <w:rPr>
                <w:rFonts w:cs="FrankRuehl"/>
                <w:sz w:val="28"/>
                <w:szCs w:val="28"/>
                <w:rtl/>
              </w:rPr>
            </w:pPr>
          </w:p>
        </w:tc>
      </w:tr>
    </w:tbl>
    <w:p w14:paraId="0D5B2368" w14:textId="77777777" w:rsidR="00643383" w:rsidRPr="007E011D" w:rsidRDefault="00643383" w:rsidP="00643383">
      <w:pPr>
        <w:pStyle w:val="a3"/>
        <w:rPr>
          <w:rtl/>
        </w:rPr>
      </w:pPr>
      <w:r w:rsidRPr="007E011D">
        <w:rPr>
          <w:rFonts w:hint="cs"/>
          <w:rtl/>
        </w:rPr>
        <w:t xml:space="preserve"> </w:t>
      </w:r>
    </w:p>
    <w:p w14:paraId="7C69F550" w14:textId="77777777" w:rsidR="00643383" w:rsidRPr="007E011D" w:rsidRDefault="00643383" w:rsidP="006433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43383" w:rsidRPr="007E011D" w14:paraId="083881C5" w14:textId="77777777" w:rsidTr="00643383">
        <w:trPr>
          <w:trHeight w:val="295"/>
          <w:jc w:val="center"/>
        </w:trPr>
        <w:tc>
          <w:tcPr>
            <w:tcW w:w="923" w:type="dxa"/>
            <w:tcBorders>
              <w:top w:val="nil"/>
              <w:left w:val="nil"/>
              <w:bottom w:val="nil"/>
              <w:right w:val="nil"/>
            </w:tcBorders>
            <w:shd w:val="clear" w:color="auto" w:fill="auto"/>
          </w:tcPr>
          <w:p w14:paraId="07F50889" w14:textId="77777777" w:rsidR="00643383" w:rsidRPr="007E011D" w:rsidRDefault="00643383" w:rsidP="00643383">
            <w:pPr>
              <w:jc w:val="both"/>
              <w:rPr>
                <w:rFonts w:ascii="Arial" w:hAnsi="Arial" w:cs="FrankRuehl"/>
                <w:sz w:val="28"/>
                <w:szCs w:val="28"/>
              </w:rPr>
            </w:pPr>
            <w:r w:rsidRPr="007E011D">
              <w:rPr>
                <w:rFonts w:ascii="Arial" w:hAnsi="Arial" w:cs="FrankRuehl" w:hint="cs"/>
                <w:sz w:val="28"/>
                <w:szCs w:val="28"/>
                <w:rtl/>
              </w:rPr>
              <w:t>ב</w:t>
            </w:r>
            <w:r w:rsidRPr="007E011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E5516A8" w14:textId="77777777" w:rsidR="00643383" w:rsidRPr="007E011D" w:rsidRDefault="00643383" w:rsidP="00AB67EC">
            <w:pPr>
              <w:rPr>
                <w:rFonts w:ascii="Arial" w:hAnsi="Arial"/>
                <w:b/>
                <w:bCs/>
                <w:rtl/>
              </w:rPr>
            </w:pPr>
            <w:r w:rsidRPr="007E011D">
              <w:rPr>
                <w:rFonts w:ascii="Arial" w:hAnsi="Arial" w:hint="cs"/>
                <w:b/>
                <w:bCs/>
                <w:rtl/>
              </w:rPr>
              <w:t>כבוד ה</w:t>
            </w:r>
            <w:r w:rsidRPr="007E011D">
              <w:rPr>
                <w:rFonts w:ascii="Arial" w:hAnsi="Arial"/>
                <w:b/>
                <w:bCs/>
                <w:rtl/>
              </w:rPr>
              <w:t>שופטת</w:t>
            </w:r>
            <w:r w:rsidRPr="007E011D">
              <w:rPr>
                <w:rFonts w:ascii="Arial" w:hAnsi="Arial" w:hint="cs"/>
                <w:b/>
                <w:bCs/>
                <w:rtl/>
              </w:rPr>
              <w:t xml:space="preserve">  </w:t>
            </w:r>
            <w:r w:rsidRPr="007E011D">
              <w:rPr>
                <w:rFonts w:ascii="Arial" w:hAnsi="Arial"/>
                <w:b/>
                <w:bCs/>
                <w:rtl/>
              </w:rPr>
              <w:t>נועה חקלאי</w:t>
            </w:r>
          </w:p>
          <w:p w14:paraId="01530F4A" w14:textId="77777777" w:rsidR="00643383" w:rsidRPr="007E011D" w:rsidRDefault="00643383" w:rsidP="00AB67EC">
            <w:pPr>
              <w:rPr>
                <w:rtl/>
              </w:rPr>
            </w:pPr>
          </w:p>
          <w:p w14:paraId="6A7E3EB4" w14:textId="77777777" w:rsidR="00643383" w:rsidRPr="007E011D" w:rsidRDefault="00643383" w:rsidP="00643383">
            <w:pPr>
              <w:jc w:val="both"/>
              <w:rPr>
                <w:rFonts w:ascii="Arial" w:hAnsi="Arial" w:cs="FrankRuehl"/>
                <w:sz w:val="28"/>
                <w:szCs w:val="28"/>
              </w:rPr>
            </w:pPr>
          </w:p>
        </w:tc>
      </w:tr>
      <w:tr w:rsidR="00643383" w:rsidRPr="007E011D" w14:paraId="49A1D663" w14:textId="77777777" w:rsidTr="00643383">
        <w:trPr>
          <w:trHeight w:val="355"/>
          <w:jc w:val="center"/>
        </w:trPr>
        <w:tc>
          <w:tcPr>
            <w:tcW w:w="923" w:type="dxa"/>
            <w:tcBorders>
              <w:top w:val="nil"/>
              <w:left w:val="nil"/>
              <w:bottom w:val="nil"/>
              <w:right w:val="nil"/>
            </w:tcBorders>
            <w:shd w:val="clear" w:color="auto" w:fill="auto"/>
          </w:tcPr>
          <w:p w14:paraId="7AD7239A" w14:textId="77777777" w:rsidR="00643383" w:rsidRPr="007E011D" w:rsidRDefault="00643383" w:rsidP="00643383">
            <w:pPr>
              <w:jc w:val="both"/>
              <w:rPr>
                <w:rFonts w:ascii="Arial" w:hAnsi="Arial" w:cs="FrankRuehl"/>
                <w:sz w:val="28"/>
                <w:szCs w:val="28"/>
              </w:rPr>
            </w:pPr>
            <w:bookmarkStart w:id="1" w:name="FirstAppellant"/>
            <w:r w:rsidRPr="007E011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A7DBE43" w14:textId="77777777" w:rsidR="00643383" w:rsidRPr="007E011D" w:rsidRDefault="00643383" w:rsidP="00AB67EC">
            <w:r w:rsidRPr="007E011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4F8D8CC" w14:textId="77777777" w:rsidR="00643383" w:rsidRPr="007E011D" w:rsidRDefault="00643383" w:rsidP="00643383">
            <w:pPr>
              <w:jc w:val="both"/>
              <w:rPr>
                <w:rFonts w:ascii="Arial" w:hAnsi="Arial" w:cs="FrankRuehl"/>
                <w:sz w:val="28"/>
                <w:szCs w:val="28"/>
              </w:rPr>
            </w:pPr>
          </w:p>
        </w:tc>
      </w:tr>
      <w:bookmarkEnd w:id="1"/>
      <w:tr w:rsidR="00643383" w:rsidRPr="007E011D" w14:paraId="705DE74B" w14:textId="77777777" w:rsidTr="00643383">
        <w:trPr>
          <w:trHeight w:val="355"/>
          <w:jc w:val="center"/>
        </w:trPr>
        <w:tc>
          <w:tcPr>
            <w:tcW w:w="923" w:type="dxa"/>
            <w:tcBorders>
              <w:top w:val="nil"/>
              <w:left w:val="nil"/>
              <w:bottom w:val="nil"/>
              <w:right w:val="nil"/>
            </w:tcBorders>
            <w:shd w:val="clear" w:color="auto" w:fill="auto"/>
          </w:tcPr>
          <w:p w14:paraId="60AA6A5B" w14:textId="77777777" w:rsidR="00643383" w:rsidRPr="007E011D" w:rsidRDefault="00643383" w:rsidP="0064338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BF0F76" w14:textId="77777777" w:rsidR="00643383" w:rsidRPr="007E011D" w:rsidRDefault="00643383" w:rsidP="00643383">
            <w:pPr>
              <w:jc w:val="both"/>
              <w:rPr>
                <w:rtl/>
              </w:rPr>
            </w:pPr>
          </w:p>
        </w:tc>
        <w:tc>
          <w:tcPr>
            <w:tcW w:w="3771" w:type="dxa"/>
            <w:tcBorders>
              <w:top w:val="nil"/>
              <w:left w:val="nil"/>
              <w:bottom w:val="nil"/>
              <w:right w:val="nil"/>
            </w:tcBorders>
            <w:shd w:val="clear" w:color="auto" w:fill="auto"/>
          </w:tcPr>
          <w:p w14:paraId="30C0D2A6" w14:textId="77777777" w:rsidR="00643383" w:rsidRPr="007E011D" w:rsidRDefault="00643383" w:rsidP="00643383">
            <w:pPr>
              <w:jc w:val="right"/>
              <w:rPr>
                <w:rFonts w:ascii="Arial" w:hAnsi="Arial" w:cs="FrankRuehl"/>
                <w:sz w:val="28"/>
                <w:szCs w:val="28"/>
                <w:rtl/>
              </w:rPr>
            </w:pPr>
            <w:r w:rsidRPr="007E011D">
              <w:rPr>
                <w:rFonts w:ascii="Arial" w:hAnsi="Arial" w:cs="FrankRuehl" w:hint="cs"/>
                <w:sz w:val="28"/>
                <w:szCs w:val="28"/>
                <w:rtl/>
              </w:rPr>
              <w:t>ה</w:t>
            </w:r>
            <w:r w:rsidRPr="007E011D">
              <w:rPr>
                <w:rFonts w:ascii="Arial" w:hAnsi="Arial" w:cs="FrankRuehl"/>
                <w:sz w:val="28"/>
                <w:szCs w:val="28"/>
                <w:rtl/>
              </w:rPr>
              <w:t>מאשימה</w:t>
            </w:r>
          </w:p>
        </w:tc>
      </w:tr>
      <w:tr w:rsidR="00643383" w:rsidRPr="007E011D" w14:paraId="2BFD7A21" w14:textId="77777777" w:rsidTr="00643383">
        <w:trPr>
          <w:trHeight w:val="355"/>
          <w:jc w:val="center"/>
        </w:trPr>
        <w:tc>
          <w:tcPr>
            <w:tcW w:w="923" w:type="dxa"/>
            <w:tcBorders>
              <w:top w:val="nil"/>
              <w:left w:val="nil"/>
              <w:bottom w:val="nil"/>
              <w:right w:val="nil"/>
            </w:tcBorders>
            <w:shd w:val="clear" w:color="auto" w:fill="auto"/>
          </w:tcPr>
          <w:p w14:paraId="5D7F22E7" w14:textId="77777777" w:rsidR="00643383" w:rsidRPr="007E011D" w:rsidRDefault="00643383" w:rsidP="0064338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16ADF17" w14:textId="77777777" w:rsidR="00643383" w:rsidRPr="007E011D" w:rsidRDefault="00643383" w:rsidP="00643383">
            <w:pPr>
              <w:jc w:val="center"/>
              <w:rPr>
                <w:rFonts w:ascii="Arial" w:hAnsi="Arial" w:cs="FrankRuehl"/>
                <w:b/>
                <w:bCs/>
                <w:sz w:val="28"/>
                <w:szCs w:val="28"/>
              </w:rPr>
            </w:pPr>
            <w:r w:rsidRPr="007E011D">
              <w:rPr>
                <w:rFonts w:ascii="Arial" w:hAnsi="Arial" w:cs="FrankRuehl"/>
                <w:b/>
                <w:bCs/>
                <w:sz w:val="28"/>
                <w:szCs w:val="28"/>
                <w:rtl/>
              </w:rPr>
              <w:t>נגד</w:t>
            </w:r>
          </w:p>
        </w:tc>
      </w:tr>
      <w:tr w:rsidR="00643383" w:rsidRPr="007E011D" w14:paraId="7A4122F3" w14:textId="77777777" w:rsidTr="00643383">
        <w:trPr>
          <w:trHeight w:val="355"/>
          <w:jc w:val="center"/>
        </w:trPr>
        <w:tc>
          <w:tcPr>
            <w:tcW w:w="923" w:type="dxa"/>
            <w:tcBorders>
              <w:top w:val="nil"/>
              <w:left w:val="nil"/>
              <w:bottom w:val="nil"/>
              <w:right w:val="nil"/>
            </w:tcBorders>
            <w:shd w:val="clear" w:color="auto" w:fill="auto"/>
          </w:tcPr>
          <w:p w14:paraId="364318BC" w14:textId="77777777" w:rsidR="00643383" w:rsidRPr="007E011D" w:rsidRDefault="00643383" w:rsidP="00AB67EC">
            <w:pPr>
              <w:rPr>
                <w:rFonts w:ascii="Arial" w:hAnsi="Arial" w:cs="FrankRuehl"/>
                <w:sz w:val="28"/>
                <w:szCs w:val="28"/>
                <w:rtl/>
              </w:rPr>
            </w:pPr>
          </w:p>
        </w:tc>
        <w:tc>
          <w:tcPr>
            <w:tcW w:w="4126" w:type="dxa"/>
            <w:tcBorders>
              <w:top w:val="nil"/>
              <w:left w:val="nil"/>
              <w:bottom w:val="nil"/>
              <w:right w:val="nil"/>
            </w:tcBorders>
            <w:shd w:val="clear" w:color="auto" w:fill="auto"/>
          </w:tcPr>
          <w:p w14:paraId="4718A87B" w14:textId="77777777" w:rsidR="00643383" w:rsidRPr="007E011D" w:rsidRDefault="00643383" w:rsidP="00AB67EC">
            <w:pPr>
              <w:rPr>
                <w:rtl/>
              </w:rPr>
            </w:pPr>
            <w:r w:rsidRPr="007E011D">
              <w:rPr>
                <w:rFonts w:ascii="Arial" w:hAnsi="Arial" w:cs="FrankRuehl"/>
                <w:sz w:val="28"/>
                <w:szCs w:val="28"/>
                <w:rtl/>
              </w:rPr>
              <w:t>איליה גבריאלוב</w:t>
            </w:r>
          </w:p>
        </w:tc>
        <w:tc>
          <w:tcPr>
            <w:tcW w:w="3771" w:type="dxa"/>
            <w:tcBorders>
              <w:top w:val="nil"/>
              <w:left w:val="nil"/>
              <w:bottom w:val="nil"/>
              <w:right w:val="nil"/>
            </w:tcBorders>
            <w:shd w:val="clear" w:color="auto" w:fill="auto"/>
          </w:tcPr>
          <w:p w14:paraId="18045BC4" w14:textId="77777777" w:rsidR="00643383" w:rsidRPr="007E011D" w:rsidRDefault="00643383" w:rsidP="00643383">
            <w:pPr>
              <w:jc w:val="right"/>
              <w:rPr>
                <w:rFonts w:ascii="Arial" w:hAnsi="Arial" w:cs="FrankRuehl"/>
                <w:sz w:val="28"/>
                <w:szCs w:val="28"/>
              </w:rPr>
            </w:pPr>
          </w:p>
        </w:tc>
      </w:tr>
      <w:tr w:rsidR="00643383" w:rsidRPr="007E011D" w14:paraId="5FC286EA" w14:textId="77777777" w:rsidTr="00643383">
        <w:trPr>
          <w:trHeight w:val="355"/>
          <w:jc w:val="center"/>
        </w:trPr>
        <w:tc>
          <w:tcPr>
            <w:tcW w:w="923" w:type="dxa"/>
            <w:tcBorders>
              <w:top w:val="nil"/>
              <w:left w:val="nil"/>
              <w:bottom w:val="nil"/>
              <w:right w:val="nil"/>
            </w:tcBorders>
            <w:shd w:val="clear" w:color="auto" w:fill="auto"/>
          </w:tcPr>
          <w:p w14:paraId="2FE6BFB0" w14:textId="77777777" w:rsidR="00643383" w:rsidRPr="007E011D" w:rsidRDefault="00643383" w:rsidP="0064338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2547CB5" w14:textId="77777777" w:rsidR="00643383" w:rsidRPr="007E011D" w:rsidRDefault="00643383" w:rsidP="00643383">
            <w:pPr>
              <w:jc w:val="both"/>
              <w:rPr>
                <w:rtl/>
              </w:rPr>
            </w:pPr>
          </w:p>
        </w:tc>
        <w:tc>
          <w:tcPr>
            <w:tcW w:w="3771" w:type="dxa"/>
            <w:tcBorders>
              <w:top w:val="nil"/>
              <w:left w:val="nil"/>
              <w:bottom w:val="nil"/>
              <w:right w:val="nil"/>
            </w:tcBorders>
            <w:shd w:val="clear" w:color="auto" w:fill="auto"/>
          </w:tcPr>
          <w:p w14:paraId="3E410751" w14:textId="77777777" w:rsidR="00643383" w:rsidRPr="007E011D" w:rsidRDefault="00643383" w:rsidP="00643383">
            <w:pPr>
              <w:jc w:val="right"/>
              <w:rPr>
                <w:rFonts w:ascii="Arial" w:hAnsi="Arial" w:cs="FrankRuehl"/>
                <w:sz w:val="28"/>
                <w:szCs w:val="28"/>
              </w:rPr>
            </w:pPr>
            <w:r w:rsidRPr="007E011D">
              <w:rPr>
                <w:rFonts w:ascii="Arial" w:hAnsi="Arial" w:cs="FrankRuehl" w:hint="cs"/>
                <w:sz w:val="28"/>
                <w:szCs w:val="28"/>
                <w:rtl/>
              </w:rPr>
              <w:t>ה</w:t>
            </w:r>
            <w:r w:rsidRPr="007E011D">
              <w:rPr>
                <w:rFonts w:ascii="Arial" w:hAnsi="Arial" w:cs="FrankRuehl"/>
                <w:sz w:val="28"/>
                <w:szCs w:val="28"/>
                <w:rtl/>
              </w:rPr>
              <w:t>נאשם</w:t>
            </w:r>
          </w:p>
        </w:tc>
      </w:tr>
    </w:tbl>
    <w:p w14:paraId="44BEACB4" w14:textId="77777777" w:rsidR="004A4D18" w:rsidRDefault="004A4D18" w:rsidP="00643383">
      <w:pPr>
        <w:rPr>
          <w:rtl/>
        </w:rPr>
      </w:pPr>
      <w:bookmarkStart w:id="2" w:name="LawTable"/>
      <w:bookmarkEnd w:id="2"/>
    </w:p>
    <w:p w14:paraId="61F44C3B" w14:textId="77777777" w:rsidR="004A4D18" w:rsidRPr="004A4D18" w:rsidRDefault="004A4D18" w:rsidP="004A4D18">
      <w:pPr>
        <w:spacing w:after="120" w:line="240" w:lineRule="exact"/>
        <w:ind w:left="283" w:hanging="283"/>
        <w:jc w:val="both"/>
        <w:rPr>
          <w:rFonts w:ascii="FrankRuehl" w:hAnsi="FrankRuehl" w:cs="FrankRuehl"/>
          <w:rtl/>
        </w:rPr>
      </w:pPr>
    </w:p>
    <w:p w14:paraId="741D6147" w14:textId="77777777" w:rsidR="004A4D18" w:rsidRPr="004A4D18" w:rsidRDefault="004A4D18" w:rsidP="004A4D18">
      <w:pPr>
        <w:spacing w:after="120" w:line="240" w:lineRule="exact"/>
        <w:ind w:left="283" w:hanging="283"/>
        <w:jc w:val="both"/>
        <w:rPr>
          <w:rFonts w:ascii="FrankRuehl" w:hAnsi="FrankRuehl" w:cs="FrankRuehl"/>
          <w:rtl/>
        </w:rPr>
      </w:pPr>
      <w:r w:rsidRPr="004A4D18">
        <w:rPr>
          <w:rFonts w:ascii="FrankRuehl" w:hAnsi="FrankRuehl" w:cs="FrankRuehl"/>
          <w:rtl/>
        </w:rPr>
        <w:t xml:space="preserve">חקיקה שאוזכרה: </w:t>
      </w:r>
    </w:p>
    <w:p w14:paraId="2629C593" w14:textId="77777777" w:rsidR="004A4D18" w:rsidRPr="004A4D18" w:rsidRDefault="004A4D18" w:rsidP="004A4D18">
      <w:pPr>
        <w:spacing w:after="120" w:line="240" w:lineRule="exact"/>
        <w:ind w:left="283" w:hanging="283"/>
        <w:jc w:val="both"/>
        <w:rPr>
          <w:rFonts w:ascii="FrankRuehl" w:hAnsi="FrankRuehl" w:cs="FrankRuehl"/>
          <w:color w:val="0000FF"/>
          <w:u w:val="single"/>
          <w:rtl/>
        </w:rPr>
      </w:pPr>
      <w:hyperlink r:id="rId7" w:history="1">
        <w:r w:rsidRPr="004A4D18">
          <w:rPr>
            <w:rStyle w:val="Hyperlink"/>
            <w:rFonts w:ascii="FrankRuehl" w:hAnsi="FrankRuehl" w:cs="FrankRuehl"/>
            <w:rtl/>
          </w:rPr>
          <w:t>חוק הכניסה לישראל, תשי"ב-1952</w:t>
        </w:r>
      </w:hyperlink>
      <w:r w:rsidRPr="004A4D18">
        <w:rPr>
          <w:rFonts w:ascii="FrankRuehl" w:hAnsi="FrankRuehl" w:cs="FrankRuehl"/>
          <w:color w:val="0000FF"/>
          <w:u w:val="single"/>
          <w:rtl/>
        </w:rPr>
        <w:t xml:space="preserve">: סע'  </w:t>
      </w:r>
      <w:hyperlink r:id="rId8" w:history="1">
        <w:r w:rsidRPr="004A4D18">
          <w:rPr>
            <w:rStyle w:val="Hyperlink"/>
            <w:rFonts w:ascii="FrankRuehl" w:hAnsi="FrankRuehl" w:cs="FrankRuehl"/>
          </w:rPr>
          <w:t>12</w:t>
        </w:r>
        <w:r w:rsidRPr="004A4D18">
          <w:rPr>
            <w:rStyle w:val="Hyperlink"/>
            <w:rFonts w:ascii="FrankRuehl" w:hAnsi="FrankRuehl" w:cs="FrankRuehl"/>
            <w:rtl/>
          </w:rPr>
          <w:t>א(ג)(1א)(ב)</w:t>
        </w:r>
      </w:hyperlink>
    </w:p>
    <w:p w14:paraId="2B8D57B8" w14:textId="77777777" w:rsidR="004A4D18" w:rsidRPr="004A4D18" w:rsidRDefault="004A4D18" w:rsidP="004A4D18">
      <w:pPr>
        <w:spacing w:after="120" w:line="240" w:lineRule="exact"/>
        <w:ind w:left="283" w:hanging="283"/>
        <w:jc w:val="both"/>
        <w:rPr>
          <w:rFonts w:ascii="FrankRuehl" w:hAnsi="FrankRuehl" w:cs="FrankRuehl"/>
          <w:color w:val="0000FF"/>
          <w:u w:val="single"/>
          <w:rtl/>
        </w:rPr>
      </w:pPr>
      <w:hyperlink r:id="rId9" w:history="1">
        <w:r w:rsidRPr="004A4D18">
          <w:rPr>
            <w:rStyle w:val="Hyperlink"/>
            <w:rFonts w:ascii="FrankRuehl" w:hAnsi="FrankRuehl" w:cs="FrankRuehl"/>
            <w:rtl/>
          </w:rPr>
          <w:t>חוק העונשין, תשל"ז-1977</w:t>
        </w:r>
      </w:hyperlink>
      <w:r w:rsidRPr="004A4D18">
        <w:rPr>
          <w:rFonts w:ascii="FrankRuehl" w:hAnsi="FrankRuehl" w:cs="FrankRuehl"/>
          <w:color w:val="0000FF"/>
          <w:u w:val="single"/>
          <w:rtl/>
        </w:rPr>
        <w:t xml:space="preserve">: סע'  </w:t>
      </w:r>
      <w:hyperlink r:id="rId10" w:history="1">
        <w:r w:rsidRPr="004A4D18">
          <w:rPr>
            <w:rStyle w:val="Hyperlink"/>
            <w:rFonts w:ascii="FrankRuehl" w:hAnsi="FrankRuehl" w:cs="FrankRuehl"/>
          </w:rPr>
          <w:t>40</w:t>
        </w:r>
        <w:r w:rsidRPr="004A4D18">
          <w:rPr>
            <w:rStyle w:val="Hyperlink"/>
            <w:rFonts w:ascii="FrankRuehl" w:hAnsi="FrankRuehl" w:cs="FrankRuehl"/>
            <w:rtl/>
          </w:rPr>
          <w:t>ד</w:t>
        </w:r>
        <w:r w:rsidRPr="004A4D18">
          <w:rPr>
            <w:rStyle w:val="Hyperlink"/>
            <w:rFonts w:ascii="FrankRuehl" w:hAnsi="FrankRuehl" w:cs="FrankRuehl"/>
          </w:rPr>
          <w:t>'</w:t>
        </w:r>
      </w:hyperlink>
    </w:p>
    <w:p w14:paraId="686AF3F9" w14:textId="77777777" w:rsidR="004A4D18" w:rsidRPr="004A4D18" w:rsidRDefault="004A4D18" w:rsidP="004A4D18">
      <w:pPr>
        <w:spacing w:after="120" w:line="240" w:lineRule="exact"/>
        <w:ind w:left="283" w:hanging="283"/>
        <w:jc w:val="both"/>
        <w:rPr>
          <w:rFonts w:ascii="FrankRuehl" w:hAnsi="FrankRuehl" w:cs="FrankRuehl"/>
          <w:color w:val="0000FF"/>
          <w:u w:val="single"/>
          <w:rtl/>
        </w:rPr>
      </w:pPr>
      <w:hyperlink r:id="rId11" w:history="1">
        <w:r w:rsidRPr="004A4D18">
          <w:rPr>
            <w:rStyle w:val="Hyperlink"/>
            <w:rFonts w:ascii="FrankRuehl" w:hAnsi="FrankRuehl" w:cs="FrankRuehl"/>
            <w:rtl/>
          </w:rPr>
          <w:t>פקודת הסמים המסוכנים [נוסח חדש], תשל"ג-1973</w:t>
        </w:r>
      </w:hyperlink>
    </w:p>
    <w:p w14:paraId="6A1E9842" w14:textId="77777777" w:rsidR="004A4D18" w:rsidRPr="004A4D18" w:rsidRDefault="004A4D18" w:rsidP="004A4D18">
      <w:pPr>
        <w:spacing w:after="120" w:line="240" w:lineRule="exact"/>
        <w:ind w:left="283" w:hanging="283"/>
        <w:jc w:val="both"/>
        <w:rPr>
          <w:rFonts w:ascii="FrankRuehl" w:hAnsi="FrankRuehl" w:cs="FrankRuehl"/>
          <w:rtl/>
        </w:rPr>
      </w:pPr>
    </w:p>
    <w:p w14:paraId="32C3FF08" w14:textId="77777777" w:rsidR="004A4D18" w:rsidRPr="004A4D18" w:rsidRDefault="004A4D18" w:rsidP="00643383">
      <w:pPr>
        <w:rPr>
          <w:rtl/>
        </w:rPr>
      </w:pPr>
      <w:bookmarkStart w:id="3" w:name="LawTable_End"/>
      <w:bookmarkEnd w:id="3"/>
    </w:p>
    <w:p w14:paraId="241BB4B1" w14:textId="77777777" w:rsidR="003B381D" w:rsidRDefault="003B381D" w:rsidP="00643383">
      <w:pPr>
        <w:rPr>
          <w:rtl/>
        </w:rPr>
      </w:pPr>
    </w:p>
    <w:p w14:paraId="55EFBB86" w14:textId="77777777" w:rsidR="003B381D" w:rsidRPr="003B381D" w:rsidRDefault="003B381D" w:rsidP="003B381D">
      <w:pPr>
        <w:spacing w:after="120" w:line="240" w:lineRule="exact"/>
        <w:ind w:left="283" w:hanging="283"/>
        <w:jc w:val="both"/>
        <w:rPr>
          <w:rFonts w:ascii="FrankRuehl" w:hAnsi="FrankRuehl" w:cs="FrankRuehl"/>
          <w:rtl/>
        </w:rPr>
      </w:pPr>
    </w:p>
    <w:p w14:paraId="68F9D99F" w14:textId="77777777" w:rsidR="003B381D" w:rsidRPr="003B381D" w:rsidRDefault="003B381D" w:rsidP="003B381D">
      <w:pPr>
        <w:spacing w:after="120" w:line="240" w:lineRule="exact"/>
        <w:ind w:left="283" w:hanging="283"/>
        <w:jc w:val="both"/>
        <w:rPr>
          <w:rFonts w:ascii="FrankRuehl" w:hAnsi="FrankRuehl" w:cs="FrankRuehl"/>
          <w:rtl/>
        </w:rPr>
      </w:pPr>
      <w:r w:rsidRPr="003B381D">
        <w:rPr>
          <w:rFonts w:ascii="FrankRuehl" w:hAnsi="FrankRuehl" w:cs="FrankRuehl"/>
          <w:rtl/>
        </w:rPr>
        <w:t xml:space="preserve">חקיקה שאוזכרה: </w:t>
      </w:r>
    </w:p>
    <w:p w14:paraId="541E8FB6" w14:textId="77777777" w:rsidR="003B381D" w:rsidRPr="003B381D" w:rsidRDefault="003B381D" w:rsidP="003B381D">
      <w:pPr>
        <w:spacing w:after="120" w:line="240" w:lineRule="exact"/>
        <w:ind w:left="283" w:hanging="283"/>
        <w:jc w:val="both"/>
        <w:rPr>
          <w:rFonts w:ascii="FrankRuehl" w:hAnsi="FrankRuehl" w:cs="FrankRuehl"/>
          <w:rtl/>
        </w:rPr>
      </w:pPr>
      <w:hyperlink r:id="rId12" w:history="1">
        <w:r w:rsidRPr="003B381D">
          <w:rPr>
            <w:rFonts w:ascii="FrankRuehl" w:hAnsi="FrankRuehl" w:cs="FrankRuehl"/>
            <w:color w:val="0000FF"/>
            <w:u w:val="single"/>
            <w:rtl/>
          </w:rPr>
          <w:t>חוק הכניסה לישראל, תשי"ב-1952</w:t>
        </w:r>
      </w:hyperlink>
      <w:r w:rsidRPr="003B381D">
        <w:rPr>
          <w:rFonts w:ascii="FrankRuehl" w:hAnsi="FrankRuehl" w:cs="FrankRuehl"/>
          <w:rtl/>
        </w:rPr>
        <w:t xml:space="preserve">: סע'  </w:t>
      </w:r>
      <w:hyperlink r:id="rId13" w:history="1">
        <w:r w:rsidRPr="003B381D">
          <w:rPr>
            <w:rFonts w:ascii="FrankRuehl" w:hAnsi="FrankRuehl" w:cs="FrankRuehl"/>
            <w:color w:val="0000FF"/>
            <w:u w:val="single"/>
            <w:rtl/>
          </w:rPr>
          <w:t>12א(ג)(1א)(ב)</w:t>
        </w:r>
      </w:hyperlink>
    </w:p>
    <w:p w14:paraId="337C28FC" w14:textId="77777777" w:rsidR="003B381D" w:rsidRPr="003B381D" w:rsidRDefault="003B381D" w:rsidP="003B381D">
      <w:pPr>
        <w:spacing w:after="120" w:line="240" w:lineRule="exact"/>
        <w:ind w:left="283" w:hanging="283"/>
        <w:jc w:val="both"/>
        <w:rPr>
          <w:rFonts w:ascii="FrankRuehl" w:hAnsi="FrankRuehl" w:cs="FrankRuehl"/>
          <w:rtl/>
        </w:rPr>
      </w:pPr>
      <w:hyperlink r:id="rId14" w:history="1">
        <w:r w:rsidRPr="003B381D">
          <w:rPr>
            <w:rFonts w:ascii="FrankRuehl" w:hAnsi="FrankRuehl" w:cs="FrankRuehl"/>
            <w:color w:val="0000FF"/>
            <w:u w:val="single"/>
            <w:rtl/>
          </w:rPr>
          <w:t>חוק העונשין, תשל"ז-1977</w:t>
        </w:r>
      </w:hyperlink>
      <w:r w:rsidRPr="003B381D">
        <w:rPr>
          <w:rFonts w:ascii="FrankRuehl" w:hAnsi="FrankRuehl" w:cs="FrankRuehl"/>
          <w:rtl/>
        </w:rPr>
        <w:t xml:space="preserve">: סע'  </w:t>
      </w:r>
      <w:hyperlink r:id="rId15" w:history="1">
        <w:r w:rsidRPr="003B381D">
          <w:rPr>
            <w:rFonts w:ascii="FrankRuehl" w:hAnsi="FrankRuehl" w:cs="FrankRuehl"/>
            <w:color w:val="0000FF"/>
            <w:u w:val="single"/>
            <w:rtl/>
          </w:rPr>
          <w:t>40ד'</w:t>
        </w:r>
      </w:hyperlink>
    </w:p>
    <w:p w14:paraId="3D3D2CA8" w14:textId="77777777" w:rsidR="003B381D" w:rsidRPr="003B381D" w:rsidRDefault="003B381D" w:rsidP="003B381D">
      <w:pPr>
        <w:spacing w:after="120" w:line="240" w:lineRule="exact"/>
        <w:ind w:left="283" w:hanging="283"/>
        <w:jc w:val="both"/>
        <w:rPr>
          <w:rFonts w:ascii="FrankRuehl" w:hAnsi="FrankRuehl" w:cs="FrankRuehl"/>
          <w:rtl/>
        </w:rPr>
      </w:pPr>
      <w:hyperlink r:id="rId16" w:history="1">
        <w:r w:rsidRPr="003B381D">
          <w:rPr>
            <w:rFonts w:ascii="FrankRuehl" w:hAnsi="FrankRuehl" w:cs="FrankRuehl"/>
            <w:color w:val="0000FF"/>
            <w:u w:val="single"/>
            <w:rtl/>
          </w:rPr>
          <w:t>פקודת הסמים המסוכנים [נוסח חדש], תשל"ג-1973</w:t>
        </w:r>
      </w:hyperlink>
    </w:p>
    <w:p w14:paraId="6EE6EC17" w14:textId="77777777" w:rsidR="00643383" w:rsidRPr="007E011D" w:rsidRDefault="00643383" w:rsidP="00643383">
      <w:pPr>
        <w:spacing w:after="120"/>
        <w:rPr>
          <w:rFonts w:ascii="David" w:hAnsi="David"/>
          <w:rtl/>
          <w:lang w:eastAsia="he-I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43383" w14:paraId="6222040E" w14:textId="77777777" w:rsidTr="00643383">
        <w:trPr>
          <w:trHeight w:val="355"/>
          <w:jc w:val="center"/>
        </w:trPr>
        <w:tc>
          <w:tcPr>
            <w:tcW w:w="8820" w:type="dxa"/>
            <w:tcBorders>
              <w:top w:val="nil"/>
              <w:left w:val="nil"/>
              <w:bottom w:val="nil"/>
              <w:right w:val="nil"/>
            </w:tcBorders>
            <w:shd w:val="clear" w:color="auto" w:fill="auto"/>
          </w:tcPr>
          <w:p w14:paraId="2BFC1E00" w14:textId="77777777" w:rsidR="007E011D" w:rsidRPr="007E011D" w:rsidRDefault="007E011D" w:rsidP="007E011D">
            <w:pPr>
              <w:jc w:val="center"/>
              <w:rPr>
                <w:rFonts w:ascii="Arial" w:hAnsi="Arial" w:cs="FrankRuehl"/>
                <w:b/>
                <w:bCs/>
                <w:sz w:val="32"/>
                <w:szCs w:val="32"/>
                <w:u w:val="single"/>
                <w:rtl/>
              </w:rPr>
            </w:pPr>
            <w:bookmarkStart w:id="4" w:name="PsakDin" w:colFirst="0" w:colLast="0"/>
            <w:bookmarkEnd w:id="0"/>
            <w:r w:rsidRPr="007E011D">
              <w:rPr>
                <w:rFonts w:ascii="Arial" w:hAnsi="Arial" w:cs="FrankRuehl"/>
                <w:b/>
                <w:bCs/>
                <w:sz w:val="32"/>
                <w:szCs w:val="32"/>
                <w:u w:val="single"/>
                <w:rtl/>
              </w:rPr>
              <w:t>גזר דין</w:t>
            </w:r>
          </w:p>
          <w:p w14:paraId="0217B25B" w14:textId="77777777" w:rsidR="00643383" w:rsidRPr="007E011D" w:rsidRDefault="00643383" w:rsidP="007E011D">
            <w:pPr>
              <w:jc w:val="center"/>
              <w:rPr>
                <w:rFonts w:ascii="Arial" w:hAnsi="Arial" w:cs="FrankRuehl"/>
                <w:bCs/>
                <w:sz w:val="32"/>
                <w:szCs w:val="32"/>
                <w:u w:val="single"/>
                <w:rtl/>
              </w:rPr>
            </w:pPr>
          </w:p>
        </w:tc>
      </w:tr>
      <w:bookmarkEnd w:id="4"/>
    </w:tbl>
    <w:p w14:paraId="4E02735D" w14:textId="77777777" w:rsidR="00643383" w:rsidRDefault="00643383" w:rsidP="00643383">
      <w:pPr>
        <w:spacing w:after="120"/>
        <w:rPr>
          <w:rFonts w:ascii="David" w:hAnsi="David"/>
          <w:rtl/>
          <w:lang w:eastAsia="he-IL"/>
        </w:rPr>
      </w:pPr>
    </w:p>
    <w:p w14:paraId="4F10A54E" w14:textId="77777777" w:rsidR="00643383" w:rsidRDefault="00643383" w:rsidP="00643383">
      <w:pPr>
        <w:spacing w:after="120"/>
        <w:rPr>
          <w:bCs/>
          <w:u w:val="single"/>
          <w:rtl/>
          <w:lang w:eastAsia="he-IL"/>
        </w:rPr>
      </w:pPr>
      <w:r>
        <w:rPr>
          <w:rFonts w:hint="cs"/>
          <w:bCs/>
          <w:u w:val="single"/>
          <w:rtl/>
          <w:lang w:eastAsia="he-IL"/>
        </w:rPr>
        <w:t>רקע</w:t>
      </w:r>
    </w:p>
    <w:p w14:paraId="4CA2781A" w14:textId="77777777" w:rsidR="00643383" w:rsidRDefault="00643383" w:rsidP="00643383">
      <w:pPr>
        <w:numPr>
          <w:ilvl w:val="0"/>
          <w:numId w:val="1"/>
        </w:numPr>
        <w:spacing w:before="100" w:beforeAutospacing="1" w:after="100" w:afterAutospacing="1" w:line="300" w:lineRule="exact"/>
        <w:contextualSpacing/>
        <w:jc w:val="both"/>
        <w:rPr>
          <w:bCs/>
          <w:u w:val="single"/>
          <w:rtl/>
          <w:lang w:eastAsia="he-IL"/>
        </w:rPr>
      </w:pPr>
      <w:bookmarkStart w:id="5" w:name="ABSTRACT_START"/>
      <w:bookmarkEnd w:id="5"/>
      <w:r>
        <w:rPr>
          <w:rFonts w:hint="cs"/>
          <w:color w:val="000000"/>
          <w:rtl/>
        </w:rPr>
        <w:t xml:space="preserve">הנאשם הורשע על פי הודאתו בעבירה של הסעת </w:t>
      </w:r>
      <w:r>
        <w:rPr>
          <w:rFonts w:hint="cs"/>
          <w:color w:val="000000"/>
        </w:rPr>
        <w:t xml:space="preserve"> 6 </w:t>
      </w:r>
      <w:r>
        <w:rPr>
          <w:rFonts w:hint="cs"/>
          <w:color w:val="000000"/>
          <w:rtl/>
        </w:rPr>
        <w:t xml:space="preserve">תושבים זרים השוהים בישראל שלא כדין, בניגוד </w:t>
      </w:r>
      <w:hyperlink r:id="rId17" w:history="1">
        <w:r w:rsidR="003B381D" w:rsidRPr="003B381D">
          <w:rPr>
            <w:color w:val="0000FF"/>
            <w:u w:val="single"/>
            <w:rtl/>
          </w:rPr>
          <w:t>לסעיף 12א(ג)(1א)(ב)</w:t>
        </w:r>
      </w:hyperlink>
      <w:r>
        <w:rPr>
          <w:rFonts w:hint="cs"/>
          <w:rtl/>
        </w:rPr>
        <w:t xml:space="preserve"> ל</w:t>
      </w:r>
      <w:hyperlink r:id="rId18" w:history="1">
        <w:r w:rsidR="007E011D" w:rsidRPr="007E011D">
          <w:rPr>
            <w:rStyle w:val="Hyperlink"/>
            <w:rFonts w:cs="David" w:hint="eastAsia"/>
            <w:rtl/>
          </w:rPr>
          <w:t>חוק</w:t>
        </w:r>
        <w:r w:rsidR="007E011D" w:rsidRPr="007E011D">
          <w:rPr>
            <w:rStyle w:val="Hyperlink"/>
            <w:rFonts w:cs="David"/>
            <w:rtl/>
          </w:rPr>
          <w:t xml:space="preserve"> הכניסה לישראל</w:t>
        </w:r>
      </w:hyperlink>
      <w:r>
        <w:rPr>
          <w:rFonts w:hint="cs"/>
          <w:rtl/>
        </w:rPr>
        <w:t>, תשי"ב</w:t>
      </w:r>
      <w:r>
        <w:rPr>
          <w:rFonts w:hint="cs"/>
          <w:color w:val="000000"/>
          <w:rtl/>
        </w:rPr>
        <w:t>-1952.</w:t>
      </w:r>
    </w:p>
    <w:p w14:paraId="0FE66453" w14:textId="77777777" w:rsidR="00643383" w:rsidRDefault="00643383" w:rsidP="00643383">
      <w:pPr>
        <w:spacing w:before="100" w:beforeAutospacing="1" w:after="100" w:afterAutospacing="1"/>
        <w:ind w:left="360"/>
        <w:contextualSpacing/>
        <w:jc w:val="both"/>
        <w:rPr>
          <w:rFonts w:ascii="David" w:hAnsi="David"/>
          <w:color w:val="000000"/>
          <w:rtl/>
        </w:rPr>
      </w:pPr>
      <w:bookmarkStart w:id="6" w:name="ABSTRACT_END"/>
      <w:bookmarkEnd w:id="6"/>
      <w:r>
        <w:rPr>
          <w:rFonts w:hint="cs"/>
          <w:color w:val="000000"/>
          <w:rtl/>
        </w:rPr>
        <w:t>על פי עובדות כתב האישום המתוקן ביום 20.8.15 בכביש 35, בסמוך למחסום תרקומיא, מכיוון מערב למזרח, הסיע הנאשם במוניתו 6 תושבי הרשות הפלסטינאית, מבלי שהיה בידם אישורי כניסה ושהייה כדין.</w:t>
      </w:r>
    </w:p>
    <w:p w14:paraId="14A386B1" w14:textId="77777777" w:rsidR="00643383" w:rsidRDefault="00643383" w:rsidP="00643383">
      <w:pPr>
        <w:spacing w:before="100" w:beforeAutospacing="1" w:after="100" w:afterAutospacing="1" w:line="300" w:lineRule="exact"/>
        <w:jc w:val="both"/>
        <w:rPr>
          <w:bCs/>
          <w:u w:val="single"/>
          <w:rtl/>
          <w:lang w:eastAsia="he-IL"/>
        </w:rPr>
      </w:pPr>
    </w:p>
    <w:p w14:paraId="6072F32A" w14:textId="77777777" w:rsidR="00643383" w:rsidRDefault="00643383" w:rsidP="00643383">
      <w:pPr>
        <w:spacing w:before="100" w:beforeAutospacing="1" w:after="100" w:afterAutospacing="1" w:line="300" w:lineRule="exact"/>
        <w:jc w:val="both"/>
        <w:rPr>
          <w:bCs/>
          <w:u w:val="single"/>
          <w:lang w:eastAsia="he-IL"/>
        </w:rPr>
      </w:pPr>
      <w:r>
        <w:rPr>
          <w:rFonts w:hint="cs"/>
          <w:bCs/>
          <w:u w:val="single"/>
          <w:rtl/>
          <w:lang w:eastAsia="he-IL"/>
        </w:rPr>
        <w:t>הסדר הטיעון</w:t>
      </w:r>
    </w:p>
    <w:p w14:paraId="34E77B4F" w14:textId="77777777" w:rsidR="00643383" w:rsidRDefault="00643383" w:rsidP="00643383">
      <w:pPr>
        <w:numPr>
          <w:ilvl w:val="0"/>
          <w:numId w:val="1"/>
        </w:numPr>
        <w:spacing w:before="100" w:beforeAutospacing="1" w:after="100" w:afterAutospacing="1" w:line="300" w:lineRule="exact"/>
        <w:contextualSpacing/>
        <w:jc w:val="both"/>
        <w:rPr>
          <w:bCs/>
          <w:u w:val="single"/>
          <w:rtl/>
          <w:lang w:eastAsia="he-IL"/>
        </w:rPr>
      </w:pPr>
      <w:r>
        <w:rPr>
          <w:rFonts w:hint="cs"/>
          <w:b/>
          <w:rtl/>
          <w:lang w:eastAsia="he-IL"/>
        </w:rPr>
        <w:lastRenderedPageBreak/>
        <w:t>ביום 17.7.17 הציגו הצדדים הסדר לפיו הנאשם יודה בכתב אישום מתוקן, יורשע וישלח לשירות המבחן על מנת שיתקבל תסקיר בעניינו. הצדדים לא הציגו הסכמה עונשית. המאשימה הודיעה כי תעתור לעונש מאסר בפועל.</w:t>
      </w:r>
    </w:p>
    <w:p w14:paraId="2F725281" w14:textId="77777777" w:rsidR="00643383" w:rsidRDefault="00643383" w:rsidP="00643383">
      <w:pPr>
        <w:spacing w:before="100" w:beforeAutospacing="1" w:after="100" w:afterAutospacing="1" w:line="300" w:lineRule="exact"/>
        <w:contextualSpacing/>
        <w:jc w:val="both"/>
        <w:rPr>
          <w:bCs/>
          <w:u w:val="single"/>
          <w:lang w:eastAsia="he-IL"/>
        </w:rPr>
      </w:pPr>
    </w:p>
    <w:p w14:paraId="4FD3D94F" w14:textId="77777777" w:rsidR="00643383" w:rsidRDefault="00643383" w:rsidP="00643383">
      <w:pPr>
        <w:spacing w:before="100" w:beforeAutospacing="1" w:after="100" w:afterAutospacing="1" w:line="300" w:lineRule="exact"/>
        <w:contextualSpacing/>
        <w:jc w:val="both"/>
        <w:rPr>
          <w:bCs/>
          <w:u w:val="single"/>
          <w:rtl/>
          <w:lang w:eastAsia="he-IL"/>
        </w:rPr>
      </w:pPr>
      <w:r>
        <w:rPr>
          <w:rFonts w:hint="cs"/>
          <w:bCs/>
          <w:u w:val="single"/>
          <w:rtl/>
          <w:lang w:eastAsia="he-IL"/>
        </w:rPr>
        <w:t>תסקיר שירות המבחן וחוות דעת הממונה</w:t>
      </w:r>
    </w:p>
    <w:p w14:paraId="0D447941" w14:textId="77777777" w:rsidR="00643383" w:rsidRDefault="00643383" w:rsidP="00643383">
      <w:pPr>
        <w:spacing w:before="100" w:beforeAutospacing="1" w:after="100" w:afterAutospacing="1" w:line="300" w:lineRule="exact"/>
        <w:contextualSpacing/>
        <w:jc w:val="both"/>
        <w:rPr>
          <w:bCs/>
          <w:u w:val="single"/>
          <w:rtl/>
          <w:lang w:eastAsia="he-IL"/>
        </w:rPr>
      </w:pPr>
    </w:p>
    <w:p w14:paraId="16EC6604" w14:textId="77777777" w:rsidR="00643383" w:rsidRDefault="00643383" w:rsidP="00643383">
      <w:pPr>
        <w:numPr>
          <w:ilvl w:val="0"/>
          <w:numId w:val="1"/>
        </w:numPr>
        <w:spacing w:before="100" w:beforeAutospacing="1" w:after="100" w:afterAutospacing="1" w:line="300" w:lineRule="exact"/>
        <w:contextualSpacing/>
        <w:jc w:val="both"/>
        <w:rPr>
          <w:b/>
          <w:lang w:eastAsia="he-IL"/>
        </w:rPr>
      </w:pPr>
      <w:r>
        <w:rPr>
          <w:rFonts w:hint="cs"/>
          <w:b/>
          <w:rtl/>
          <w:lang w:eastAsia="he-IL"/>
        </w:rPr>
        <w:t>שירות המבחן סקר את הרקע האישי המשפחתי והעברייני של הנאשם. הנאשם בן 58, נשוי ואב לשני ילדים בוגרים. עלה לארץ מאוזבקיסטן לפני 26 שנים. עובד כנהג מונית. לקח אחריות על ביצוע העבירה. טען ששאל אם יש לנוסעים אישורים והן הציגו לו, אך בשל העובדה שאינו יודע קרוא וכתוב לא הבחין אם האישורים אמיתיים. שירות המבחן התרשם כי הנאשם בעל יציבות תעסוקתית, אוחז בעמדות נורמטיבית, מגלה אחריות בתפקידיו כמפרנס ואיש משפחה. שירות המבחן התרשם כי במצבי לחץ פועל באופן אימפולסיבי ללא שיקול דעת. שירות המבחן סבור כי ענישה בדמות של"צ תהווה עונש שיקומי אשר יהיה בו כדי להקטין הסיכון להישנות עבירות, זאת לצד מאסר מותנה.</w:t>
      </w:r>
    </w:p>
    <w:p w14:paraId="06127229" w14:textId="77777777" w:rsidR="00643383" w:rsidRDefault="00643383" w:rsidP="00643383">
      <w:pPr>
        <w:spacing w:before="100" w:beforeAutospacing="1" w:after="100" w:afterAutospacing="1" w:line="300" w:lineRule="exact"/>
        <w:ind w:left="360"/>
        <w:contextualSpacing/>
        <w:jc w:val="both"/>
        <w:rPr>
          <w:b/>
          <w:lang w:eastAsia="he-IL"/>
        </w:rPr>
      </w:pPr>
    </w:p>
    <w:p w14:paraId="0CB2460C" w14:textId="77777777" w:rsidR="00643383" w:rsidRDefault="00643383" w:rsidP="00643383">
      <w:pPr>
        <w:numPr>
          <w:ilvl w:val="0"/>
          <w:numId w:val="1"/>
        </w:numPr>
        <w:spacing w:before="100" w:beforeAutospacing="1" w:after="100" w:afterAutospacing="1" w:line="300" w:lineRule="exact"/>
        <w:contextualSpacing/>
        <w:jc w:val="both"/>
        <w:rPr>
          <w:b/>
          <w:lang w:eastAsia="he-IL"/>
        </w:rPr>
      </w:pPr>
      <w:r>
        <w:rPr>
          <w:rFonts w:hint="cs"/>
          <w:b/>
          <w:rtl/>
          <w:lang w:eastAsia="he-IL"/>
        </w:rPr>
        <w:t>הממונה על עבודות שירות קבע בחוות דעתו מיום 22.2.18 כי לא נמצא לנאשם מקום השמה בעבודות שירות בשל מצבו הרפואי. הרופא מטעם עבודות השירות קבע כי הנאשם אינו מסוגל לעבוד יותר מ- 4 שעות ביום עקב מחלות כרוניות (מחלות לב</w:t>
      </w:r>
      <w:r>
        <w:rPr>
          <w:rFonts w:hint="cs"/>
          <w:bCs/>
          <w:sz w:val="18"/>
          <w:szCs w:val="18"/>
          <w:rtl/>
          <w:lang w:eastAsia="he-IL"/>
        </w:rPr>
        <w:t xml:space="preserve">, </w:t>
      </w:r>
      <w:r>
        <w:rPr>
          <w:bCs/>
          <w:sz w:val="18"/>
          <w:szCs w:val="18"/>
          <w:lang w:eastAsia="he-IL"/>
        </w:rPr>
        <w:t>DIABETES</w:t>
      </w:r>
      <w:r>
        <w:rPr>
          <w:rFonts w:hint="cs"/>
          <w:b/>
          <w:rtl/>
          <w:lang w:eastAsia="he-IL"/>
        </w:rPr>
        <w:t>, מחלת נפש) ולכן עקב מצבו הבריאותי אינו כשיר לעבודות שירות.</w:t>
      </w:r>
    </w:p>
    <w:p w14:paraId="2E35E1D9" w14:textId="77777777" w:rsidR="00643383" w:rsidRDefault="00643383" w:rsidP="00643383">
      <w:pPr>
        <w:spacing w:before="100" w:beforeAutospacing="1" w:after="100" w:afterAutospacing="1" w:line="300" w:lineRule="exact"/>
        <w:jc w:val="both"/>
        <w:rPr>
          <w:bCs/>
          <w:u w:val="single"/>
          <w:rtl/>
          <w:lang w:eastAsia="he-IL"/>
        </w:rPr>
      </w:pPr>
      <w:r>
        <w:rPr>
          <w:rFonts w:hint="cs"/>
          <w:bCs/>
          <w:u w:val="single"/>
          <w:rtl/>
          <w:lang w:eastAsia="he-IL"/>
        </w:rPr>
        <w:t>טיעוני הצדדים</w:t>
      </w:r>
    </w:p>
    <w:p w14:paraId="6426111B" w14:textId="77777777" w:rsidR="00643383" w:rsidRDefault="00643383" w:rsidP="00643383">
      <w:pPr>
        <w:numPr>
          <w:ilvl w:val="0"/>
          <w:numId w:val="1"/>
        </w:numPr>
        <w:spacing w:before="100" w:beforeAutospacing="1" w:after="100" w:afterAutospacing="1" w:line="300" w:lineRule="exact"/>
        <w:contextualSpacing/>
        <w:jc w:val="both"/>
        <w:rPr>
          <w:bCs/>
          <w:u w:val="single"/>
          <w:lang w:eastAsia="he-IL"/>
        </w:rPr>
      </w:pPr>
      <w:r>
        <w:rPr>
          <w:rFonts w:hint="cs"/>
          <w:color w:val="000000"/>
          <w:rtl/>
        </w:rPr>
        <w:t>ב"כ המאשימה הגישה את הרשעתו הקודמת של הנאשם בתחום הפלילי ולהרשעותיו הקודמות בתחום התעבורתי, הפנתה לחומרת המעשים, לפסיקה הנוהגת, לערכים המוגנים שנפגעו, טענה כי מתחם  העונש ההולם נע בין 3-18 חודשי מאסר, טענה כי הנאשם לקח אחריות חלקית בלבד לאור הדברים שאמר לשירות המבחן. עם זאת אישרה כי מחומר החקירה עולה כי ביחס לשלושה שב"חים הנאשם שאל אותם אם יש להם אישורים והם ענו לו שיש להם אישורים. המאשימה עתרה לענישה ברף הבינוני גבוה של מתחם העונש ההולם, לצד מאסר מותנה מרתיע, קנס התחייבות פסילה בפועל ופסילה מותנית.</w:t>
      </w:r>
    </w:p>
    <w:p w14:paraId="236B1965" w14:textId="77777777" w:rsidR="00643383" w:rsidRDefault="00643383" w:rsidP="00643383">
      <w:pPr>
        <w:spacing w:before="100" w:beforeAutospacing="1" w:after="100" w:afterAutospacing="1" w:line="300" w:lineRule="exact"/>
        <w:ind w:left="360"/>
        <w:contextualSpacing/>
        <w:jc w:val="both"/>
        <w:rPr>
          <w:bCs/>
          <w:u w:val="single"/>
          <w:lang w:eastAsia="he-IL"/>
        </w:rPr>
      </w:pPr>
    </w:p>
    <w:p w14:paraId="5EB9F056" w14:textId="77777777" w:rsidR="00643383" w:rsidRDefault="00643383" w:rsidP="00643383">
      <w:pPr>
        <w:numPr>
          <w:ilvl w:val="0"/>
          <w:numId w:val="1"/>
        </w:numPr>
        <w:spacing w:before="100" w:beforeAutospacing="1" w:after="100" w:afterAutospacing="1" w:line="300" w:lineRule="exact"/>
        <w:contextualSpacing/>
        <w:jc w:val="both"/>
        <w:rPr>
          <w:bCs/>
          <w:u w:val="single"/>
          <w:lang w:eastAsia="he-IL"/>
        </w:rPr>
      </w:pPr>
      <w:r>
        <w:rPr>
          <w:rFonts w:hint="cs"/>
          <w:color w:val="000000"/>
          <w:rtl/>
        </w:rPr>
        <w:t>ב"כ הנאשם הפנתה לגילו של הנאשם, לכך שלקח אחריות מיידית, לחלוף הזמן מביצוע העבירה, לנסיבותיו האישיות, למצבו המשפחתי, למצבו הרפואי, לכך שבשל מצבו עובד שעות ספורות ביום ומקבל הבטחת הכנסה. לשיטתה יש לאמץ את המלצת שירות המבחן, וגם אם בית המשפט יקבע כי הרף התחתון של מתחם העונש ההולם מתחיל ממאסר, יש הצדקה לאור נסיבותיו של הנאשם לחרוג לקולה ממתחם העונש ההולם. ב"כ הנאשם הגישה לבית המשפט את הנחיות פרקליט המדינה בעניין הסעות שוהים בלתי חוקיים ופסיקה התומכת בטיעוניה.</w:t>
      </w:r>
    </w:p>
    <w:p w14:paraId="1E45F95F" w14:textId="77777777" w:rsidR="00643383" w:rsidRDefault="00643383" w:rsidP="00643383">
      <w:pPr>
        <w:spacing w:before="100" w:beforeAutospacing="1" w:after="100" w:afterAutospacing="1" w:line="300" w:lineRule="exact"/>
        <w:contextualSpacing/>
        <w:jc w:val="both"/>
        <w:rPr>
          <w:bCs/>
          <w:u w:val="single"/>
          <w:lang w:eastAsia="he-IL"/>
        </w:rPr>
      </w:pPr>
    </w:p>
    <w:p w14:paraId="7D7C7B16" w14:textId="77777777" w:rsidR="00643383" w:rsidRDefault="00643383" w:rsidP="00643383">
      <w:pPr>
        <w:numPr>
          <w:ilvl w:val="0"/>
          <w:numId w:val="1"/>
        </w:numPr>
        <w:spacing w:before="100" w:beforeAutospacing="1" w:after="100" w:afterAutospacing="1" w:line="300" w:lineRule="exact"/>
        <w:contextualSpacing/>
        <w:jc w:val="both"/>
        <w:rPr>
          <w:bCs/>
          <w:u w:val="single"/>
          <w:lang w:eastAsia="he-IL"/>
        </w:rPr>
      </w:pPr>
      <w:r>
        <w:rPr>
          <w:rFonts w:hint="cs"/>
          <w:color w:val="000000"/>
          <w:rtl/>
        </w:rPr>
        <w:t xml:space="preserve">הנאשם ציין שעלה ארצה בגיל 34 ולאחר 9 ימים החל לעבוד כדי לפרנס את ילדיו. לא למד קרוא וכתוב. סיפר על מצבו הרפואי. ציין שהסיע את הנוסעים מקרית גת לכיוון תרקומיא, לדבריו שאל את הנוסעים אם יש להם אישורים והם אמרו שיש להם. לדבריו כל נוסע שילם 20 ₪. לדבריו אם היה יודע שאין להם אישורים לא היה מסיע אותם. </w:t>
      </w:r>
    </w:p>
    <w:p w14:paraId="2B8B096F" w14:textId="77777777" w:rsidR="00643383" w:rsidRDefault="00643383" w:rsidP="00643383">
      <w:pPr>
        <w:spacing w:before="100" w:beforeAutospacing="1" w:after="100" w:afterAutospacing="1" w:line="300" w:lineRule="exact"/>
        <w:ind w:left="360"/>
        <w:contextualSpacing/>
        <w:jc w:val="both"/>
        <w:rPr>
          <w:bCs/>
          <w:u w:val="single"/>
          <w:lang w:eastAsia="he-IL"/>
        </w:rPr>
      </w:pPr>
    </w:p>
    <w:p w14:paraId="0FF5A658" w14:textId="77777777" w:rsidR="00643383" w:rsidRDefault="00643383" w:rsidP="00643383">
      <w:pPr>
        <w:spacing w:before="100" w:beforeAutospacing="1" w:after="100" w:afterAutospacing="1" w:line="300" w:lineRule="exact"/>
        <w:jc w:val="both"/>
        <w:rPr>
          <w:bCs/>
          <w:sz w:val="32"/>
          <w:szCs w:val="32"/>
          <w:u w:val="single"/>
          <w:lang w:eastAsia="he-IL"/>
        </w:rPr>
      </w:pPr>
    </w:p>
    <w:p w14:paraId="5DFB283A" w14:textId="77777777" w:rsidR="00643383" w:rsidRDefault="00643383" w:rsidP="00643383">
      <w:pPr>
        <w:spacing w:before="100" w:beforeAutospacing="1" w:after="100" w:afterAutospacing="1" w:line="300" w:lineRule="exact"/>
        <w:jc w:val="both"/>
        <w:rPr>
          <w:bCs/>
          <w:sz w:val="32"/>
          <w:szCs w:val="32"/>
          <w:u w:val="single"/>
          <w:rtl/>
          <w:lang w:eastAsia="he-IL"/>
        </w:rPr>
      </w:pPr>
      <w:r>
        <w:rPr>
          <w:rFonts w:hint="cs"/>
          <w:bCs/>
          <w:sz w:val="32"/>
          <w:szCs w:val="32"/>
          <w:u w:val="single"/>
          <w:rtl/>
          <w:lang w:eastAsia="he-IL"/>
        </w:rPr>
        <w:lastRenderedPageBreak/>
        <w:t>דיון</w:t>
      </w:r>
    </w:p>
    <w:p w14:paraId="074323FF" w14:textId="77777777" w:rsidR="00643383" w:rsidRDefault="00643383" w:rsidP="00643383">
      <w:pPr>
        <w:spacing w:before="100" w:beforeAutospacing="1" w:after="100" w:afterAutospacing="1" w:line="300" w:lineRule="exact"/>
        <w:jc w:val="both"/>
        <w:rPr>
          <w:rFonts w:ascii="David" w:hAnsi="David"/>
          <w:color w:val="000000"/>
          <w:rtl/>
        </w:rPr>
      </w:pPr>
      <w:r>
        <w:rPr>
          <w:rFonts w:hint="cs"/>
          <w:bCs/>
          <w:u w:val="single"/>
          <w:rtl/>
          <w:lang w:eastAsia="he-IL"/>
        </w:rPr>
        <w:t>מתחם העונש ההולם</w:t>
      </w:r>
    </w:p>
    <w:p w14:paraId="35C8A8D5" w14:textId="77777777" w:rsidR="00643383" w:rsidRDefault="00643383" w:rsidP="00643383">
      <w:pPr>
        <w:numPr>
          <w:ilvl w:val="0"/>
          <w:numId w:val="1"/>
        </w:numPr>
        <w:spacing w:before="100" w:beforeAutospacing="1" w:after="100" w:afterAutospacing="1" w:line="300" w:lineRule="exact"/>
        <w:contextualSpacing/>
        <w:jc w:val="both"/>
        <w:rPr>
          <w:rtl/>
        </w:rPr>
      </w:pPr>
      <w:r>
        <w:rPr>
          <w:rFonts w:hint="cs"/>
          <w:b/>
          <w:bCs/>
          <w:color w:val="000000"/>
          <w:rtl/>
        </w:rPr>
        <w:t>הערך החברתי</w:t>
      </w:r>
      <w:r>
        <w:rPr>
          <w:rFonts w:hint="cs"/>
          <w:color w:val="000000"/>
          <w:rtl/>
        </w:rPr>
        <w:t xml:space="preserve"> המוגן שנפגע כתוצאה מהעבירה שביצע הנאשם, הוא שלום הציבור ובטחונו, זכותה של מדינה ריבונית לקבוע את זהות הבאים בשעריה.</w:t>
      </w:r>
    </w:p>
    <w:p w14:paraId="6E01B9E2" w14:textId="77777777" w:rsidR="00643383" w:rsidRDefault="00643383" w:rsidP="00643383">
      <w:pPr>
        <w:spacing w:before="100" w:beforeAutospacing="1" w:after="100" w:afterAutospacing="1" w:line="300" w:lineRule="exact"/>
        <w:ind w:left="360"/>
        <w:contextualSpacing/>
        <w:jc w:val="both"/>
      </w:pPr>
    </w:p>
    <w:p w14:paraId="53451061" w14:textId="77777777" w:rsidR="00643383" w:rsidRDefault="00643383" w:rsidP="00643383">
      <w:pPr>
        <w:numPr>
          <w:ilvl w:val="0"/>
          <w:numId w:val="1"/>
        </w:numPr>
        <w:spacing w:before="100" w:beforeAutospacing="1" w:after="100" w:afterAutospacing="1" w:line="300" w:lineRule="exact"/>
        <w:contextualSpacing/>
        <w:jc w:val="both"/>
        <w:rPr>
          <w:rtl/>
        </w:rPr>
      </w:pPr>
      <w:r>
        <w:rPr>
          <w:rFonts w:hint="cs"/>
          <w:rtl/>
        </w:rPr>
        <w:t>על חומרת מעשיהם של המסיעים, המלינים והמעסיקים שוהים בישראל שלא כדין ועל הסיכון הטמון בכך, עמד בית המשפט העליון, לא אחת, תוך שקבע, כי יש לנקוט כלפיהם במדיניות של ענישה מחמירה, הכוללת לרוב מאסר בפועל מאחורי סורג ובריח (</w:t>
      </w:r>
      <w:hyperlink r:id="rId19" w:history="1">
        <w:r w:rsidR="007E011D" w:rsidRPr="007E011D">
          <w:rPr>
            <w:rStyle w:val="Hyperlink"/>
            <w:rFonts w:cs="David" w:hint="eastAsia"/>
            <w:rtl/>
          </w:rPr>
          <w:t>רע</w:t>
        </w:r>
        <w:r w:rsidR="007E011D" w:rsidRPr="007E011D">
          <w:rPr>
            <w:rStyle w:val="Hyperlink"/>
            <w:rFonts w:cs="David"/>
            <w:rtl/>
          </w:rPr>
          <w:t>"פ 3674/04</w:t>
        </w:r>
      </w:hyperlink>
      <w:r>
        <w:rPr>
          <w:rFonts w:hint="cs"/>
          <w:rtl/>
        </w:rPr>
        <w:t xml:space="preserve"> </w:t>
      </w:r>
      <w:r>
        <w:rPr>
          <w:rFonts w:hint="cs"/>
          <w:b/>
          <w:bCs/>
          <w:rtl/>
        </w:rPr>
        <w:t>אבו סאלם נ' מדינת ישראל</w:t>
      </w:r>
      <w:r>
        <w:rPr>
          <w:rFonts w:hint="cs"/>
          <w:rtl/>
        </w:rPr>
        <w:t xml:space="preserve">, </w:t>
      </w:r>
      <w:hyperlink r:id="rId20" w:history="1">
        <w:r w:rsidR="007E011D" w:rsidRPr="007E011D">
          <w:rPr>
            <w:rStyle w:val="Hyperlink"/>
            <w:rFonts w:cs="David" w:hint="eastAsia"/>
            <w:rtl/>
          </w:rPr>
          <w:t>רע</w:t>
        </w:r>
        <w:r w:rsidR="007E011D" w:rsidRPr="007E011D">
          <w:rPr>
            <w:rStyle w:val="Hyperlink"/>
            <w:rFonts w:cs="David"/>
            <w:rtl/>
          </w:rPr>
          <w:t>"פ 8191/06</w:t>
        </w:r>
      </w:hyperlink>
      <w:r>
        <w:rPr>
          <w:rFonts w:hint="cs"/>
          <w:b/>
          <w:bCs/>
          <w:rtl/>
        </w:rPr>
        <w:t xml:space="preserve"> קריספי נ. מדינת ישראל </w:t>
      </w:r>
      <w:r>
        <w:rPr>
          <w:rFonts w:hint="cs"/>
          <w:rtl/>
        </w:rPr>
        <w:t xml:space="preserve">, </w:t>
      </w:r>
      <w:hyperlink r:id="rId21" w:history="1">
        <w:r w:rsidR="007E011D" w:rsidRPr="007E011D">
          <w:rPr>
            <w:rStyle w:val="Hyperlink"/>
            <w:rFonts w:cs="David" w:hint="eastAsia"/>
            <w:rtl/>
          </w:rPr>
          <w:t>רע</w:t>
        </w:r>
        <w:r w:rsidR="007E011D" w:rsidRPr="007E011D">
          <w:rPr>
            <w:rStyle w:val="Hyperlink"/>
            <w:rFonts w:cs="David"/>
            <w:rtl/>
          </w:rPr>
          <w:t>"פ 3173/09</w:t>
        </w:r>
      </w:hyperlink>
      <w:r>
        <w:rPr>
          <w:rFonts w:hint="cs"/>
          <w:rtl/>
        </w:rPr>
        <w:t xml:space="preserve"> </w:t>
      </w:r>
      <w:r>
        <w:rPr>
          <w:rFonts w:hint="cs"/>
          <w:b/>
          <w:bCs/>
          <w:rtl/>
        </w:rPr>
        <w:t>פראג'ין נ' מדינת ישראל</w:t>
      </w:r>
      <w:r>
        <w:rPr>
          <w:rFonts w:hint="cs"/>
          <w:rtl/>
        </w:rPr>
        <w:t>).</w:t>
      </w:r>
    </w:p>
    <w:p w14:paraId="1B924E0E" w14:textId="77777777" w:rsidR="00643383" w:rsidRDefault="00643383" w:rsidP="00643383">
      <w:pPr>
        <w:spacing w:before="100" w:beforeAutospacing="1" w:after="100" w:afterAutospacing="1" w:line="300" w:lineRule="exact"/>
        <w:ind w:left="360"/>
        <w:contextualSpacing/>
        <w:jc w:val="both"/>
        <w:rPr>
          <w:rtl/>
        </w:rPr>
      </w:pPr>
    </w:p>
    <w:p w14:paraId="56C92961" w14:textId="77777777" w:rsidR="00643383" w:rsidRDefault="00643383" w:rsidP="00643383">
      <w:pPr>
        <w:numPr>
          <w:ilvl w:val="0"/>
          <w:numId w:val="1"/>
        </w:numPr>
        <w:spacing w:before="100" w:beforeAutospacing="1" w:after="100" w:afterAutospacing="1" w:line="300" w:lineRule="exact"/>
        <w:contextualSpacing/>
        <w:jc w:val="both"/>
        <w:rPr>
          <w:rFonts w:ascii="David" w:hAnsi="David"/>
          <w:color w:val="000000"/>
          <w:rtl/>
        </w:rPr>
      </w:pPr>
      <w:r>
        <w:rPr>
          <w:rFonts w:hint="cs"/>
          <w:color w:val="000000"/>
          <w:rtl/>
        </w:rPr>
        <w:t xml:space="preserve">בחינת </w:t>
      </w:r>
      <w:r>
        <w:rPr>
          <w:rFonts w:hint="cs"/>
          <w:b/>
          <w:bCs/>
          <w:color w:val="000000"/>
          <w:rtl/>
        </w:rPr>
        <w:t xml:space="preserve">מידת הפגיעה בערך המוגן </w:t>
      </w:r>
      <w:r>
        <w:rPr>
          <w:rFonts w:hint="cs"/>
          <w:color w:val="000000"/>
          <w:rtl/>
        </w:rPr>
        <w:t>בנסיבות תיק זה הינה ברף הבינוני, בשים לב למספר הנוסעים שהסיע הנאשם.</w:t>
      </w:r>
    </w:p>
    <w:p w14:paraId="7E455436" w14:textId="77777777" w:rsidR="00643383" w:rsidRDefault="00643383" w:rsidP="00643383">
      <w:pPr>
        <w:spacing w:before="100" w:beforeAutospacing="1" w:after="100" w:afterAutospacing="1" w:line="300" w:lineRule="exact"/>
        <w:ind w:left="360"/>
        <w:contextualSpacing/>
        <w:jc w:val="both"/>
        <w:rPr>
          <w:color w:val="000000"/>
        </w:rPr>
      </w:pPr>
    </w:p>
    <w:p w14:paraId="44BCA3FD" w14:textId="77777777" w:rsidR="00643383" w:rsidRDefault="00643383" w:rsidP="00643383">
      <w:pPr>
        <w:spacing w:before="100" w:beforeAutospacing="1" w:after="100" w:afterAutospacing="1" w:line="300" w:lineRule="exact"/>
        <w:ind w:left="360"/>
        <w:contextualSpacing/>
        <w:jc w:val="both"/>
        <w:rPr>
          <w:color w:val="000000"/>
        </w:rPr>
      </w:pPr>
      <w:r>
        <w:rPr>
          <w:rFonts w:hint="cs"/>
          <w:color w:val="000000"/>
          <w:rtl/>
        </w:rPr>
        <w:t>ראו דברי בית המשפט המחוזי בבאר שבע, ב</w:t>
      </w:r>
      <w:hyperlink r:id="rId22" w:history="1">
        <w:r w:rsidR="007E011D" w:rsidRPr="007E011D">
          <w:rPr>
            <w:rStyle w:val="Hyperlink"/>
            <w:rFonts w:cs="David" w:hint="eastAsia"/>
            <w:rtl/>
          </w:rPr>
          <w:t>עפ</w:t>
        </w:r>
        <w:r w:rsidR="007E011D" w:rsidRPr="007E011D">
          <w:rPr>
            <w:rStyle w:val="Hyperlink"/>
            <w:rFonts w:cs="David"/>
            <w:rtl/>
          </w:rPr>
          <w:t>"ג 33170-01-17</w:t>
        </w:r>
      </w:hyperlink>
      <w:r>
        <w:rPr>
          <w:rFonts w:hint="cs"/>
          <w:color w:val="000000"/>
          <w:rtl/>
        </w:rPr>
        <w:t xml:space="preserve"> </w:t>
      </w:r>
      <w:r>
        <w:rPr>
          <w:rFonts w:hint="cs"/>
          <w:b/>
          <w:bCs/>
          <w:color w:val="000000"/>
          <w:rtl/>
        </w:rPr>
        <w:t>מדינת ישראל נ' אלריאטי</w:t>
      </w:r>
      <w:r>
        <w:rPr>
          <w:rFonts w:hint="cs"/>
          <w:color w:val="000000"/>
          <w:rtl/>
        </w:rPr>
        <w:t xml:space="preserve"> (7.6.17):</w:t>
      </w:r>
    </w:p>
    <w:p w14:paraId="13EBEADE" w14:textId="77777777" w:rsidR="00643383" w:rsidRDefault="00643383" w:rsidP="00643383">
      <w:pPr>
        <w:spacing w:before="100" w:beforeAutospacing="1" w:after="100" w:afterAutospacing="1" w:line="300" w:lineRule="exact"/>
        <w:ind w:left="360"/>
        <w:contextualSpacing/>
        <w:jc w:val="both"/>
        <w:rPr>
          <w:color w:val="000000"/>
          <w:rtl/>
        </w:rPr>
      </w:pPr>
    </w:p>
    <w:p w14:paraId="5C9E04D6" w14:textId="77777777" w:rsidR="00643383" w:rsidRDefault="00643383" w:rsidP="00643383">
      <w:pPr>
        <w:spacing w:before="100" w:beforeAutospacing="1" w:after="100" w:afterAutospacing="1" w:line="300" w:lineRule="exact"/>
        <w:ind w:left="720"/>
        <w:contextualSpacing/>
        <w:jc w:val="both"/>
        <w:rPr>
          <w:color w:val="000000"/>
          <w:rtl/>
        </w:rPr>
      </w:pPr>
      <w:r>
        <w:rPr>
          <w:rFonts w:hint="cs"/>
          <w:color w:val="000000"/>
          <w:rtl/>
        </w:rPr>
        <w:t>"מי שמסיע רכב עמוס בשוהים בלתי חוקיים כפי שבענייננו, מסייע ביצירת תשתית לפעילות חבלנית ואף פוגע בבטחון המדינה, גם אם אין בכוונתו לגרום נזק בטחוני. שהרי אין המסיע יכול לדעת בוודאות מי כל נוסעיו או מה הם כוונותיהם של מי מהנוסעים."</w:t>
      </w:r>
    </w:p>
    <w:p w14:paraId="352C7CCE" w14:textId="77777777" w:rsidR="00643383" w:rsidRDefault="00643383" w:rsidP="00643383">
      <w:pPr>
        <w:spacing w:before="100" w:beforeAutospacing="1" w:after="100" w:afterAutospacing="1" w:line="300" w:lineRule="exact"/>
        <w:ind w:left="360"/>
        <w:contextualSpacing/>
        <w:jc w:val="both"/>
        <w:rPr>
          <w:color w:val="000000"/>
          <w:rtl/>
        </w:rPr>
      </w:pPr>
    </w:p>
    <w:p w14:paraId="06BCB65E" w14:textId="77777777" w:rsidR="00643383" w:rsidRDefault="00643383" w:rsidP="00643383">
      <w:pPr>
        <w:numPr>
          <w:ilvl w:val="0"/>
          <w:numId w:val="1"/>
        </w:numPr>
        <w:spacing w:before="100" w:beforeAutospacing="1" w:after="100" w:afterAutospacing="1" w:line="300" w:lineRule="exact"/>
        <w:contextualSpacing/>
        <w:jc w:val="both"/>
        <w:rPr>
          <w:color w:val="000000"/>
          <w:rtl/>
        </w:rPr>
      </w:pPr>
      <w:r>
        <w:rPr>
          <w:rFonts w:hint="cs"/>
          <w:rtl/>
        </w:rPr>
        <w:t xml:space="preserve">באשר </w:t>
      </w:r>
      <w:r>
        <w:rPr>
          <w:rFonts w:hint="cs"/>
          <w:b/>
          <w:bCs/>
          <w:rtl/>
        </w:rPr>
        <w:t>לנסיבות ביצוע העבירה</w:t>
      </w:r>
      <w:r>
        <w:rPr>
          <w:rFonts w:hint="cs"/>
          <w:rtl/>
        </w:rPr>
        <w:t xml:space="preserve"> לקחתי בחשבון כי הנאשם הסיע הנאשם 6 שוהים בלתי חוקיים, כי הסיע את השוהים מתוך מדינת ישראל לכיוון המחסום, בכתב האישום אין אינדיקציה לכך שההסעה היתה תמורת שכר, על אף שהנאשם  סיפר הן לשירות המבחן והן לבית המשפט בשלב הטיעונים לעונש כי גבה 20 ₪ מכל נוסע. נתתי דעתי לכך שלדבריו שאל את הנוסעים אם יש להם אישור וענו בחיוב, ב"כ המאשימה אישרה כי חומר הראיות תומך בכך  ששלושה מהנוסעים נשאלו והשיבו שיש להם אישור.</w:t>
      </w:r>
    </w:p>
    <w:p w14:paraId="10ACEB39" w14:textId="77777777" w:rsidR="00643383" w:rsidRDefault="00643383" w:rsidP="00643383">
      <w:pPr>
        <w:spacing w:before="100" w:beforeAutospacing="1" w:after="100" w:afterAutospacing="1"/>
        <w:ind w:left="360"/>
        <w:contextualSpacing/>
        <w:jc w:val="both"/>
        <w:rPr>
          <w:color w:val="000000"/>
        </w:rPr>
      </w:pPr>
    </w:p>
    <w:p w14:paraId="54C8B097" w14:textId="77777777" w:rsidR="00643383" w:rsidRDefault="00643383" w:rsidP="00643383">
      <w:pPr>
        <w:numPr>
          <w:ilvl w:val="0"/>
          <w:numId w:val="1"/>
        </w:numPr>
        <w:spacing w:before="100" w:beforeAutospacing="1" w:after="100" w:afterAutospacing="1" w:line="300" w:lineRule="exact"/>
        <w:contextualSpacing/>
        <w:jc w:val="both"/>
        <w:rPr>
          <w:color w:val="000000"/>
        </w:rPr>
      </w:pPr>
      <w:r>
        <w:rPr>
          <w:rFonts w:hint="cs"/>
          <w:color w:val="000000"/>
          <w:rtl/>
        </w:rPr>
        <w:t xml:space="preserve">בחינת </w:t>
      </w:r>
      <w:r>
        <w:rPr>
          <w:rFonts w:hint="cs"/>
          <w:b/>
          <w:bCs/>
          <w:color w:val="000000"/>
          <w:rtl/>
        </w:rPr>
        <w:t>מדיניות הענישה הנוהגת</w:t>
      </w:r>
      <w:r>
        <w:rPr>
          <w:rFonts w:hint="cs"/>
          <w:color w:val="000000"/>
          <w:rtl/>
        </w:rPr>
        <w:t xml:space="preserve"> </w:t>
      </w:r>
      <w:r>
        <w:rPr>
          <w:rFonts w:hint="cs"/>
          <w:b/>
          <w:bCs/>
          <w:color w:val="000000"/>
          <w:rtl/>
        </w:rPr>
        <w:t>בעבירה של הסעת שוהים בלתי חוקיים,</w:t>
      </w:r>
      <w:r>
        <w:rPr>
          <w:rFonts w:hint="cs"/>
          <w:color w:val="000000"/>
          <w:rtl/>
        </w:rPr>
        <w:t xml:space="preserve"> </w:t>
      </w:r>
      <w:r>
        <w:rPr>
          <w:rFonts w:hint="cs"/>
          <w:b/>
          <w:bCs/>
          <w:color w:val="000000"/>
          <w:rtl/>
        </w:rPr>
        <w:t>בנסיבות של הסעת 6 שוהים,</w:t>
      </w:r>
      <w:r>
        <w:rPr>
          <w:rFonts w:hint="cs"/>
          <w:color w:val="000000"/>
          <w:rtl/>
        </w:rPr>
        <w:t xml:space="preserve"> מעלה כי במקרים דומים הוטלו על נאשמים עונשים החל ממאסר קצר וכלה במאסר של שנה, ראו למשל:</w:t>
      </w:r>
      <w:r>
        <w:rPr>
          <w:rFonts w:hint="cs"/>
          <w:color w:val="000000"/>
        </w:rPr>
        <w:t xml:space="preserve"> </w:t>
      </w:r>
      <w:r>
        <w:rPr>
          <w:rFonts w:hint="cs"/>
          <w:color w:val="000000"/>
          <w:rtl/>
        </w:rPr>
        <w:t xml:space="preserve"> </w:t>
      </w:r>
    </w:p>
    <w:p w14:paraId="322B6440" w14:textId="77777777" w:rsidR="00643383" w:rsidRDefault="00643383" w:rsidP="00643383">
      <w:pPr>
        <w:spacing w:before="100" w:beforeAutospacing="1" w:after="100" w:afterAutospacing="1" w:line="300" w:lineRule="exact"/>
        <w:ind w:left="360"/>
        <w:contextualSpacing/>
        <w:jc w:val="both"/>
        <w:rPr>
          <w:color w:val="000000"/>
        </w:rPr>
      </w:pPr>
    </w:p>
    <w:p w14:paraId="45B1CB75" w14:textId="77777777" w:rsidR="00643383" w:rsidRDefault="007E011D" w:rsidP="00643383">
      <w:pPr>
        <w:numPr>
          <w:ilvl w:val="0"/>
          <w:numId w:val="2"/>
        </w:numPr>
        <w:spacing w:before="100" w:beforeAutospacing="1" w:after="100" w:afterAutospacing="1"/>
        <w:contextualSpacing/>
        <w:jc w:val="both"/>
        <w:rPr>
          <w:color w:val="000000"/>
          <w:sz w:val="22"/>
          <w:szCs w:val="22"/>
          <w:rtl/>
        </w:rPr>
      </w:pPr>
      <w:hyperlink r:id="rId23" w:history="1">
        <w:r w:rsidRPr="007E011D">
          <w:rPr>
            <w:rStyle w:val="Hyperlink"/>
            <w:rFonts w:cs="David" w:hint="eastAsia"/>
            <w:sz w:val="22"/>
            <w:szCs w:val="22"/>
            <w:rtl/>
          </w:rPr>
          <w:t>רע</w:t>
        </w:r>
        <w:r w:rsidRPr="007E011D">
          <w:rPr>
            <w:rStyle w:val="Hyperlink"/>
            <w:rFonts w:cs="David"/>
            <w:sz w:val="22"/>
            <w:szCs w:val="22"/>
            <w:rtl/>
          </w:rPr>
          <w:t>"פ 2572/16</w:t>
        </w:r>
      </w:hyperlink>
      <w:r w:rsidR="00643383">
        <w:rPr>
          <w:rFonts w:hint="cs"/>
          <w:color w:val="000000"/>
          <w:sz w:val="22"/>
          <w:szCs w:val="22"/>
          <w:rtl/>
        </w:rPr>
        <w:t xml:space="preserve"> </w:t>
      </w:r>
      <w:r w:rsidR="00643383">
        <w:rPr>
          <w:rFonts w:hint="cs"/>
          <w:b/>
          <w:bCs/>
          <w:color w:val="000000"/>
          <w:sz w:val="22"/>
          <w:szCs w:val="22"/>
          <w:rtl/>
        </w:rPr>
        <w:t>חננאל סויסה נ' מדינת ישראל</w:t>
      </w:r>
      <w:r w:rsidR="00643383">
        <w:rPr>
          <w:rFonts w:hint="cs"/>
          <w:color w:val="000000"/>
          <w:sz w:val="22"/>
          <w:szCs w:val="22"/>
          <w:rtl/>
        </w:rPr>
        <w:t>, נדחתה בקשת רשות ערעור של נאשם שהורשע בשני אישומים, באחד הורשע בעבירות של הסעת 4 שב"חים וסיוע לכניסתם לישראל ובאישום השני הורשע בהסעת 3 שב"חים. בית המשפט קמא גזר עליו 6 חודשי מאסר לריצוי בדרך של עבודות שירות וענישה נלווית, ערעורים בבית המשפט המחוזי והעליון נדחו.</w:t>
      </w:r>
    </w:p>
    <w:p w14:paraId="50D72A09" w14:textId="77777777" w:rsidR="00643383" w:rsidRDefault="00643383" w:rsidP="00643383">
      <w:pPr>
        <w:spacing w:before="100" w:beforeAutospacing="1" w:after="100" w:afterAutospacing="1"/>
        <w:ind w:left="360"/>
        <w:contextualSpacing/>
        <w:jc w:val="both"/>
        <w:rPr>
          <w:color w:val="000000"/>
          <w:sz w:val="22"/>
          <w:szCs w:val="22"/>
          <w:rtl/>
        </w:rPr>
      </w:pPr>
    </w:p>
    <w:p w14:paraId="69746FA3" w14:textId="77777777" w:rsidR="00643383" w:rsidRDefault="007E011D" w:rsidP="00643383">
      <w:pPr>
        <w:numPr>
          <w:ilvl w:val="0"/>
          <w:numId w:val="3"/>
        </w:numPr>
        <w:spacing w:before="100" w:beforeAutospacing="1" w:after="100" w:afterAutospacing="1"/>
        <w:contextualSpacing/>
        <w:jc w:val="both"/>
        <w:rPr>
          <w:color w:val="000000"/>
          <w:sz w:val="22"/>
          <w:szCs w:val="22"/>
        </w:rPr>
      </w:pPr>
      <w:hyperlink r:id="rId24" w:history="1">
        <w:r w:rsidRPr="007E011D">
          <w:rPr>
            <w:rStyle w:val="Hyperlink"/>
            <w:rFonts w:cs="David" w:hint="eastAsia"/>
            <w:sz w:val="22"/>
            <w:szCs w:val="22"/>
            <w:rtl/>
          </w:rPr>
          <w:t>רע</w:t>
        </w:r>
        <w:r w:rsidRPr="007E011D">
          <w:rPr>
            <w:rStyle w:val="Hyperlink"/>
            <w:rFonts w:cs="David"/>
            <w:sz w:val="22"/>
            <w:szCs w:val="22"/>
            <w:rtl/>
          </w:rPr>
          <w:t>"פ 2844/16</w:t>
        </w:r>
      </w:hyperlink>
      <w:r w:rsidR="00643383">
        <w:rPr>
          <w:rFonts w:hint="cs"/>
          <w:color w:val="000000"/>
          <w:sz w:val="22"/>
          <w:szCs w:val="22"/>
          <w:rtl/>
        </w:rPr>
        <w:t xml:space="preserve"> </w:t>
      </w:r>
      <w:r w:rsidR="00643383">
        <w:rPr>
          <w:rFonts w:hint="cs"/>
          <w:b/>
          <w:bCs/>
          <w:color w:val="000000"/>
          <w:sz w:val="22"/>
          <w:szCs w:val="22"/>
          <w:rtl/>
        </w:rPr>
        <w:t>ביאלה נ' מדינת ישראל</w:t>
      </w:r>
      <w:r w:rsidR="00643383">
        <w:rPr>
          <w:rFonts w:hint="cs"/>
          <w:color w:val="000000"/>
          <w:sz w:val="22"/>
          <w:szCs w:val="22"/>
          <w:rtl/>
        </w:rPr>
        <w:t>, נדחתה בקשת רשות ערעור של נאשם שהורשע בעבירה של נסיון להסעת 3 שב"חים. בית המשפט קמא גזר עליו 80 ימי מאסר בע"ש, ערעורים בבית המשפט המחוזי והעליון נדחו.</w:t>
      </w:r>
    </w:p>
    <w:p w14:paraId="32EBAE49" w14:textId="77777777" w:rsidR="00643383" w:rsidRDefault="00643383" w:rsidP="00643383">
      <w:pPr>
        <w:spacing w:before="100" w:beforeAutospacing="1" w:after="100" w:afterAutospacing="1"/>
        <w:ind w:left="720"/>
        <w:contextualSpacing/>
        <w:jc w:val="both"/>
        <w:rPr>
          <w:color w:val="000000"/>
          <w:sz w:val="22"/>
          <w:szCs w:val="22"/>
        </w:rPr>
      </w:pPr>
    </w:p>
    <w:p w14:paraId="1689F9D8" w14:textId="77777777" w:rsidR="00643383" w:rsidRDefault="007E011D" w:rsidP="00643383">
      <w:pPr>
        <w:numPr>
          <w:ilvl w:val="0"/>
          <w:numId w:val="3"/>
        </w:numPr>
        <w:spacing w:after="120"/>
        <w:contextualSpacing/>
        <w:jc w:val="both"/>
        <w:rPr>
          <w:color w:val="000000"/>
          <w:sz w:val="22"/>
          <w:szCs w:val="22"/>
          <w:rtl/>
        </w:rPr>
      </w:pPr>
      <w:hyperlink r:id="rId25" w:history="1">
        <w:r w:rsidRPr="007E011D">
          <w:rPr>
            <w:rStyle w:val="Hyperlink"/>
            <w:rFonts w:cs="David" w:hint="eastAsia"/>
            <w:sz w:val="22"/>
            <w:szCs w:val="22"/>
            <w:rtl/>
          </w:rPr>
          <w:t>רע</w:t>
        </w:r>
        <w:r w:rsidRPr="007E011D">
          <w:rPr>
            <w:rStyle w:val="Hyperlink"/>
            <w:rFonts w:cs="David"/>
            <w:sz w:val="22"/>
            <w:szCs w:val="22"/>
            <w:rtl/>
          </w:rPr>
          <w:t>"פ 513/15</w:t>
        </w:r>
      </w:hyperlink>
      <w:r w:rsidR="00643383">
        <w:rPr>
          <w:rFonts w:hint="cs"/>
          <w:sz w:val="22"/>
          <w:szCs w:val="22"/>
          <w:rtl/>
        </w:rPr>
        <w:t xml:space="preserve"> </w:t>
      </w:r>
      <w:r w:rsidR="00643383">
        <w:rPr>
          <w:rFonts w:hint="cs"/>
          <w:b/>
          <w:bCs/>
          <w:color w:val="000000"/>
          <w:sz w:val="22"/>
          <w:szCs w:val="22"/>
          <w:rtl/>
        </w:rPr>
        <w:t>מריסי נ' מדינת ישראל</w:t>
      </w:r>
      <w:r w:rsidR="00643383">
        <w:rPr>
          <w:rFonts w:hint="cs"/>
          <w:color w:val="000000"/>
          <w:sz w:val="22"/>
          <w:szCs w:val="22"/>
          <w:rtl/>
        </w:rPr>
        <w:t xml:space="preserve"> (29.6.15), הנאשם הורשע בעבירה של הסעת תושב זר בשירותי הסעות, בנהיגה פוחזת ובהסעת נוסעים בשכר. הנאשם הסיע 11 שב"חים ו- 7 מתוכם ישבו על רצפת הרכב. בית משפט קמא גזר 8 חוד' מאסר, מאסר על תנאי וקנס. בית משפט מחוזי קיבל את ערעור הנאשם והעמיד המאסר על 5.5 חודשים. בהסכמת הצדדים ניתנה רשות ערעור והמאסר הוסב לריצוי בדרך של עבודות שירות.</w:t>
      </w:r>
    </w:p>
    <w:p w14:paraId="46428658" w14:textId="77777777" w:rsidR="00643383" w:rsidRDefault="00643383" w:rsidP="00643383">
      <w:pPr>
        <w:spacing w:before="100" w:beforeAutospacing="1" w:after="100" w:afterAutospacing="1"/>
        <w:ind w:left="360"/>
        <w:contextualSpacing/>
        <w:jc w:val="both"/>
        <w:rPr>
          <w:color w:val="000000"/>
          <w:sz w:val="22"/>
          <w:szCs w:val="22"/>
        </w:rPr>
      </w:pPr>
    </w:p>
    <w:p w14:paraId="0128C4A0" w14:textId="77777777" w:rsidR="00643383" w:rsidRDefault="007E011D" w:rsidP="00643383">
      <w:pPr>
        <w:numPr>
          <w:ilvl w:val="0"/>
          <w:numId w:val="3"/>
        </w:numPr>
        <w:spacing w:before="100" w:beforeAutospacing="1" w:after="100" w:afterAutospacing="1"/>
        <w:contextualSpacing/>
        <w:jc w:val="both"/>
        <w:rPr>
          <w:color w:val="000000"/>
          <w:sz w:val="22"/>
          <w:szCs w:val="22"/>
        </w:rPr>
      </w:pPr>
      <w:hyperlink r:id="rId26" w:history="1">
        <w:r w:rsidRPr="007E011D">
          <w:rPr>
            <w:rStyle w:val="Hyperlink"/>
            <w:rFonts w:cs="David" w:hint="eastAsia"/>
            <w:sz w:val="22"/>
            <w:szCs w:val="22"/>
            <w:rtl/>
          </w:rPr>
          <w:t>רע</w:t>
        </w:r>
        <w:r w:rsidRPr="007E011D">
          <w:rPr>
            <w:rStyle w:val="Hyperlink"/>
            <w:rFonts w:cs="David"/>
            <w:sz w:val="22"/>
            <w:szCs w:val="22"/>
            <w:rtl/>
          </w:rPr>
          <w:t>"פ 7726/13</w:t>
        </w:r>
      </w:hyperlink>
      <w:r w:rsidR="00643383">
        <w:rPr>
          <w:rFonts w:hint="cs"/>
          <w:color w:val="000000"/>
          <w:sz w:val="22"/>
          <w:szCs w:val="22"/>
          <w:rtl/>
        </w:rPr>
        <w:t xml:space="preserve">, </w:t>
      </w:r>
      <w:r w:rsidR="00643383">
        <w:rPr>
          <w:rFonts w:hint="cs"/>
          <w:b/>
          <w:bCs/>
          <w:color w:val="000000"/>
          <w:sz w:val="22"/>
          <w:szCs w:val="22"/>
          <w:rtl/>
        </w:rPr>
        <w:t>גמעה נסאסרה נ' מדינת ישראל</w:t>
      </w:r>
      <w:r w:rsidR="00643383">
        <w:rPr>
          <w:rFonts w:hint="cs"/>
          <w:color w:val="000000"/>
          <w:sz w:val="22"/>
          <w:szCs w:val="22"/>
          <w:rtl/>
        </w:rPr>
        <w:t>, נדחתה בקשת רשות ערעור של נאשם שהורשע בעבירה של הסעת 4 שוהים בלתי חוקיים מכיוון השומרון לתוככי ישראל. הוא נדון ל- 7 חודשי מאסר בפועל.</w:t>
      </w:r>
    </w:p>
    <w:p w14:paraId="140BDBC2" w14:textId="77777777" w:rsidR="00643383" w:rsidRDefault="00643383" w:rsidP="00643383">
      <w:pPr>
        <w:ind w:left="360"/>
        <w:contextualSpacing/>
        <w:jc w:val="both"/>
        <w:rPr>
          <w:color w:val="000000"/>
          <w:sz w:val="22"/>
          <w:szCs w:val="22"/>
          <w:rtl/>
        </w:rPr>
      </w:pPr>
    </w:p>
    <w:p w14:paraId="25FA6CB5" w14:textId="77777777" w:rsidR="00643383" w:rsidRDefault="007E011D" w:rsidP="00643383">
      <w:pPr>
        <w:numPr>
          <w:ilvl w:val="0"/>
          <w:numId w:val="3"/>
        </w:numPr>
        <w:tabs>
          <w:tab w:val="num" w:pos="1286"/>
        </w:tabs>
        <w:spacing w:after="120"/>
        <w:contextualSpacing/>
        <w:jc w:val="both"/>
        <w:rPr>
          <w:sz w:val="22"/>
          <w:szCs w:val="22"/>
        </w:rPr>
      </w:pPr>
      <w:hyperlink r:id="rId27" w:history="1">
        <w:r w:rsidRPr="007E011D">
          <w:rPr>
            <w:rStyle w:val="Hyperlink"/>
            <w:rFonts w:cs="David" w:hint="eastAsia"/>
            <w:sz w:val="22"/>
            <w:szCs w:val="22"/>
            <w:rtl/>
          </w:rPr>
          <w:t>רע</w:t>
        </w:r>
        <w:r w:rsidRPr="007E011D">
          <w:rPr>
            <w:rStyle w:val="Hyperlink"/>
            <w:rFonts w:cs="David"/>
            <w:sz w:val="22"/>
            <w:szCs w:val="22"/>
            <w:rtl/>
          </w:rPr>
          <w:t>"פ 2210/11</w:t>
        </w:r>
      </w:hyperlink>
      <w:r w:rsidR="00643383">
        <w:rPr>
          <w:rFonts w:hint="cs"/>
          <w:sz w:val="22"/>
          <w:szCs w:val="22"/>
          <w:rtl/>
        </w:rPr>
        <w:t xml:space="preserve"> </w:t>
      </w:r>
      <w:r w:rsidR="00643383">
        <w:rPr>
          <w:rFonts w:hint="cs"/>
          <w:b/>
          <w:bCs/>
          <w:sz w:val="22"/>
          <w:szCs w:val="22"/>
          <w:rtl/>
        </w:rPr>
        <w:t>באזין נ' מדינת ישראל</w:t>
      </w:r>
      <w:r w:rsidR="00643383">
        <w:rPr>
          <w:rFonts w:hint="cs"/>
          <w:sz w:val="22"/>
          <w:szCs w:val="22"/>
          <w:rtl/>
        </w:rPr>
        <w:t>, נדחתה בקשת רשות ערעור של נאשם, שהורשע בביצוע שתי עבירות של הסעה שלא כדין (3 שב"חים ו- 5 שב"חים). הוא נידון לשישה חודשי מאסר בפועל.</w:t>
      </w:r>
    </w:p>
    <w:p w14:paraId="132928D2" w14:textId="77777777" w:rsidR="00643383" w:rsidRDefault="00643383" w:rsidP="00643383">
      <w:pPr>
        <w:ind w:left="360"/>
        <w:contextualSpacing/>
        <w:jc w:val="both"/>
        <w:rPr>
          <w:sz w:val="22"/>
          <w:szCs w:val="22"/>
          <w:rtl/>
        </w:rPr>
      </w:pPr>
    </w:p>
    <w:p w14:paraId="2D0FBFF1" w14:textId="77777777" w:rsidR="00643383" w:rsidRDefault="00CB275E" w:rsidP="00643383">
      <w:pPr>
        <w:numPr>
          <w:ilvl w:val="0"/>
          <w:numId w:val="3"/>
        </w:numPr>
        <w:jc w:val="both"/>
        <w:rPr>
          <w:rFonts w:cs="Times New Roman"/>
          <w:sz w:val="22"/>
          <w:szCs w:val="22"/>
        </w:rPr>
      </w:pPr>
      <w:hyperlink r:id="rId28" w:history="1">
        <w:r w:rsidR="00643383">
          <w:rPr>
            <w:rStyle w:val="Hyperlink"/>
            <w:rFonts w:hint="cs"/>
            <w:sz w:val="22"/>
            <w:szCs w:val="22"/>
            <w:rtl/>
          </w:rPr>
          <w:t xml:space="preserve">עפ"ג (מחוזי י-ם) 7465-06-15 </w:t>
        </w:r>
      </w:hyperlink>
      <w:r w:rsidR="00643383">
        <w:rPr>
          <w:rFonts w:hint="cs"/>
          <w:b/>
          <w:bCs/>
          <w:sz w:val="22"/>
          <w:szCs w:val="22"/>
          <w:rtl/>
        </w:rPr>
        <w:t>וזוז נ' מדינת ישראל</w:t>
      </w:r>
      <w:r w:rsidR="00643383">
        <w:rPr>
          <w:rFonts w:hint="cs"/>
          <w:sz w:val="22"/>
          <w:szCs w:val="22"/>
          <w:rtl/>
        </w:rPr>
        <w:t xml:space="preserve"> (22.2.16), המערער הודה והורשע בעבירות של הסעה בנסיבות מחמירות, ובכתב אישום נוסף ובו שתי עבירות של הפרת הוראה חוקית. המערער הסיע ברכב המיועד ל-4 אנשים, 6 שוהים בלתי חוקיים בנוסף הפר המערער מעצר בית פעמיים. נגזרו על המערער 6 חודשי מאסר ויום ומאסר על תנאי. ערעורו נדחה.</w:t>
      </w:r>
    </w:p>
    <w:p w14:paraId="504352DC" w14:textId="77777777" w:rsidR="00643383" w:rsidRDefault="00643383" w:rsidP="00643383">
      <w:pPr>
        <w:spacing w:before="100" w:beforeAutospacing="1" w:after="100" w:afterAutospacing="1"/>
        <w:ind w:left="360"/>
        <w:contextualSpacing/>
        <w:jc w:val="both"/>
        <w:rPr>
          <w:rFonts w:ascii="David" w:hAnsi="David"/>
          <w:color w:val="000000"/>
          <w:sz w:val="22"/>
          <w:szCs w:val="22"/>
          <w:rtl/>
        </w:rPr>
      </w:pPr>
    </w:p>
    <w:p w14:paraId="41CE9CFF" w14:textId="77777777" w:rsidR="00643383" w:rsidRDefault="007E011D" w:rsidP="00643383">
      <w:pPr>
        <w:numPr>
          <w:ilvl w:val="0"/>
          <w:numId w:val="3"/>
        </w:numPr>
        <w:spacing w:before="100" w:beforeAutospacing="1" w:after="100" w:afterAutospacing="1"/>
        <w:contextualSpacing/>
        <w:jc w:val="both"/>
        <w:rPr>
          <w:color w:val="000000"/>
          <w:sz w:val="22"/>
          <w:szCs w:val="22"/>
        </w:rPr>
      </w:pPr>
      <w:hyperlink r:id="rId29" w:history="1">
        <w:r w:rsidRPr="007E011D">
          <w:rPr>
            <w:rStyle w:val="Hyperlink"/>
            <w:rFonts w:cs="David" w:hint="eastAsia"/>
            <w:sz w:val="22"/>
            <w:szCs w:val="22"/>
            <w:rtl/>
          </w:rPr>
          <w:t>עפ</w:t>
        </w:r>
        <w:r w:rsidRPr="007E011D">
          <w:rPr>
            <w:rStyle w:val="Hyperlink"/>
            <w:rFonts w:cs="David"/>
            <w:sz w:val="22"/>
            <w:szCs w:val="22"/>
            <w:rtl/>
          </w:rPr>
          <w:t>"ג (ב"ש) 58809-10-13</w:t>
        </w:r>
      </w:hyperlink>
      <w:r w:rsidR="00643383">
        <w:rPr>
          <w:rFonts w:hint="cs"/>
          <w:color w:val="000000"/>
          <w:sz w:val="22"/>
          <w:szCs w:val="22"/>
          <w:rtl/>
        </w:rPr>
        <w:t xml:space="preserve"> </w:t>
      </w:r>
      <w:r w:rsidR="00643383">
        <w:rPr>
          <w:rFonts w:hint="cs"/>
          <w:b/>
          <w:bCs/>
          <w:color w:val="000000"/>
          <w:sz w:val="22"/>
          <w:szCs w:val="22"/>
          <w:rtl/>
        </w:rPr>
        <w:t>עוואני אבו מחארב</w:t>
      </w:r>
      <w:r w:rsidR="00643383">
        <w:rPr>
          <w:rFonts w:hint="cs"/>
          <w:color w:val="000000"/>
          <w:sz w:val="22"/>
          <w:szCs w:val="22"/>
          <w:rtl/>
        </w:rPr>
        <w:t>, הנאשם הורשע בשני אישומים, בכל אחד מהם הסיע 3 שוהים בלתי חוקיים. בית משפט קמא גזר 6 חודשי מאסר שירוצו בעבודות שירות ו- 6 חודשי פסילה. בית המשפט המחוזי קיבל את הערעור בשל נסיבותיו האישיות והפחית את המאסר ל- 4 חודשים בעבודות שירות ואת הפסילה ל- 3 חודשים.</w:t>
      </w:r>
    </w:p>
    <w:p w14:paraId="2E69C757" w14:textId="77777777" w:rsidR="00643383" w:rsidRDefault="00643383" w:rsidP="00643383">
      <w:pPr>
        <w:ind w:left="360"/>
        <w:contextualSpacing/>
        <w:jc w:val="both"/>
        <w:rPr>
          <w:color w:val="000000"/>
          <w:sz w:val="22"/>
          <w:szCs w:val="22"/>
          <w:rtl/>
        </w:rPr>
      </w:pPr>
    </w:p>
    <w:p w14:paraId="2B11333E" w14:textId="77777777" w:rsidR="00643383" w:rsidRDefault="007E011D" w:rsidP="00643383">
      <w:pPr>
        <w:numPr>
          <w:ilvl w:val="0"/>
          <w:numId w:val="3"/>
        </w:numPr>
        <w:tabs>
          <w:tab w:val="num" w:pos="1286"/>
        </w:tabs>
        <w:spacing w:after="120"/>
        <w:contextualSpacing/>
        <w:jc w:val="both"/>
        <w:rPr>
          <w:color w:val="000000"/>
          <w:sz w:val="22"/>
          <w:szCs w:val="22"/>
        </w:rPr>
      </w:pPr>
      <w:hyperlink r:id="rId30" w:history="1">
        <w:r w:rsidRPr="007E011D">
          <w:rPr>
            <w:rStyle w:val="Hyperlink"/>
            <w:rFonts w:cs="David" w:hint="eastAsia"/>
            <w:sz w:val="22"/>
            <w:szCs w:val="22"/>
            <w:rtl/>
          </w:rPr>
          <w:t>עפ</w:t>
        </w:r>
        <w:r w:rsidRPr="007E011D">
          <w:rPr>
            <w:rStyle w:val="Hyperlink"/>
            <w:rFonts w:cs="David"/>
            <w:sz w:val="22"/>
            <w:szCs w:val="22"/>
            <w:rtl/>
          </w:rPr>
          <w:t>"ג (מרכז) 1671-09-13</w:t>
        </w:r>
      </w:hyperlink>
      <w:r w:rsidR="00643383">
        <w:rPr>
          <w:rFonts w:hint="cs"/>
          <w:sz w:val="22"/>
          <w:szCs w:val="22"/>
          <w:rtl/>
        </w:rPr>
        <w:t xml:space="preserve"> </w:t>
      </w:r>
      <w:r w:rsidR="00643383">
        <w:rPr>
          <w:rFonts w:hint="cs"/>
          <w:b/>
          <w:bCs/>
          <w:sz w:val="22"/>
          <w:szCs w:val="22"/>
          <w:rtl/>
        </w:rPr>
        <w:t>סאלח נ' מדינת ישראל</w:t>
      </w:r>
      <w:r w:rsidR="00643383">
        <w:rPr>
          <w:rFonts w:hint="cs"/>
          <w:sz w:val="22"/>
          <w:szCs w:val="22"/>
          <w:rtl/>
        </w:rPr>
        <w:t>, התקבל חלקית ערעורו של נאשם, אשר הורשע בעבירה של הסעת ארבעה שב"חים. בית משפט השלום גזר עליו 15 חודשי מאסר בפועל, בית משפט מחוזי קיבל את הערעור בנוגע לעונש המאסר, והוא נידון לשנת מאסר בפועל.</w:t>
      </w:r>
    </w:p>
    <w:p w14:paraId="4DE794CF" w14:textId="77777777" w:rsidR="00643383" w:rsidRDefault="00643383" w:rsidP="00643383">
      <w:pPr>
        <w:spacing w:after="200" w:line="276" w:lineRule="auto"/>
        <w:ind w:left="720"/>
        <w:contextualSpacing/>
        <w:jc w:val="both"/>
        <w:rPr>
          <w:color w:val="000000"/>
          <w:sz w:val="22"/>
          <w:szCs w:val="22"/>
        </w:rPr>
      </w:pPr>
    </w:p>
    <w:p w14:paraId="4844A762" w14:textId="77777777" w:rsidR="00643383" w:rsidRDefault="004A4D18" w:rsidP="00643383">
      <w:pPr>
        <w:numPr>
          <w:ilvl w:val="0"/>
          <w:numId w:val="3"/>
        </w:numPr>
        <w:tabs>
          <w:tab w:val="num" w:pos="1286"/>
        </w:tabs>
        <w:spacing w:after="120"/>
        <w:contextualSpacing/>
        <w:jc w:val="both"/>
        <w:rPr>
          <w:sz w:val="22"/>
          <w:szCs w:val="22"/>
          <w:rtl/>
        </w:rPr>
      </w:pPr>
      <w:hyperlink r:id="rId31" w:history="1">
        <w:r w:rsidRPr="004A4D18">
          <w:rPr>
            <w:color w:val="0000FF"/>
            <w:sz w:val="22"/>
            <w:szCs w:val="22"/>
            <w:u w:val="single"/>
            <w:rtl/>
          </w:rPr>
          <w:t xml:space="preserve">עפ"ג (י-ם) 2195/10 </w:t>
        </w:r>
      </w:hyperlink>
      <w:r w:rsidR="00643383">
        <w:rPr>
          <w:rFonts w:hint="cs"/>
          <w:color w:val="000000"/>
          <w:sz w:val="22"/>
          <w:szCs w:val="22"/>
          <w:rtl/>
        </w:rPr>
        <w:t xml:space="preserve"> </w:t>
      </w:r>
      <w:r w:rsidR="00643383">
        <w:rPr>
          <w:rFonts w:hint="cs"/>
          <w:b/>
          <w:bCs/>
          <w:color w:val="000000"/>
          <w:sz w:val="22"/>
          <w:szCs w:val="22"/>
          <w:rtl/>
        </w:rPr>
        <w:t>מדינת ישראל נ' מחמוד אבו אסמאעיל</w:t>
      </w:r>
      <w:r w:rsidR="00643383">
        <w:rPr>
          <w:rFonts w:hint="cs"/>
          <w:color w:val="000000"/>
          <w:sz w:val="22"/>
          <w:szCs w:val="22"/>
          <w:rtl/>
        </w:rPr>
        <w:t xml:space="preserve"> ( 16.9.10), המשיב הורשע בעבירה של הסעת 6 שוהים בלתי חוקיים. נדון על ידי בית משפט קמא למאסר מותנה וקנס. בית המשפט המחוזי קיבל את הערעור על קולת העונש, והוסיף רכיב של מאסר בפועל למשך חודש, שירוצה </w:t>
      </w:r>
      <w:r w:rsidR="00643383">
        <w:rPr>
          <w:rFonts w:hint="cs"/>
          <w:sz w:val="22"/>
          <w:szCs w:val="22"/>
          <w:rtl/>
        </w:rPr>
        <w:t>בעבודות שירות.</w:t>
      </w:r>
    </w:p>
    <w:p w14:paraId="0CD640CF" w14:textId="77777777" w:rsidR="00643383" w:rsidRDefault="00643383" w:rsidP="00643383">
      <w:pPr>
        <w:spacing w:after="120"/>
        <w:ind w:left="720"/>
        <w:contextualSpacing/>
        <w:jc w:val="both"/>
        <w:rPr>
          <w:sz w:val="22"/>
          <w:szCs w:val="22"/>
        </w:rPr>
      </w:pPr>
    </w:p>
    <w:p w14:paraId="1280EF63" w14:textId="77777777" w:rsidR="00643383" w:rsidRDefault="00643383" w:rsidP="00643383">
      <w:pPr>
        <w:spacing w:after="120"/>
        <w:contextualSpacing/>
        <w:jc w:val="both"/>
        <w:rPr>
          <w:sz w:val="22"/>
          <w:szCs w:val="22"/>
          <w:rtl/>
        </w:rPr>
      </w:pPr>
      <w:r>
        <w:rPr>
          <w:rFonts w:hint="cs"/>
          <w:sz w:val="22"/>
          <w:szCs w:val="22"/>
          <w:rtl/>
        </w:rPr>
        <w:t>ראו גם:</w:t>
      </w:r>
    </w:p>
    <w:p w14:paraId="776C668E" w14:textId="77777777" w:rsidR="00643383" w:rsidRDefault="00CB275E" w:rsidP="00643383">
      <w:pPr>
        <w:numPr>
          <w:ilvl w:val="0"/>
          <w:numId w:val="3"/>
        </w:numPr>
        <w:jc w:val="both"/>
      </w:pPr>
      <w:hyperlink r:id="rId32" w:history="1">
        <w:r w:rsidR="00643383">
          <w:rPr>
            <w:rStyle w:val="Hyperlink"/>
            <w:rFonts w:hint="cs"/>
            <w:rtl/>
          </w:rPr>
          <w:t xml:space="preserve">ת"פ (ק"ג) 26573-02-11 </w:t>
        </w:r>
      </w:hyperlink>
      <w:r w:rsidR="00643383">
        <w:rPr>
          <w:rFonts w:hint="cs"/>
          <w:b/>
          <w:bCs/>
          <w:rtl/>
        </w:rPr>
        <w:t>מדינת ישראל נ' פריואן</w:t>
      </w:r>
      <w:r w:rsidR="00643383">
        <w:rPr>
          <w:rFonts w:hint="cs"/>
          <w:rtl/>
        </w:rPr>
        <w:t xml:space="preserve"> (11.10.11) הסעת 6 שב"חים. נידון למאסר על תנאי, וענישה נלווית.</w:t>
      </w:r>
    </w:p>
    <w:p w14:paraId="14A73B44" w14:textId="77777777" w:rsidR="00643383" w:rsidRDefault="00643383" w:rsidP="00643383">
      <w:pPr>
        <w:spacing w:after="120"/>
        <w:ind w:left="720"/>
        <w:contextualSpacing/>
        <w:jc w:val="both"/>
        <w:rPr>
          <w:rFonts w:ascii="David" w:hAnsi="David"/>
          <w:sz w:val="22"/>
          <w:szCs w:val="22"/>
        </w:rPr>
      </w:pPr>
    </w:p>
    <w:p w14:paraId="6E9965E9" w14:textId="77777777" w:rsidR="00643383" w:rsidRDefault="00CB275E" w:rsidP="00643383">
      <w:pPr>
        <w:numPr>
          <w:ilvl w:val="0"/>
          <w:numId w:val="3"/>
        </w:numPr>
        <w:jc w:val="both"/>
      </w:pPr>
      <w:hyperlink r:id="rId33" w:history="1">
        <w:r w:rsidR="00643383">
          <w:rPr>
            <w:rStyle w:val="Hyperlink"/>
            <w:rFonts w:hint="cs"/>
            <w:rtl/>
          </w:rPr>
          <w:t xml:space="preserve">ת"פ (רמ') 16126-07-15 </w:t>
        </w:r>
      </w:hyperlink>
      <w:r w:rsidR="00643383">
        <w:rPr>
          <w:rFonts w:hint="cs"/>
          <w:b/>
          <w:bCs/>
          <w:rtl/>
        </w:rPr>
        <w:t>מדינת ישראל נ' אבו אמחארב</w:t>
      </w:r>
      <w:r w:rsidR="00643383">
        <w:rPr>
          <w:rFonts w:hint="cs"/>
          <w:rtl/>
        </w:rPr>
        <w:t xml:space="preserve"> (18.9.16), הנאשם הורשע בשני אישומים של  הסעת  6 שב"חים ו- 7 שב"חים. נידון ל- 4.5 חודשי מאסר בעבודות שירות, חילוט רכב וענישה נלווית.</w:t>
      </w:r>
    </w:p>
    <w:p w14:paraId="0DE77D0E" w14:textId="77777777" w:rsidR="00643383" w:rsidRDefault="00643383" w:rsidP="00643383">
      <w:pPr>
        <w:spacing w:after="200" w:line="276" w:lineRule="auto"/>
        <w:ind w:left="720"/>
        <w:contextualSpacing/>
        <w:jc w:val="both"/>
      </w:pPr>
    </w:p>
    <w:p w14:paraId="04B53AA9" w14:textId="77777777" w:rsidR="00643383" w:rsidRDefault="007E011D" w:rsidP="00643383">
      <w:pPr>
        <w:numPr>
          <w:ilvl w:val="0"/>
          <w:numId w:val="3"/>
        </w:numPr>
        <w:jc w:val="both"/>
        <w:rPr>
          <w:rtl/>
        </w:rPr>
      </w:pPr>
      <w:hyperlink r:id="rId34" w:history="1">
        <w:r w:rsidRPr="007E011D">
          <w:rPr>
            <w:rStyle w:val="Hyperlink"/>
            <w:rFonts w:cs="David" w:hint="eastAsia"/>
            <w:rtl/>
          </w:rPr>
          <w:t>ת</w:t>
        </w:r>
        <w:r w:rsidRPr="007E011D">
          <w:rPr>
            <w:rStyle w:val="Hyperlink"/>
            <w:rFonts w:cs="David"/>
            <w:rtl/>
          </w:rPr>
          <w:t>"פ (פ"ת)15865-01-13</w:t>
        </w:r>
      </w:hyperlink>
      <w:r w:rsidR="00643383">
        <w:rPr>
          <w:rFonts w:hint="cs"/>
          <w:rtl/>
        </w:rPr>
        <w:t xml:space="preserve"> </w:t>
      </w:r>
      <w:r w:rsidR="00643383">
        <w:rPr>
          <w:rFonts w:hint="cs"/>
          <w:b/>
          <w:bCs/>
          <w:rtl/>
        </w:rPr>
        <w:t>מדינת ישראל נ' נוימן</w:t>
      </w:r>
      <w:r w:rsidR="00643383">
        <w:rPr>
          <w:rFonts w:hint="cs"/>
          <w:rtl/>
        </w:rPr>
        <w:t xml:space="preserve"> ( 29.9.13), הנאשם הורשע בשני כתבי אישום, באחד בעבירה של הסעת 6 שוהים בלתי חוקיים ובשני בעבירה של החזקת סכין שלא למטרה כשרה. נקבע כי נע ממאסר מותנה ועד שנת מאסר. בית המשפט גזר על הנאשם מאסר מותנה קנס בסך 5000 ₪ והתחייבות.</w:t>
      </w:r>
    </w:p>
    <w:p w14:paraId="37981E31" w14:textId="77777777" w:rsidR="00643383" w:rsidRDefault="00643383" w:rsidP="00643383">
      <w:pPr>
        <w:pStyle w:val="ListParagraph1"/>
        <w:jc w:val="both"/>
        <w:rPr>
          <w:rFonts w:ascii="Times New Roman" w:hAnsi="Times New Roman"/>
          <w:szCs w:val="24"/>
        </w:rPr>
      </w:pPr>
    </w:p>
    <w:p w14:paraId="61CB0B80" w14:textId="77777777" w:rsidR="00643383" w:rsidRDefault="00643383" w:rsidP="00643383">
      <w:pPr>
        <w:numPr>
          <w:ilvl w:val="0"/>
          <w:numId w:val="1"/>
        </w:numPr>
        <w:suppressLineNumbers/>
        <w:autoSpaceDE w:val="0"/>
        <w:autoSpaceDN w:val="0"/>
        <w:adjustRightInd w:val="0"/>
        <w:spacing w:before="100" w:beforeAutospacing="1" w:after="100" w:afterAutospacing="1" w:line="360" w:lineRule="auto"/>
        <w:contextualSpacing/>
        <w:jc w:val="both"/>
        <w:rPr>
          <w:rFonts w:ascii="Calibri" w:hAnsi="Calibri"/>
          <w:b/>
          <w:bCs/>
          <w:u w:val="single"/>
          <w:rtl/>
        </w:rPr>
      </w:pPr>
      <w:r>
        <w:rPr>
          <w:rFonts w:hint="cs"/>
          <w:rtl/>
        </w:rPr>
        <w:t xml:space="preserve">לאור כל המפורט לעיל  אני קובעת כי מתחם העונש ההולם לעבירה בנסיבות של הסעת 6 שב"חים  בנתונים שבפניי, נע בין 3-12 חודשי מאסר, לצד עונשים נלווים. </w:t>
      </w:r>
    </w:p>
    <w:p w14:paraId="45851533" w14:textId="77777777" w:rsidR="00643383" w:rsidRDefault="00643383" w:rsidP="00643383">
      <w:pPr>
        <w:spacing w:before="100" w:beforeAutospacing="1" w:after="100" w:afterAutospacing="1" w:line="300" w:lineRule="exact"/>
        <w:contextualSpacing/>
        <w:jc w:val="both"/>
        <w:rPr>
          <w:bCs/>
          <w:u w:val="single"/>
          <w:lang w:eastAsia="he-IL"/>
        </w:rPr>
      </w:pPr>
    </w:p>
    <w:p w14:paraId="1D8B2E5B" w14:textId="77777777" w:rsidR="00643383" w:rsidRDefault="00643383" w:rsidP="00643383">
      <w:pPr>
        <w:spacing w:before="100" w:beforeAutospacing="1" w:after="100" w:afterAutospacing="1" w:line="300" w:lineRule="exact"/>
        <w:contextualSpacing/>
        <w:jc w:val="both"/>
        <w:rPr>
          <w:bCs/>
          <w:u w:val="single"/>
          <w:rtl/>
          <w:lang w:eastAsia="he-IL"/>
        </w:rPr>
      </w:pPr>
      <w:r>
        <w:rPr>
          <w:rFonts w:hint="cs"/>
          <w:bCs/>
          <w:u w:val="single"/>
          <w:rtl/>
          <w:lang w:eastAsia="he-IL"/>
        </w:rPr>
        <w:t>נסיבות שאינן קשורות בביצוע העבירה</w:t>
      </w:r>
    </w:p>
    <w:p w14:paraId="7F7E10F4" w14:textId="77777777" w:rsidR="00643383" w:rsidRDefault="00643383" w:rsidP="00643383">
      <w:pPr>
        <w:spacing w:before="100" w:beforeAutospacing="1" w:after="100" w:afterAutospacing="1" w:line="300" w:lineRule="exact"/>
        <w:ind w:left="360"/>
        <w:contextualSpacing/>
        <w:jc w:val="both"/>
        <w:rPr>
          <w:rtl/>
        </w:rPr>
      </w:pPr>
    </w:p>
    <w:p w14:paraId="225D4DD0" w14:textId="77777777" w:rsidR="00643383" w:rsidRDefault="00643383" w:rsidP="00643383">
      <w:pPr>
        <w:numPr>
          <w:ilvl w:val="0"/>
          <w:numId w:val="1"/>
        </w:numPr>
        <w:tabs>
          <w:tab w:val="num" w:pos="0"/>
          <w:tab w:val="num" w:pos="1286"/>
        </w:tabs>
        <w:spacing w:before="100" w:beforeAutospacing="1" w:after="100" w:afterAutospacing="1" w:line="300" w:lineRule="exact"/>
        <w:contextualSpacing/>
        <w:jc w:val="both"/>
        <w:rPr>
          <w:color w:val="000000"/>
          <w:rtl/>
        </w:rPr>
      </w:pPr>
      <w:r>
        <w:rPr>
          <w:rFonts w:hint="cs"/>
          <w:color w:val="000000"/>
          <w:rtl/>
        </w:rPr>
        <w:t>בבואי לגזור את עונשו של הנאשם לקחתי בחשבון את נסיבותיו של הנאשם שאינן קשורות בביצוע העבירה.</w:t>
      </w:r>
    </w:p>
    <w:p w14:paraId="707EF110" w14:textId="77777777" w:rsidR="00643383" w:rsidRDefault="00643383" w:rsidP="00643383">
      <w:pPr>
        <w:spacing w:before="100" w:beforeAutospacing="1" w:after="100" w:afterAutospacing="1" w:line="300" w:lineRule="exact"/>
        <w:ind w:left="360"/>
        <w:contextualSpacing/>
        <w:jc w:val="both"/>
        <w:rPr>
          <w:color w:val="000000"/>
        </w:rPr>
      </w:pPr>
    </w:p>
    <w:p w14:paraId="50F2DE1C" w14:textId="77777777" w:rsidR="00643383" w:rsidRDefault="00643383" w:rsidP="00643383">
      <w:pPr>
        <w:numPr>
          <w:ilvl w:val="0"/>
          <w:numId w:val="1"/>
        </w:numPr>
        <w:spacing w:before="100" w:beforeAutospacing="1" w:after="100" w:afterAutospacing="1" w:line="300" w:lineRule="exact"/>
        <w:contextualSpacing/>
        <w:jc w:val="both"/>
        <w:rPr>
          <w:color w:val="000000"/>
        </w:rPr>
      </w:pPr>
      <w:r>
        <w:rPr>
          <w:rFonts w:hint="cs"/>
          <w:color w:val="000000"/>
          <w:rtl/>
        </w:rPr>
        <w:t>זקפתי לזכותו של הנאשם את העובדה שבחר לקחת אחריות ולהודות באשמה.</w:t>
      </w:r>
    </w:p>
    <w:p w14:paraId="103FB636" w14:textId="77777777" w:rsidR="00643383" w:rsidRDefault="00643383" w:rsidP="00643383">
      <w:pPr>
        <w:spacing w:before="100" w:beforeAutospacing="1" w:after="100" w:afterAutospacing="1" w:line="300" w:lineRule="exact"/>
        <w:ind w:left="360"/>
        <w:contextualSpacing/>
        <w:jc w:val="both"/>
        <w:rPr>
          <w:color w:val="000000"/>
        </w:rPr>
      </w:pPr>
    </w:p>
    <w:p w14:paraId="773DE784" w14:textId="77777777" w:rsidR="00643383" w:rsidRDefault="00643383" w:rsidP="00643383">
      <w:pPr>
        <w:numPr>
          <w:ilvl w:val="0"/>
          <w:numId w:val="1"/>
        </w:numPr>
        <w:spacing w:before="100" w:beforeAutospacing="1" w:after="100" w:afterAutospacing="1" w:line="300" w:lineRule="exact"/>
        <w:contextualSpacing/>
        <w:jc w:val="both"/>
        <w:rPr>
          <w:color w:val="000000"/>
          <w:rtl/>
        </w:rPr>
      </w:pPr>
      <w:r>
        <w:rPr>
          <w:rFonts w:hint="cs"/>
          <w:color w:val="000000"/>
          <w:rtl/>
        </w:rPr>
        <w:t>לקחתי בחשבון את הרשעותיו הקודמות של הנאשם. הנאשם יליד 1960, לחובתו הרשעה יחידה בעבירת איומים, הרשעה משנת 2009. הנאשם אוחז ברישיון נהיגה משנת 1991 ולחובתו 116 הרשעות בתחום התעבורתי.</w:t>
      </w:r>
    </w:p>
    <w:p w14:paraId="1CE7B21C" w14:textId="77777777" w:rsidR="00643383" w:rsidRDefault="00643383" w:rsidP="00643383">
      <w:pPr>
        <w:spacing w:before="100" w:beforeAutospacing="1" w:after="100" w:afterAutospacing="1" w:line="300" w:lineRule="exact"/>
        <w:ind w:left="360"/>
        <w:contextualSpacing/>
        <w:jc w:val="both"/>
        <w:rPr>
          <w:color w:val="000000"/>
        </w:rPr>
      </w:pPr>
    </w:p>
    <w:p w14:paraId="7FA89916" w14:textId="77777777" w:rsidR="00643383" w:rsidRDefault="00643383" w:rsidP="00643383">
      <w:pPr>
        <w:numPr>
          <w:ilvl w:val="0"/>
          <w:numId w:val="1"/>
        </w:numPr>
        <w:spacing w:before="100" w:beforeAutospacing="1" w:after="100" w:afterAutospacing="1" w:line="300" w:lineRule="exact"/>
        <w:contextualSpacing/>
        <w:jc w:val="both"/>
        <w:rPr>
          <w:color w:val="000000"/>
        </w:rPr>
      </w:pPr>
      <w:r>
        <w:rPr>
          <w:rFonts w:hint="cs"/>
          <w:color w:val="000000"/>
          <w:rtl/>
        </w:rPr>
        <w:t xml:space="preserve">לקחתי בחשבון את נסיבותיו האישיות של הנאשם, את מצבו הרפואי, את דבריו כי סובל משלל מחלות: סכרת, לחץ דם, כולסטרול (לא הוצגו אישורים). את העובדה כי עקב מצבו הרפואי עובד במשרה חלקית ומתקיים מהבטחת הכנסה. </w:t>
      </w:r>
    </w:p>
    <w:p w14:paraId="0205D4B0" w14:textId="77777777" w:rsidR="00643383" w:rsidRDefault="00643383" w:rsidP="00643383">
      <w:pPr>
        <w:spacing w:before="100" w:beforeAutospacing="1" w:after="100" w:afterAutospacing="1" w:line="300" w:lineRule="exact"/>
        <w:ind w:left="360"/>
        <w:contextualSpacing/>
        <w:jc w:val="both"/>
        <w:rPr>
          <w:color w:val="000000"/>
        </w:rPr>
      </w:pPr>
    </w:p>
    <w:p w14:paraId="34BD026F" w14:textId="77777777" w:rsidR="00643383" w:rsidRDefault="00643383" w:rsidP="00643383">
      <w:pPr>
        <w:numPr>
          <w:ilvl w:val="0"/>
          <w:numId w:val="1"/>
        </w:numPr>
        <w:spacing w:before="100" w:beforeAutospacing="1" w:after="100" w:afterAutospacing="1" w:line="300" w:lineRule="exact"/>
        <w:contextualSpacing/>
        <w:jc w:val="both"/>
        <w:rPr>
          <w:color w:val="000000"/>
        </w:rPr>
      </w:pPr>
      <w:r>
        <w:rPr>
          <w:rFonts w:hint="cs"/>
          <w:color w:val="000000"/>
          <w:rtl/>
        </w:rPr>
        <w:t xml:space="preserve">לקחתי בחשבון את מצבו המשפחתי של הנאשם, את דבריו כי לפני מספר חודשים אשתו עזבה את ביתם המשותף ועברה להתגורר עם ביתם, זאת על רקע מחלוקות עקב גירושי בנם. היום הנאשם עדכן כי אישתו חזרה להתגורר בבית. </w:t>
      </w:r>
    </w:p>
    <w:p w14:paraId="52133364" w14:textId="77777777" w:rsidR="00643383" w:rsidRDefault="00643383" w:rsidP="00643383">
      <w:pPr>
        <w:spacing w:before="100" w:beforeAutospacing="1" w:after="100" w:afterAutospacing="1" w:line="300" w:lineRule="exact"/>
        <w:ind w:left="360"/>
        <w:contextualSpacing/>
        <w:jc w:val="both"/>
        <w:rPr>
          <w:color w:val="000000"/>
        </w:rPr>
      </w:pPr>
    </w:p>
    <w:p w14:paraId="45A776B8" w14:textId="77777777" w:rsidR="00643383" w:rsidRDefault="00643383" w:rsidP="00643383">
      <w:pPr>
        <w:numPr>
          <w:ilvl w:val="0"/>
          <w:numId w:val="1"/>
        </w:numPr>
        <w:spacing w:before="100" w:beforeAutospacing="1" w:after="100" w:afterAutospacing="1" w:line="300" w:lineRule="exact"/>
        <w:contextualSpacing/>
        <w:jc w:val="both"/>
        <w:rPr>
          <w:color w:val="000000"/>
        </w:rPr>
      </w:pPr>
      <w:r>
        <w:rPr>
          <w:rFonts w:hint="cs"/>
          <w:color w:val="000000"/>
          <w:rtl/>
        </w:rPr>
        <w:t>לקחתי בחשבון את חלוף הזמן ממועד ביצוע העבירה (כשנתיים וחצי).</w:t>
      </w:r>
    </w:p>
    <w:p w14:paraId="44824031" w14:textId="77777777" w:rsidR="00643383" w:rsidRDefault="00643383" w:rsidP="00643383">
      <w:pPr>
        <w:spacing w:before="100" w:beforeAutospacing="1" w:after="100" w:afterAutospacing="1" w:line="300" w:lineRule="exact"/>
        <w:ind w:left="360"/>
        <w:contextualSpacing/>
        <w:jc w:val="both"/>
        <w:rPr>
          <w:color w:val="000000"/>
        </w:rPr>
      </w:pPr>
    </w:p>
    <w:p w14:paraId="53E57F5A" w14:textId="77777777" w:rsidR="00643383" w:rsidRDefault="00643383" w:rsidP="00643383">
      <w:pPr>
        <w:numPr>
          <w:ilvl w:val="0"/>
          <w:numId w:val="1"/>
        </w:numPr>
        <w:spacing w:before="100" w:beforeAutospacing="1" w:after="100" w:afterAutospacing="1" w:line="300" w:lineRule="exact"/>
        <w:contextualSpacing/>
        <w:jc w:val="both"/>
        <w:rPr>
          <w:color w:val="000000"/>
        </w:rPr>
      </w:pPr>
      <w:r>
        <w:rPr>
          <w:rFonts w:hint="cs"/>
          <w:color w:val="000000"/>
          <w:rtl/>
        </w:rPr>
        <w:t xml:space="preserve">לקחתי בחשבון את השפעת העונש על הנאשם לרבות בשל גילו ומצבו הרפואי. </w:t>
      </w:r>
    </w:p>
    <w:p w14:paraId="26537A96" w14:textId="77777777" w:rsidR="00643383" w:rsidRDefault="00643383" w:rsidP="00643383">
      <w:pPr>
        <w:spacing w:before="100" w:beforeAutospacing="1" w:after="100" w:afterAutospacing="1" w:line="300" w:lineRule="exact"/>
        <w:ind w:left="360"/>
        <w:contextualSpacing/>
        <w:jc w:val="both"/>
        <w:rPr>
          <w:color w:val="000000"/>
        </w:rPr>
      </w:pPr>
      <w:r>
        <w:rPr>
          <w:rFonts w:hint="cs"/>
          <w:color w:val="000000"/>
          <w:rtl/>
        </w:rPr>
        <w:t xml:space="preserve">בטרם מתן גזר הדין שקלתי לבחון אפשרות הטלת מאסר בדרך של עבודות שירות ולפיכך הופנה הנאשם אל הממונה על עבודות השירות. </w:t>
      </w:r>
    </w:p>
    <w:p w14:paraId="6B928CA1" w14:textId="77777777" w:rsidR="00643383" w:rsidRDefault="00643383" w:rsidP="00643383">
      <w:pPr>
        <w:spacing w:before="100" w:beforeAutospacing="1" w:after="100" w:afterAutospacing="1" w:line="300" w:lineRule="exact"/>
        <w:ind w:left="360"/>
        <w:contextualSpacing/>
        <w:jc w:val="both"/>
        <w:rPr>
          <w:color w:val="000000"/>
          <w:rtl/>
        </w:rPr>
      </w:pPr>
      <w:r>
        <w:rPr>
          <w:rFonts w:hint="cs"/>
          <w:color w:val="000000"/>
          <w:rtl/>
        </w:rPr>
        <w:t>כאמור, הממונה על עבודות השירות קבע שהנאשם אינו כשיר להשמה בעבודות שירות שכן בשל מצבו הבריאותי מוגבל לעבוד עד 4 שעות ביום ואילו בעבודות שירות שעות העבודה ארוכות יותר.</w:t>
      </w:r>
    </w:p>
    <w:p w14:paraId="7029E8E8" w14:textId="77777777" w:rsidR="00643383" w:rsidRDefault="00643383" w:rsidP="00643383">
      <w:pPr>
        <w:spacing w:before="100" w:beforeAutospacing="1" w:after="100" w:afterAutospacing="1" w:line="300" w:lineRule="exact"/>
        <w:ind w:left="360"/>
        <w:contextualSpacing/>
        <w:jc w:val="both"/>
        <w:rPr>
          <w:color w:val="000000"/>
          <w:rtl/>
        </w:rPr>
      </w:pPr>
    </w:p>
    <w:p w14:paraId="12D90631" w14:textId="77777777" w:rsidR="00643383" w:rsidRDefault="00643383" w:rsidP="00643383">
      <w:pPr>
        <w:spacing w:before="120" w:after="200" w:line="300" w:lineRule="exact"/>
        <w:ind w:left="360"/>
        <w:jc w:val="both"/>
        <w:rPr>
          <w:rFonts w:ascii="Calibri" w:hAnsi="Calibri"/>
          <w:rtl/>
        </w:rPr>
      </w:pPr>
      <w:r>
        <w:rPr>
          <w:rFonts w:ascii="Calibri" w:hAnsi="Calibri" w:hint="cs"/>
          <w:rtl/>
        </w:rPr>
        <w:t>איני סבורה כי מצבו הרפואי של הנאשם מצדיק ענישה חמורה יותר מזו אשר שקלתי מלכתחילה להטיל עליו.</w:t>
      </w:r>
    </w:p>
    <w:p w14:paraId="2ACF4DA9" w14:textId="77777777" w:rsidR="00643383" w:rsidRDefault="00643383" w:rsidP="00643383">
      <w:pPr>
        <w:spacing w:before="120" w:after="200" w:line="300" w:lineRule="exact"/>
        <w:ind w:left="360"/>
        <w:jc w:val="both"/>
        <w:rPr>
          <w:rFonts w:ascii="Calibri" w:hAnsi="Calibri"/>
          <w:rtl/>
        </w:rPr>
      </w:pPr>
      <w:r>
        <w:rPr>
          <w:rFonts w:ascii="Calibri" w:hAnsi="Calibri" w:hint="cs"/>
          <w:rtl/>
        </w:rPr>
        <w:t>נראה לי לא ראוי ולא הולם להחמיר בעונשו של הנאשם, כל נאשם, אך בשל מצבו הרפואי, מצב שאינו בשליטתו ולא נובע מהתנהגות פסולה מצידו.</w:t>
      </w:r>
    </w:p>
    <w:p w14:paraId="6DE30749" w14:textId="77777777" w:rsidR="00643383" w:rsidRDefault="00643383" w:rsidP="00643383">
      <w:pPr>
        <w:spacing w:before="120" w:after="200" w:line="300" w:lineRule="exact"/>
        <w:ind w:firstLine="360"/>
        <w:jc w:val="both"/>
        <w:rPr>
          <w:rFonts w:ascii="Calibri" w:hAnsi="Calibri"/>
          <w:rtl/>
        </w:rPr>
      </w:pPr>
      <w:r>
        <w:rPr>
          <w:rFonts w:ascii="Calibri" w:hAnsi="Calibri" w:hint="cs"/>
          <w:rtl/>
        </w:rPr>
        <w:t xml:space="preserve">ראו בעניין זה  </w:t>
      </w:r>
      <w:hyperlink r:id="rId35" w:history="1">
        <w:r w:rsidR="007E011D" w:rsidRPr="007E011D">
          <w:rPr>
            <w:rStyle w:val="Hyperlink"/>
            <w:rFonts w:ascii="Calibri" w:hAnsi="Calibri" w:cs="David" w:hint="eastAsia"/>
            <w:rtl/>
          </w:rPr>
          <w:t>רע</w:t>
        </w:r>
        <w:r w:rsidR="007E011D" w:rsidRPr="007E011D">
          <w:rPr>
            <w:rStyle w:val="Hyperlink"/>
            <w:rFonts w:ascii="Calibri" w:hAnsi="Calibri" w:cs="David"/>
            <w:rtl/>
          </w:rPr>
          <w:t>"</w:t>
        </w:r>
        <w:r w:rsidR="007E011D" w:rsidRPr="007E011D">
          <w:rPr>
            <w:rStyle w:val="Hyperlink"/>
            <w:rFonts w:ascii="Calibri" w:hAnsi="Calibri" w:cs="David" w:hint="eastAsia"/>
            <w:rtl/>
          </w:rPr>
          <w:t>פ</w:t>
        </w:r>
        <w:r w:rsidR="007E011D" w:rsidRPr="007E011D">
          <w:rPr>
            <w:rStyle w:val="Hyperlink"/>
            <w:rFonts w:ascii="Calibri" w:hAnsi="Calibri" w:cs="David"/>
            <w:rtl/>
          </w:rPr>
          <w:t xml:space="preserve"> 1/09</w:t>
        </w:r>
      </w:hyperlink>
      <w:r>
        <w:rPr>
          <w:rFonts w:ascii="Calibri" w:hAnsi="Calibri" w:hint="cs"/>
          <w:rtl/>
        </w:rPr>
        <w:t xml:space="preserve"> </w:t>
      </w:r>
      <w:r>
        <w:rPr>
          <w:rFonts w:ascii="Calibri" w:hAnsi="Calibri" w:hint="cs"/>
          <w:b/>
          <w:bCs/>
          <w:rtl/>
        </w:rPr>
        <w:t>ג'וג'ו אסרף נ. מ"י</w:t>
      </w:r>
      <w:r>
        <w:rPr>
          <w:rFonts w:ascii="Calibri" w:hAnsi="Calibri" w:hint="cs"/>
          <w:rtl/>
        </w:rPr>
        <w:t xml:space="preserve">: </w:t>
      </w:r>
    </w:p>
    <w:p w14:paraId="399B72E2" w14:textId="77777777" w:rsidR="00643383" w:rsidRDefault="00643383" w:rsidP="00643383">
      <w:pPr>
        <w:spacing w:before="120" w:after="200" w:line="300" w:lineRule="exact"/>
        <w:ind w:left="1440"/>
        <w:jc w:val="both"/>
        <w:rPr>
          <w:rFonts w:ascii="Calibri" w:hAnsi="Calibri"/>
          <w:rtl/>
        </w:rPr>
      </w:pPr>
      <w:r>
        <w:rPr>
          <w:rFonts w:ascii="Calibri" w:hAnsi="Calibri" w:hint="cs"/>
          <w:rtl/>
        </w:rPr>
        <w:t>"נציין כי במובן הערכי אין מצבו של אדם עם מוגבלויות צריך לדעתנו להיות שונה לרעה מזה של כל אדם, לא רק בשל חוק שויון זכויות לאנשים עם מוגבלויות... אלא בשל חובת הגינות שאינה טעונה חוק, והיא מעוגנת בערכים אנושיים בסיסיים. הרי לא יתכן, כי אדם עם מוגבלות ייאסר במקום שאחר לא ייאסר."</w:t>
      </w:r>
    </w:p>
    <w:p w14:paraId="1B930938" w14:textId="77777777" w:rsidR="00643383" w:rsidRDefault="00643383" w:rsidP="00643383">
      <w:pPr>
        <w:spacing w:before="120" w:after="200" w:line="300" w:lineRule="exact"/>
        <w:jc w:val="both"/>
        <w:rPr>
          <w:rFonts w:ascii="Calibri" w:hAnsi="Calibri"/>
          <w:rtl/>
        </w:rPr>
      </w:pPr>
      <w:r>
        <w:rPr>
          <w:rFonts w:ascii="Calibri" w:hAnsi="Calibri" w:hint="cs"/>
          <w:rtl/>
        </w:rPr>
        <w:t xml:space="preserve">ראו גם </w:t>
      </w:r>
      <w:hyperlink r:id="rId36" w:history="1">
        <w:r w:rsidR="007E011D" w:rsidRPr="007E011D">
          <w:rPr>
            <w:rStyle w:val="Hyperlink"/>
            <w:rFonts w:ascii="Calibri" w:hAnsi="Calibri" w:cs="David" w:hint="eastAsia"/>
            <w:rtl/>
          </w:rPr>
          <w:t>ת</w:t>
        </w:r>
        <w:r w:rsidR="007E011D" w:rsidRPr="007E011D">
          <w:rPr>
            <w:rStyle w:val="Hyperlink"/>
            <w:rFonts w:ascii="Calibri" w:hAnsi="Calibri" w:cs="David"/>
            <w:rtl/>
          </w:rPr>
          <w:t>"</w:t>
        </w:r>
        <w:r w:rsidR="007E011D" w:rsidRPr="007E011D">
          <w:rPr>
            <w:rStyle w:val="Hyperlink"/>
            <w:rFonts w:ascii="Calibri" w:hAnsi="Calibri" w:cs="David" w:hint="eastAsia"/>
            <w:rtl/>
          </w:rPr>
          <w:t>פ</w:t>
        </w:r>
        <w:r w:rsidR="007E011D" w:rsidRPr="007E011D">
          <w:rPr>
            <w:rStyle w:val="Hyperlink"/>
            <w:rFonts w:ascii="Calibri" w:hAnsi="Calibri" w:cs="David"/>
            <w:rtl/>
          </w:rPr>
          <w:t xml:space="preserve"> (</w:t>
        </w:r>
        <w:r w:rsidR="007E011D" w:rsidRPr="007E011D">
          <w:rPr>
            <w:rStyle w:val="Hyperlink"/>
            <w:rFonts w:ascii="Calibri" w:hAnsi="Calibri" w:cs="David" w:hint="eastAsia"/>
            <w:rtl/>
          </w:rPr>
          <w:t>מחוזי</w:t>
        </w:r>
        <w:r w:rsidR="007E011D" w:rsidRPr="007E011D">
          <w:rPr>
            <w:rStyle w:val="Hyperlink"/>
            <w:rFonts w:ascii="Calibri" w:hAnsi="Calibri" w:cs="David"/>
            <w:rtl/>
          </w:rPr>
          <w:t xml:space="preserve"> </w:t>
        </w:r>
        <w:r w:rsidR="007E011D" w:rsidRPr="007E011D">
          <w:rPr>
            <w:rStyle w:val="Hyperlink"/>
            <w:rFonts w:ascii="Calibri" w:hAnsi="Calibri" w:cs="David" w:hint="eastAsia"/>
            <w:rtl/>
          </w:rPr>
          <w:t>באר</w:t>
        </w:r>
        <w:r w:rsidR="007E011D" w:rsidRPr="007E011D">
          <w:rPr>
            <w:rStyle w:val="Hyperlink"/>
            <w:rFonts w:ascii="Calibri" w:hAnsi="Calibri" w:cs="David"/>
            <w:rtl/>
          </w:rPr>
          <w:t xml:space="preserve"> </w:t>
        </w:r>
        <w:r w:rsidR="007E011D" w:rsidRPr="007E011D">
          <w:rPr>
            <w:rStyle w:val="Hyperlink"/>
            <w:rFonts w:ascii="Calibri" w:hAnsi="Calibri" w:cs="David" w:hint="eastAsia"/>
            <w:rtl/>
          </w:rPr>
          <w:t>שבע</w:t>
        </w:r>
        <w:r w:rsidR="007E011D" w:rsidRPr="007E011D">
          <w:rPr>
            <w:rStyle w:val="Hyperlink"/>
            <w:rFonts w:ascii="Calibri" w:hAnsi="Calibri" w:cs="David"/>
            <w:rtl/>
          </w:rPr>
          <w:t>) 8178-05</w:t>
        </w:r>
      </w:hyperlink>
      <w:r>
        <w:rPr>
          <w:rFonts w:ascii="Calibri" w:hAnsi="Calibri" w:hint="cs"/>
          <w:rtl/>
        </w:rPr>
        <w:t xml:space="preserve">, </w:t>
      </w:r>
      <w:r>
        <w:rPr>
          <w:rFonts w:ascii="Calibri" w:hAnsi="Calibri" w:hint="cs"/>
          <w:b/>
          <w:bCs/>
          <w:rtl/>
        </w:rPr>
        <w:t>מ"י נ. פלוני</w:t>
      </w:r>
      <w:r>
        <w:rPr>
          <w:rFonts w:ascii="Calibri" w:hAnsi="Calibri" w:hint="cs"/>
          <w:rtl/>
        </w:rPr>
        <w:t xml:space="preserve">: </w:t>
      </w:r>
    </w:p>
    <w:p w14:paraId="72D556E6" w14:textId="77777777" w:rsidR="00643383" w:rsidRDefault="00643383" w:rsidP="00643383">
      <w:pPr>
        <w:spacing w:before="120" w:after="200" w:line="300" w:lineRule="exact"/>
        <w:ind w:left="1440"/>
        <w:jc w:val="both"/>
        <w:rPr>
          <w:rFonts w:ascii="Calibri" w:hAnsi="Calibri"/>
          <w:rtl/>
        </w:rPr>
      </w:pPr>
      <w:r>
        <w:rPr>
          <w:rFonts w:ascii="Calibri" w:hAnsi="Calibri" w:hint="cs"/>
          <w:rtl/>
        </w:rPr>
        <w:t>"משהתברר עתה כי בשל מחלתו של הנאשם, ולא בשל סיבות שיש לנאשם שליטה עליהם, לא המליץ הממונה על עבודות השירות על ריצוי העונש בעבודות שירות, נראה לי שלא יהיה זה נכון להורות כי עונש המאסר שהוטל על הנאשם ירוצה במאסר של ממש, כבקשת המדינה". (שם הורה בית המשפט על ביטול עונש המאסר שהוטל).</w:t>
      </w:r>
    </w:p>
    <w:p w14:paraId="7D73A02D" w14:textId="77777777" w:rsidR="00643383" w:rsidRDefault="00643383" w:rsidP="00643383">
      <w:pPr>
        <w:suppressLineNumbers/>
        <w:autoSpaceDE w:val="0"/>
        <w:autoSpaceDN w:val="0"/>
        <w:adjustRightInd w:val="0"/>
        <w:spacing w:before="100" w:beforeAutospacing="1" w:after="100" w:afterAutospacing="1"/>
        <w:contextualSpacing/>
        <w:jc w:val="both"/>
        <w:rPr>
          <w:rFonts w:ascii="Calibri" w:hAnsi="Calibri"/>
          <w:b/>
          <w:bCs/>
          <w:u w:val="single"/>
          <w:rtl/>
        </w:rPr>
      </w:pPr>
    </w:p>
    <w:p w14:paraId="57D4CA78" w14:textId="77777777" w:rsidR="00643383" w:rsidRDefault="00643383" w:rsidP="00643383">
      <w:pPr>
        <w:suppressLineNumbers/>
        <w:autoSpaceDE w:val="0"/>
        <w:autoSpaceDN w:val="0"/>
        <w:adjustRightInd w:val="0"/>
        <w:spacing w:before="100" w:beforeAutospacing="1" w:after="100" w:afterAutospacing="1"/>
        <w:contextualSpacing/>
        <w:jc w:val="both"/>
        <w:rPr>
          <w:rFonts w:ascii="Calibri" w:hAnsi="Calibri"/>
          <w:b/>
          <w:bCs/>
          <w:u w:val="single"/>
          <w:rtl/>
        </w:rPr>
      </w:pPr>
      <w:r>
        <w:rPr>
          <w:rFonts w:ascii="Calibri" w:hAnsi="Calibri" w:hint="cs"/>
          <w:b/>
          <w:bCs/>
          <w:u w:val="single"/>
          <w:rtl/>
        </w:rPr>
        <w:t>חריגה ממתחם העונש ההולם משיקולי שיקום</w:t>
      </w:r>
    </w:p>
    <w:p w14:paraId="19683BA2" w14:textId="77777777" w:rsidR="00643383" w:rsidRDefault="00643383" w:rsidP="00643383">
      <w:pPr>
        <w:suppressLineNumbers/>
        <w:autoSpaceDE w:val="0"/>
        <w:autoSpaceDN w:val="0"/>
        <w:adjustRightInd w:val="0"/>
        <w:spacing w:before="100" w:beforeAutospacing="1" w:after="100" w:afterAutospacing="1"/>
        <w:contextualSpacing/>
        <w:jc w:val="both"/>
        <w:rPr>
          <w:rFonts w:ascii="Calibri" w:hAnsi="Calibri"/>
          <w:b/>
          <w:bCs/>
          <w:u w:val="single"/>
          <w:rtl/>
        </w:rPr>
      </w:pPr>
    </w:p>
    <w:p w14:paraId="4EC467C1" w14:textId="77777777" w:rsidR="00643383" w:rsidRDefault="00643383" w:rsidP="00643383">
      <w:pPr>
        <w:numPr>
          <w:ilvl w:val="0"/>
          <w:numId w:val="1"/>
        </w:numPr>
        <w:suppressLineNumbers/>
        <w:autoSpaceDE w:val="0"/>
        <w:autoSpaceDN w:val="0"/>
        <w:adjustRightInd w:val="0"/>
        <w:spacing w:before="100" w:beforeAutospacing="1" w:after="100" w:afterAutospacing="1" w:line="360" w:lineRule="auto"/>
        <w:contextualSpacing/>
        <w:jc w:val="both"/>
        <w:rPr>
          <w:rFonts w:ascii="Calibri" w:hAnsi="Calibri"/>
          <w:b/>
          <w:bCs/>
          <w:u w:val="single"/>
        </w:rPr>
      </w:pPr>
      <w:r>
        <w:rPr>
          <w:rFonts w:ascii="Arial" w:hAnsi="Arial" w:hint="cs"/>
          <w:rtl/>
          <w:lang w:eastAsia="he-IL"/>
        </w:rPr>
        <w:t xml:space="preserve">המחוקק קבע </w:t>
      </w:r>
      <w:hyperlink r:id="rId37" w:history="1">
        <w:r w:rsidR="003B381D" w:rsidRPr="003B381D">
          <w:rPr>
            <w:rFonts w:ascii="Arial" w:hAnsi="Arial"/>
            <w:color w:val="0000FF"/>
            <w:u w:val="single"/>
            <w:rtl/>
            <w:lang w:eastAsia="he-IL"/>
          </w:rPr>
          <w:t>בסעיף 40ד'</w:t>
        </w:r>
      </w:hyperlink>
      <w:r>
        <w:rPr>
          <w:rFonts w:ascii="Arial" w:hAnsi="Arial" w:hint="cs"/>
          <w:rtl/>
          <w:lang w:eastAsia="he-IL"/>
        </w:rPr>
        <w:t xml:space="preserve"> לחוק כי אם הנאשם השתקם, או שיש סיכוי של ממש שישתקם, רשאי בית המשפט לחרוג ממתחם העונש ההולם ולקבוע את עונשו של הנאשם לפי שיקולי שיקומו.</w:t>
      </w:r>
    </w:p>
    <w:p w14:paraId="5FCD2FE7" w14:textId="77777777" w:rsidR="00643383" w:rsidRDefault="00643383" w:rsidP="00643383">
      <w:pPr>
        <w:suppressLineNumbers/>
        <w:autoSpaceDE w:val="0"/>
        <w:autoSpaceDN w:val="0"/>
        <w:adjustRightInd w:val="0"/>
        <w:spacing w:before="100" w:beforeAutospacing="1" w:after="100" w:afterAutospacing="1"/>
        <w:ind w:left="360"/>
        <w:contextualSpacing/>
        <w:jc w:val="both"/>
        <w:rPr>
          <w:rFonts w:ascii="Calibri" w:hAnsi="Calibri"/>
          <w:b/>
          <w:bCs/>
          <w:u w:val="single"/>
        </w:rPr>
      </w:pPr>
    </w:p>
    <w:p w14:paraId="5DB3941F" w14:textId="77777777" w:rsidR="00643383" w:rsidRDefault="00643383" w:rsidP="00643383">
      <w:pPr>
        <w:numPr>
          <w:ilvl w:val="0"/>
          <w:numId w:val="1"/>
        </w:numPr>
        <w:suppressLineNumbers/>
        <w:autoSpaceDE w:val="0"/>
        <w:autoSpaceDN w:val="0"/>
        <w:adjustRightInd w:val="0"/>
        <w:spacing w:before="100" w:beforeAutospacing="1" w:after="100" w:afterAutospacing="1" w:line="360" w:lineRule="auto"/>
        <w:contextualSpacing/>
        <w:jc w:val="both"/>
        <w:rPr>
          <w:rFonts w:ascii="Calibri" w:hAnsi="Calibri"/>
          <w:b/>
          <w:bCs/>
          <w:u w:val="single"/>
        </w:rPr>
      </w:pPr>
      <w:r>
        <w:rPr>
          <w:rFonts w:ascii="Calibri" w:hAnsi="Calibri" w:hint="cs"/>
          <w:rtl/>
        </w:rPr>
        <w:t>ב</w:t>
      </w:r>
      <w:hyperlink r:id="rId38" w:history="1">
        <w:r w:rsidR="007E011D" w:rsidRPr="007E011D">
          <w:rPr>
            <w:rStyle w:val="Hyperlink"/>
            <w:rFonts w:ascii="Calibri" w:hAnsi="Calibri" w:cs="David" w:hint="eastAsia"/>
            <w:rtl/>
          </w:rPr>
          <w:t>ע</w:t>
        </w:r>
        <w:r w:rsidR="007E011D" w:rsidRPr="007E011D">
          <w:rPr>
            <w:rStyle w:val="Hyperlink"/>
            <w:rFonts w:ascii="Calibri" w:hAnsi="Calibri" w:cs="David"/>
            <w:rtl/>
          </w:rPr>
          <w:t>"</w:t>
        </w:r>
        <w:r w:rsidR="007E011D" w:rsidRPr="007E011D">
          <w:rPr>
            <w:rStyle w:val="Hyperlink"/>
            <w:rFonts w:ascii="Calibri" w:hAnsi="Calibri" w:cs="David" w:hint="eastAsia"/>
            <w:rtl/>
          </w:rPr>
          <w:t>פ</w:t>
        </w:r>
        <w:r w:rsidR="007E011D" w:rsidRPr="007E011D">
          <w:rPr>
            <w:rStyle w:val="Hyperlink"/>
            <w:rFonts w:ascii="Calibri" w:hAnsi="Calibri" w:cs="David"/>
            <w:rtl/>
          </w:rPr>
          <w:t xml:space="preserve"> 1903/13</w:t>
        </w:r>
      </w:hyperlink>
      <w:r>
        <w:rPr>
          <w:rFonts w:ascii="Calibri" w:hAnsi="Calibri" w:hint="cs"/>
          <w:rtl/>
        </w:rPr>
        <w:t xml:space="preserve"> </w:t>
      </w:r>
      <w:r>
        <w:rPr>
          <w:rFonts w:ascii="Calibri" w:hAnsi="Calibri" w:hint="cs"/>
          <w:b/>
          <w:bCs/>
          <w:rtl/>
        </w:rPr>
        <w:t>עיאשה</w:t>
      </w:r>
      <w:r>
        <w:rPr>
          <w:rFonts w:ascii="Calibri" w:hAnsi="Calibri"/>
          <w:b/>
          <w:bCs/>
        </w:rPr>
        <w:t xml:space="preserve"> </w:t>
      </w:r>
      <w:r>
        <w:rPr>
          <w:rFonts w:ascii="Calibri" w:hAnsi="Calibri" w:hint="cs"/>
          <w:b/>
          <w:bCs/>
          <w:rtl/>
        </w:rPr>
        <w:t>נ'</w:t>
      </w:r>
      <w:r>
        <w:rPr>
          <w:rFonts w:ascii="Calibri" w:hAnsi="Calibri"/>
          <w:b/>
          <w:bCs/>
        </w:rPr>
        <w:t xml:space="preserve"> </w:t>
      </w:r>
      <w:r>
        <w:rPr>
          <w:rFonts w:ascii="Calibri" w:hAnsi="Calibri" w:hint="cs"/>
          <w:b/>
          <w:bCs/>
          <w:rtl/>
        </w:rPr>
        <w:t>מדינת</w:t>
      </w:r>
      <w:r>
        <w:rPr>
          <w:rFonts w:ascii="Calibri" w:hAnsi="Calibri"/>
          <w:b/>
          <w:bCs/>
        </w:rPr>
        <w:t xml:space="preserve"> </w:t>
      </w:r>
      <w:r>
        <w:rPr>
          <w:rFonts w:ascii="Calibri" w:hAnsi="Calibri" w:hint="cs"/>
          <w:b/>
          <w:bCs/>
          <w:rtl/>
        </w:rPr>
        <w:t>ישראל</w:t>
      </w:r>
      <w:r>
        <w:rPr>
          <w:rFonts w:ascii="Calibri" w:hAnsi="Calibri" w:hint="cs"/>
          <w:rtl/>
        </w:rPr>
        <w:t xml:space="preserve"> (14.07.13). עמדה</w:t>
      </w:r>
      <w:r>
        <w:rPr>
          <w:rFonts w:ascii="Calibri" w:hAnsi="Calibri"/>
        </w:rPr>
        <w:t xml:space="preserve"> </w:t>
      </w:r>
      <w:r>
        <w:rPr>
          <w:rFonts w:ascii="Calibri" w:hAnsi="Calibri" w:hint="cs"/>
          <w:rtl/>
        </w:rPr>
        <w:t>כב' השופטת</w:t>
      </w:r>
      <w:r>
        <w:rPr>
          <w:rFonts w:ascii="Calibri" w:hAnsi="Calibri"/>
        </w:rPr>
        <w:t xml:space="preserve"> </w:t>
      </w:r>
      <w:r>
        <w:rPr>
          <w:rFonts w:ascii="Calibri" w:hAnsi="Calibri" w:hint="cs"/>
          <w:rtl/>
        </w:rPr>
        <w:t>ארבל</w:t>
      </w:r>
      <w:r>
        <w:rPr>
          <w:rFonts w:ascii="Calibri" w:hAnsi="Calibri"/>
        </w:rPr>
        <w:t xml:space="preserve"> </w:t>
      </w:r>
      <w:r>
        <w:rPr>
          <w:rFonts w:ascii="Calibri" w:hAnsi="Calibri" w:hint="cs"/>
          <w:rtl/>
        </w:rPr>
        <w:t>על</w:t>
      </w:r>
      <w:r>
        <w:rPr>
          <w:rFonts w:ascii="Calibri" w:hAnsi="Calibri"/>
        </w:rPr>
        <w:t xml:space="preserve"> </w:t>
      </w:r>
      <w:r>
        <w:rPr>
          <w:rFonts w:ascii="Calibri" w:hAnsi="Calibri" w:hint="cs"/>
          <w:rtl/>
        </w:rPr>
        <w:t>הנסיבות והקריטריונים</w:t>
      </w:r>
      <w:r>
        <w:rPr>
          <w:rFonts w:ascii="Calibri" w:hAnsi="Calibri"/>
        </w:rPr>
        <w:t xml:space="preserve"> </w:t>
      </w:r>
      <w:r>
        <w:rPr>
          <w:rFonts w:ascii="Calibri" w:hAnsi="Calibri" w:hint="cs"/>
          <w:rtl/>
        </w:rPr>
        <w:t>שיש</w:t>
      </w:r>
      <w:r>
        <w:rPr>
          <w:rFonts w:ascii="Calibri" w:hAnsi="Calibri"/>
        </w:rPr>
        <w:t xml:space="preserve"> </w:t>
      </w:r>
      <w:r>
        <w:rPr>
          <w:rFonts w:ascii="Calibri" w:hAnsi="Calibri" w:hint="cs"/>
          <w:rtl/>
        </w:rPr>
        <w:t>בכוחם</w:t>
      </w:r>
      <w:r>
        <w:rPr>
          <w:rFonts w:ascii="Calibri" w:hAnsi="Calibri"/>
        </w:rPr>
        <w:t xml:space="preserve"> </w:t>
      </w:r>
      <w:r>
        <w:rPr>
          <w:rFonts w:ascii="Calibri" w:hAnsi="Calibri" w:hint="cs"/>
          <w:rtl/>
        </w:rPr>
        <w:t>להצדיק</w:t>
      </w:r>
      <w:r>
        <w:rPr>
          <w:rFonts w:ascii="Calibri" w:hAnsi="Calibri"/>
        </w:rPr>
        <w:t xml:space="preserve"> </w:t>
      </w:r>
      <w:r>
        <w:rPr>
          <w:rFonts w:ascii="Calibri" w:hAnsi="Calibri" w:hint="cs"/>
          <w:rtl/>
        </w:rPr>
        <w:t>סטייה</w:t>
      </w:r>
      <w:r>
        <w:rPr>
          <w:rFonts w:ascii="Calibri" w:hAnsi="Calibri"/>
        </w:rPr>
        <w:t xml:space="preserve"> </w:t>
      </w:r>
      <w:r>
        <w:rPr>
          <w:rFonts w:ascii="Calibri" w:hAnsi="Calibri" w:hint="cs"/>
          <w:rtl/>
        </w:rPr>
        <w:t>לקולה</w:t>
      </w:r>
      <w:r>
        <w:rPr>
          <w:rFonts w:ascii="Calibri" w:hAnsi="Calibri"/>
        </w:rPr>
        <w:t xml:space="preserve"> </w:t>
      </w:r>
      <w:r>
        <w:rPr>
          <w:rFonts w:ascii="Calibri" w:hAnsi="Calibri" w:hint="cs"/>
          <w:rtl/>
        </w:rPr>
        <w:t>ממתחם</w:t>
      </w:r>
      <w:r>
        <w:rPr>
          <w:rFonts w:ascii="Calibri" w:hAnsi="Calibri"/>
        </w:rPr>
        <w:t xml:space="preserve"> </w:t>
      </w:r>
      <w:r>
        <w:rPr>
          <w:rFonts w:ascii="Calibri" w:hAnsi="Calibri" w:hint="cs"/>
          <w:rtl/>
        </w:rPr>
        <w:t>העונש</w:t>
      </w:r>
      <w:r>
        <w:rPr>
          <w:rFonts w:ascii="Calibri" w:hAnsi="Calibri"/>
        </w:rPr>
        <w:t xml:space="preserve"> </w:t>
      </w:r>
      <w:r>
        <w:rPr>
          <w:rFonts w:ascii="Calibri" w:hAnsi="Calibri" w:hint="cs"/>
          <w:rtl/>
        </w:rPr>
        <w:t xml:space="preserve">ההולם (הרשימה אינה סגורה): </w:t>
      </w:r>
    </w:p>
    <w:p w14:paraId="4D4655FB" w14:textId="77777777" w:rsidR="00643383" w:rsidRDefault="00643383" w:rsidP="00643383">
      <w:pPr>
        <w:suppressLineNumbers/>
        <w:autoSpaceDE w:val="0"/>
        <w:autoSpaceDN w:val="0"/>
        <w:adjustRightInd w:val="0"/>
        <w:spacing w:before="100" w:beforeAutospacing="1" w:after="100" w:afterAutospacing="1"/>
        <w:ind w:left="1077"/>
        <w:contextualSpacing/>
        <w:jc w:val="both"/>
        <w:rPr>
          <w:rFonts w:ascii="Calibri" w:hAnsi="Calibri"/>
        </w:rPr>
      </w:pPr>
      <w:r>
        <w:rPr>
          <w:rFonts w:ascii="Calibri" w:hAnsi="Calibri" w:hint="cs"/>
          <w:rtl/>
        </w:rPr>
        <w:t>"במקרה</w:t>
      </w:r>
      <w:r>
        <w:rPr>
          <w:rFonts w:ascii="Calibri" w:hAnsi="Calibri"/>
        </w:rPr>
        <w:t xml:space="preserve"> </w:t>
      </w:r>
      <w:r>
        <w:rPr>
          <w:rFonts w:ascii="Calibri" w:hAnsi="Calibri" w:hint="cs"/>
          <w:rtl/>
        </w:rPr>
        <w:t>הנדון</w:t>
      </w:r>
      <w:r>
        <w:rPr>
          <w:rFonts w:ascii="Calibri" w:hAnsi="Calibri"/>
        </w:rPr>
        <w:t xml:space="preserve"> </w:t>
      </w:r>
      <w:r>
        <w:rPr>
          <w:rFonts w:ascii="Calibri" w:hAnsi="Calibri" w:hint="cs"/>
          <w:rtl/>
        </w:rPr>
        <w:t>קיימים</w:t>
      </w:r>
      <w:r>
        <w:rPr>
          <w:rFonts w:ascii="Calibri" w:hAnsi="Calibri"/>
        </w:rPr>
        <w:t xml:space="preserve"> </w:t>
      </w:r>
      <w:r>
        <w:rPr>
          <w:rFonts w:ascii="Calibri" w:hAnsi="Calibri" w:hint="cs"/>
          <w:rtl/>
        </w:rPr>
        <w:t>נתונים</w:t>
      </w:r>
      <w:r>
        <w:rPr>
          <w:rFonts w:ascii="Calibri" w:hAnsi="Calibri"/>
        </w:rPr>
        <w:t xml:space="preserve"> </w:t>
      </w:r>
      <w:r>
        <w:rPr>
          <w:rFonts w:ascii="Calibri" w:hAnsi="Calibri" w:hint="cs"/>
          <w:rtl/>
        </w:rPr>
        <w:t>רבים</w:t>
      </w:r>
      <w:r>
        <w:rPr>
          <w:rFonts w:ascii="Calibri" w:hAnsi="Calibri"/>
        </w:rPr>
        <w:t xml:space="preserve"> </w:t>
      </w:r>
      <w:r>
        <w:rPr>
          <w:rFonts w:ascii="Calibri" w:hAnsi="Calibri" w:hint="cs"/>
          <w:rtl/>
        </w:rPr>
        <w:t>המעידים</w:t>
      </w:r>
      <w:r>
        <w:rPr>
          <w:rFonts w:ascii="Calibri" w:hAnsi="Calibri"/>
        </w:rPr>
        <w:t xml:space="preserve"> </w:t>
      </w:r>
      <w:r>
        <w:rPr>
          <w:rFonts w:ascii="Calibri" w:hAnsi="Calibri" w:hint="cs"/>
          <w:rtl/>
        </w:rPr>
        <w:t>על</w:t>
      </w:r>
      <w:r>
        <w:rPr>
          <w:rFonts w:ascii="Calibri" w:hAnsi="Calibri"/>
        </w:rPr>
        <w:t xml:space="preserve"> </w:t>
      </w:r>
      <w:r>
        <w:rPr>
          <w:rFonts w:ascii="Calibri" w:hAnsi="Calibri" w:hint="cs"/>
          <w:rtl/>
        </w:rPr>
        <w:t>פוטנציאל</w:t>
      </w:r>
      <w:r>
        <w:rPr>
          <w:rFonts w:ascii="Calibri" w:hAnsi="Calibri"/>
        </w:rPr>
        <w:t xml:space="preserve"> </w:t>
      </w:r>
      <w:r>
        <w:rPr>
          <w:rFonts w:ascii="Calibri" w:hAnsi="Calibri" w:hint="cs"/>
          <w:rtl/>
        </w:rPr>
        <w:t>שיקומי</w:t>
      </w:r>
      <w:r>
        <w:rPr>
          <w:rFonts w:ascii="Calibri" w:hAnsi="Calibri"/>
        </w:rPr>
        <w:t xml:space="preserve"> </w:t>
      </w:r>
      <w:r>
        <w:rPr>
          <w:rFonts w:ascii="Calibri" w:hAnsi="Calibri" w:hint="cs"/>
          <w:rtl/>
        </w:rPr>
        <w:t>גבוה</w:t>
      </w:r>
      <w:r>
        <w:rPr>
          <w:rFonts w:ascii="Calibri" w:hAnsi="Calibri"/>
        </w:rPr>
        <w:t xml:space="preserve"> </w:t>
      </w:r>
      <w:r>
        <w:rPr>
          <w:rFonts w:ascii="Calibri" w:hAnsi="Calibri" w:hint="cs"/>
          <w:rtl/>
        </w:rPr>
        <w:t>במיוחד</w:t>
      </w:r>
      <w:r>
        <w:rPr>
          <w:rFonts w:ascii="Calibri" w:hAnsi="Calibri"/>
        </w:rPr>
        <w:t xml:space="preserve"> </w:t>
      </w:r>
      <w:r>
        <w:rPr>
          <w:rFonts w:ascii="Calibri" w:hAnsi="Calibri" w:hint="cs"/>
          <w:rtl/>
        </w:rPr>
        <w:t>באופן</w:t>
      </w:r>
      <w:r>
        <w:rPr>
          <w:rFonts w:ascii="Calibri" w:hAnsi="Calibri"/>
        </w:rPr>
        <w:t xml:space="preserve"> </w:t>
      </w:r>
      <w:r>
        <w:rPr>
          <w:rFonts w:ascii="Calibri" w:hAnsi="Calibri" w:hint="cs"/>
          <w:rtl/>
        </w:rPr>
        <w:t>המצדיק</w:t>
      </w:r>
      <w:r>
        <w:rPr>
          <w:rFonts w:ascii="Calibri" w:hAnsi="Calibri"/>
        </w:rPr>
        <w:t xml:space="preserve"> </w:t>
      </w:r>
      <w:r>
        <w:rPr>
          <w:rFonts w:ascii="Calibri" w:hAnsi="Calibri" w:hint="cs"/>
          <w:rtl/>
        </w:rPr>
        <w:t>חריגה</w:t>
      </w:r>
      <w:r>
        <w:rPr>
          <w:rFonts w:ascii="Calibri" w:hAnsi="Calibri"/>
        </w:rPr>
        <w:t xml:space="preserve"> </w:t>
      </w:r>
      <w:r>
        <w:rPr>
          <w:rFonts w:ascii="Calibri" w:hAnsi="Calibri" w:hint="cs"/>
          <w:rtl/>
        </w:rPr>
        <w:t>ממתחם</w:t>
      </w:r>
      <w:r>
        <w:rPr>
          <w:rFonts w:ascii="Calibri" w:hAnsi="Calibri"/>
        </w:rPr>
        <w:t xml:space="preserve"> </w:t>
      </w:r>
      <w:r>
        <w:rPr>
          <w:rFonts w:ascii="Calibri" w:hAnsi="Calibri" w:hint="cs"/>
          <w:rtl/>
        </w:rPr>
        <w:t>העונש</w:t>
      </w:r>
      <w:r>
        <w:rPr>
          <w:rFonts w:ascii="Calibri" w:hAnsi="Calibri"/>
        </w:rPr>
        <w:t xml:space="preserve"> </w:t>
      </w:r>
      <w:r>
        <w:rPr>
          <w:rFonts w:ascii="Calibri" w:hAnsi="Calibri" w:hint="cs"/>
          <w:rtl/>
        </w:rPr>
        <w:t>שנקבע</w:t>
      </w:r>
      <w:r>
        <w:rPr>
          <w:rFonts w:ascii="Calibri" w:hAnsi="Calibri"/>
        </w:rPr>
        <w:t xml:space="preserve"> </w:t>
      </w:r>
      <w:r>
        <w:rPr>
          <w:rFonts w:ascii="Calibri" w:hAnsi="Calibri" w:hint="cs"/>
          <w:rtl/>
        </w:rPr>
        <w:t>בהתאם</w:t>
      </w:r>
      <w:r>
        <w:rPr>
          <w:rFonts w:ascii="Calibri" w:hAnsi="Calibri"/>
        </w:rPr>
        <w:t xml:space="preserve"> </w:t>
      </w:r>
      <w:r>
        <w:rPr>
          <w:rFonts w:ascii="Calibri" w:hAnsi="Calibri" w:hint="cs"/>
          <w:rtl/>
        </w:rPr>
        <w:t>לסעיף</w:t>
      </w:r>
      <w:r>
        <w:rPr>
          <w:rFonts w:ascii="Calibri" w:hAnsi="Calibri"/>
        </w:rPr>
        <w:t xml:space="preserve"> 40</w:t>
      </w:r>
      <w:r>
        <w:rPr>
          <w:rFonts w:ascii="Calibri" w:hAnsi="Calibri" w:hint="cs"/>
          <w:rtl/>
        </w:rPr>
        <w:t>ד (א) לחוק. עברו</w:t>
      </w:r>
      <w:r>
        <w:rPr>
          <w:rFonts w:ascii="Calibri" w:hAnsi="Calibri"/>
        </w:rPr>
        <w:t xml:space="preserve"> </w:t>
      </w:r>
      <w:r>
        <w:rPr>
          <w:rFonts w:ascii="Calibri" w:hAnsi="Calibri" w:hint="cs"/>
          <w:rtl/>
        </w:rPr>
        <w:t>של</w:t>
      </w:r>
      <w:r>
        <w:rPr>
          <w:rFonts w:ascii="Calibri" w:hAnsi="Calibri"/>
        </w:rPr>
        <w:t xml:space="preserve"> </w:t>
      </w:r>
      <w:r>
        <w:rPr>
          <w:rFonts w:ascii="Calibri" w:hAnsi="Calibri" w:hint="cs"/>
          <w:rtl/>
        </w:rPr>
        <w:t>המערער</w:t>
      </w:r>
      <w:r>
        <w:rPr>
          <w:rFonts w:ascii="Calibri" w:hAnsi="Calibri"/>
        </w:rPr>
        <w:t xml:space="preserve"> </w:t>
      </w:r>
      <w:r>
        <w:rPr>
          <w:rFonts w:ascii="Calibri" w:hAnsi="Calibri" w:hint="cs"/>
          <w:rtl/>
        </w:rPr>
        <w:t>נקי</w:t>
      </w:r>
      <w:r>
        <w:rPr>
          <w:rFonts w:ascii="Calibri" w:hAnsi="Calibri"/>
        </w:rPr>
        <w:t xml:space="preserve"> </w:t>
      </w:r>
      <w:r>
        <w:rPr>
          <w:rFonts w:ascii="Calibri" w:hAnsi="Calibri" w:hint="cs"/>
          <w:rtl/>
        </w:rPr>
        <w:t>לחלוטין, וכאמור</w:t>
      </w:r>
      <w:r>
        <w:rPr>
          <w:rFonts w:ascii="Calibri" w:hAnsi="Calibri"/>
        </w:rPr>
        <w:t xml:space="preserve"> </w:t>
      </w:r>
      <w:r>
        <w:rPr>
          <w:rFonts w:ascii="Calibri" w:hAnsi="Calibri" w:hint="cs"/>
          <w:rtl/>
        </w:rPr>
        <w:t>עד</w:t>
      </w:r>
      <w:r>
        <w:rPr>
          <w:rFonts w:ascii="Calibri" w:hAnsi="Calibri"/>
        </w:rPr>
        <w:t xml:space="preserve"> </w:t>
      </w:r>
      <w:r>
        <w:rPr>
          <w:rFonts w:ascii="Calibri" w:hAnsi="Calibri" w:hint="cs"/>
          <w:rtl/>
        </w:rPr>
        <w:t>לאירוע</w:t>
      </w:r>
      <w:r>
        <w:rPr>
          <w:rFonts w:ascii="Calibri" w:hAnsi="Calibri"/>
        </w:rPr>
        <w:t xml:space="preserve"> </w:t>
      </w:r>
      <w:r>
        <w:rPr>
          <w:rFonts w:ascii="Calibri" w:hAnsi="Calibri" w:hint="cs"/>
          <w:rtl/>
        </w:rPr>
        <w:t>הנדון</w:t>
      </w:r>
      <w:r>
        <w:rPr>
          <w:rFonts w:ascii="Calibri" w:hAnsi="Calibri"/>
        </w:rPr>
        <w:t xml:space="preserve"> </w:t>
      </w:r>
      <w:r>
        <w:rPr>
          <w:rFonts w:ascii="Calibri" w:hAnsi="Calibri" w:hint="cs"/>
          <w:rtl/>
        </w:rPr>
        <w:t>הוא</w:t>
      </w:r>
      <w:r>
        <w:rPr>
          <w:rFonts w:ascii="Calibri" w:hAnsi="Calibri"/>
        </w:rPr>
        <w:t xml:space="preserve"> </w:t>
      </w:r>
      <w:r>
        <w:rPr>
          <w:rFonts w:ascii="Calibri" w:hAnsi="Calibri" w:hint="cs"/>
          <w:rtl/>
        </w:rPr>
        <w:t>ניהל</w:t>
      </w:r>
      <w:r>
        <w:rPr>
          <w:rFonts w:ascii="Calibri" w:hAnsi="Calibri"/>
        </w:rPr>
        <w:t xml:space="preserve"> </w:t>
      </w:r>
      <w:r>
        <w:rPr>
          <w:rFonts w:ascii="Calibri" w:hAnsi="Calibri" w:hint="cs"/>
          <w:rtl/>
        </w:rPr>
        <w:t>אורח</w:t>
      </w:r>
      <w:r>
        <w:rPr>
          <w:rFonts w:ascii="Calibri" w:hAnsi="Calibri"/>
        </w:rPr>
        <w:t xml:space="preserve"> </w:t>
      </w:r>
      <w:r>
        <w:rPr>
          <w:rFonts w:ascii="Calibri" w:hAnsi="Calibri" w:hint="cs"/>
          <w:rtl/>
        </w:rPr>
        <w:t>חיים</w:t>
      </w:r>
      <w:r>
        <w:rPr>
          <w:rFonts w:ascii="Calibri" w:hAnsi="Calibri"/>
        </w:rPr>
        <w:t xml:space="preserve"> </w:t>
      </w:r>
      <w:r>
        <w:rPr>
          <w:rFonts w:ascii="Calibri" w:hAnsi="Calibri" w:hint="cs"/>
          <w:rtl/>
        </w:rPr>
        <w:t>נורמטיבי. תסקיר</w:t>
      </w:r>
      <w:r>
        <w:rPr>
          <w:rFonts w:ascii="Calibri" w:hAnsi="Calibri"/>
        </w:rPr>
        <w:t xml:space="preserve"> </w:t>
      </w:r>
      <w:r>
        <w:rPr>
          <w:rFonts w:ascii="Calibri" w:hAnsi="Calibri" w:hint="cs"/>
          <w:rtl/>
        </w:rPr>
        <w:t>המבחן</w:t>
      </w:r>
      <w:r>
        <w:rPr>
          <w:rFonts w:ascii="Calibri" w:hAnsi="Calibri"/>
        </w:rPr>
        <w:t xml:space="preserve"> </w:t>
      </w:r>
      <w:r>
        <w:rPr>
          <w:rFonts w:ascii="Calibri" w:hAnsi="Calibri" w:hint="cs"/>
          <w:rtl/>
        </w:rPr>
        <w:t>בעניינו</w:t>
      </w:r>
      <w:r>
        <w:rPr>
          <w:rFonts w:ascii="Calibri" w:hAnsi="Calibri"/>
        </w:rPr>
        <w:t xml:space="preserve"> </w:t>
      </w:r>
      <w:r>
        <w:rPr>
          <w:rFonts w:ascii="Calibri" w:hAnsi="Calibri" w:hint="cs"/>
          <w:rtl/>
        </w:rPr>
        <w:t>של</w:t>
      </w:r>
      <w:r>
        <w:rPr>
          <w:rFonts w:ascii="Calibri" w:hAnsi="Calibri"/>
        </w:rPr>
        <w:t xml:space="preserve"> </w:t>
      </w:r>
      <w:r>
        <w:rPr>
          <w:rFonts w:ascii="Calibri" w:hAnsi="Calibri" w:hint="cs"/>
          <w:rtl/>
        </w:rPr>
        <w:t>המערער</w:t>
      </w:r>
      <w:r>
        <w:rPr>
          <w:rFonts w:ascii="Calibri" w:hAnsi="Calibri"/>
        </w:rPr>
        <w:t xml:space="preserve"> </w:t>
      </w:r>
      <w:r>
        <w:rPr>
          <w:rFonts w:ascii="Calibri" w:hAnsi="Calibri" w:hint="cs"/>
          <w:rtl/>
        </w:rPr>
        <w:t>מגלה</w:t>
      </w:r>
      <w:r>
        <w:rPr>
          <w:rFonts w:ascii="Calibri" w:hAnsi="Calibri"/>
        </w:rPr>
        <w:t xml:space="preserve"> </w:t>
      </w:r>
      <w:r>
        <w:rPr>
          <w:rFonts w:ascii="Calibri" w:hAnsi="Calibri" w:hint="cs"/>
          <w:rtl/>
        </w:rPr>
        <w:t>פוטנציאל</w:t>
      </w:r>
      <w:r>
        <w:rPr>
          <w:rFonts w:ascii="Calibri" w:hAnsi="Calibri"/>
        </w:rPr>
        <w:t xml:space="preserve"> </w:t>
      </w:r>
      <w:r>
        <w:rPr>
          <w:rFonts w:ascii="Calibri" w:hAnsi="Calibri" w:hint="cs"/>
          <w:rtl/>
        </w:rPr>
        <w:t>שיקומי</w:t>
      </w:r>
      <w:r>
        <w:rPr>
          <w:rFonts w:ascii="Calibri" w:hAnsi="Calibri"/>
        </w:rPr>
        <w:t xml:space="preserve"> </w:t>
      </w:r>
      <w:r>
        <w:rPr>
          <w:rFonts w:ascii="Calibri" w:hAnsi="Calibri" w:hint="cs"/>
          <w:rtl/>
        </w:rPr>
        <w:t>ממשי, תוך</w:t>
      </w:r>
      <w:r>
        <w:rPr>
          <w:rFonts w:ascii="Calibri" w:hAnsi="Calibri"/>
        </w:rPr>
        <w:t xml:space="preserve"> </w:t>
      </w:r>
      <w:r>
        <w:rPr>
          <w:rFonts w:ascii="Calibri" w:hAnsi="Calibri" w:hint="cs"/>
          <w:rtl/>
        </w:rPr>
        <w:t>קביעה</w:t>
      </w:r>
      <w:r>
        <w:rPr>
          <w:rFonts w:ascii="Calibri" w:hAnsi="Calibri"/>
        </w:rPr>
        <w:t xml:space="preserve"> </w:t>
      </w:r>
      <w:r>
        <w:rPr>
          <w:rFonts w:ascii="Calibri" w:hAnsi="Calibri" w:hint="cs"/>
          <w:rtl/>
        </w:rPr>
        <w:t>כי</w:t>
      </w:r>
      <w:r>
        <w:rPr>
          <w:rFonts w:ascii="Calibri" w:hAnsi="Calibri"/>
        </w:rPr>
        <w:t xml:space="preserve"> </w:t>
      </w:r>
      <w:r>
        <w:rPr>
          <w:rFonts w:ascii="Calibri" w:hAnsi="Calibri" w:hint="cs"/>
          <w:rtl/>
        </w:rPr>
        <w:t>הסיכוי</w:t>
      </w:r>
      <w:r>
        <w:rPr>
          <w:rFonts w:ascii="Calibri" w:hAnsi="Calibri"/>
        </w:rPr>
        <w:t xml:space="preserve"> </w:t>
      </w:r>
      <w:r>
        <w:rPr>
          <w:rFonts w:ascii="Calibri" w:hAnsi="Calibri" w:hint="cs"/>
          <w:rtl/>
        </w:rPr>
        <w:t>לביצוע</w:t>
      </w:r>
      <w:r>
        <w:rPr>
          <w:rFonts w:ascii="Calibri" w:hAnsi="Calibri"/>
        </w:rPr>
        <w:t xml:space="preserve"> </w:t>
      </w:r>
      <w:r>
        <w:rPr>
          <w:rFonts w:ascii="Calibri" w:hAnsi="Calibri" w:hint="cs"/>
          <w:rtl/>
        </w:rPr>
        <w:t>עבירות</w:t>
      </w:r>
      <w:r>
        <w:rPr>
          <w:rFonts w:ascii="Calibri" w:hAnsi="Calibri"/>
        </w:rPr>
        <w:t xml:space="preserve"> </w:t>
      </w:r>
      <w:r>
        <w:rPr>
          <w:rFonts w:ascii="Calibri" w:hAnsi="Calibri" w:hint="cs"/>
          <w:rtl/>
        </w:rPr>
        <w:t>נוספות</w:t>
      </w:r>
      <w:r>
        <w:rPr>
          <w:rFonts w:ascii="Calibri" w:hAnsi="Calibri"/>
        </w:rPr>
        <w:t xml:space="preserve"> </w:t>
      </w:r>
      <w:r>
        <w:rPr>
          <w:rFonts w:ascii="Calibri" w:hAnsi="Calibri" w:hint="cs"/>
          <w:rtl/>
        </w:rPr>
        <w:t>בעתיד</w:t>
      </w:r>
      <w:r>
        <w:rPr>
          <w:rFonts w:ascii="Calibri" w:hAnsi="Calibri"/>
        </w:rPr>
        <w:t xml:space="preserve"> </w:t>
      </w:r>
      <w:r>
        <w:rPr>
          <w:rFonts w:ascii="Calibri" w:hAnsi="Calibri" w:hint="cs"/>
          <w:rtl/>
        </w:rPr>
        <w:t>הוא</w:t>
      </w:r>
      <w:r>
        <w:rPr>
          <w:rFonts w:ascii="Calibri" w:hAnsi="Calibri"/>
        </w:rPr>
        <w:t xml:space="preserve"> </w:t>
      </w:r>
      <w:r>
        <w:rPr>
          <w:rFonts w:ascii="Calibri" w:hAnsi="Calibri" w:hint="cs"/>
          <w:rtl/>
        </w:rPr>
        <w:t>נמוך</w:t>
      </w:r>
      <w:r>
        <w:rPr>
          <w:rFonts w:ascii="Calibri" w:hAnsi="Calibri"/>
        </w:rPr>
        <w:t xml:space="preserve"> </w:t>
      </w:r>
      <w:r>
        <w:rPr>
          <w:rFonts w:ascii="Calibri" w:hAnsi="Calibri" w:hint="cs"/>
          <w:rtl/>
        </w:rPr>
        <w:t>ביותר. שירות</w:t>
      </w:r>
      <w:r>
        <w:rPr>
          <w:rFonts w:ascii="Calibri" w:hAnsi="Calibri"/>
        </w:rPr>
        <w:t xml:space="preserve"> </w:t>
      </w:r>
      <w:r>
        <w:rPr>
          <w:rFonts w:ascii="Calibri" w:hAnsi="Calibri" w:hint="cs"/>
          <w:rtl/>
        </w:rPr>
        <w:t>המבחן</w:t>
      </w:r>
      <w:r>
        <w:rPr>
          <w:rFonts w:ascii="Calibri" w:hAnsi="Calibri"/>
        </w:rPr>
        <w:t xml:space="preserve"> </w:t>
      </w:r>
      <w:r>
        <w:rPr>
          <w:rFonts w:ascii="Calibri" w:hAnsi="Calibri" w:hint="cs"/>
          <w:rtl/>
        </w:rPr>
        <w:t>המליץ</w:t>
      </w:r>
      <w:r>
        <w:rPr>
          <w:rFonts w:ascii="Calibri" w:hAnsi="Calibri"/>
        </w:rPr>
        <w:t xml:space="preserve"> </w:t>
      </w:r>
      <w:r>
        <w:rPr>
          <w:rFonts w:ascii="Calibri" w:hAnsi="Calibri" w:hint="cs"/>
          <w:rtl/>
        </w:rPr>
        <w:t>כזכור</w:t>
      </w:r>
      <w:r>
        <w:rPr>
          <w:rFonts w:ascii="Calibri" w:hAnsi="Calibri"/>
        </w:rPr>
        <w:t xml:space="preserve"> </w:t>
      </w:r>
      <w:r>
        <w:rPr>
          <w:rFonts w:ascii="Calibri" w:hAnsi="Calibri" w:hint="cs"/>
          <w:rtl/>
        </w:rPr>
        <w:t>להשית</w:t>
      </w:r>
      <w:r>
        <w:rPr>
          <w:rFonts w:ascii="Calibri" w:hAnsi="Calibri"/>
        </w:rPr>
        <w:t xml:space="preserve"> </w:t>
      </w:r>
      <w:r>
        <w:rPr>
          <w:rFonts w:ascii="Calibri" w:hAnsi="Calibri" w:hint="cs"/>
          <w:rtl/>
        </w:rPr>
        <w:t>על</w:t>
      </w:r>
      <w:r>
        <w:rPr>
          <w:rFonts w:ascii="Calibri" w:hAnsi="Calibri"/>
        </w:rPr>
        <w:t xml:space="preserve"> </w:t>
      </w:r>
      <w:r>
        <w:rPr>
          <w:rFonts w:ascii="Calibri" w:hAnsi="Calibri" w:hint="cs"/>
          <w:rtl/>
        </w:rPr>
        <w:t>המערער</w:t>
      </w:r>
      <w:r>
        <w:rPr>
          <w:rFonts w:ascii="Calibri" w:hAnsi="Calibri"/>
        </w:rPr>
        <w:t xml:space="preserve"> </w:t>
      </w:r>
      <w:r>
        <w:rPr>
          <w:rFonts w:ascii="Calibri" w:hAnsi="Calibri" w:hint="cs"/>
          <w:rtl/>
        </w:rPr>
        <w:t>עונש</w:t>
      </w:r>
      <w:r>
        <w:rPr>
          <w:rFonts w:ascii="Calibri" w:hAnsi="Calibri"/>
        </w:rPr>
        <w:t xml:space="preserve"> </w:t>
      </w:r>
      <w:r>
        <w:rPr>
          <w:rFonts w:ascii="Calibri" w:hAnsi="Calibri" w:hint="cs"/>
          <w:rtl/>
        </w:rPr>
        <w:t>מאסר</w:t>
      </w:r>
      <w:r>
        <w:rPr>
          <w:rFonts w:ascii="Calibri" w:hAnsi="Calibri"/>
        </w:rPr>
        <w:t xml:space="preserve"> </w:t>
      </w:r>
      <w:r>
        <w:rPr>
          <w:rFonts w:ascii="Calibri" w:hAnsi="Calibri" w:hint="cs"/>
          <w:rtl/>
        </w:rPr>
        <w:t>שיבוצע</w:t>
      </w:r>
      <w:r>
        <w:rPr>
          <w:rFonts w:ascii="Calibri" w:hAnsi="Calibri"/>
        </w:rPr>
        <w:t xml:space="preserve"> </w:t>
      </w:r>
      <w:r>
        <w:rPr>
          <w:rFonts w:ascii="Calibri" w:hAnsi="Calibri" w:hint="cs"/>
          <w:rtl/>
        </w:rPr>
        <w:t>בעבודות</w:t>
      </w:r>
      <w:r>
        <w:rPr>
          <w:rFonts w:ascii="Calibri" w:hAnsi="Calibri"/>
        </w:rPr>
        <w:t xml:space="preserve"> </w:t>
      </w:r>
      <w:r>
        <w:rPr>
          <w:rFonts w:ascii="Calibri" w:hAnsi="Calibri" w:hint="cs"/>
          <w:rtl/>
        </w:rPr>
        <w:t>שירות. כמו</w:t>
      </w:r>
      <w:r>
        <w:rPr>
          <w:rFonts w:ascii="Calibri" w:hAnsi="Calibri"/>
        </w:rPr>
        <w:t xml:space="preserve"> </w:t>
      </w:r>
      <w:r>
        <w:rPr>
          <w:rFonts w:ascii="Calibri" w:hAnsi="Calibri" w:hint="cs"/>
          <w:rtl/>
        </w:rPr>
        <w:t>כן, מהתנהלות</w:t>
      </w:r>
      <w:r>
        <w:rPr>
          <w:rFonts w:ascii="Calibri" w:hAnsi="Calibri"/>
        </w:rPr>
        <w:t xml:space="preserve"> </w:t>
      </w:r>
      <w:r>
        <w:rPr>
          <w:rFonts w:ascii="Calibri" w:hAnsi="Calibri" w:hint="cs"/>
          <w:rtl/>
        </w:rPr>
        <w:t>המערער</w:t>
      </w:r>
      <w:r>
        <w:rPr>
          <w:rFonts w:ascii="Calibri" w:hAnsi="Calibri"/>
        </w:rPr>
        <w:t xml:space="preserve"> </w:t>
      </w:r>
      <w:r>
        <w:rPr>
          <w:rFonts w:ascii="Calibri" w:hAnsi="Calibri" w:hint="cs"/>
          <w:rtl/>
        </w:rPr>
        <w:t>בתקופת</w:t>
      </w:r>
      <w:r>
        <w:rPr>
          <w:rFonts w:ascii="Calibri" w:hAnsi="Calibri"/>
        </w:rPr>
        <w:t xml:space="preserve"> </w:t>
      </w:r>
      <w:r>
        <w:rPr>
          <w:rFonts w:ascii="Calibri" w:hAnsi="Calibri" w:hint="cs"/>
          <w:rtl/>
        </w:rPr>
        <w:t>מעצרו, ומאסרו</w:t>
      </w:r>
      <w:r>
        <w:rPr>
          <w:rFonts w:ascii="Calibri" w:hAnsi="Calibri"/>
        </w:rPr>
        <w:t xml:space="preserve"> </w:t>
      </w:r>
      <w:r>
        <w:rPr>
          <w:rFonts w:ascii="Calibri" w:hAnsi="Calibri" w:hint="cs"/>
          <w:rtl/>
        </w:rPr>
        <w:t>עד</w:t>
      </w:r>
      <w:r>
        <w:rPr>
          <w:rFonts w:ascii="Calibri" w:hAnsi="Calibri"/>
        </w:rPr>
        <w:t xml:space="preserve"> </w:t>
      </w:r>
      <w:r>
        <w:rPr>
          <w:rFonts w:ascii="Calibri" w:hAnsi="Calibri" w:hint="cs"/>
          <w:rtl/>
        </w:rPr>
        <w:t>כה, ניתן</w:t>
      </w:r>
      <w:r>
        <w:rPr>
          <w:rFonts w:ascii="Calibri" w:hAnsi="Calibri"/>
        </w:rPr>
        <w:t xml:space="preserve"> </w:t>
      </w:r>
      <w:r>
        <w:rPr>
          <w:rFonts w:ascii="Calibri" w:hAnsi="Calibri" w:hint="cs"/>
          <w:rtl/>
        </w:rPr>
        <w:t>ללמוד</w:t>
      </w:r>
      <w:r>
        <w:rPr>
          <w:rFonts w:ascii="Calibri" w:hAnsi="Calibri"/>
        </w:rPr>
        <w:t xml:space="preserve"> </w:t>
      </w:r>
      <w:r>
        <w:rPr>
          <w:rFonts w:ascii="Calibri" w:hAnsi="Calibri" w:hint="cs"/>
          <w:rtl/>
        </w:rPr>
        <w:t>על</w:t>
      </w:r>
      <w:r>
        <w:rPr>
          <w:rFonts w:ascii="Calibri" w:hAnsi="Calibri"/>
        </w:rPr>
        <w:t xml:space="preserve"> </w:t>
      </w:r>
      <w:r>
        <w:rPr>
          <w:rFonts w:ascii="Calibri" w:hAnsi="Calibri" w:hint="cs"/>
          <w:rtl/>
        </w:rPr>
        <w:t>שיתוף</w:t>
      </w:r>
      <w:r>
        <w:rPr>
          <w:rFonts w:ascii="Calibri" w:hAnsi="Calibri"/>
        </w:rPr>
        <w:t xml:space="preserve"> </w:t>
      </w:r>
      <w:r>
        <w:rPr>
          <w:rFonts w:ascii="Calibri" w:hAnsi="Calibri" w:hint="cs"/>
          <w:rtl/>
        </w:rPr>
        <w:t>פעולה</w:t>
      </w:r>
      <w:r>
        <w:rPr>
          <w:rFonts w:ascii="Calibri" w:hAnsi="Calibri"/>
        </w:rPr>
        <w:t xml:space="preserve"> </w:t>
      </w:r>
      <w:r>
        <w:rPr>
          <w:rFonts w:ascii="Calibri" w:hAnsi="Calibri" w:hint="cs"/>
          <w:rtl/>
        </w:rPr>
        <w:t>אמיתי</w:t>
      </w:r>
      <w:r>
        <w:rPr>
          <w:rFonts w:ascii="Calibri" w:hAnsi="Calibri"/>
        </w:rPr>
        <w:t xml:space="preserve"> </w:t>
      </w:r>
      <w:r>
        <w:rPr>
          <w:rFonts w:ascii="Calibri" w:hAnsi="Calibri" w:hint="cs"/>
          <w:rtl/>
        </w:rPr>
        <w:t>עם</w:t>
      </w:r>
      <w:r>
        <w:rPr>
          <w:rFonts w:ascii="Calibri" w:hAnsi="Calibri"/>
        </w:rPr>
        <w:t xml:space="preserve"> </w:t>
      </w:r>
      <w:r>
        <w:rPr>
          <w:rFonts w:ascii="Calibri" w:hAnsi="Calibri" w:hint="cs"/>
          <w:rtl/>
        </w:rPr>
        <w:t>רשויות</w:t>
      </w:r>
      <w:r>
        <w:rPr>
          <w:rFonts w:ascii="Calibri" w:hAnsi="Calibri"/>
        </w:rPr>
        <w:t xml:space="preserve"> </w:t>
      </w:r>
      <w:r>
        <w:rPr>
          <w:rFonts w:ascii="Calibri" w:hAnsi="Calibri" w:hint="cs"/>
          <w:rtl/>
        </w:rPr>
        <w:t>אכיפת</w:t>
      </w:r>
      <w:r>
        <w:rPr>
          <w:rFonts w:ascii="Calibri" w:hAnsi="Calibri"/>
        </w:rPr>
        <w:t xml:space="preserve"> </w:t>
      </w:r>
      <w:r>
        <w:rPr>
          <w:rFonts w:ascii="Calibri" w:hAnsi="Calibri" w:hint="cs"/>
          <w:rtl/>
        </w:rPr>
        <w:t>החוק</w:t>
      </w:r>
      <w:r>
        <w:rPr>
          <w:rFonts w:ascii="Calibri" w:hAnsi="Calibri"/>
        </w:rPr>
        <w:t xml:space="preserve"> </w:t>
      </w:r>
      <w:r>
        <w:rPr>
          <w:rFonts w:ascii="Calibri" w:hAnsi="Calibri" w:hint="cs"/>
          <w:rtl/>
        </w:rPr>
        <w:t>ובמיוחד</w:t>
      </w:r>
      <w:r>
        <w:rPr>
          <w:rFonts w:ascii="Calibri" w:hAnsi="Calibri"/>
        </w:rPr>
        <w:t xml:space="preserve"> </w:t>
      </w:r>
      <w:r>
        <w:rPr>
          <w:rFonts w:ascii="Calibri" w:hAnsi="Calibri" w:hint="cs"/>
          <w:rtl/>
        </w:rPr>
        <w:t>עם</w:t>
      </w:r>
      <w:r>
        <w:rPr>
          <w:rFonts w:ascii="Calibri" w:hAnsi="Calibri"/>
        </w:rPr>
        <w:t xml:space="preserve"> </w:t>
      </w:r>
      <w:r>
        <w:rPr>
          <w:rFonts w:ascii="Calibri" w:hAnsi="Calibri" w:hint="cs"/>
          <w:rtl/>
        </w:rPr>
        <w:t>שירות</w:t>
      </w:r>
      <w:r>
        <w:rPr>
          <w:rFonts w:ascii="Calibri" w:hAnsi="Calibri"/>
        </w:rPr>
        <w:t xml:space="preserve"> </w:t>
      </w:r>
      <w:r>
        <w:rPr>
          <w:rFonts w:ascii="Calibri" w:hAnsi="Calibri" w:hint="cs"/>
          <w:rtl/>
        </w:rPr>
        <w:t>המבחן, מה</w:t>
      </w:r>
      <w:r>
        <w:rPr>
          <w:rFonts w:ascii="Calibri" w:hAnsi="Calibri"/>
        </w:rPr>
        <w:t xml:space="preserve"> </w:t>
      </w:r>
      <w:r>
        <w:rPr>
          <w:rFonts w:ascii="Calibri" w:hAnsi="Calibri" w:hint="cs"/>
          <w:rtl/>
        </w:rPr>
        <w:t>שמעיד</w:t>
      </w:r>
      <w:r>
        <w:rPr>
          <w:rFonts w:ascii="Calibri" w:hAnsi="Calibri"/>
        </w:rPr>
        <w:t xml:space="preserve"> </w:t>
      </w:r>
      <w:r>
        <w:rPr>
          <w:rFonts w:ascii="Calibri" w:hAnsi="Calibri" w:hint="cs"/>
          <w:rtl/>
        </w:rPr>
        <w:t>על</w:t>
      </w:r>
      <w:r>
        <w:rPr>
          <w:rFonts w:ascii="Calibri" w:hAnsi="Calibri"/>
        </w:rPr>
        <w:t xml:space="preserve"> </w:t>
      </w:r>
      <w:r>
        <w:rPr>
          <w:rFonts w:ascii="Calibri" w:hAnsi="Calibri" w:hint="cs"/>
          <w:rtl/>
        </w:rPr>
        <w:t>רצונו</w:t>
      </w:r>
      <w:r>
        <w:rPr>
          <w:rFonts w:ascii="Calibri" w:hAnsi="Calibri"/>
        </w:rPr>
        <w:t xml:space="preserve"> </w:t>
      </w:r>
      <w:r>
        <w:rPr>
          <w:rFonts w:ascii="Calibri" w:hAnsi="Calibri" w:hint="cs"/>
          <w:rtl/>
        </w:rPr>
        <w:t>להשתקם, וכן</w:t>
      </w:r>
      <w:r>
        <w:rPr>
          <w:rFonts w:ascii="Calibri" w:hAnsi="Calibri"/>
        </w:rPr>
        <w:t xml:space="preserve"> </w:t>
      </w:r>
      <w:r>
        <w:rPr>
          <w:rFonts w:ascii="Calibri" w:hAnsi="Calibri" w:hint="cs"/>
          <w:rtl/>
        </w:rPr>
        <w:t>דומה</w:t>
      </w:r>
      <w:r>
        <w:rPr>
          <w:rFonts w:ascii="Calibri" w:hAnsi="Calibri"/>
        </w:rPr>
        <w:t xml:space="preserve"> </w:t>
      </w:r>
      <w:r>
        <w:rPr>
          <w:rFonts w:ascii="Calibri" w:hAnsi="Calibri" w:hint="cs"/>
          <w:rtl/>
        </w:rPr>
        <w:t>כי</w:t>
      </w:r>
      <w:r>
        <w:rPr>
          <w:rFonts w:ascii="Calibri" w:hAnsi="Calibri"/>
        </w:rPr>
        <w:t xml:space="preserve"> </w:t>
      </w:r>
      <w:r>
        <w:rPr>
          <w:rFonts w:ascii="Calibri" w:hAnsi="Calibri" w:hint="cs"/>
          <w:rtl/>
        </w:rPr>
        <w:t>למערער</w:t>
      </w:r>
      <w:r>
        <w:rPr>
          <w:rFonts w:ascii="Calibri" w:hAnsi="Calibri"/>
        </w:rPr>
        <w:t xml:space="preserve"> </w:t>
      </w:r>
      <w:r>
        <w:rPr>
          <w:rFonts w:ascii="Calibri" w:hAnsi="Calibri" w:hint="cs"/>
          <w:rtl/>
        </w:rPr>
        <w:t>משפחה</w:t>
      </w:r>
      <w:r>
        <w:rPr>
          <w:rFonts w:ascii="Calibri" w:hAnsi="Calibri"/>
        </w:rPr>
        <w:t xml:space="preserve"> </w:t>
      </w:r>
      <w:r>
        <w:rPr>
          <w:rFonts w:ascii="Calibri" w:hAnsi="Calibri" w:hint="cs"/>
          <w:rtl/>
        </w:rPr>
        <w:t>שיכולה</w:t>
      </w:r>
      <w:r>
        <w:rPr>
          <w:rFonts w:ascii="Calibri" w:hAnsi="Calibri"/>
        </w:rPr>
        <w:t xml:space="preserve"> </w:t>
      </w:r>
      <w:r>
        <w:rPr>
          <w:rFonts w:ascii="Calibri" w:hAnsi="Calibri" w:hint="cs"/>
          <w:rtl/>
        </w:rPr>
        <w:t>לספק</w:t>
      </w:r>
      <w:r>
        <w:rPr>
          <w:rFonts w:ascii="Calibri" w:hAnsi="Calibri"/>
        </w:rPr>
        <w:t xml:space="preserve"> </w:t>
      </w:r>
      <w:r>
        <w:rPr>
          <w:rFonts w:ascii="Calibri" w:hAnsi="Calibri" w:hint="cs"/>
          <w:rtl/>
        </w:rPr>
        <w:t>לו</w:t>
      </w:r>
      <w:r>
        <w:rPr>
          <w:rFonts w:ascii="Calibri" w:hAnsi="Calibri"/>
        </w:rPr>
        <w:t xml:space="preserve"> </w:t>
      </w:r>
      <w:r>
        <w:rPr>
          <w:rFonts w:ascii="Calibri" w:hAnsi="Calibri" w:hint="cs"/>
          <w:rtl/>
        </w:rPr>
        <w:t>תמיכה</w:t>
      </w:r>
      <w:r>
        <w:rPr>
          <w:rFonts w:ascii="Calibri" w:hAnsi="Calibri"/>
        </w:rPr>
        <w:t xml:space="preserve"> </w:t>
      </w:r>
      <w:r>
        <w:rPr>
          <w:rFonts w:ascii="Calibri" w:hAnsi="Calibri" w:hint="cs"/>
          <w:rtl/>
        </w:rPr>
        <w:t>משמעותית</w:t>
      </w:r>
      <w:r>
        <w:rPr>
          <w:rFonts w:ascii="Calibri" w:hAnsi="Calibri"/>
        </w:rPr>
        <w:t xml:space="preserve"> </w:t>
      </w:r>
      <w:r>
        <w:rPr>
          <w:rFonts w:ascii="Calibri" w:hAnsi="Calibri" w:hint="cs"/>
          <w:rtl/>
        </w:rPr>
        <w:t>לשם</w:t>
      </w:r>
      <w:r>
        <w:rPr>
          <w:rFonts w:ascii="Calibri" w:hAnsi="Calibri"/>
        </w:rPr>
        <w:t xml:space="preserve"> </w:t>
      </w:r>
      <w:r>
        <w:rPr>
          <w:rFonts w:ascii="Calibri" w:hAnsi="Calibri" w:hint="cs"/>
          <w:rtl/>
        </w:rPr>
        <w:t>כך. התסקיר</w:t>
      </w:r>
      <w:r>
        <w:rPr>
          <w:rFonts w:ascii="Calibri" w:hAnsi="Calibri"/>
        </w:rPr>
        <w:t xml:space="preserve"> </w:t>
      </w:r>
      <w:r>
        <w:rPr>
          <w:rFonts w:ascii="Calibri" w:hAnsi="Calibri" w:hint="cs"/>
          <w:rtl/>
        </w:rPr>
        <w:t>אף</w:t>
      </w:r>
      <w:r>
        <w:rPr>
          <w:rFonts w:ascii="Calibri" w:hAnsi="Calibri"/>
        </w:rPr>
        <w:t xml:space="preserve"> </w:t>
      </w:r>
      <w:r>
        <w:rPr>
          <w:rFonts w:ascii="Calibri" w:hAnsi="Calibri" w:hint="cs"/>
          <w:rtl/>
        </w:rPr>
        <w:t>מלמד</w:t>
      </w:r>
      <w:r>
        <w:rPr>
          <w:rFonts w:ascii="Calibri" w:hAnsi="Calibri"/>
        </w:rPr>
        <w:t xml:space="preserve"> </w:t>
      </w:r>
      <w:r>
        <w:rPr>
          <w:rFonts w:ascii="Calibri" w:hAnsi="Calibri" w:hint="cs"/>
          <w:rtl/>
        </w:rPr>
        <w:t>כי</w:t>
      </w:r>
      <w:r>
        <w:rPr>
          <w:rFonts w:ascii="Calibri" w:hAnsi="Calibri"/>
        </w:rPr>
        <w:t xml:space="preserve"> </w:t>
      </w:r>
      <w:r>
        <w:rPr>
          <w:rFonts w:ascii="Calibri" w:hAnsi="Calibri" w:hint="cs"/>
          <w:rtl/>
        </w:rPr>
        <w:t xml:space="preserve"> מאסרו</w:t>
      </w:r>
      <w:r>
        <w:rPr>
          <w:rFonts w:ascii="Calibri" w:hAnsi="Calibri"/>
        </w:rPr>
        <w:t xml:space="preserve"> </w:t>
      </w:r>
      <w:r>
        <w:rPr>
          <w:rFonts w:ascii="Calibri" w:hAnsi="Calibri" w:hint="cs"/>
          <w:rtl/>
        </w:rPr>
        <w:t>של</w:t>
      </w:r>
      <w:r>
        <w:rPr>
          <w:rFonts w:ascii="Calibri" w:hAnsi="Calibri"/>
        </w:rPr>
        <w:t xml:space="preserve"> </w:t>
      </w:r>
      <w:r>
        <w:rPr>
          <w:rFonts w:ascii="Calibri" w:hAnsi="Calibri" w:hint="cs"/>
          <w:rtl/>
        </w:rPr>
        <w:t>המערער</w:t>
      </w:r>
      <w:r>
        <w:rPr>
          <w:rFonts w:ascii="Calibri" w:hAnsi="Calibri"/>
        </w:rPr>
        <w:t xml:space="preserve"> </w:t>
      </w:r>
      <w:r>
        <w:rPr>
          <w:rFonts w:ascii="Calibri" w:hAnsi="Calibri" w:hint="cs"/>
          <w:rtl/>
        </w:rPr>
        <w:t>עלול</w:t>
      </w:r>
      <w:r>
        <w:rPr>
          <w:rFonts w:ascii="Calibri" w:hAnsi="Calibri"/>
        </w:rPr>
        <w:t xml:space="preserve"> </w:t>
      </w:r>
      <w:r>
        <w:rPr>
          <w:rFonts w:ascii="Calibri" w:hAnsi="Calibri" w:hint="cs"/>
          <w:rtl/>
        </w:rPr>
        <w:t>להביא</w:t>
      </w:r>
      <w:r>
        <w:rPr>
          <w:rFonts w:ascii="Calibri" w:hAnsi="Calibri"/>
        </w:rPr>
        <w:t xml:space="preserve"> </w:t>
      </w:r>
      <w:r>
        <w:rPr>
          <w:rFonts w:ascii="Calibri" w:hAnsi="Calibri" w:hint="cs"/>
          <w:rtl/>
        </w:rPr>
        <w:t>להידרדרות</w:t>
      </w:r>
      <w:r>
        <w:rPr>
          <w:rFonts w:ascii="Calibri" w:hAnsi="Calibri"/>
        </w:rPr>
        <w:t xml:space="preserve"> </w:t>
      </w:r>
      <w:r>
        <w:rPr>
          <w:rFonts w:ascii="Calibri" w:hAnsi="Calibri" w:hint="cs"/>
          <w:rtl/>
        </w:rPr>
        <w:t>במצבו ולפגוע</w:t>
      </w:r>
      <w:r>
        <w:rPr>
          <w:rFonts w:ascii="Calibri" w:hAnsi="Calibri"/>
        </w:rPr>
        <w:t xml:space="preserve"> </w:t>
      </w:r>
      <w:r>
        <w:rPr>
          <w:rFonts w:ascii="Calibri" w:hAnsi="Calibri" w:hint="cs"/>
          <w:rtl/>
        </w:rPr>
        <w:t>קשות</w:t>
      </w:r>
      <w:r>
        <w:rPr>
          <w:rFonts w:ascii="Calibri" w:hAnsi="Calibri"/>
        </w:rPr>
        <w:t xml:space="preserve"> </w:t>
      </w:r>
      <w:r>
        <w:rPr>
          <w:rFonts w:ascii="Calibri" w:hAnsi="Calibri" w:hint="cs"/>
          <w:rtl/>
        </w:rPr>
        <w:t>בסיכויי</w:t>
      </w:r>
      <w:r>
        <w:rPr>
          <w:rFonts w:ascii="Calibri" w:hAnsi="Calibri"/>
        </w:rPr>
        <w:t xml:space="preserve"> </w:t>
      </w:r>
      <w:r>
        <w:rPr>
          <w:rFonts w:ascii="Calibri" w:hAnsi="Calibri" w:hint="cs"/>
          <w:rtl/>
        </w:rPr>
        <w:t>שיקומו, חשש</w:t>
      </w:r>
      <w:r>
        <w:rPr>
          <w:rFonts w:ascii="Calibri" w:hAnsi="Calibri"/>
        </w:rPr>
        <w:t xml:space="preserve"> </w:t>
      </w:r>
      <w:r>
        <w:rPr>
          <w:rFonts w:ascii="Calibri" w:hAnsi="Calibri" w:hint="cs"/>
          <w:rtl/>
        </w:rPr>
        <w:t>המתגבר</w:t>
      </w:r>
      <w:r>
        <w:rPr>
          <w:rFonts w:ascii="Calibri" w:hAnsi="Calibri"/>
        </w:rPr>
        <w:t xml:space="preserve"> </w:t>
      </w:r>
      <w:r>
        <w:rPr>
          <w:rFonts w:ascii="Calibri" w:hAnsi="Calibri" w:hint="cs"/>
          <w:rtl/>
        </w:rPr>
        <w:t>ככל</w:t>
      </w:r>
      <w:r>
        <w:rPr>
          <w:rFonts w:ascii="Calibri" w:hAnsi="Calibri"/>
        </w:rPr>
        <w:t xml:space="preserve"> </w:t>
      </w:r>
      <w:r>
        <w:rPr>
          <w:rFonts w:ascii="Calibri" w:hAnsi="Calibri" w:hint="cs"/>
          <w:rtl/>
        </w:rPr>
        <w:t>שמדובר</w:t>
      </w:r>
      <w:r>
        <w:rPr>
          <w:rFonts w:ascii="Calibri" w:hAnsi="Calibri"/>
        </w:rPr>
        <w:t xml:space="preserve"> </w:t>
      </w:r>
      <w:r>
        <w:rPr>
          <w:rFonts w:ascii="Calibri" w:hAnsi="Calibri" w:hint="cs"/>
          <w:rtl/>
        </w:rPr>
        <w:t>במאסר</w:t>
      </w:r>
      <w:r>
        <w:rPr>
          <w:rFonts w:ascii="Calibri" w:hAnsi="Calibri"/>
        </w:rPr>
        <w:t xml:space="preserve"> </w:t>
      </w:r>
      <w:r>
        <w:rPr>
          <w:rFonts w:ascii="Calibri" w:hAnsi="Calibri" w:hint="cs"/>
          <w:rtl/>
        </w:rPr>
        <w:t>ממושך</w:t>
      </w:r>
      <w:r>
        <w:rPr>
          <w:rFonts w:ascii="Calibri" w:hAnsi="Calibri"/>
        </w:rPr>
        <w:t xml:space="preserve"> </w:t>
      </w:r>
      <w:r>
        <w:rPr>
          <w:rFonts w:ascii="Calibri" w:hAnsi="Calibri" w:hint="cs"/>
          <w:rtl/>
        </w:rPr>
        <w:t>יותר. כל</w:t>
      </w:r>
      <w:r>
        <w:rPr>
          <w:rFonts w:ascii="Calibri" w:hAnsi="Calibri"/>
        </w:rPr>
        <w:t xml:space="preserve"> </w:t>
      </w:r>
      <w:r>
        <w:rPr>
          <w:rFonts w:ascii="Calibri" w:hAnsi="Calibri" w:hint="cs"/>
          <w:rtl/>
        </w:rPr>
        <w:t>אלו, לצד</w:t>
      </w:r>
      <w:r>
        <w:rPr>
          <w:rFonts w:ascii="Calibri" w:hAnsi="Calibri"/>
        </w:rPr>
        <w:t xml:space="preserve"> </w:t>
      </w:r>
      <w:r>
        <w:rPr>
          <w:rFonts w:ascii="Calibri" w:hAnsi="Calibri" w:hint="cs"/>
          <w:rtl/>
        </w:rPr>
        <w:t>החרטה</w:t>
      </w:r>
      <w:r>
        <w:rPr>
          <w:rFonts w:ascii="Calibri" w:hAnsi="Calibri"/>
        </w:rPr>
        <w:t xml:space="preserve"> </w:t>
      </w:r>
      <w:r>
        <w:rPr>
          <w:rFonts w:ascii="Calibri" w:hAnsi="Calibri" w:hint="cs"/>
          <w:rtl/>
        </w:rPr>
        <w:t>שהביע</w:t>
      </w:r>
      <w:r>
        <w:rPr>
          <w:rFonts w:ascii="Calibri" w:hAnsi="Calibri"/>
        </w:rPr>
        <w:t xml:space="preserve"> </w:t>
      </w:r>
      <w:r>
        <w:rPr>
          <w:rFonts w:ascii="Calibri" w:hAnsi="Calibri" w:hint="cs"/>
          <w:rtl/>
        </w:rPr>
        <w:t>על</w:t>
      </w:r>
      <w:r>
        <w:rPr>
          <w:rFonts w:ascii="Calibri" w:hAnsi="Calibri"/>
        </w:rPr>
        <w:t xml:space="preserve"> </w:t>
      </w:r>
      <w:r>
        <w:rPr>
          <w:rFonts w:ascii="Calibri" w:hAnsi="Calibri" w:hint="cs"/>
          <w:rtl/>
        </w:rPr>
        <w:t>מעשיו, מביאים</w:t>
      </w:r>
      <w:r>
        <w:rPr>
          <w:rFonts w:ascii="Calibri" w:hAnsi="Calibri"/>
        </w:rPr>
        <w:t xml:space="preserve"> </w:t>
      </w:r>
      <w:r>
        <w:rPr>
          <w:rFonts w:ascii="Calibri" w:hAnsi="Calibri" w:hint="cs"/>
          <w:rtl/>
        </w:rPr>
        <w:t>למסקנה</w:t>
      </w:r>
      <w:r>
        <w:rPr>
          <w:rFonts w:ascii="Calibri" w:hAnsi="Calibri"/>
        </w:rPr>
        <w:t xml:space="preserve"> </w:t>
      </w:r>
      <w:r>
        <w:rPr>
          <w:rFonts w:ascii="Calibri" w:hAnsi="Calibri" w:hint="cs"/>
          <w:rtl/>
        </w:rPr>
        <w:t>כי</w:t>
      </w:r>
      <w:r>
        <w:rPr>
          <w:rFonts w:ascii="Calibri" w:hAnsi="Calibri"/>
        </w:rPr>
        <w:t xml:space="preserve"> </w:t>
      </w:r>
      <w:r>
        <w:rPr>
          <w:rFonts w:ascii="Calibri" w:hAnsi="Calibri" w:hint="cs"/>
          <w:rtl/>
        </w:rPr>
        <w:t>למערער</w:t>
      </w:r>
      <w:r>
        <w:rPr>
          <w:rFonts w:ascii="Calibri" w:hAnsi="Calibri"/>
        </w:rPr>
        <w:t xml:space="preserve"> </w:t>
      </w:r>
      <w:r>
        <w:rPr>
          <w:rFonts w:ascii="Calibri" w:hAnsi="Calibri" w:hint="cs"/>
          <w:rtl/>
        </w:rPr>
        <w:t>סיכוי</w:t>
      </w:r>
      <w:r>
        <w:rPr>
          <w:rFonts w:ascii="Calibri" w:hAnsi="Calibri"/>
        </w:rPr>
        <w:t xml:space="preserve"> </w:t>
      </w:r>
      <w:r>
        <w:rPr>
          <w:rFonts w:ascii="Calibri" w:hAnsi="Calibri" w:hint="cs"/>
          <w:rtl/>
        </w:rPr>
        <w:t>של</w:t>
      </w:r>
      <w:r>
        <w:rPr>
          <w:rFonts w:ascii="Calibri" w:hAnsi="Calibri"/>
        </w:rPr>
        <w:t xml:space="preserve"> </w:t>
      </w:r>
      <w:r>
        <w:rPr>
          <w:rFonts w:ascii="Calibri" w:hAnsi="Calibri" w:hint="cs"/>
          <w:rtl/>
        </w:rPr>
        <w:t>ממש</w:t>
      </w:r>
      <w:r>
        <w:rPr>
          <w:rFonts w:ascii="Calibri" w:hAnsi="Calibri"/>
        </w:rPr>
        <w:t xml:space="preserve"> </w:t>
      </w:r>
      <w:r>
        <w:rPr>
          <w:rFonts w:ascii="Calibri" w:hAnsi="Calibri" w:hint="cs"/>
          <w:rtl/>
        </w:rPr>
        <w:t>להשתקם, באופן</w:t>
      </w:r>
      <w:r>
        <w:rPr>
          <w:rFonts w:ascii="Calibri" w:hAnsi="Calibri"/>
        </w:rPr>
        <w:t xml:space="preserve"> </w:t>
      </w:r>
      <w:r>
        <w:rPr>
          <w:rFonts w:ascii="Calibri" w:hAnsi="Calibri" w:hint="cs"/>
          <w:rtl/>
        </w:rPr>
        <w:t>המצדיק</w:t>
      </w:r>
      <w:r>
        <w:rPr>
          <w:rFonts w:ascii="Calibri" w:hAnsi="Calibri"/>
        </w:rPr>
        <w:t xml:space="preserve"> </w:t>
      </w:r>
      <w:r>
        <w:rPr>
          <w:rFonts w:ascii="Calibri" w:hAnsi="Calibri" w:hint="cs"/>
          <w:rtl/>
        </w:rPr>
        <w:t>לחרוג</w:t>
      </w:r>
      <w:r>
        <w:rPr>
          <w:rFonts w:ascii="Calibri" w:hAnsi="Calibri"/>
        </w:rPr>
        <w:t xml:space="preserve"> </w:t>
      </w:r>
      <w:r>
        <w:rPr>
          <w:rFonts w:ascii="Calibri" w:hAnsi="Calibri" w:hint="cs"/>
          <w:rtl/>
        </w:rPr>
        <w:t>מהמתחם</w:t>
      </w:r>
      <w:r>
        <w:rPr>
          <w:rFonts w:ascii="Calibri" w:hAnsi="Calibri"/>
        </w:rPr>
        <w:t xml:space="preserve"> </w:t>
      </w:r>
      <w:r>
        <w:rPr>
          <w:rFonts w:ascii="Calibri" w:hAnsi="Calibri" w:hint="cs"/>
          <w:rtl/>
        </w:rPr>
        <w:t xml:space="preserve">שנקבע". </w:t>
      </w:r>
    </w:p>
    <w:p w14:paraId="1E5D6D88" w14:textId="77777777" w:rsidR="00643383" w:rsidRDefault="00643383" w:rsidP="00643383">
      <w:pPr>
        <w:suppressLineNumbers/>
        <w:autoSpaceDE w:val="0"/>
        <w:autoSpaceDN w:val="0"/>
        <w:adjustRightInd w:val="0"/>
        <w:spacing w:before="100" w:beforeAutospacing="1" w:after="100" w:afterAutospacing="1"/>
        <w:ind w:left="1077"/>
        <w:contextualSpacing/>
        <w:jc w:val="both"/>
        <w:rPr>
          <w:rFonts w:ascii="Calibri" w:hAnsi="Calibri"/>
          <w:b/>
          <w:bCs/>
          <w:u w:val="single"/>
          <w:rtl/>
        </w:rPr>
      </w:pPr>
    </w:p>
    <w:p w14:paraId="013FAABD" w14:textId="77777777" w:rsidR="00643383" w:rsidRDefault="00643383" w:rsidP="00643383">
      <w:pPr>
        <w:numPr>
          <w:ilvl w:val="0"/>
          <w:numId w:val="1"/>
        </w:numPr>
        <w:suppressLineNumbers/>
        <w:autoSpaceDE w:val="0"/>
        <w:autoSpaceDN w:val="0"/>
        <w:adjustRightInd w:val="0"/>
        <w:spacing w:before="100" w:beforeAutospacing="1" w:after="100" w:afterAutospacing="1" w:line="360" w:lineRule="auto"/>
        <w:contextualSpacing/>
        <w:jc w:val="both"/>
        <w:rPr>
          <w:rFonts w:ascii="Calibri" w:hAnsi="Calibri"/>
          <w:b/>
          <w:bCs/>
          <w:u w:val="single"/>
        </w:rPr>
      </w:pPr>
      <w:r>
        <w:rPr>
          <w:rFonts w:ascii="Calibri" w:hAnsi="Calibri" w:hint="cs"/>
          <w:rtl/>
        </w:rPr>
        <w:t>שירות המבחן התרשם כי הנאשם בעל עמדות נורמטיביות, בעל יציבות תעסוקתית, מגלה אחריות בתפקידיו השונים וכאיש משפחה. ההליך המשפטי היה מרתיע ומציב גבול, שירות המבחן התרשם כי של"צ יהווה עונש שיקומי אשר יקטין הסיכון להישנות העבירות. לפיכך המליץ שירות המבחן על ענישה בדמות של"צ.</w:t>
      </w:r>
    </w:p>
    <w:p w14:paraId="0285CE36" w14:textId="77777777" w:rsidR="00643383" w:rsidRDefault="00643383" w:rsidP="00643383">
      <w:pPr>
        <w:suppressLineNumbers/>
        <w:autoSpaceDE w:val="0"/>
        <w:autoSpaceDN w:val="0"/>
        <w:adjustRightInd w:val="0"/>
        <w:spacing w:before="100" w:beforeAutospacing="1" w:after="100" w:afterAutospacing="1"/>
        <w:ind w:left="360"/>
        <w:contextualSpacing/>
        <w:jc w:val="both"/>
        <w:rPr>
          <w:rFonts w:ascii="Calibri" w:hAnsi="Calibri"/>
          <w:b/>
          <w:bCs/>
          <w:u w:val="single"/>
        </w:rPr>
      </w:pPr>
    </w:p>
    <w:p w14:paraId="62448DE9" w14:textId="77777777" w:rsidR="00643383" w:rsidRDefault="00643383" w:rsidP="00643383">
      <w:pPr>
        <w:numPr>
          <w:ilvl w:val="0"/>
          <w:numId w:val="1"/>
        </w:numPr>
        <w:suppressLineNumbers/>
        <w:autoSpaceDE w:val="0"/>
        <w:autoSpaceDN w:val="0"/>
        <w:adjustRightInd w:val="0"/>
        <w:spacing w:before="100" w:beforeAutospacing="1" w:after="100" w:afterAutospacing="1" w:line="360" w:lineRule="auto"/>
        <w:contextualSpacing/>
        <w:jc w:val="both"/>
        <w:rPr>
          <w:rFonts w:ascii="Calibri" w:hAnsi="Calibri"/>
          <w:b/>
          <w:bCs/>
          <w:u w:val="single"/>
        </w:rPr>
      </w:pPr>
      <w:r>
        <w:rPr>
          <w:rFonts w:ascii="Arial" w:hAnsi="Arial" w:hint="cs"/>
          <w:rtl/>
          <w:lang w:eastAsia="he-IL"/>
        </w:rPr>
        <w:t xml:space="preserve">לאור הערכת שירות המבחן ולאור התרשמותי  כי הנאשם השתקם, ומשיקולים של צדק, בשים לב למצבו הרפואי, מצאתי הצדקה לסטות לקולה ממתחם העונש ההולם, ולהימנע מהטלת רכיב מאסר, אשר לאור מצבו הרפואי של הנאשם היה עליו לרצותו מאחורי סורג ובריח. עם זאת, לא מצאתי לאמץ את המלצת שירות המבחן ולהסתפק ב- 80 שעות של"צ בלבד. יש ליתן ביטוי לחומרת העבירה על ידי איזון תמהיל הענישה בצו של"צ בהיקף משמעותי. </w:t>
      </w:r>
    </w:p>
    <w:p w14:paraId="7B0513FE" w14:textId="77777777" w:rsidR="00643383" w:rsidRDefault="00643383" w:rsidP="00643383">
      <w:pPr>
        <w:suppressLineNumbers/>
        <w:autoSpaceDE w:val="0"/>
        <w:autoSpaceDN w:val="0"/>
        <w:adjustRightInd w:val="0"/>
        <w:spacing w:before="100" w:beforeAutospacing="1" w:after="100" w:afterAutospacing="1"/>
        <w:ind w:left="360"/>
        <w:contextualSpacing/>
        <w:jc w:val="both"/>
        <w:rPr>
          <w:rFonts w:ascii="Calibri" w:hAnsi="Calibri"/>
          <w:b/>
          <w:bCs/>
          <w:u w:val="single"/>
        </w:rPr>
      </w:pPr>
    </w:p>
    <w:p w14:paraId="0CDD01E5" w14:textId="77777777" w:rsidR="00643383" w:rsidRDefault="00643383" w:rsidP="00643383">
      <w:pPr>
        <w:numPr>
          <w:ilvl w:val="0"/>
          <w:numId w:val="1"/>
        </w:numPr>
        <w:suppressLineNumbers/>
        <w:autoSpaceDE w:val="0"/>
        <w:autoSpaceDN w:val="0"/>
        <w:adjustRightInd w:val="0"/>
        <w:spacing w:before="100" w:beforeAutospacing="1" w:after="100" w:afterAutospacing="1" w:line="360" w:lineRule="auto"/>
        <w:contextualSpacing/>
        <w:jc w:val="both"/>
        <w:rPr>
          <w:rFonts w:ascii="Calibri" w:hAnsi="Calibri"/>
          <w:b/>
          <w:bCs/>
          <w:u w:val="single"/>
        </w:rPr>
      </w:pPr>
      <w:r>
        <w:rPr>
          <w:rFonts w:ascii="Arial" w:hAnsi="Arial" w:hint="cs"/>
          <w:rtl/>
          <w:lang w:eastAsia="he-IL"/>
        </w:rPr>
        <w:t xml:space="preserve">בשים לב למהות העבירה ועל רקע עברו התעבורתי המכביד עד מאוד (116 הרשעות), מצאתי הצדקה להטיל פסילה בפועל, עם זאת, בשים לב שהנאשם מתפרנס מרישיונו אתחשב במידה מסויימת במשך הפסילה. </w:t>
      </w:r>
    </w:p>
    <w:p w14:paraId="159E632B" w14:textId="77777777" w:rsidR="00643383" w:rsidRDefault="00643383" w:rsidP="00643383">
      <w:pPr>
        <w:suppressLineNumbers/>
        <w:autoSpaceDE w:val="0"/>
        <w:autoSpaceDN w:val="0"/>
        <w:adjustRightInd w:val="0"/>
        <w:spacing w:before="100" w:beforeAutospacing="1" w:after="100" w:afterAutospacing="1"/>
        <w:contextualSpacing/>
        <w:jc w:val="both"/>
        <w:rPr>
          <w:rFonts w:ascii="David" w:hAnsi="David"/>
          <w:b/>
          <w:bCs/>
          <w:color w:val="000000"/>
          <w:u w:val="single"/>
        </w:rPr>
      </w:pPr>
    </w:p>
    <w:p w14:paraId="784F2C34" w14:textId="77777777" w:rsidR="00643383" w:rsidRDefault="00643383" w:rsidP="00643383">
      <w:pPr>
        <w:suppressLineNumbers/>
        <w:autoSpaceDE w:val="0"/>
        <w:autoSpaceDN w:val="0"/>
        <w:adjustRightInd w:val="0"/>
        <w:spacing w:before="100" w:beforeAutospacing="1" w:after="100" w:afterAutospacing="1"/>
        <w:contextualSpacing/>
        <w:jc w:val="both"/>
        <w:rPr>
          <w:b/>
          <w:bCs/>
          <w:color w:val="000000"/>
          <w:u w:val="single"/>
          <w:rtl/>
        </w:rPr>
      </w:pPr>
    </w:p>
    <w:p w14:paraId="105FC0F4" w14:textId="77777777" w:rsidR="00643383" w:rsidRDefault="00643383" w:rsidP="00643383">
      <w:pPr>
        <w:suppressLineNumbers/>
        <w:autoSpaceDE w:val="0"/>
        <w:autoSpaceDN w:val="0"/>
        <w:adjustRightInd w:val="0"/>
        <w:spacing w:before="100" w:beforeAutospacing="1" w:after="100" w:afterAutospacing="1"/>
        <w:contextualSpacing/>
        <w:jc w:val="both"/>
        <w:rPr>
          <w:rFonts w:ascii="Calibri" w:hAnsi="Calibri"/>
          <w:b/>
          <w:bCs/>
          <w:u w:val="single"/>
          <w:rtl/>
        </w:rPr>
      </w:pPr>
      <w:r>
        <w:rPr>
          <w:rFonts w:hint="cs"/>
          <w:b/>
          <w:bCs/>
          <w:color w:val="000000"/>
          <w:u w:val="single"/>
          <w:rtl/>
        </w:rPr>
        <w:t>עונשו של הנאשם</w:t>
      </w:r>
    </w:p>
    <w:p w14:paraId="447A0012" w14:textId="77777777" w:rsidR="00643383" w:rsidRDefault="00643383" w:rsidP="00643383">
      <w:pPr>
        <w:suppressLineNumbers/>
        <w:autoSpaceDE w:val="0"/>
        <w:autoSpaceDN w:val="0"/>
        <w:adjustRightInd w:val="0"/>
        <w:spacing w:before="100" w:beforeAutospacing="1" w:after="100" w:afterAutospacing="1"/>
        <w:contextualSpacing/>
        <w:jc w:val="both"/>
        <w:rPr>
          <w:rFonts w:ascii="Calibri" w:hAnsi="Calibri"/>
          <w:b/>
          <w:bCs/>
          <w:u w:val="single"/>
          <w:rtl/>
        </w:rPr>
      </w:pPr>
    </w:p>
    <w:p w14:paraId="17618B8F" w14:textId="77777777" w:rsidR="00643383" w:rsidRDefault="00643383" w:rsidP="00643383">
      <w:pPr>
        <w:numPr>
          <w:ilvl w:val="0"/>
          <w:numId w:val="1"/>
        </w:numPr>
        <w:suppressLineNumbers/>
        <w:autoSpaceDE w:val="0"/>
        <w:autoSpaceDN w:val="0"/>
        <w:adjustRightInd w:val="0"/>
        <w:spacing w:before="100" w:beforeAutospacing="1" w:after="100" w:afterAutospacing="1" w:line="360" w:lineRule="auto"/>
        <w:contextualSpacing/>
        <w:jc w:val="both"/>
        <w:rPr>
          <w:rFonts w:ascii="Calibri" w:hAnsi="Calibri"/>
          <w:b/>
          <w:bCs/>
          <w:u w:val="single"/>
        </w:rPr>
      </w:pPr>
      <w:r>
        <w:rPr>
          <w:rFonts w:hint="cs"/>
          <w:color w:val="000000"/>
          <w:rtl/>
        </w:rPr>
        <w:t>אשר על-כן, מצאתי לנכון ולמידתי לגזור על הנאשם את העונשים הבאים:</w:t>
      </w:r>
    </w:p>
    <w:p w14:paraId="14339856" w14:textId="77777777" w:rsidR="00643383" w:rsidRDefault="00643383" w:rsidP="00643383">
      <w:pPr>
        <w:suppressLineNumbers/>
        <w:autoSpaceDE w:val="0"/>
        <w:autoSpaceDN w:val="0"/>
        <w:adjustRightInd w:val="0"/>
        <w:spacing w:before="100" w:beforeAutospacing="1" w:after="100" w:afterAutospacing="1"/>
        <w:ind w:left="360"/>
        <w:contextualSpacing/>
        <w:jc w:val="both"/>
        <w:rPr>
          <w:rFonts w:ascii="Calibri" w:hAnsi="Calibri"/>
          <w:b/>
          <w:bCs/>
          <w:u w:val="single"/>
        </w:rPr>
      </w:pPr>
    </w:p>
    <w:p w14:paraId="1A67D53D" w14:textId="77777777" w:rsidR="00643383" w:rsidRDefault="00643383" w:rsidP="00643383">
      <w:pPr>
        <w:spacing w:before="100" w:beforeAutospacing="1" w:after="100" w:afterAutospacing="1" w:line="300" w:lineRule="exact"/>
        <w:ind w:left="720" w:hanging="360"/>
        <w:jc w:val="both"/>
        <w:rPr>
          <w:rtl/>
        </w:rPr>
      </w:pPr>
      <w:r>
        <w:rPr>
          <w:rFonts w:hint="cs"/>
          <w:rtl/>
        </w:rPr>
        <w:t>א.</w:t>
      </w:r>
      <w:r>
        <w:rPr>
          <w:rFonts w:hint="cs"/>
          <w:rtl/>
        </w:rPr>
        <w:tab/>
        <w:t xml:space="preserve">4 חודשי מאסר על תנאי, לבל יעבור הנאשם במשך 3 שנים מהיום כל עבירה לפי </w:t>
      </w:r>
      <w:hyperlink r:id="rId39" w:history="1">
        <w:r w:rsidR="007E011D" w:rsidRPr="007E011D">
          <w:rPr>
            <w:rStyle w:val="Hyperlink"/>
            <w:rFonts w:cs="David" w:hint="eastAsia"/>
            <w:rtl/>
          </w:rPr>
          <w:t>חוק</w:t>
        </w:r>
        <w:r w:rsidR="007E011D" w:rsidRPr="007E011D">
          <w:rPr>
            <w:rStyle w:val="Hyperlink"/>
            <w:rFonts w:cs="David"/>
            <w:rtl/>
          </w:rPr>
          <w:t xml:space="preserve"> הכניסה לישראל</w:t>
        </w:r>
      </w:hyperlink>
      <w:r>
        <w:rPr>
          <w:rFonts w:hint="cs"/>
          <w:rtl/>
        </w:rPr>
        <w:t>.</w:t>
      </w:r>
    </w:p>
    <w:p w14:paraId="1C6C4F44" w14:textId="77777777" w:rsidR="00643383" w:rsidRDefault="00643383" w:rsidP="00643383">
      <w:pPr>
        <w:spacing w:before="100" w:beforeAutospacing="1" w:after="100" w:afterAutospacing="1" w:line="300" w:lineRule="exact"/>
        <w:ind w:left="720" w:hanging="360"/>
        <w:jc w:val="both"/>
        <w:rPr>
          <w:rtl/>
          <w:lang w:eastAsia="he-IL"/>
        </w:rPr>
      </w:pPr>
      <w:r>
        <w:rPr>
          <w:rFonts w:hint="cs"/>
          <w:rtl/>
        </w:rPr>
        <w:t>ב.</w:t>
      </w:r>
      <w:r>
        <w:rPr>
          <w:rFonts w:hint="cs"/>
          <w:rtl/>
        </w:rPr>
        <w:tab/>
        <w:t>קנס כספי בסך של 2500 ש"ח או 25 ימי מאסר תמורתו. הקנס ישולם ב- 10  תשלומים חודשיים שווים</w:t>
      </w:r>
      <w:r>
        <w:rPr>
          <w:rFonts w:hint="cs"/>
          <w:rtl/>
          <w:lang w:eastAsia="he-IL"/>
        </w:rPr>
        <w:t xml:space="preserve"> ורצופים, שהראשון שבהם לא יאוחר מיום 1.5.18. לא ישולם תשלום כלשהו במועדו, תעמוד היתרה לפירעון מיידי. </w:t>
      </w:r>
    </w:p>
    <w:p w14:paraId="0229AFD6" w14:textId="77777777" w:rsidR="00643383" w:rsidRDefault="00643383" w:rsidP="00643383">
      <w:pPr>
        <w:ind w:left="567" w:hanging="207"/>
        <w:jc w:val="both"/>
        <w:rPr>
          <w:rFonts w:ascii="David" w:eastAsia="David" w:hAnsi="David"/>
          <w:sz w:val="22"/>
          <w:rtl/>
        </w:rPr>
      </w:pPr>
      <w:r>
        <w:rPr>
          <w:rFonts w:hint="cs"/>
          <w:rtl/>
          <w:lang w:eastAsia="he-IL"/>
        </w:rPr>
        <w:t>ג.</w:t>
      </w:r>
      <w:r>
        <w:rPr>
          <w:rFonts w:hint="cs"/>
          <w:rtl/>
        </w:rPr>
        <w:tab/>
      </w:r>
      <w:r>
        <w:rPr>
          <w:rFonts w:hint="cs"/>
          <w:sz w:val="22"/>
          <w:rtl/>
        </w:rPr>
        <w:t xml:space="preserve">הנאשם יחתום על התחייבות כספית בסך 10,000 ₪ להימנע מביצוע עבירה בה הורשע והכל תוך שנתיים מהיום. </w:t>
      </w:r>
    </w:p>
    <w:p w14:paraId="144B46D6" w14:textId="77777777" w:rsidR="00643383" w:rsidRDefault="00643383" w:rsidP="00643383">
      <w:pPr>
        <w:ind w:left="567"/>
        <w:jc w:val="both"/>
        <w:rPr>
          <w:sz w:val="22"/>
          <w:rtl/>
        </w:rPr>
      </w:pPr>
      <w:r>
        <w:rPr>
          <w:rFonts w:hint="cs"/>
          <w:sz w:val="22"/>
          <w:rtl/>
        </w:rPr>
        <w:t>ההתחייבות תחתם במזכירות בית משפט עוד היום. לא יחתום הנאשם כאמור, יאסר למשך 15 יום.</w:t>
      </w:r>
    </w:p>
    <w:p w14:paraId="26E94C06" w14:textId="77777777" w:rsidR="00643383" w:rsidRDefault="00643383" w:rsidP="00643383">
      <w:pPr>
        <w:jc w:val="both"/>
        <w:rPr>
          <w:szCs w:val="26"/>
          <w:rtl/>
        </w:rPr>
      </w:pPr>
    </w:p>
    <w:p w14:paraId="5F164936" w14:textId="77777777" w:rsidR="00643383" w:rsidRDefault="00643383" w:rsidP="00643383">
      <w:pPr>
        <w:pStyle w:val="1"/>
        <w:spacing w:line="360" w:lineRule="auto"/>
        <w:ind w:hanging="285"/>
      </w:pPr>
      <w:r>
        <w:rPr>
          <w:rFonts w:hint="cs"/>
          <w:rtl/>
        </w:rPr>
        <w:t>ד.</w:t>
      </w:r>
      <w:r>
        <w:rPr>
          <w:rFonts w:hint="cs"/>
          <w:rtl/>
        </w:rPr>
        <w:tab/>
      </w:r>
      <w:bookmarkStart w:id="7" w:name="סוג_מסמך"/>
      <w:r>
        <w:rPr>
          <w:rFonts w:hint="cs"/>
          <w:rtl/>
        </w:rPr>
        <w:t>פסילה בפועל מקבל או מהחזיק רשיון נהיגה לתקופה של 4 חודשים.</w:t>
      </w:r>
    </w:p>
    <w:p w14:paraId="75037DF2" w14:textId="77777777" w:rsidR="00643383" w:rsidRDefault="00643383" w:rsidP="00643383">
      <w:pPr>
        <w:pStyle w:val="1"/>
        <w:spacing w:line="360" w:lineRule="auto"/>
        <w:rPr>
          <w:rtl/>
        </w:rPr>
      </w:pPr>
    </w:p>
    <w:p w14:paraId="2203AB3F" w14:textId="77777777" w:rsidR="00643383" w:rsidRDefault="00643383" w:rsidP="00643383">
      <w:pPr>
        <w:pStyle w:val="1"/>
        <w:spacing w:line="360" w:lineRule="auto"/>
        <w:rPr>
          <w:rtl/>
        </w:rPr>
      </w:pPr>
      <w:r>
        <w:rPr>
          <w:rFonts w:hint="cs"/>
          <w:rtl/>
        </w:rPr>
        <w:t xml:space="preserve">           הפסילה בפועל תחל לא יאוחר מיום    1.6.18, ועל הנאשם להפקיד רשיון הנהיגה במזכירות בית המשפט השלום בקרית גת לא יאוחר משעה 13:00 באותו מועד.</w:t>
      </w:r>
    </w:p>
    <w:p w14:paraId="01CD4CF5" w14:textId="77777777" w:rsidR="00643383" w:rsidRDefault="00643383" w:rsidP="00643383">
      <w:pPr>
        <w:pStyle w:val="1"/>
        <w:spacing w:line="360" w:lineRule="auto"/>
        <w:rPr>
          <w:rtl/>
        </w:rPr>
      </w:pPr>
      <w:r>
        <w:rPr>
          <w:rFonts w:hint="cs"/>
          <w:rtl/>
        </w:rPr>
        <w:tab/>
      </w:r>
    </w:p>
    <w:p w14:paraId="3C0E07E7" w14:textId="77777777" w:rsidR="00643383" w:rsidRDefault="00643383" w:rsidP="00643383">
      <w:pPr>
        <w:pStyle w:val="1"/>
        <w:spacing w:line="360" w:lineRule="auto"/>
        <w:rPr>
          <w:rtl/>
        </w:rPr>
      </w:pPr>
      <w:r>
        <w:rPr>
          <w:rFonts w:hint="cs"/>
          <w:rtl/>
        </w:rPr>
        <w:tab/>
      </w:r>
      <w:r>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מיום 1.6.18 אך הפסילה לא תימנה ולכן לא תסתיים.  </w:t>
      </w:r>
      <w:bookmarkEnd w:id="7"/>
    </w:p>
    <w:p w14:paraId="01520BE8" w14:textId="77777777" w:rsidR="00643383" w:rsidRDefault="00643383" w:rsidP="00643383">
      <w:pPr>
        <w:jc w:val="both"/>
        <w:rPr>
          <w:rtl/>
          <w:lang w:eastAsia="he-IL"/>
        </w:rPr>
      </w:pPr>
    </w:p>
    <w:p w14:paraId="439F6560" w14:textId="77777777" w:rsidR="00643383" w:rsidRDefault="00643383" w:rsidP="00643383">
      <w:pPr>
        <w:ind w:left="720" w:hanging="360"/>
        <w:jc w:val="both"/>
        <w:rPr>
          <w:rFonts w:ascii="David" w:eastAsia="David" w:hAnsi="David"/>
          <w:sz w:val="22"/>
          <w:rtl/>
        </w:rPr>
      </w:pPr>
      <w:r>
        <w:rPr>
          <w:rFonts w:hint="cs"/>
          <w:rtl/>
          <w:lang w:eastAsia="he-IL"/>
        </w:rPr>
        <w:t>ה.</w:t>
      </w:r>
      <w:r>
        <w:rPr>
          <w:rFonts w:hint="cs"/>
          <w:rtl/>
          <w:lang w:eastAsia="he-IL"/>
        </w:rPr>
        <w:tab/>
      </w:r>
      <w:r>
        <w:rPr>
          <w:rFonts w:hint="cs"/>
          <w:sz w:val="22"/>
          <w:rtl/>
        </w:rPr>
        <w:t>פסילה מלהחזיק ומלקבל רישיון נהיגה לתקופה של 6 חודשים וזאת על תנאי למשך 3 שנים שהנאשם לא יעבור עבירה בניגוד ל</w:t>
      </w:r>
      <w:hyperlink r:id="rId40" w:history="1">
        <w:r w:rsidR="007E011D" w:rsidRPr="007E011D">
          <w:rPr>
            <w:rStyle w:val="Hyperlink"/>
            <w:rFonts w:cs="David" w:hint="eastAsia"/>
            <w:sz w:val="22"/>
            <w:rtl/>
          </w:rPr>
          <w:t>פקודת</w:t>
        </w:r>
        <w:r w:rsidR="007E011D" w:rsidRPr="007E011D">
          <w:rPr>
            <w:rStyle w:val="Hyperlink"/>
            <w:rFonts w:cs="David"/>
            <w:sz w:val="22"/>
            <w:rtl/>
          </w:rPr>
          <w:t xml:space="preserve"> הסמים המסוכנים</w:t>
        </w:r>
      </w:hyperlink>
      <w:r>
        <w:rPr>
          <w:rFonts w:hint="cs"/>
          <w:sz w:val="22"/>
          <w:rtl/>
        </w:rPr>
        <w:t xml:space="preserve"> [נוסח חדש] התשל"ג 1973,  בניגוד ל</w:t>
      </w:r>
      <w:hyperlink r:id="rId41" w:history="1">
        <w:r w:rsidR="007E011D" w:rsidRPr="007E011D">
          <w:rPr>
            <w:rStyle w:val="Hyperlink"/>
            <w:rFonts w:cs="David" w:hint="eastAsia"/>
            <w:sz w:val="22"/>
            <w:rtl/>
          </w:rPr>
          <w:t>חוק</w:t>
        </w:r>
        <w:r w:rsidR="007E011D" w:rsidRPr="007E011D">
          <w:rPr>
            <w:rStyle w:val="Hyperlink"/>
            <w:rFonts w:cs="David"/>
            <w:sz w:val="22"/>
            <w:rtl/>
          </w:rPr>
          <w:t xml:space="preserve"> הכניסה לישראל</w:t>
        </w:r>
      </w:hyperlink>
      <w:r>
        <w:rPr>
          <w:rFonts w:hint="cs"/>
          <w:sz w:val="22"/>
          <w:rtl/>
        </w:rPr>
        <w:t>, התשי"ב 1952.</w:t>
      </w:r>
    </w:p>
    <w:p w14:paraId="5500E027" w14:textId="77777777" w:rsidR="00643383" w:rsidRDefault="00643383" w:rsidP="00643383">
      <w:pPr>
        <w:spacing w:before="100" w:beforeAutospacing="1" w:after="100" w:afterAutospacing="1" w:line="300" w:lineRule="exact"/>
        <w:ind w:left="720" w:hanging="360"/>
        <w:jc w:val="both"/>
        <w:rPr>
          <w:sz w:val="22"/>
        </w:rPr>
      </w:pPr>
      <w:r>
        <w:rPr>
          <w:rFonts w:hint="cs"/>
          <w:sz w:val="22"/>
          <w:szCs w:val="22"/>
          <w:rtl/>
          <w:lang w:eastAsia="he-IL"/>
        </w:rPr>
        <w:t>ו.</w:t>
      </w:r>
      <w:r>
        <w:rPr>
          <w:rFonts w:hint="cs"/>
          <w:sz w:val="22"/>
          <w:szCs w:val="22"/>
          <w:rtl/>
          <w:lang w:eastAsia="he-IL"/>
        </w:rPr>
        <w:tab/>
      </w:r>
      <w:r>
        <w:rPr>
          <w:rFonts w:hint="cs"/>
          <w:sz w:val="22"/>
          <w:rtl/>
        </w:rPr>
        <w:t>הנני מטילה על הנאשם צו לביצוע  250    שעות שירות  לתועלת הציבור וזאת במשך שנה.</w:t>
      </w:r>
    </w:p>
    <w:p w14:paraId="1DA41A07" w14:textId="77777777" w:rsidR="00643383" w:rsidRDefault="00643383" w:rsidP="00643383">
      <w:pPr>
        <w:ind w:left="720"/>
        <w:jc w:val="both"/>
        <w:rPr>
          <w:sz w:val="22"/>
          <w:rtl/>
        </w:rPr>
      </w:pPr>
      <w:r>
        <w:rPr>
          <w:rFonts w:hint="cs"/>
          <w:sz w:val="22"/>
          <w:rtl/>
        </w:rPr>
        <w:t>השל"צ יבוצע  במפעל אור לעיוור בקרית גת בתפקיד עובד כללי בהתאם לתכנית שגובשה על ידי שירות המבחן ובפיקוח שרות המבחן.</w:t>
      </w:r>
    </w:p>
    <w:p w14:paraId="3B873A90" w14:textId="77777777" w:rsidR="00643383" w:rsidRDefault="00643383" w:rsidP="00643383">
      <w:pPr>
        <w:ind w:left="720"/>
        <w:jc w:val="both"/>
        <w:rPr>
          <w:sz w:val="22"/>
          <w:rtl/>
        </w:rPr>
      </w:pPr>
      <w:r>
        <w:rPr>
          <w:rFonts w:hint="cs"/>
          <w:sz w:val="22"/>
          <w:rtl/>
        </w:rPr>
        <w:t>אם יתעורר צורך בשינוי מקום ההשמה, שרות המבחן יעשה כן וידווח לבית המשפט.</w:t>
      </w:r>
    </w:p>
    <w:p w14:paraId="4DDE6CBF" w14:textId="77777777" w:rsidR="00643383" w:rsidRDefault="00643383" w:rsidP="00643383">
      <w:pPr>
        <w:ind w:left="720"/>
        <w:jc w:val="both"/>
        <w:rPr>
          <w:sz w:val="22"/>
          <w:rtl/>
        </w:rPr>
      </w:pPr>
      <w:r>
        <w:rPr>
          <w:rFonts w:hint="cs"/>
          <w:sz w:val="22"/>
          <w:rtl/>
        </w:rPr>
        <w:t xml:space="preserve">הנאשם מוזהר כי אם לא ימולאו תנאי הצו במלואם, ניתן יהיה לבטלו ולהטיל עליו עונש נוסף, בגין העבירות בהן הורשע, במקום צו השל"צ. </w:t>
      </w:r>
    </w:p>
    <w:p w14:paraId="68FEAB55" w14:textId="77777777" w:rsidR="00643383" w:rsidRDefault="00643383" w:rsidP="00643383">
      <w:pPr>
        <w:jc w:val="both"/>
        <w:rPr>
          <w:szCs w:val="20"/>
        </w:rPr>
      </w:pPr>
    </w:p>
    <w:p w14:paraId="0CFFD4D1" w14:textId="77777777" w:rsidR="00643383" w:rsidRDefault="007E011D" w:rsidP="00643383">
      <w:pPr>
        <w:jc w:val="both"/>
        <w:rPr>
          <w:sz w:val="22"/>
          <w:rtl/>
        </w:rPr>
      </w:pPr>
      <w:r w:rsidRPr="007E011D">
        <w:rPr>
          <w:color w:val="FFFFFF"/>
          <w:sz w:val="2"/>
          <w:szCs w:val="2"/>
          <w:rtl/>
        </w:rPr>
        <w:t>5129371</w:t>
      </w:r>
      <w:r w:rsidR="00643383">
        <w:rPr>
          <w:rFonts w:hint="cs"/>
          <w:sz w:val="22"/>
          <w:rtl/>
        </w:rPr>
        <w:t>ככל שיש מוצגים יושמדו בכפוף לחלוף תקופת הערעור.</w:t>
      </w:r>
    </w:p>
    <w:p w14:paraId="4D940FD8" w14:textId="77777777" w:rsidR="00643383" w:rsidRDefault="007E011D" w:rsidP="00643383">
      <w:pPr>
        <w:jc w:val="both"/>
        <w:rPr>
          <w:sz w:val="22"/>
          <w:rtl/>
        </w:rPr>
      </w:pPr>
      <w:r w:rsidRPr="007E011D">
        <w:rPr>
          <w:color w:val="FFFFFF"/>
          <w:sz w:val="2"/>
          <w:szCs w:val="2"/>
          <w:rtl/>
        </w:rPr>
        <w:t>54678313</w:t>
      </w:r>
      <w:r w:rsidR="00643383">
        <w:rPr>
          <w:rFonts w:hint="cs"/>
          <w:sz w:val="22"/>
          <w:rtl/>
        </w:rPr>
        <w:t>זכות ערעור כחוק.</w:t>
      </w:r>
    </w:p>
    <w:p w14:paraId="4430BAF8" w14:textId="77777777" w:rsidR="00643383" w:rsidRDefault="00643383" w:rsidP="00643383">
      <w:pPr>
        <w:jc w:val="both"/>
        <w:rPr>
          <w:sz w:val="6"/>
          <w:szCs w:val="6"/>
          <w:rtl/>
        </w:rPr>
      </w:pPr>
      <w:r>
        <w:rPr>
          <w:rFonts w:hint="cs"/>
          <w:sz w:val="6"/>
          <w:szCs w:val="6"/>
          <w:rtl/>
        </w:rPr>
        <w:t>&lt;#3#&gt;</w:t>
      </w:r>
    </w:p>
    <w:p w14:paraId="1C818C58" w14:textId="77777777" w:rsidR="00643383" w:rsidRDefault="007E011D" w:rsidP="00643383">
      <w:pPr>
        <w:jc w:val="center"/>
      </w:pPr>
      <w:r>
        <w:rPr>
          <w:b/>
          <w:bCs/>
          <w:rtl/>
        </w:rPr>
        <w:t xml:space="preserve">ניתנה והודעה היום י"ז אדר תשע"ח, 04/03/2018 במעמד הנוכחים. </w:t>
      </w:r>
      <w:r w:rsidR="00643383">
        <w:rPr>
          <w:rFonts w:hint="cs"/>
          <w:rtl/>
        </w:rPr>
        <w:t xml:space="preserve">   </w:t>
      </w:r>
      <w:r w:rsidR="00643383">
        <w:rPr>
          <w:rFonts w:hint="cs"/>
          <w:rtl/>
        </w:rPr>
        <w:tab/>
      </w:r>
      <w:r w:rsidR="00643383">
        <w:rPr>
          <w:rFonts w:hint="cs"/>
          <w:rtl/>
        </w:rPr>
        <w:tab/>
      </w:r>
      <w:r w:rsidR="00643383">
        <w:rPr>
          <w:rFonts w:hint="cs"/>
          <w:rtl/>
        </w:rPr>
        <w:tab/>
      </w:r>
      <w:r w:rsidR="00643383">
        <w:rPr>
          <w:rFonts w:hint="cs"/>
          <w:rtl/>
        </w:rPr>
        <w:tab/>
      </w:r>
      <w:r w:rsidR="00643383">
        <w:rPr>
          <w:rFonts w:hint="cs"/>
          <w:rtl/>
        </w:rPr>
        <w:tab/>
      </w:r>
      <w:r w:rsidR="00643383">
        <w:rPr>
          <w:rtl/>
        </w:rPr>
        <w:t xml:space="preserve">     </w:t>
      </w:r>
    </w:p>
    <w:p w14:paraId="30F1D40D" w14:textId="77777777" w:rsidR="00643383" w:rsidRDefault="00643383" w:rsidP="00643383">
      <w:pPr>
        <w:jc w:val="center"/>
        <w:rPr>
          <w:rFonts w:ascii="Arial" w:hAnsi="Arial" w:cs="FrankRuehl"/>
          <w:sz w:val="28"/>
          <w:szCs w:val="28"/>
          <w:rtl/>
        </w:rPr>
      </w:pPr>
    </w:p>
    <w:p w14:paraId="4860C685" w14:textId="77777777" w:rsidR="00643383" w:rsidRDefault="00643383" w:rsidP="00643383">
      <w:pPr>
        <w:rPr>
          <w:rFonts w:cs="FrankRuehl"/>
          <w:sz w:val="28"/>
          <w:szCs w:val="28"/>
          <w:rtl/>
        </w:rPr>
      </w:pPr>
    </w:p>
    <w:p w14:paraId="43ACC750" w14:textId="77777777" w:rsidR="001C7DC4" w:rsidRPr="007E011D" w:rsidRDefault="001C7DC4" w:rsidP="007E011D">
      <w:pPr>
        <w:keepNext/>
        <w:rPr>
          <w:rFonts w:ascii="David" w:hAnsi="David"/>
          <w:color w:val="000000"/>
          <w:sz w:val="22"/>
          <w:szCs w:val="22"/>
          <w:rtl/>
        </w:rPr>
      </w:pPr>
    </w:p>
    <w:p w14:paraId="56673096" w14:textId="77777777" w:rsidR="007E011D" w:rsidRPr="007E011D" w:rsidRDefault="007E011D" w:rsidP="007E011D">
      <w:pPr>
        <w:keepNext/>
        <w:rPr>
          <w:rFonts w:ascii="David" w:hAnsi="David"/>
          <w:color w:val="000000"/>
          <w:sz w:val="22"/>
          <w:szCs w:val="22"/>
          <w:rtl/>
        </w:rPr>
      </w:pPr>
      <w:r w:rsidRPr="007E011D">
        <w:rPr>
          <w:rFonts w:ascii="David" w:hAnsi="David"/>
          <w:color w:val="000000"/>
          <w:sz w:val="22"/>
          <w:szCs w:val="22"/>
          <w:rtl/>
        </w:rPr>
        <w:t>נועה חקלאי 54678313</w:t>
      </w:r>
    </w:p>
    <w:p w14:paraId="4FBFD33E" w14:textId="77777777" w:rsidR="007E011D" w:rsidRDefault="007E011D" w:rsidP="007E011D">
      <w:r w:rsidRPr="007E011D">
        <w:rPr>
          <w:color w:val="000000"/>
          <w:rtl/>
        </w:rPr>
        <w:t>נוסח מסמך זה כפוף לשינויי ניסוח ועריכה</w:t>
      </w:r>
    </w:p>
    <w:p w14:paraId="0D17C8D1" w14:textId="77777777" w:rsidR="007E011D" w:rsidRDefault="007E011D" w:rsidP="007E011D">
      <w:pPr>
        <w:rPr>
          <w:rtl/>
        </w:rPr>
      </w:pPr>
    </w:p>
    <w:p w14:paraId="647FC4DA" w14:textId="77777777" w:rsidR="007E011D" w:rsidRDefault="007E011D" w:rsidP="007E011D">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r w:rsidR="004A4D18">
        <w:rPr>
          <w:rFonts w:hint="cs"/>
          <w:color w:val="0000FF"/>
          <w:u w:val="single"/>
          <w:rtl/>
        </w:rPr>
        <w:t xml:space="preserve"> </w:t>
      </w:r>
    </w:p>
    <w:p w14:paraId="14AFD19D" w14:textId="77777777" w:rsidR="007E011D" w:rsidRPr="007E011D" w:rsidRDefault="007E011D" w:rsidP="007E011D">
      <w:pPr>
        <w:jc w:val="center"/>
        <w:rPr>
          <w:color w:val="0000FF"/>
          <w:u w:val="single"/>
        </w:rPr>
      </w:pPr>
    </w:p>
    <w:sectPr w:rsidR="007E011D" w:rsidRPr="007E011D" w:rsidSect="007E011D">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69CC9" w14:textId="77777777" w:rsidR="00234D32" w:rsidRDefault="00234D32" w:rsidP="00CB275E">
      <w:r>
        <w:separator/>
      </w:r>
    </w:p>
  </w:endnote>
  <w:endnote w:type="continuationSeparator" w:id="0">
    <w:p w14:paraId="56D528C5" w14:textId="77777777" w:rsidR="00234D32" w:rsidRDefault="00234D32" w:rsidP="00CB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65813" w14:textId="77777777" w:rsidR="007E011D" w:rsidRDefault="007E011D" w:rsidP="007E01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1D983C" w14:textId="77777777" w:rsidR="00AB67EC" w:rsidRPr="007E011D" w:rsidRDefault="007E011D" w:rsidP="007E01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FB70E" w14:textId="77777777" w:rsidR="007E011D" w:rsidRDefault="007E011D" w:rsidP="007E01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4942">
      <w:rPr>
        <w:rFonts w:ascii="FrankRuehl" w:hAnsi="FrankRuehl" w:cs="FrankRuehl"/>
        <w:noProof/>
        <w:rtl/>
      </w:rPr>
      <w:t>2</w:t>
    </w:r>
    <w:r>
      <w:rPr>
        <w:rFonts w:ascii="FrankRuehl" w:hAnsi="FrankRuehl" w:cs="FrankRuehl"/>
        <w:rtl/>
      </w:rPr>
      <w:fldChar w:fldCharType="end"/>
    </w:r>
  </w:p>
  <w:p w14:paraId="561E9F60" w14:textId="77777777" w:rsidR="00AB67EC" w:rsidRPr="007E011D" w:rsidRDefault="007E011D" w:rsidP="007E01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02B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72614" w14:textId="77777777" w:rsidR="00234D32" w:rsidRDefault="00234D32" w:rsidP="00CB275E">
      <w:r>
        <w:separator/>
      </w:r>
    </w:p>
  </w:footnote>
  <w:footnote w:type="continuationSeparator" w:id="0">
    <w:p w14:paraId="32F0EF14" w14:textId="77777777" w:rsidR="00234D32" w:rsidRDefault="00234D32" w:rsidP="00CB2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BC48B" w14:textId="77777777" w:rsidR="007E011D" w:rsidRPr="007E011D" w:rsidRDefault="007E011D" w:rsidP="007E01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19746-08-16</w:t>
    </w:r>
    <w:r>
      <w:rPr>
        <w:rFonts w:ascii="David" w:hAnsi="David"/>
        <w:color w:val="000000"/>
        <w:sz w:val="22"/>
        <w:szCs w:val="22"/>
        <w:rtl/>
      </w:rPr>
      <w:tab/>
      <w:t xml:space="preserve"> מדינת ישראל נ' איליה גבריאלוב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3389D" w14:textId="77777777" w:rsidR="007E011D" w:rsidRPr="007E011D" w:rsidRDefault="007E011D" w:rsidP="007E01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19746-08-16</w:t>
    </w:r>
    <w:r>
      <w:rPr>
        <w:rFonts w:ascii="David" w:hAnsi="David"/>
        <w:color w:val="000000"/>
        <w:sz w:val="22"/>
        <w:szCs w:val="22"/>
        <w:rtl/>
      </w:rPr>
      <w:tab/>
      <w:t xml:space="preserve"> מדינת ישראל נ' איליה גבריאלוב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174FE"/>
    <w:multiLevelType w:val="hybridMultilevel"/>
    <w:tmpl w:val="2594015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6E3001D2"/>
    <w:multiLevelType w:val="hybridMultilevel"/>
    <w:tmpl w:val="F00C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7A2584B"/>
    <w:multiLevelType w:val="hybridMultilevel"/>
    <w:tmpl w:val="5F663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340357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6231">
    <w:abstractNumId w:val="1"/>
  </w:num>
  <w:num w:numId="3" w16cid:durableId="1777561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3383"/>
    <w:rsid w:val="000573B1"/>
    <w:rsid w:val="001B680B"/>
    <w:rsid w:val="001C7DC4"/>
    <w:rsid w:val="00234D32"/>
    <w:rsid w:val="003B381D"/>
    <w:rsid w:val="004A4D18"/>
    <w:rsid w:val="00584942"/>
    <w:rsid w:val="00643383"/>
    <w:rsid w:val="006B781F"/>
    <w:rsid w:val="007E011D"/>
    <w:rsid w:val="00AB67EC"/>
    <w:rsid w:val="00C52A2C"/>
    <w:rsid w:val="00CB275E"/>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F29EEF7"/>
  <w15:chartTrackingRefBased/>
  <w15:docId w15:val="{B2116985-D604-453D-8E9E-414CE2D3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3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43383"/>
    <w:pPr>
      <w:tabs>
        <w:tab w:val="center" w:pos="4153"/>
        <w:tab w:val="right" w:pos="8306"/>
      </w:tabs>
    </w:pPr>
  </w:style>
  <w:style w:type="character" w:customStyle="1" w:styleId="a4">
    <w:name w:val="כותרת עליונה תו"/>
    <w:link w:val="a3"/>
    <w:rsid w:val="00643383"/>
    <w:rPr>
      <w:rFonts w:ascii="Times New Roman" w:eastAsia="Times New Roman" w:hAnsi="Times New Roman" w:cs="David"/>
      <w:sz w:val="24"/>
      <w:szCs w:val="24"/>
    </w:rPr>
  </w:style>
  <w:style w:type="paragraph" w:styleId="a5">
    <w:name w:val="footer"/>
    <w:basedOn w:val="a"/>
    <w:link w:val="a6"/>
    <w:rsid w:val="00643383"/>
    <w:pPr>
      <w:tabs>
        <w:tab w:val="center" w:pos="4153"/>
        <w:tab w:val="right" w:pos="8306"/>
      </w:tabs>
    </w:pPr>
  </w:style>
  <w:style w:type="character" w:customStyle="1" w:styleId="a6">
    <w:name w:val="כותרת תחתונה תו"/>
    <w:link w:val="a5"/>
    <w:rsid w:val="00643383"/>
    <w:rPr>
      <w:rFonts w:ascii="Times New Roman" w:eastAsia="Times New Roman" w:hAnsi="Times New Roman" w:cs="David"/>
      <w:sz w:val="24"/>
      <w:szCs w:val="24"/>
    </w:rPr>
  </w:style>
  <w:style w:type="table" w:styleId="a7">
    <w:name w:val="Table Grid"/>
    <w:basedOn w:val="a1"/>
    <w:rsid w:val="006433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43383"/>
  </w:style>
  <w:style w:type="character" w:styleId="Hyperlink">
    <w:name w:val="Hyperlink"/>
    <w:rsid w:val="00643383"/>
    <w:rPr>
      <w:rFonts w:ascii="Times New Roman" w:hAnsi="Times New Roman" w:cs="Times New Roman" w:hint="default"/>
      <w:color w:val="0000FF"/>
      <w:u w:val="single"/>
    </w:rPr>
  </w:style>
  <w:style w:type="paragraph" w:customStyle="1" w:styleId="ListParagraph1">
    <w:name w:val="List Paragraph1"/>
    <w:basedOn w:val="a"/>
    <w:qFormat/>
    <w:rsid w:val="00643383"/>
    <w:pPr>
      <w:spacing w:after="200" w:line="276" w:lineRule="auto"/>
      <w:ind w:left="720"/>
      <w:contextualSpacing/>
    </w:pPr>
    <w:rPr>
      <w:rFonts w:ascii="Calibri" w:hAnsi="Calibri" w:cs="Arial"/>
      <w:sz w:val="22"/>
      <w:szCs w:val="22"/>
    </w:rPr>
  </w:style>
  <w:style w:type="paragraph" w:customStyle="1" w:styleId="1">
    <w:name w:val="היסט_1"/>
    <w:basedOn w:val="a"/>
    <w:rsid w:val="00643383"/>
    <w:pPr>
      <w:widowControl w:val="0"/>
      <w:tabs>
        <w:tab w:val="left" w:pos="567"/>
      </w:tabs>
      <w:ind w:left="567" w:hanging="567"/>
      <w:jc w:val="both"/>
    </w:pPr>
    <w:rPr>
      <w:sz w:val="20"/>
      <w:lang w:eastAsia="he-IL"/>
    </w:rPr>
  </w:style>
  <w:style w:type="character" w:styleId="a9">
    <w:name w:val="Unresolved Mention"/>
    <w:uiPriority w:val="99"/>
    <w:semiHidden/>
    <w:unhideWhenUsed/>
    <w:rsid w:val="004A4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12a.c.1a.b" TargetMode="External"/><Relationship Id="rId18" Type="http://schemas.openxmlformats.org/officeDocument/2006/relationships/hyperlink" Target="http://www.nevo.co.il/law/90721" TargetMode="External"/><Relationship Id="rId26" Type="http://schemas.openxmlformats.org/officeDocument/2006/relationships/hyperlink" Target="http://www.nevo.co.il/case/10475777" TargetMode="External"/><Relationship Id="rId39" Type="http://schemas.openxmlformats.org/officeDocument/2006/relationships/hyperlink" Target="http://www.nevo.co.il/law/90721" TargetMode="External"/><Relationship Id="rId21" Type="http://schemas.openxmlformats.org/officeDocument/2006/relationships/hyperlink" Target="http://www.nevo.co.il/case/5880417" TargetMode="External"/><Relationship Id="rId34" Type="http://schemas.openxmlformats.org/officeDocument/2006/relationships/hyperlink" Target="http://www.nevo.co.il/case/415836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9072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84733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1472454" TargetMode="External"/><Relationship Id="rId32" Type="http://schemas.openxmlformats.org/officeDocument/2006/relationships/hyperlink" Target="https://www.nevo.co.il/psika_html/shalom/SH-11-02-26573-225.htm" TargetMode="External"/><Relationship Id="rId37" Type="http://schemas.openxmlformats.org/officeDocument/2006/relationships/hyperlink" Target="http://www.nevo.co.il/law/70301/40d"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case/21472574" TargetMode="External"/><Relationship Id="rId28" Type="http://schemas.openxmlformats.org/officeDocument/2006/relationships/hyperlink" Target="https://www.nevo.co.il/psika_html/mechozi/ME-15-06-7465-420.htm" TargetMode="External"/><Relationship Id="rId36" Type="http://schemas.openxmlformats.org/officeDocument/2006/relationships/hyperlink" Target="http://www.nevo.co.il/case/2241505"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5908341" TargetMode="External"/><Relationship Id="rId31" Type="http://schemas.openxmlformats.org/officeDocument/2006/relationships/hyperlink" Target="http://www.nevo.co.il/case/1201602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143779" TargetMode="External"/><Relationship Id="rId27" Type="http://schemas.openxmlformats.org/officeDocument/2006/relationships/hyperlink" Target="http://www.nevo.co.il/case/5818687" TargetMode="External"/><Relationship Id="rId30" Type="http://schemas.openxmlformats.org/officeDocument/2006/relationships/hyperlink" Target="http://www.nevo.co.il/case/7982578" TargetMode="External"/><Relationship Id="rId35" Type="http://schemas.openxmlformats.org/officeDocument/2006/relationships/hyperlink" Target="http://www.nevo.co.il/case/567003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90721/12a.c.1a.b" TargetMode="External"/><Relationship Id="rId3" Type="http://schemas.openxmlformats.org/officeDocument/2006/relationships/settings" Target="settings.xml"/><Relationship Id="rId12" Type="http://schemas.openxmlformats.org/officeDocument/2006/relationships/hyperlink" Target="http://www.nevo.co.il/law/90721" TargetMode="External"/><Relationship Id="rId17" Type="http://schemas.openxmlformats.org/officeDocument/2006/relationships/hyperlink" Target="http://www.nevo.co.il/law/90721/12a.c.1a.b" TargetMode="External"/><Relationship Id="rId25" Type="http://schemas.openxmlformats.org/officeDocument/2006/relationships/hyperlink" Target="http://www.nevo.co.il/case/20000926" TargetMode="External"/><Relationship Id="rId33" Type="http://schemas.openxmlformats.org/officeDocument/2006/relationships/hyperlink" Target="https://www.nevo.co.il/psika_html/shalom/SH-15-07-16126-204.htm" TargetMode="External"/><Relationship Id="rId38" Type="http://schemas.openxmlformats.org/officeDocument/2006/relationships/hyperlink" Target="http://www.nevo.co.il/case/6824952" TargetMode="External"/><Relationship Id="rId46" Type="http://schemas.openxmlformats.org/officeDocument/2006/relationships/footer" Target="footer2.xml"/><Relationship Id="rId20" Type="http://schemas.openxmlformats.org/officeDocument/2006/relationships/hyperlink" Target="http://www.nevo.co.il/case/6123143" TargetMode="External"/><Relationship Id="rId41" Type="http://schemas.openxmlformats.org/officeDocument/2006/relationships/hyperlink" Target="http://www.nevo.co.il/law/907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2601</Words>
  <Characters>13009</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15579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7864430</vt:i4>
      </vt:variant>
      <vt:variant>
        <vt:i4>102</vt:i4>
      </vt:variant>
      <vt:variant>
        <vt:i4>0</vt:i4>
      </vt:variant>
      <vt:variant>
        <vt:i4>5</vt:i4>
      </vt:variant>
      <vt:variant>
        <vt:lpwstr>http://www.nevo.co.il/law/90721</vt:lpwstr>
      </vt:variant>
      <vt:variant>
        <vt:lpwstr/>
      </vt:variant>
      <vt:variant>
        <vt:i4>8257637</vt:i4>
      </vt:variant>
      <vt:variant>
        <vt:i4>99</vt:i4>
      </vt:variant>
      <vt:variant>
        <vt:i4>0</vt:i4>
      </vt:variant>
      <vt:variant>
        <vt:i4>5</vt:i4>
      </vt:variant>
      <vt:variant>
        <vt:lpwstr>http://www.nevo.co.il/law/4216</vt:lpwstr>
      </vt:variant>
      <vt:variant>
        <vt:lpwstr/>
      </vt:variant>
      <vt:variant>
        <vt:i4>7864430</vt:i4>
      </vt:variant>
      <vt:variant>
        <vt:i4>96</vt:i4>
      </vt:variant>
      <vt:variant>
        <vt:i4>0</vt:i4>
      </vt:variant>
      <vt:variant>
        <vt:i4>5</vt:i4>
      </vt:variant>
      <vt:variant>
        <vt:lpwstr>http://www.nevo.co.il/law/90721</vt:lpwstr>
      </vt:variant>
      <vt:variant>
        <vt:lpwstr/>
      </vt:variant>
      <vt:variant>
        <vt:i4>4128893</vt:i4>
      </vt:variant>
      <vt:variant>
        <vt:i4>93</vt:i4>
      </vt:variant>
      <vt:variant>
        <vt:i4>0</vt:i4>
      </vt:variant>
      <vt:variant>
        <vt:i4>5</vt:i4>
      </vt:variant>
      <vt:variant>
        <vt:lpwstr>http://www.nevo.co.il/case/6824952</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3539063</vt:i4>
      </vt:variant>
      <vt:variant>
        <vt:i4>87</vt:i4>
      </vt:variant>
      <vt:variant>
        <vt:i4>0</vt:i4>
      </vt:variant>
      <vt:variant>
        <vt:i4>5</vt:i4>
      </vt:variant>
      <vt:variant>
        <vt:lpwstr>http://www.nevo.co.il/case/2241505</vt:lpwstr>
      </vt:variant>
      <vt:variant>
        <vt:lpwstr/>
      </vt:variant>
      <vt:variant>
        <vt:i4>3866737</vt:i4>
      </vt:variant>
      <vt:variant>
        <vt:i4>84</vt:i4>
      </vt:variant>
      <vt:variant>
        <vt:i4>0</vt:i4>
      </vt:variant>
      <vt:variant>
        <vt:i4>5</vt:i4>
      </vt:variant>
      <vt:variant>
        <vt:lpwstr>http://www.nevo.co.il/case/5670039</vt:lpwstr>
      </vt:variant>
      <vt:variant>
        <vt:lpwstr/>
      </vt:variant>
      <vt:variant>
        <vt:i4>3801211</vt:i4>
      </vt:variant>
      <vt:variant>
        <vt:i4>81</vt:i4>
      </vt:variant>
      <vt:variant>
        <vt:i4>0</vt:i4>
      </vt:variant>
      <vt:variant>
        <vt:i4>5</vt:i4>
      </vt:variant>
      <vt:variant>
        <vt:lpwstr>http://www.nevo.co.il/case/4158368</vt:lpwstr>
      </vt:variant>
      <vt:variant>
        <vt:lpwstr/>
      </vt:variant>
      <vt:variant>
        <vt:i4>7143497</vt:i4>
      </vt:variant>
      <vt:variant>
        <vt:i4>78</vt:i4>
      </vt:variant>
      <vt:variant>
        <vt:i4>0</vt:i4>
      </vt:variant>
      <vt:variant>
        <vt:i4>5</vt:i4>
      </vt:variant>
      <vt:variant>
        <vt:lpwstr>https://www.nevo.co.il/psika_html/shalom/SH-15-07-16126-204.htm</vt:lpwstr>
      </vt:variant>
      <vt:variant>
        <vt:lpwstr/>
      </vt:variant>
      <vt:variant>
        <vt:i4>7209039</vt:i4>
      </vt:variant>
      <vt:variant>
        <vt:i4>75</vt:i4>
      </vt:variant>
      <vt:variant>
        <vt:i4>0</vt:i4>
      </vt:variant>
      <vt:variant>
        <vt:i4>5</vt:i4>
      </vt:variant>
      <vt:variant>
        <vt:lpwstr>https://www.nevo.co.il/psika_html/shalom/SH-11-02-26573-225.htm</vt:lpwstr>
      </vt:variant>
      <vt:variant>
        <vt:lpwstr/>
      </vt:variant>
      <vt:variant>
        <vt:i4>3473527</vt:i4>
      </vt:variant>
      <vt:variant>
        <vt:i4>72</vt:i4>
      </vt:variant>
      <vt:variant>
        <vt:i4>0</vt:i4>
      </vt:variant>
      <vt:variant>
        <vt:i4>5</vt:i4>
      </vt:variant>
      <vt:variant>
        <vt:lpwstr>http://www.nevo.co.il/case/12016024</vt:lpwstr>
      </vt:variant>
      <vt:variant>
        <vt:lpwstr/>
      </vt:variant>
      <vt:variant>
        <vt:i4>3276920</vt:i4>
      </vt:variant>
      <vt:variant>
        <vt:i4>69</vt:i4>
      </vt:variant>
      <vt:variant>
        <vt:i4>0</vt:i4>
      </vt:variant>
      <vt:variant>
        <vt:i4>5</vt:i4>
      </vt:variant>
      <vt:variant>
        <vt:lpwstr>http://www.nevo.co.il/case/7982578</vt:lpwstr>
      </vt:variant>
      <vt:variant>
        <vt:lpwstr/>
      </vt:variant>
      <vt:variant>
        <vt:i4>3866747</vt:i4>
      </vt:variant>
      <vt:variant>
        <vt:i4>66</vt:i4>
      </vt:variant>
      <vt:variant>
        <vt:i4>0</vt:i4>
      </vt:variant>
      <vt:variant>
        <vt:i4>5</vt:i4>
      </vt:variant>
      <vt:variant>
        <vt:lpwstr>http://www.nevo.co.il/case/8473387</vt:lpwstr>
      </vt:variant>
      <vt:variant>
        <vt:lpwstr/>
      </vt:variant>
      <vt:variant>
        <vt:i4>6422541</vt:i4>
      </vt:variant>
      <vt:variant>
        <vt:i4>63</vt:i4>
      </vt:variant>
      <vt:variant>
        <vt:i4>0</vt:i4>
      </vt:variant>
      <vt:variant>
        <vt:i4>5</vt:i4>
      </vt:variant>
      <vt:variant>
        <vt:lpwstr>https://www.nevo.co.il/psika_html/mechozi/ME-15-06-7465-420.htm</vt:lpwstr>
      </vt:variant>
      <vt:variant>
        <vt:lpwstr/>
      </vt:variant>
      <vt:variant>
        <vt:i4>3473532</vt:i4>
      </vt:variant>
      <vt:variant>
        <vt:i4>60</vt:i4>
      </vt:variant>
      <vt:variant>
        <vt:i4>0</vt:i4>
      </vt:variant>
      <vt:variant>
        <vt:i4>5</vt:i4>
      </vt:variant>
      <vt:variant>
        <vt:lpwstr>http://www.nevo.co.il/case/5818687</vt:lpwstr>
      </vt:variant>
      <vt:variant>
        <vt:lpwstr/>
      </vt:variant>
      <vt:variant>
        <vt:i4>3604596</vt:i4>
      </vt:variant>
      <vt:variant>
        <vt:i4>57</vt:i4>
      </vt:variant>
      <vt:variant>
        <vt:i4>0</vt:i4>
      </vt:variant>
      <vt:variant>
        <vt:i4>5</vt:i4>
      </vt:variant>
      <vt:variant>
        <vt:lpwstr>http://www.nevo.co.il/case/10475777</vt:lpwstr>
      </vt:variant>
      <vt:variant>
        <vt:lpwstr/>
      </vt:variant>
      <vt:variant>
        <vt:i4>3145853</vt:i4>
      </vt:variant>
      <vt:variant>
        <vt:i4>54</vt:i4>
      </vt:variant>
      <vt:variant>
        <vt:i4>0</vt:i4>
      </vt:variant>
      <vt:variant>
        <vt:i4>5</vt:i4>
      </vt:variant>
      <vt:variant>
        <vt:lpwstr>http://www.nevo.co.il/case/20000926</vt:lpwstr>
      </vt:variant>
      <vt:variant>
        <vt:lpwstr/>
      </vt:variant>
      <vt:variant>
        <vt:i4>3211382</vt:i4>
      </vt:variant>
      <vt:variant>
        <vt:i4>51</vt:i4>
      </vt:variant>
      <vt:variant>
        <vt:i4>0</vt:i4>
      </vt:variant>
      <vt:variant>
        <vt:i4>5</vt:i4>
      </vt:variant>
      <vt:variant>
        <vt:lpwstr>http://www.nevo.co.il/case/21472454</vt:lpwstr>
      </vt:variant>
      <vt:variant>
        <vt:lpwstr/>
      </vt:variant>
      <vt:variant>
        <vt:i4>3342455</vt:i4>
      </vt:variant>
      <vt:variant>
        <vt:i4>48</vt:i4>
      </vt:variant>
      <vt:variant>
        <vt:i4>0</vt:i4>
      </vt:variant>
      <vt:variant>
        <vt:i4>5</vt:i4>
      </vt:variant>
      <vt:variant>
        <vt:lpwstr>http://www.nevo.co.il/case/21472574</vt:lpwstr>
      </vt:variant>
      <vt:variant>
        <vt:lpwstr/>
      </vt:variant>
      <vt:variant>
        <vt:i4>3604597</vt:i4>
      </vt:variant>
      <vt:variant>
        <vt:i4>45</vt:i4>
      </vt:variant>
      <vt:variant>
        <vt:i4>0</vt:i4>
      </vt:variant>
      <vt:variant>
        <vt:i4>5</vt:i4>
      </vt:variant>
      <vt:variant>
        <vt:lpwstr>http://www.nevo.co.il/case/22143779</vt:lpwstr>
      </vt:variant>
      <vt:variant>
        <vt:lpwstr/>
      </vt:variant>
      <vt:variant>
        <vt:i4>4063357</vt:i4>
      </vt:variant>
      <vt:variant>
        <vt:i4>42</vt:i4>
      </vt:variant>
      <vt:variant>
        <vt:i4>0</vt:i4>
      </vt:variant>
      <vt:variant>
        <vt:i4>5</vt:i4>
      </vt:variant>
      <vt:variant>
        <vt:lpwstr>http://www.nevo.co.il/case/5880417</vt:lpwstr>
      </vt:variant>
      <vt:variant>
        <vt:lpwstr/>
      </vt:variant>
      <vt:variant>
        <vt:i4>3539058</vt:i4>
      </vt:variant>
      <vt:variant>
        <vt:i4>39</vt:i4>
      </vt:variant>
      <vt:variant>
        <vt:i4>0</vt:i4>
      </vt:variant>
      <vt:variant>
        <vt:i4>5</vt:i4>
      </vt:variant>
      <vt:variant>
        <vt:lpwstr>http://www.nevo.co.il/case/6123143</vt:lpwstr>
      </vt:variant>
      <vt:variant>
        <vt:lpwstr/>
      </vt:variant>
      <vt:variant>
        <vt:i4>3604593</vt:i4>
      </vt:variant>
      <vt:variant>
        <vt:i4>36</vt:i4>
      </vt:variant>
      <vt:variant>
        <vt:i4>0</vt:i4>
      </vt:variant>
      <vt:variant>
        <vt:i4>5</vt:i4>
      </vt:variant>
      <vt:variant>
        <vt:lpwstr>http://www.nevo.co.il/case/5908341</vt:lpwstr>
      </vt:variant>
      <vt:variant>
        <vt:lpwstr/>
      </vt:variant>
      <vt:variant>
        <vt:i4>7864430</vt:i4>
      </vt:variant>
      <vt:variant>
        <vt:i4>33</vt:i4>
      </vt:variant>
      <vt:variant>
        <vt:i4>0</vt:i4>
      </vt:variant>
      <vt:variant>
        <vt:i4>5</vt:i4>
      </vt:variant>
      <vt:variant>
        <vt:lpwstr>http://www.nevo.co.il/law/90721</vt:lpwstr>
      </vt:variant>
      <vt:variant>
        <vt:lpwstr/>
      </vt:variant>
      <vt:variant>
        <vt:i4>6684787</vt:i4>
      </vt:variant>
      <vt:variant>
        <vt:i4>30</vt:i4>
      </vt:variant>
      <vt:variant>
        <vt:i4>0</vt:i4>
      </vt:variant>
      <vt:variant>
        <vt:i4>5</vt:i4>
      </vt:variant>
      <vt:variant>
        <vt:lpwstr>http://www.nevo.co.il/law/90721/12a.c.1a.b</vt:lpwstr>
      </vt:variant>
      <vt:variant>
        <vt:lpwstr/>
      </vt:variant>
      <vt:variant>
        <vt:i4>8257637</vt:i4>
      </vt:variant>
      <vt:variant>
        <vt:i4>27</vt:i4>
      </vt:variant>
      <vt:variant>
        <vt:i4>0</vt:i4>
      </vt:variant>
      <vt:variant>
        <vt:i4>5</vt:i4>
      </vt:variant>
      <vt:variant>
        <vt:lpwstr>http://www.nevo.co.il/law/4216</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6684787</vt:i4>
      </vt:variant>
      <vt:variant>
        <vt:i4>18</vt:i4>
      </vt:variant>
      <vt:variant>
        <vt:i4>0</vt:i4>
      </vt:variant>
      <vt:variant>
        <vt:i4>5</vt:i4>
      </vt:variant>
      <vt:variant>
        <vt:lpwstr>http://www.nevo.co.il/law/90721/12a.c.1a.b</vt:lpwstr>
      </vt:variant>
      <vt:variant>
        <vt:lpwstr/>
      </vt:variant>
      <vt:variant>
        <vt:i4>7864430</vt:i4>
      </vt:variant>
      <vt:variant>
        <vt:i4>15</vt:i4>
      </vt:variant>
      <vt:variant>
        <vt:i4>0</vt:i4>
      </vt:variant>
      <vt:variant>
        <vt:i4>5</vt:i4>
      </vt:variant>
      <vt:variant>
        <vt:lpwstr>http://www.nevo.co.il/law/90721</vt:lpwstr>
      </vt:variant>
      <vt:variant>
        <vt:lpwstr/>
      </vt:variant>
      <vt:variant>
        <vt:i4>8257637</vt:i4>
      </vt:variant>
      <vt:variant>
        <vt:i4>12</vt:i4>
      </vt:variant>
      <vt:variant>
        <vt:i4>0</vt:i4>
      </vt:variant>
      <vt:variant>
        <vt:i4>5</vt:i4>
      </vt:variant>
      <vt:variant>
        <vt:lpwstr>http://www.nevo.co.il/law/4216</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6684787</vt:i4>
      </vt:variant>
      <vt:variant>
        <vt:i4>3</vt:i4>
      </vt:variant>
      <vt:variant>
        <vt:i4>0</vt:i4>
      </vt:variant>
      <vt:variant>
        <vt:i4>5</vt:i4>
      </vt:variant>
      <vt:variant>
        <vt:lpwstr>http://www.nevo.co.il/law/90721/12a.c.1a.b</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19746</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איליה גבריאלוב</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20180304</vt:lpwstr>
  </property>
  <property fmtid="{D5CDD505-2E9C-101B-9397-08002B2CF9AE}" pid="13" name="TYPE_N_DATE">
    <vt:lpwstr>38020180304</vt:lpwstr>
  </property>
  <property fmtid="{D5CDD505-2E9C-101B-9397-08002B2CF9AE}" pid="14" name="WORDNUMPAGES">
    <vt:lpwstr>7</vt:lpwstr>
  </property>
  <property fmtid="{D5CDD505-2E9C-101B-9397-08002B2CF9AE}" pid="15" name="TYPE_ABS_DATE">
    <vt:lpwstr>380020180304</vt:lpwstr>
  </property>
  <property fmtid="{D5CDD505-2E9C-101B-9397-08002B2CF9AE}" pid="16" name="ISABSTRACT">
    <vt:lpwstr>Y</vt:lpwstr>
  </property>
  <property fmtid="{D5CDD505-2E9C-101B-9397-08002B2CF9AE}" pid="17" name="CASESLISTTMP1">
    <vt:lpwstr>5908341;6123143;5880417;22143779;21472574;21472454;20000926;10475777;5818687;8473387;7982578;12016024;4158368;5670039;2241505;6824952</vt:lpwstr>
  </property>
  <property fmtid="{D5CDD505-2E9C-101B-9397-08002B2CF9AE}" pid="18" name="LAWLISTTMP1">
    <vt:lpwstr>90721/012a.c.1a.b</vt:lpwstr>
  </property>
  <property fmtid="{D5CDD505-2E9C-101B-9397-08002B2CF9AE}" pid="19" name="LAWLISTTMP2">
    <vt:lpwstr>70301/040d</vt:lpwstr>
  </property>
  <property fmtid="{D5CDD505-2E9C-101B-9397-08002B2CF9AE}" pid="20" name="LAWLISTTMP3">
    <vt:lpwstr>4216</vt:lpwstr>
  </property>
</Properties>
</file>