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3146C" w:rsidRPr="00CB617A" w14:paraId="7E181C24" w14:textId="77777777" w:rsidTr="00CB617A">
        <w:trPr>
          <w:trHeight w:hRule="exact" w:val="993"/>
          <w:jc w:val="center"/>
        </w:trPr>
        <w:tc>
          <w:tcPr>
            <w:tcW w:w="8721" w:type="dxa"/>
            <w:gridSpan w:val="2"/>
          </w:tcPr>
          <w:p w14:paraId="6C9A7F72" w14:textId="77777777" w:rsidR="0073146C" w:rsidRPr="00CB617A" w:rsidRDefault="0073146C" w:rsidP="00CB617A">
            <w:pPr>
              <w:pStyle w:val="a3"/>
              <w:jc w:val="center"/>
              <w:rPr>
                <w:rFonts w:ascii="Tahoma" w:hAnsi="Tahoma"/>
                <w:noProof w:val="0"/>
                <w:color w:val="000080"/>
                <w:sz w:val="32"/>
                <w:szCs w:val="32"/>
                <w:rtl/>
              </w:rPr>
            </w:pPr>
            <w:bookmarkStart w:id="0" w:name="LastJudge"/>
            <w:r w:rsidRPr="00CB617A">
              <w:rPr>
                <w:rFonts w:ascii="Tahoma" w:hAnsi="Tahoma"/>
                <w:b/>
                <w:bCs/>
                <w:color w:val="000080"/>
                <w:sz w:val="32"/>
                <w:szCs w:val="32"/>
                <w:rtl/>
              </w:rPr>
              <w:t>בית משפט השלום בתל אביב - יפו</w:t>
            </w:r>
          </w:p>
        </w:tc>
      </w:tr>
      <w:tr w:rsidR="0073146C" w:rsidRPr="00CB617A" w14:paraId="541E0378" w14:textId="77777777" w:rsidTr="00CB617A">
        <w:trPr>
          <w:trHeight w:val="337"/>
          <w:jc w:val="center"/>
        </w:trPr>
        <w:tc>
          <w:tcPr>
            <w:tcW w:w="5047" w:type="dxa"/>
          </w:tcPr>
          <w:p w14:paraId="7DFC8849" w14:textId="77777777" w:rsidR="0073146C" w:rsidRPr="00CB617A" w:rsidRDefault="0073146C" w:rsidP="00CB617A">
            <w:pPr>
              <w:rPr>
                <w:b/>
                <w:bCs/>
                <w:noProof w:val="0"/>
                <w:sz w:val="26"/>
                <w:szCs w:val="26"/>
                <w:rtl/>
              </w:rPr>
            </w:pPr>
          </w:p>
        </w:tc>
        <w:tc>
          <w:tcPr>
            <w:tcW w:w="3674" w:type="dxa"/>
          </w:tcPr>
          <w:p w14:paraId="5C05586C" w14:textId="77777777" w:rsidR="0073146C" w:rsidRPr="00CB617A" w:rsidRDefault="0073146C" w:rsidP="00CB617A">
            <w:pPr>
              <w:pStyle w:val="a3"/>
              <w:jc w:val="right"/>
              <w:rPr>
                <w:b/>
                <w:bCs/>
                <w:noProof w:val="0"/>
                <w:sz w:val="26"/>
                <w:szCs w:val="26"/>
                <w:rtl/>
              </w:rPr>
            </w:pPr>
          </w:p>
        </w:tc>
      </w:tr>
      <w:tr w:rsidR="0073146C" w:rsidRPr="00CB617A" w14:paraId="273CC005" w14:textId="77777777" w:rsidTr="00CB617A">
        <w:trPr>
          <w:trHeight w:val="337"/>
          <w:jc w:val="center"/>
        </w:trPr>
        <w:tc>
          <w:tcPr>
            <w:tcW w:w="8721" w:type="dxa"/>
            <w:gridSpan w:val="2"/>
          </w:tcPr>
          <w:p w14:paraId="1E780370" w14:textId="77777777" w:rsidR="0073146C" w:rsidRPr="00CB617A" w:rsidRDefault="0073146C" w:rsidP="00CB617A">
            <w:pPr>
              <w:rPr>
                <w:b/>
                <w:bCs/>
                <w:noProof w:val="0"/>
                <w:sz w:val="26"/>
                <w:szCs w:val="26"/>
                <w:rtl/>
              </w:rPr>
            </w:pPr>
            <w:r w:rsidRPr="00CB617A">
              <w:rPr>
                <w:b/>
                <w:bCs/>
                <w:noProof w:val="0"/>
                <w:sz w:val="26"/>
                <w:szCs w:val="26"/>
                <w:rtl/>
              </w:rPr>
              <w:t>ת"פ 39727-08-16 מדינת ישראל נ' ליפשיץ</w:t>
            </w:r>
          </w:p>
          <w:p w14:paraId="7D28A84A" w14:textId="77777777" w:rsidR="0073146C" w:rsidRPr="00CB617A" w:rsidRDefault="0073146C" w:rsidP="00CB617A">
            <w:pPr>
              <w:rPr>
                <w:b/>
                <w:bCs/>
                <w:noProof w:val="0"/>
                <w:sz w:val="26"/>
                <w:szCs w:val="26"/>
                <w:rtl/>
              </w:rPr>
            </w:pPr>
          </w:p>
          <w:p w14:paraId="1BCD1F76" w14:textId="77777777" w:rsidR="0073146C" w:rsidRPr="00CB617A" w:rsidRDefault="0073146C" w:rsidP="00CB617A">
            <w:pPr>
              <w:rPr>
                <w:sz w:val="26"/>
                <w:szCs w:val="26"/>
                <w:rtl/>
              </w:rPr>
            </w:pPr>
            <w:r w:rsidRPr="00CB617A">
              <w:rPr>
                <w:rFonts w:hint="cs"/>
                <w:sz w:val="26"/>
                <w:szCs w:val="26"/>
                <w:rtl/>
              </w:rPr>
              <w:t xml:space="preserve">                                                                  </w:t>
            </w:r>
            <w:r w:rsidRPr="00CB617A">
              <w:rPr>
                <w:sz w:val="26"/>
                <w:szCs w:val="26"/>
                <w:rtl/>
              </w:rPr>
              <w:t xml:space="preserve">  </w:t>
            </w:r>
          </w:p>
        </w:tc>
      </w:tr>
    </w:tbl>
    <w:p w14:paraId="609F4499" w14:textId="77777777" w:rsidR="0073146C" w:rsidRPr="00CB617A" w:rsidRDefault="0073146C" w:rsidP="0073146C">
      <w:pPr>
        <w:pStyle w:val="a3"/>
        <w:rPr>
          <w:noProof w:val="0"/>
          <w:sz w:val="26"/>
          <w:szCs w:val="26"/>
          <w:rtl/>
        </w:rPr>
      </w:pPr>
    </w:p>
    <w:p w14:paraId="5917980B" w14:textId="77777777" w:rsidR="0073146C" w:rsidRPr="00CB617A" w:rsidRDefault="0073146C" w:rsidP="0073146C">
      <w:pPr>
        <w:rPr>
          <w:sz w:val="26"/>
          <w:szCs w:val="26"/>
          <w:rtl/>
        </w:rPr>
      </w:pPr>
      <w:r w:rsidRPr="00CB617A">
        <w:rPr>
          <w:sz w:val="26"/>
          <w:szCs w:val="26"/>
          <w:rtl/>
        </w:rPr>
        <w:t xml:space="preserve"> </w:t>
      </w:r>
    </w:p>
    <w:tbl>
      <w:tblPr>
        <w:bidiVisual/>
        <w:tblW w:w="8820" w:type="dxa"/>
        <w:jc w:val="center"/>
        <w:tblLook w:val="01E0" w:firstRow="1" w:lastRow="1" w:firstColumn="1" w:lastColumn="1" w:noHBand="0" w:noVBand="0"/>
      </w:tblPr>
      <w:tblGrid>
        <w:gridCol w:w="743"/>
        <w:gridCol w:w="2506"/>
        <w:gridCol w:w="5571"/>
      </w:tblGrid>
      <w:tr w:rsidR="0073146C" w:rsidRPr="00CB617A" w14:paraId="76ACC4B2" w14:textId="77777777" w:rsidTr="00CB617A">
        <w:trPr>
          <w:jc w:val="center"/>
        </w:trPr>
        <w:tc>
          <w:tcPr>
            <w:tcW w:w="743" w:type="dxa"/>
            <w:shd w:val="clear" w:color="auto" w:fill="auto"/>
          </w:tcPr>
          <w:p w14:paraId="7930BE80" w14:textId="77777777" w:rsidR="0073146C" w:rsidRPr="00CB617A" w:rsidRDefault="0073146C" w:rsidP="00CB617A">
            <w:pPr>
              <w:jc w:val="both"/>
              <w:rPr>
                <w:rFonts w:ascii="Arial" w:hAnsi="Arial"/>
                <w:b/>
                <w:bCs/>
                <w:sz w:val="26"/>
                <w:szCs w:val="26"/>
                <w:rtl/>
              </w:rPr>
            </w:pPr>
            <w:r w:rsidRPr="00CB617A">
              <w:rPr>
                <w:rFonts w:ascii="Arial" w:hAnsi="Arial" w:hint="cs"/>
                <w:b/>
                <w:bCs/>
                <w:sz w:val="26"/>
                <w:szCs w:val="26"/>
                <w:rtl/>
              </w:rPr>
              <w:t>ל</w:t>
            </w:r>
            <w:r w:rsidRPr="00CB617A">
              <w:rPr>
                <w:rFonts w:ascii="Arial" w:hAnsi="Arial"/>
                <w:b/>
                <w:bCs/>
                <w:sz w:val="26"/>
                <w:szCs w:val="26"/>
                <w:rtl/>
              </w:rPr>
              <w:t xml:space="preserve">פני </w:t>
            </w:r>
          </w:p>
        </w:tc>
        <w:tc>
          <w:tcPr>
            <w:tcW w:w="8077" w:type="dxa"/>
            <w:gridSpan w:val="2"/>
            <w:shd w:val="clear" w:color="auto" w:fill="auto"/>
          </w:tcPr>
          <w:p w14:paraId="5E0932E7" w14:textId="77777777" w:rsidR="0073146C" w:rsidRPr="00CB617A" w:rsidRDefault="0073146C" w:rsidP="00CB617A">
            <w:pPr>
              <w:rPr>
                <w:rFonts w:ascii="Arial" w:hAnsi="Arial"/>
                <w:b/>
                <w:bCs/>
                <w:sz w:val="26"/>
                <w:szCs w:val="26"/>
                <w:rtl/>
              </w:rPr>
            </w:pPr>
            <w:r w:rsidRPr="00CB617A">
              <w:rPr>
                <w:rFonts w:ascii="Arial" w:hAnsi="Arial" w:hint="cs"/>
                <w:b/>
                <w:bCs/>
                <w:sz w:val="26"/>
                <w:szCs w:val="26"/>
                <w:rtl/>
              </w:rPr>
              <w:t>כבוד ה</w:t>
            </w:r>
            <w:r w:rsidRPr="00CB617A">
              <w:rPr>
                <w:rFonts w:hint="cs"/>
                <w:sz w:val="26"/>
                <w:szCs w:val="26"/>
                <w:rtl/>
              </w:rPr>
              <w:t>שופטת</w:t>
            </w:r>
            <w:r w:rsidRPr="00CB617A">
              <w:rPr>
                <w:rFonts w:ascii="Arial" w:hAnsi="Arial" w:hint="cs"/>
                <w:b/>
                <w:bCs/>
                <w:sz w:val="26"/>
                <w:szCs w:val="26"/>
                <w:rtl/>
              </w:rPr>
              <w:t xml:space="preserve"> </w:t>
            </w:r>
            <w:r w:rsidRPr="00CB617A">
              <w:rPr>
                <w:rFonts w:hint="cs"/>
                <w:sz w:val="26"/>
                <w:szCs w:val="26"/>
                <w:rtl/>
              </w:rPr>
              <w:t>רונית פוזננסקי כץ</w:t>
            </w:r>
          </w:p>
          <w:p w14:paraId="21F2B23E" w14:textId="77777777" w:rsidR="0073146C" w:rsidRPr="00CB617A" w:rsidRDefault="0073146C" w:rsidP="00CB617A">
            <w:pPr>
              <w:rPr>
                <w:rFonts w:ascii="Arial" w:hAnsi="Arial" w:cs="FrankRuehl"/>
                <w:sz w:val="26"/>
                <w:szCs w:val="26"/>
                <w:highlight w:val="yellow"/>
              </w:rPr>
            </w:pPr>
          </w:p>
        </w:tc>
      </w:tr>
      <w:tr w:rsidR="0073146C" w:rsidRPr="00CB617A" w14:paraId="53CA16EA" w14:textId="77777777" w:rsidTr="00CB617A">
        <w:trPr>
          <w:jc w:val="center"/>
        </w:trPr>
        <w:tc>
          <w:tcPr>
            <w:tcW w:w="3249" w:type="dxa"/>
            <w:gridSpan w:val="2"/>
            <w:shd w:val="clear" w:color="auto" w:fill="auto"/>
          </w:tcPr>
          <w:p w14:paraId="5D02C823" w14:textId="77777777" w:rsidR="0073146C" w:rsidRPr="00CB617A" w:rsidRDefault="0073146C" w:rsidP="00CB617A">
            <w:pPr>
              <w:rPr>
                <w:rFonts w:ascii="Arial" w:hAnsi="Arial"/>
                <w:b/>
                <w:bCs/>
                <w:noProof w:val="0"/>
                <w:sz w:val="26"/>
                <w:szCs w:val="26"/>
                <w:rtl/>
              </w:rPr>
            </w:pPr>
            <w:bookmarkStart w:id="1" w:name="FirstAppellant"/>
            <w:r w:rsidRPr="00CB617A">
              <w:rPr>
                <w:rFonts w:hint="cs"/>
                <w:b/>
                <w:bCs/>
                <w:sz w:val="26"/>
                <w:szCs w:val="26"/>
                <w:rtl/>
              </w:rPr>
              <w:t>ה</w:t>
            </w:r>
            <w:r w:rsidRPr="00CB617A">
              <w:rPr>
                <w:rFonts w:hint="cs"/>
                <w:sz w:val="26"/>
                <w:szCs w:val="26"/>
                <w:rtl/>
              </w:rPr>
              <w:t>מאשימה</w:t>
            </w:r>
            <w:r w:rsidRPr="00CB617A">
              <w:rPr>
                <w:rFonts w:ascii="Arial" w:hAnsi="Arial" w:hint="cs"/>
                <w:b/>
                <w:bCs/>
                <w:noProof w:val="0"/>
                <w:sz w:val="26"/>
                <w:szCs w:val="26"/>
                <w:rtl/>
              </w:rPr>
              <w:t>:</w:t>
            </w:r>
          </w:p>
        </w:tc>
        <w:tc>
          <w:tcPr>
            <w:tcW w:w="5571" w:type="dxa"/>
            <w:shd w:val="clear" w:color="auto" w:fill="auto"/>
          </w:tcPr>
          <w:p w14:paraId="4EC4E112" w14:textId="77777777" w:rsidR="0073146C" w:rsidRPr="00CB617A" w:rsidRDefault="0073146C" w:rsidP="00CB617A">
            <w:pPr>
              <w:rPr>
                <w:sz w:val="26"/>
                <w:szCs w:val="26"/>
                <w:rtl/>
              </w:rPr>
            </w:pPr>
            <w:r w:rsidRPr="00CB617A">
              <w:rPr>
                <w:rFonts w:hint="cs"/>
                <w:sz w:val="26"/>
                <w:szCs w:val="26"/>
                <w:rtl/>
              </w:rPr>
              <w:t>מדינת ישראל</w:t>
            </w:r>
          </w:p>
          <w:p w14:paraId="71FB6121" w14:textId="77777777" w:rsidR="0073146C" w:rsidRPr="00CB617A" w:rsidRDefault="0073146C" w:rsidP="00CB617A">
            <w:pPr>
              <w:rPr>
                <w:b/>
                <w:bCs/>
                <w:noProof w:val="0"/>
                <w:sz w:val="26"/>
                <w:szCs w:val="26"/>
              </w:rPr>
            </w:pPr>
            <w:r w:rsidRPr="00CB617A">
              <w:rPr>
                <w:rFonts w:hint="cs"/>
                <w:sz w:val="26"/>
                <w:szCs w:val="26"/>
                <w:rtl/>
              </w:rPr>
              <w:t>ע"י ב"כ עו"ד</w:t>
            </w:r>
          </w:p>
        </w:tc>
      </w:tr>
      <w:bookmarkEnd w:id="1"/>
      <w:tr w:rsidR="0073146C" w:rsidRPr="00CB617A" w14:paraId="17BD496D" w14:textId="77777777" w:rsidTr="00CB617A">
        <w:trPr>
          <w:trHeight w:val="601"/>
          <w:jc w:val="center"/>
        </w:trPr>
        <w:tc>
          <w:tcPr>
            <w:tcW w:w="8820" w:type="dxa"/>
            <w:gridSpan w:val="3"/>
            <w:shd w:val="clear" w:color="auto" w:fill="auto"/>
          </w:tcPr>
          <w:p w14:paraId="0ADDE674" w14:textId="77777777" w:rsidR="0073146C" w:rsidRPr="00CB617A" w:rsidRDefault="0073146C" w:rsidP="00CB617A">
            <w:pPr>
              <w:rPr>
                <w:rFonts w:ascii="Arial" w:hAnsi="Arial"/>
                <w:b/>
                <w:bCs/>
                <w:noProof w:val="0"/>
                <w:sz w:val="26"/>
                <w:szCs w:val="26"/>
                <w:rtl/>
              </w:rPr>
            </w:pPr>
          </w:p>
          <w:p w14:paraId="7DDEA2A4" w14:textId="77777777" w:rsidR="0073146C" w:rsidRPr="00CB617A" w:rsidRDefault="0073146C" w:rsidP="00CB617A">
            <w:pPr>
              <w:jc w:val="center"/>
              <w:rPr>
                <w:rFonts w:ascii="Arial" w:hAnsi="Arial"/>
                <w:b/>
                <w:bCs/>
                <w:noProof w:val="0"/>
                <w:sz w:val="26"/>
                <w:szCs w:val="26"/>
                <w:rtl/>
              </w:rPr>
            </w:pPr>
            <w:r w:rsidRPr="00CB617A">
              <w:rPr>
                <w:rFonts w:ascii="Arial" w:hAnsi="Arial"/>
                <w:b/>
                <w:bCs/>
                <w:noProof w:val="0"/>
                <w:sz w:val="26"/>
                <w:szCs w:val="26"/>
                <w:rtl/>
              </w:rPr>
              <w:t>נגד</w:t>
            </w:r>
          </w:p>
          <w:p w14:paraId="611257C0" w14:textId="77777777" w:rsidR="0073146C" w:rsidRPr="00CB617A" w:rsidRDefault="0073146C" w:rsidP="00CB617A">
            <w:pPr>
              <w:rPr>
                <w:rFonts w:ascii="Arial" w:hAnsi="Arial"/>
                <w:b/>
                <w:bCs/>
                <w:noProof w:val="0"/>
                <w:sz w:val="22"/>
                <w:szCs w:val="22"/>
              </w:rPr>
            </w:pPr>
          </w:p>
        </w:tc>
      </w:tr>
      <w:tr w:rsidR="0073146C" w:rsidRPr="00CB617A" w14:paraId="0B2A780A" w14:textId="77777777" w:rsidTr="00CB617A">
        <w:trPr>
          <w:jc w:val="center"/>
        </w:trPr>
        <w:tc>
          <w:tcPr>
            <w:tcW w:w="3249" w:type="dxa"/>
            <w:gridSpan w:val="2"/>
            <w:shd w:val="clear" w:color="auto" w:fill="auto"/>
          </w:tcPr>
          <w:p w14:paraId="53B6AAEB" w14:textId="77777777" w:rsidR="0073146C" w:rsidRPr="00CB617A" w:rsidRDefault="0073146C" w:rsidP="00CB617A">
            <w:pPr>
              <w:rPr>
                <w:rFonts w:ascii="Arial" w:hAnsi="Arial"/>
                <w:b/>
                <w:bCs/>
                <w:noProof w:val="0"/>
                <w:sz w:val="26"/>
                <w:szCs w:val="26"/>
              </w:rPr>
            </w:pPr>
            <w:bookmarkStart w:id="2" w:name="FirstLawyer"/>
            <w:r w:rsidRPr="00CB617A">
              <w:rPr>
                <w:rFonts w:hint="cs"/>
                <w:b/>
                <w:bCs/>
                <w:sz w:val="26"/>
                <w:szCs w:val="26"/>
                <w:rtl/>
              </w:rPr>
              <w:t>ה</w:t>
            </w:r>
            <w:r w:rsidRPr="00CB617A">
              <w:rPr>
                <w:rFonts w:hint="cs"/>
                <w:sz w:val="26"/>
                <w:szCs w:val="26"/>
                <w:rtl/>
              </w:rPr>
              <w:t>נאשמים</w:t>
            </w:r>
            <w:r w:rsidRPr="00CB617A">
              <w:rPr>
                <w:rFonts w:ascii="Arial" w:hAnsi="Arial" w:hint="cs"/>
                <w:b/>
                <w:bCs/>
                <w:noProof w:val="0"/>
                <w:sz w:val="26"/>
                <w:szCs w:val="26"/>
                <w:rtl/>
              </w:rPr>
              <w:t>:</w:t>
            </w:r>
          </w:p>
        </w:tc>
        <w:tc>
          <w:tcPr>
            <w:tcW w:w="5571" w:type="dxa"/>
            <w:shd w:val="clear" w:color="auto" w:fill="auto"/>
          </w:tcPr>
          <w:p w14:paraId="21C7EEC9" w14:textId="77777777" w:rsidR="0073146C" w:rsidRPr="00CB617A" w:rsidRDefault="0073146C" w:rsidP="00CB617A">
            <w:pPr>
              <w:rPr>
                <w:sz w:val="26"/>
                <w:szCs w:val="26"/>
                <w:rtl/>
              </w:rPr>
            </w:pPr>
            <w:r w:rsidRPr="00CB617A">
              <w:rPr>
                <w:rFonts w:hint="cs"/>
                <w:sz w:val="26"/>
                <w:szCs w:val="26"/>
                <w:rtl/>
              </w:rPr>
              <w:t>ישראל ליפשיץ</w:t>
            </w:r>
          </w:p>
          <w:p w14:paraId="0E2060B3" w14:textId="77777777" w:rsidR="0073146C" w:rsidRPr="00CB617A" w:rsidRDefault="0073146C" w:rsidP="00CB617A">
            <w:pPr>
              <w:rPr>
                <w:b/>
                <w:bCs/>
                <w:noProof w:val="0"/>
                <w:sz w:val="26"/>
                <w:szCs w:val="26"/>
                <w:rtl/>
              </w:rPr>
            </w:pPr>
            <w:r w:rsidRPr="00CB617A">
              <w:rPr>
                <w:rFonts w:hint="cs"/>
                <w:sz w:val="26"/>
                <w:szCs w:val="26"/>
                <w:rtl/>
              </w:rPr>
              <w:t>ע"י ב"כ עו"ד</w:t>
            </w:r>
            <w:r w:rsidRPr="00CB617A">
              <w:rPr>
                <w:rFonts w:hint="cs"/>
                <w:b/>
                <w:bCs/>
                <w:noProof w:val="0"/>
                <w:sz w:val="26"/>
                <w:szCs w:val="26"/>
                <w:rtl/>
              </w:rPr>
              <w:t xml:space="preserve"> סוחמי</w:t>
            </w:r>
          </w:p>
        </w:tc>
      </w:tr>
      <w:bookmarkEnd w:id="2"/>
      <w:tr w:rsidR="0073146C" w:rsidRPr="00CB617A" w14:paraId="33680F93" w14:textId="77777777" w:rsidTr="00CB617A">
        <w:trPr>
          <w:jc w:val="center"/>
        </w:trPr>
        <w:tc>
          <w:tcPr>
            <w:tcW w:w="8820" w:type="dxa"/>
            <w:gridSpan w:val="3"/>
            <w:shd w:val="clear" w:color="auto" w:fill="auto"/>
          </w:tcPr>
          <w:p w14:paraId="774BD645" w14:textId="77777777" w:rsidR="0073146C" w:rsidRPr="00CB617A" w:rsidRDefault="0073146C" w:rsidP="00CB617A">
            <w:pPr>
              <w:rPr>
                <w:rFonts w:ascii="Arial" w:hAnsi="Arial"/>
                <w:b/>
                <w:bCs/>
                <w:noProof w:val="0"/>
                <w:sz w:val="26"/>
                <w:szCs w:val="26"/>
                <w:rtl/>
              </w:rPr>
            </w:pPr>
          </w:p>
        </w:tc>
      </w:tr>
    </w:tbl>
    <w:p w14:paraId="3A2A53A5" w14:textId="77777777" w:rsidR="0073146C" w:rsidRPr="00CB617A" w:rsidRDefault="0073146C" w:rsidP="0073146C">
      <w:pPr>
        <w:rPr>
          <w:rtl/>
        </w:rPr>
      </w:pPr>
    </w:p>
    <w:p w14:paraId="04D7A13C" w14:textId="77777777" w:rsidR="0073146C" w:rsidRPr="00CB617A" w:rsidRDefault="0073146C" w:rsidP="0073146C">
      <w:pPr>
        <w:suppressLineNumbers/>
        <w:rPr>
          <w:sz w:val="12"/>
          <w:szCs w:val="12"/>
        </w:rPr>
      </w:pPr>
    </w:p>
    <w:tbl>
      <w:tblPr>
        <w:bidiVisual/>
        <w:tblW w:w="8820" w:type="dxa"/>
        <w:jc w:val="center"/>
        <w:tblLook w:val="01E0" w:firstRow="1" w:lastRow="1" w:firstColumn="1" w:lastColumn="1" w:noHBand="0" w:noVBand="0"/>
      </w:tblPr>
      <w:tblGrid>
        <w:gridCol w:w="8820"/>
      </w:tblGrid>
      <w:tr w:rsidR="0073146C" w14:paraId="7B76A4BB" w14:textId="77777777" w:rsidTr="00CB617A">
        <w:trPr>
          <w:jc w:val="center"/>
        </w:trPr>
        <w:tc>
          <w:tcPr>
            <w:tcW w:w="8820" w:type="dxa"/>
            <w:shd w:val="clear" w:color="auto" w:fill="auto"/>
          </w:tcPr>
          <w:p w14:paraId="5F51286D" w14:textId="77777777" w:rsidR="00634639" w:rsidRPr="00634639" w:rsidRDefault="00634639" w:rsidP="00634639">
            <w:pPr>
              <w:spacing w:after="120" w:line="240" w:lineRule="exact"/>
              <w:ind w:left="283" w:hanging="283"/>
              <w:jc w:val="both"/>
              <w:rPr>
                <w:rFonts w:ascii="FrankRuehl" w:hAnsi="FrankRuehl" w:cs="FrankRuehl"/>
                <w:noProof w:val="0"/>
              </w:rPr>
            </w:pPr>
            <w:bookmarkStart w:id="3" w:name="PsakDin"/>
            <w:bookmarkStart w:id="4" w:name="LawTable"/>
            <w:bookmarkEnd w:id="4"/>
          </w:p>
          <w:p w14:paraId="4788CF30" w14:textId="77777777" w:rsidR="00634639" w:rsidRPr="00634639" w:rsidRDefault="00634639" w:rsidP="00634639">
            <w:pPr>
              <w:spacing w:after="120" w:line="240" w:lineRule="exact"/>
              <w:ind w:left="283" w:hanging="283"/>
              <w:jc w:val="both"/>
              <w:rPr>
                <w:rFonts w:ascii="FrankRuehl" w:hAnsi="FrankRuehl" w:cs="FrankRuehl"/>
                <w:noProof w:val="0"/>
              </w:rPr>
            </w:pPr>
            <w:r w:rsidRPr="00634639">
              <w:rPr>
                <w:rFonts w:ascii="FrankRuehl" w:hAnsi="FrankRuehl" w:cs="FrankRuehl"/>
                <w:noProof w:val="0"/>
                <w:rtl/>
              </w:rPr>
              <w:t>חקיקה שאוזכרה</w:t>
            </w:r>
            <w:r w:rsidRPr="00634639">
              <w:rPr>
                <w:rFonts w:ascii="FrankRuehl" w:hAnsi="FrankRuehl" w:cs="FrankRuehl"/>
                <w:noProof w:val="0"/>
              </w:rPr>
              <w:t xml:space="preserve">: </w:t>
            </w:r>
          </w:p>
          <w:p w14:paraId="66814C5C" w14:textId="77777777" w:rsidR="00634639" w:rsidRPr="00634639" w:rsidRDefault="00634639" w:rsidP="00634639">
            <w:pPr>
              <w:spacing w:after="120" w:line="240" w:lineRule="exact"/>
              <w:ind w:left="283" w:hanging="283"/>
              <w:jc w:val="both"/>
              <w:rPr>
                <w:rFonts w:ascii="FrankRuehl" w:hAnsi="FrankRuehl" w:cs="FrankRuehl"/>
                <w:noProof w:val="0"/>
              </w:rPr>
            </w:pPr>
            <w:hyperlink r:id="rId7" w:history="1">
              <w:r w:rsidRPr="00634639">
                <w:rPr>
                  <w:rFonts w:ascii="FrankRuehl" w:hAnsi="FrankRuehl" w:cs="FrankRuehl"/>
                  <w:noProof w:val="0"/>
                  <w:color w:val="0000FF"/>
                  <w:u w:val="single"/>
                  <w:rtl/>
                </w:rPr>
                <w:t>פקודת הסמים המסוכנים [נוסח חדש], תשל"ג-1973</w:t>
              </w:r>
            </w:hyperlink>
            <w:r w:rsidRPr="00634639">
              <w:rPr>
                <w:rFonts w:ascii="FrankRuehl" w:hAnsi="FrankRuehl" w:cs="FrankRuehl"/>
                <w:noProof w:val="0"/>
              </w:rPr>
              <w:t xml:space="preserve">: </w:t>
            </w:r>
            <w:r w:rsidRPr="00634639">
              <w:rPr>
                <w:rFonts w:ascii="FrankRuehl" w:hAnsi="FrankRuehl" w:cs="FrankRuehl"/>
                <w:noProof w:val="0"/>
                <w:rtl/>
              </w:rPr>
              <w:t>סע</w:t>
            </w:r>
            <w:r w:rsidRPr="00634639">
              <w:rPr>
                <w:rFonts w:ascii="FrankRuehl" w:hAnsi="FrankRuehl" w:cs="FrankRuehl"/>
                <w:noProof w:val="0"/>
              </w:rPr>
              <w:t xml:space="preserve">'  </w:t>
            </w:r>
            <w:hyperlink r:id="rId8" w:history="1">
              <w:r w:rsidRPr="00634639">
                <w:rPr>
                  <w:rFonts w:ascii="FrankRuehl" w:hAnsi="FrankRuehl" w:cs="FrankRuehl"/>
                  <w:noProof w:val="0"/>
                  <w:color w:val="0000FF"/>
                  <w:u w:val="single"/>
                </w:rPr>
                <w:t>7.</w:t>
              </w:r>
              <w:r w:rsidRPr="00634639">
                <w:rPr>
                  <w:rFonts w:ascii="FrankRuehl" w:hAnsi="FrankRuehl" w:cs="FrankRuehl"/>
                  <w:noProof w:val="0"/>
                  <w:color w:val="0000FF"/>
                  <w:u w:val="single"/>
                  <w:rtl/>
                </w:rPr>
                <w:t>א</w:t>
              </w:r>
              <w:r w:rsidRPr="00634639">
                <w:rPr>
                  <w:rFonts w:ascii="FrankRuehl" w:hAnsi="FrankRuehl" w:cs="FrankRuehl"/>
                  <w:noProof w:val="0"/>
                  <w:color w:val="0000FF"/>
                  <w:u w:val="single"/>
                </w:rPr>
                <w:t>.</w:t>
              </w:r>
            </w:hyperlink>
            <w:r w:rsidRPr="00634639">
              <w:rPr>
                <w:rFonts w:ascii="FrankRuehl" w:hAnsi="FrankRuehl" w:cs="FrankRuehl"/>
                <w:noProof w:val="0"/>
              </w:rPr>
              <w:t xml:space="preserve">, </w:t>
            </w:r>
            <w:hyperlink r:id="rId9" w:history="1">
              <w:r w:rsidRPr="00634639">
                <w:rPr>
                  <w:rFonts w:ascii="FrankRuehl" w:hAnsi="FrankRuehl" w:cs="FrankRuehl"/>
                  <w:noProof w:val="0"/>
                  <w:color w:val="0000FF"/>
                  <w:u w:val="single"/>
                </w:rPr>
                <w:t>7.</w:t>
              </w:r>
              <w:r w:rsidRPr="00634639">
                <w:rPr>
                  <w:rFonts w:ascii="FrankRuehl" w:hAnsi="FrankRuehl" w:cs="FrankRuehl"/>
                  <w:noProof w:val="0"/>
                  <w:color w:val="0000FF"/>
                  <w:u w:val="single"/>
                  <w:rtl/>
                </w:rPr>
                <w:t>ג</w:t>
              </w:r>
            </w:hyperlink>
            <w:r w:rsidRPr="00634639">
              <w:rPr>
                <w:rFonts w:ascii="FrankRuehl" w:hAnsi="FrankRuehl" w:cs="FrankRuehl"/>
                <w:noProof w:val="0"/>
              </w:rPr>
              <w:t xml:space="preserve">, </w:t>
            </w:r>
            <w:hyperlink r:id="rId10" w:history="1">
              <w:r w:rsidRPr="00634639">
                <w:rPr>
                  <w:rFonts w:ascii="FrankRuehl" w:hAnsi="FrankRuehl" w:cs="FrankRuehl"/>
                  <w:noProof w:val="0"/>
                  <w:color w:val="0000FF"/>
                  <w:u w:val="single"/>
                </w:rPr>
                <w:t>13</w:t>
              </w:r>
            </w:hyperlink>
          </w:p>
          <w:p w14:paraId="095B6328" w14:textId="77777777" w:rsidR="00634639" w:rsidRPr="00634639" w:rsidRDefault="00634639" w:rsidP="00634639">
            <w:pPr>
              <w:spacing w:after="120" w:line="240" w:lineRule="exact"/>
              <w:ind w:left="283" w:hanging="283"/>
              <w:jc w:val="both"/>
              <w:rPr>
                <w:rFonts w:ascii="FrankRuehl" w:hAnsi="FrankRuehl" w:cs="FrankRuehl"/>
                <w:noProof w:val="0"/>
              </w:rPr>
            </w:pPr>
          </w:p>
          <w:p w14:paraId="11F7A111" w14:textId="77777777" w:rsidR="00CB617A" w:rsidRPr="00CB617A" w:rsidRDefault="00CB617A" w:rsidP="00CB617A">
            <w:pPr>
              <w:bidi w:val="0"/>
              <w:jc w:val="center"/>
              <w:rPr>
                <w:rFonts w:ascii="Arial" w:hAnsi="Arial"/>
                <w:b/>
                <w:bCs/>
                <w:noProof w:val="0"/>
                <w:sz w:val="28"/>
                <w:szCs w:val="28"/>
                <w:u w:val="single"/>
                <w:rtl/>
              </w:rPr>
            </w:pPr>
            <w:bookmarkStart w:id="5" w:name="LawTable_End"/>
            <w:bookmarkEnd w:id="5"/>
            <w:r w:rsidRPr="00CB617A">
              <w:rPr>
                <w:rFonts w:ascii="Arial" w:hAnsi="Arial"/>
                <w:b/>
                <w:bCs/>
                <w:noProof w:val="0"/>
                <w:sz w:val="28"/>
                <w:szCs w:val="28"/>
                <w:u w:val="single"/>
                <w:rtl/>
              </w:rPr>
              <w:t>גזר דין</w:t>
            </w:r>
          </w:p>
          <w:bookmarkEnd w:id="3"/>
          <w:p w14:paraId="63EAD11B" w14:textId="77777777" w:rsidR="0073146C" w:rsidRPr="005F49C5" w:rsidRDefault="0073146C" w:rsidP="00CB617A">
            <w:pPr>
              <w:bidi w:val="0"/>
              <w:jc w:val="center"/>
              <w:rPr>
                <w:rFonts w:ascii="Arial" w:hAnsi="Arial"/>
                <w:b/>
                <w:bCs/>
                <w:noProof w:val="0"/>
                <w:sz w:val="28"/>
                <w:szCs w:val="28"/>
                <w:u w:val="single"/>
                <w:rtl/>
              </w:rPr>
            </w:pPr>
          </w:p>
          <w:p w14:paraId="4264E109" w14:textId="77777777" w:rsidR="0073146C" w:rsidRPr="005F49C5" w:rsidRDefault="0073146C" w:rsidP="00CB617A">
            <w:pPr>
              <w:jc w:val="both"/>
              <w:rPr>
                <w:rFonts w:ascii="Arial" w:hAnsi="Arial"/>
                <w:b/>
                <w:bCs/>
                <w:noProof w:val="0"/>
                <w:sz w:val="28"/>
                <w:szCs w:val="28"/>
                <w:u w:val="single"/>
                <w:rtl/>
              </w:rPr>
            </w:pPr>
          </w:p>
          <w:p w14:paraId="3319E326" w14:textId="77777777" w:rsidR="0073146C" w:rsidRPr="005F49C5" w:rsidRDefault="0073146C" w:rsidP="00CB617A">
            <w:pPr>
              <w:jc w:val="both"/>
              <w:rPr>
                <w:rFonts w:ascii="Arial" w:hAnsi="Arial"/>
                <w:b/>
                <w:bCs/>
                <w:noProof w:val="0"/>
                <w:u w:val="single"/>
                <w:rtl/>
              </w:rPr>
            </w:pPr>
            <w:r w:rsidRPr="005F49C5">
              <w:rPr>
                <w:rFonts w:ascii="Arial" w:hAnsi="Arial" w:hint="cs"/>
                <w:b/>
                <w:bCs/>
                <w:noProof w:val="0"/>
                <w:u w:val="single"/>
                <w:rtl/>
              </w:rPr>
              <w:t>חלק כללי</w:t>
            </w:r>
          </w:p>
          <w:p w14:paraId="032BEA39" w14:textId="77777777" w:rsidR="0073146C" w:rsidRDefault="0073146C" w:rsidP="00CB617A">
            <w:pPr>
              <w:pStyle w:val="ListParagraph"/>
              <w:numPr>
                <w:ilvl w:val="0"/>
                <w:numId w:val="1"/>
              </w:numPr>
              <w:spacing w:line="360" w:lineRule="auto"/>
              <w:jc w:val="both"/>
            </w:pPr>
            <w:bookmarkStart w:id="6" w:name="ABSTRACT_START"/>
            <w:bookmarkEnd w:id="6"/>
            <w:r>
              <w:rPr>
                <w:rFonts w:hint="cs"/>
                <w:rtl/>
              </w:rPr>
              <w:t xml:space="preserve">הנאשם הורשע על בסיס הודאתו בכתב אישום מתוקן, במסגרת הסכמה דיונית, בעבירה של </w:t>
            </w:r>
            <w:r w:rsidRPr="005F49C5">
              <w:rPr>
                <w:rFonts w:hint="cs"/>
                <w:b/>
                <w:bCs/>
                <w:rtl/>
              </w:rPr>
              <w:t>יצוא, יבוא, מסחר, הספקת סמים</w:t>
            </w:r>
            <w:r>
              <w:rPr>
                <w:rFonts w:hint="cs"/>
                <w:rtl/>
              </w:rPr>
              <w:t xml:space="preserve"> לפי </w:t>
            </w:r>
            <w:hyperlink r:id="rId11" w:history="1">
              <w:r w:rsidR="00634639" w:rsidRPr="00634639">
                <w:rPr>
                  <w:color w:val="0000FF"/>
                  <w:u w:val="single"/>
                  <w:rtl/>
                </w:rPr>
                <w:t>סעיף 13</w:t>
              </w:r>
            </w:hyperlink>
            <w:r>
              <w:rPr>
                <w:rFonts w:hint="cs"/>
                <w:rtl/>
              </w:rPr>
              <w:t xml:space="preserve"> ב</w:t>
            </w:r>
            <w:hyperlink r:id="rId12" w:history="1">
              <w:r w:rsidR="00CB617A" w:rsidRPr="00CB617A">
                <w:rPr>
                  <w:rStyle w:val="Hyperlink"/>
                  <w:rFonts w:hint="eastAsia"/>
                  <w:rtl/>
                </w:rPr>
                <w:t>פקודת</w:t>
              </w:r>
              <w:r w:rsidR="00CB617A" w:rsidRPr="00CB617A">
                <w:rPr>
                  <w:rStyle w:val="Hyperlink"/>
                  <w:rtl/>
                </w:rPr>
                <w:t xml:space="preserve"> הסמים המסוכנים</w:t>
              </w:r>
            </w:hyperlink>
            <w:r>
              <w:rPr>
                <w:rFonts w:hint="cs"/>
                <w:rtl/>
              </w:rPr>
              <w:t xml:space="preserve"> [נוסח חדש], התשל"ג-1973 ובעבירה של </w:t>
            </w:r>
            <w:r w:rsidRPr="005F49C5">
              <w:rPr>
                <w:rFonts w:hint="cs"/>
                <w:b/>
                <w:bCs/>
                <w:rtl/>
              </w:rPr>
              <w:t>החזקה/שימוש בסמים שלא לצריכה עצמית</w:t>
            </w:r>
            <w:r>
              <w:rPr>
                <w:rFonts w:hint="cs"/>
                <w:rtl/>
              </w:rPr>
              <w:t xml:space="preserve"> לפי </w:t>
            </w:r>
            <w:hyperlink r:id="rId13" w:history="1">
              <w:r w:rsidR="00634639" w:rsidRPr="00634639">
                <w:rPr>
                  <w:color w:val="0000FF"/>
                  <w:u w:val="single"/>
                  <w:rtl/>
                </w:rPr>
                <w:t>סעיף 7 (א) + (ג)</w:t>
              </w:r>
            </w:hyperlink>
            <w:r>
              <w:rPr>
                <w:rFonts w:hint="cs"/>
                <w:rtl/>
              </w:rPr>
              <w:t xml:space="preserve"> רישא לאותו חוק. </w:t>
            </w:r>
          </w:p>
          <w:p w14:paraId="46C52FC6" w14:textId="77777777" w:rsidR="0073146C" w:rsidRPr="00EB39F6" w:rsidRDefault="0073146C" w:rsidP="00CB617A">
            <w:pPr>
              <w:pStyle w:val="ListParagraph"/>
              <w:spacing w:line="360" w:lineRule="auto"/>
              <w:jc w:val="both"/>
            </w:pPr>
            <w:bookmarkStart w:id="7" w:name="ABSTRACT_END"/>
            <w:bookmarkEnd w:id="7"/>
          </w:p>
          <w:p w14:paraId="15C69913" w14:textId="77777777" w:rsidR="0073146C" w:rsidRDefault="0073146C" w:rsidP="00CB617A">
            <w:pPr>
              <w:pStyle w:val="ListParagraph"/>
              <w:numPr>
                <w:ilvl w:val="0"/>
                <w:numId w:val="1"/>
              </w:numPr>
              <w:spacing w:line="360" w:lineRule="auto"/>
              <w:jc w:val="both"/>
            </w:pPr>
            <w:r>
              <w:rPr>
                <w:rFonts w:hint="cs"/>
                <w:rtl/>
              </w:rPr>
              <w:t xml:space="preserve">בהתאם לעובדות, ביום 15/05/15 סמוך לשעה 17:06 ברחוב פסמן בהרצליה, סחר הנאשם בסם מסוכן, בכך שמכר סם מסוג קנבוס במשקל 9.90 גרם נטו תמורת 1000 ₪. </w:t>
            </w:r>
          </w:p>
          <w:p w14:paraId="7EEB25B8" w14:textId="77777777" w:rsidR="0073146C" w:rsidRDefault="0073146C" w:rsidP="00CB617A">
            <w:pPr>
              <w:pStyle w:val="ListParagraph"/>
              <w:spacing w:line="360" w:lineRule="auto"/>
              <w:jc w:val="both"/>
            </w:pPr>
          </w:p>
          <w:p w14:paraId="1E131069" w14:textId="77777777" w:rsidR="0073146C" w:rsidRDefault="0073146C" w:rsidP="00CB617A">
            <w:pPr>
              <w:pStyle w:val="ListParagraph"/>
              <w:numPr>
                <w:ilvl w:val="0"/>
                <w:numId w:val="1"/>
              </w:numPr>
              <w:spacing w:line="360" w:lineRule="auto"/>
              <w:jc w:val="both"/>
            </w:pPr>
            <w:r>
              <w:rPr>
                <w:rFonts w:hint="cs"/>
                <w:rtl/>
              </w:rPr>
              <w:t>בנוסף לאמור לעיל, באותן הנסיבות, החזיק הנאשם בביתו, במספר מקומות שונים, סם מסוכן מסוג קנבוס במשקל כולל של 18.2399 גרם נטו.</w:t>
            </w:r>
          </w:p>
          <w:p w14:paraId="5C695CB1" w14:textId="77777777" w:rsidR="0073146C" w:rsidRDefault="0073146C" w:rsidP="00CB617A">
            <w:pPr>
              <w:pStyle w:val="ListParagraph"/>
              <w:spacing w:line="360" w:lineRule="auto"/>
              <w:jc w:val="both"/>
            </w:pPr>
          </w:p>
          <w:p w14:paraId="5115D641" w14:textId="77777777" w:rsidR="0073146C" w:rsidRDefault="0073146C" w:rsidP="00CB617A">
            <w:pPr>
              <w:pStyle w:val="ListParagraph"/>
              <w:numPr>
                <w:ilvl w:val="0"/>
                <w:numId w:val="1"/>
              </w:numPr>
              <w:spacing w:line="360" w:lineRule="auto"/>
              <w:jc w:val="both"/>
            </w:pPr>
            <w:r>
              <w:rPr>
                <w:rFonts w:hint="cs"/>
                <w:rtl/>
              </w:rPr>
              <w:t>בהתאם להסכמת הצדדים, עניינו של הנאשם הופנה לשירות המבחן ולממונה על עבודות שירות.</w:t>
            </w:r>
          </w:p>
          <w:p w14:paraId="4DC9614A" w14:textId="77777777" w:rsidR="0073146C" w:rsidRDefault="0073146C" w:rsidP="00CB617A">
            <w:pPr>
              <w:spacing w:line="360" w:lineRule="auto"/>
              <w:jc w:val="both"/>
              <w:rPr>
                <w:rtl/>
              </w:rPr>
            </w:pPr>
          </w:p>
          <w:p w14:paraId="41A64061" w14:textId="77777777" w:rsidR="0073146C" w:rsidRPr="005F49C5" w:rsidRDefault="0073146C" w:rsidP="00CB617A">
            <w:pPr>
              <w:spacing w:line="360" w:lineRule="auto"/>
              <w:jc w:val="both"/>
              <w:rPr>
                <w:b/>
                <w:bCs/>
                <w:u w:val="single"/>
                <w:rtl/>
              </w:rPr>
            </w:pPr>
            <w:r w:rsidRPr="005F49C5">
              <w:rPr>
                <w:rFonts w:hint="cs"/>
                <w:b/>
                <w:bCs/>
                <w:u w:val="single"/>
                <w:rtl/>
              </w:rPr>
              <w:lastRenderedPageBreak/>
              <w:t>תסקיר שירות המבחן</w:t>
            </w:r>
          </w:p>
          <w:p w14:paraId="2200A3AE" w14:textId="77777777" w:rsidR="0073146C" w:rsidRDefault="0073146C" w:rsidP="00CB617A">
            <w:pPr>
              <w:pStyle w:val="ListParagraph"/>
              <w:numPr>
                <w:ilvl w:val="0"/>
                <w:numId w:val="1"/>
              </w:numPr>
              <w:spacing w:line="360" w:lineRule="auto"/>
              <w:jc w:val="both"/>
            </w:pPr>
            <w:r>
              <w:rPr>
                <w:rFonts w:hint="cs"/>
                <w:rtl/>
              </w:rPr>
              <w:t xml:space="preserve">מתסקיר שירות המבחן עולה כי הנאשם בן 67, גרוש, אב ל-4 ילדים, גר בגפו בשכירות, בעל השכלה של 12 שנות לימוד עם תעודת בגרות מלאה. הנאשם התגייס בגיל 18 לצבא ולאחר שירות החובה שירת במילואים עד גיל 37 בשירות תקין ויציב. כעת פנסיונר מזה 7 שנים. </w:t>
            </w:r>
          </w:p>
          <w:p w14:paraId="0D9406E8" w14:textId="77777777" w:rsidR="0073146C" w:rsidRDefault="0073146C" w:rsidP="00CB617A">
            <w:pPr>
              <w:pStyle w:val="ListParagraph"/>
              <w:numPr>
                <w:ilvl w:val="0"/>
                <w:numId w:val="1"/>
              </w:numPr>
              <w:spacing w:line="360" w:lineRule="auto"/>
              <w:jc w:val="both"/>
            </w:pPr>
            <w:r>
              <w:rPr>
                <w:rFonts w:hint="cs"/>
                <w:rtl/>
              </w:rPr>
              <w:t xml:space="preserve">הנאשם העיד על קשר מרוחק ומנוכר בין בני המשפחה כתוצאה מחינוך נוקשה שהעניקו לו הוריו, אשר לתפיסתו נבע מכך ששני הוריו ניצולי שואה. הנאשם מסר כי הוא מקיים קשר חם ותומך עם שלושת בניו והוסיף שעד היום הינו בקשר טוב ותומך עם גרושתו הראשונה, בעוד שגרושתו השנייה עזבה את הארץ עם בתם, ומאז לא מצוי עמן בקשר. הנאשם האשים עצמו בחוסר דאגה ומעקב אחריה. </w:t>
            </w:r>
          </w:p>
          <w:p w14:paraId="02D9AAB5" w14:textId="77777777" w:rsidR="0073146C" w:rsidRDefault="0073146C" w:rsidP="00CB617A">
            <w:pPr>
              <w:pStyle w:val="ListParagraph"/>
              <w:spacing w:line="360" w:lineRule="auto"/>
              <w:jc w:val="both"/>
            </w:pPr>
          </w:p>
          <w:p w14:paraId="73768C9C" w14:textId="77777777" w:rsidR="0073146C" w:rsidRDefault="0073146C" w:rsidP="00CB617A">
            <w:pPr>
              <w:pStyle w:val="ListParagraph"/>
              <w:numPr>
                <w:ilvl w:val="0"/>
                <w:numId w:val="1"/>
              </w:numPr>
              <w:spacing w:line="360" w:lineRule="auto"/>
              <w:jc w:val="both"/>
            </w:pPr>
            <w:r>
              <w:rPr>
                <w:rFonts w:hint="cs"/>
                <w:rtl/>
              </w:rPr>
              <w:t xml:space="preserve">בהתייחסו לעבירות נשוא הדיון, הנאשם לקח אחריות על ביצוען והבין את חומרת מעשיו. הנאשם מסר כי מאז חזרתו לארץ התקשה להשתלב חברתית ולהסתגל למנטליות הישראלית, העיד שהשימוש בסמים החל כאמצעי ליצור קשר ולהתמודד עם תחושת שעמום ובדידות, ולהכניס אפיק חיוני ומשוחרר לחייו, בעיקר בעקבות החינוך הנוקשה שקיבל בילדותו. </w:t>
            </w:r>
          </w:p>
          <w:p w14:paraId="25FD38FB" w14:textId="77777777" w:rsidR="0073146C" w:rsidRDefault="0073146C" w:rsidP="00CB617A">
            <w:pPr>
              <w:pStyle w:val="ListParagraph"/>
              <w:spacing w:line="360" w:lineRule="auto"/>
              <w:jc w:val="both"/>
            </w:pPr>
          </w:p>
          <w:p w14:paraId="7E7FCCC5" w14:textId="77777777" w:rsidR="0073146C" w:rsidRDefault="0073146C" w:rsidP="00CB617A">
            <w:pPr>
              <w:pStyle w:val="ListParagraph"/>
              <w:numPr>
                <w:ilvl w:val="0"/>
                <w:numId w:val="1"/>
              </w:numPr>
              <w:spacing w:line="360" w:lineRule="auto"/>
              <w:jc w:val="both"/>
            </w:pPr>
            <w:r>
              <w:rPr>
                <w:rFonts w:hint="cs"/>
                <w:rtl/>
              </w:rPr>
              <w:t xml:space="preserve">שירות המבחן התרשם כי הנאשם לא פיתח דפוס ממושך של סחר בסמים על רקע פלילי ומטרות רווח ועיסוקו הבעייתי נבע מצרכיו הרגשיים כמתואר, עמם התמודד באופן מכשיל. הנאשם הביע קושי רב בהתמודדות עם פתיחת התיק נגדו, הביע חרדה מגורלו, ובושה במיוחד מול בניו. העיד כי חוויית המעצר הייתה קשה עבורו וחריגה לאורח חייו. שירות המבחן הציע לנאשם להשתלב בטיפול קבוצתי אנאליטי במסגרת צו מבחן והנאשם הביע נכונות רבה לכך. במהלך האבחון, הנאשם התבקש למסור בדיקת שתן, שיצאה נקייה משרידי סם. </w:t>
            </w:r>
          </w:p>
          <w:p w14:paraId="07DFAEBC" w14:textId="77777777" w:rsidR="0073146C" w:rsidRDefault="0073146C" w:rsidP="00CB617A">
            <w:pPr>
              <w:pStyle w:val="ListParagraph"/>
              <w:spacing w:line="360" w:lineRule="auto"/>
              <w:jc w:val="both"/>
            </w:pPr>
          </w:p>
          <w:p w14:paraId="2B3F1DDE" w14:textId="77777777" w:rsidR="0073146C" w:rsidRDefault="0073146C" w:rsidP="00CB617A">
            <w:pPr>
              <w:pStyle w:val="ListParagraph"/>
              <w:numPr>
                <w:ilvl w:val="0"/>
                <w:numId w:val="1"/>
              </w:numPr>
              <w:spacing w:line="360" w:lineRule="auto"/>
              <w:jc w:val="both"/>
            </w:pPr>
            <w:r>
              <w:rPr>
                <w:rFonts w:hint="cs"/>
                <w:rtl/>
              </w:rPr>
              <w:t xml:space="preserve">שירות המבחן התרשם כי הנאשם אינו בעל דפוסי התנהגות עבריינים וכי רוב חייו ניהל באופן יציב לצד קשיים ביחסים בינאישיים. ניכר כי הינו בעל עמדות ערכיות ומוסריות תקינות וכי העבירה והמעצר חריגים למהלך חייו. עם זאת, שירות המבחן התרשם כי העבירה משקפת תקופה משברית בחייו, שבה חווה קשיי הסתגלות לצד משבר גיל. שירות המבחן התרשם כי הנאשם בחר לבצע את העבירה באופן מודע אך אימפולסיבי וילדותי, ומבלי לחשוב על השלכות מעשיו, עם זאת התרשם שירות המבחן כי הצער והבושה של הנאשם הינם כנים. </w:t>
            </w:r>
          </w:p>
          <w:p w14:paraId="2F6990A3" w14:textId="77777777" w:rsidR="0073146C" w:rsidRPr="00FE522D" w:rsidRDefault="0073146C" w:rsidP="00CB617A">
            <w:pPr>
              <w:pStyle w:val="ListParagraph"/>
              <w:spacing w:line="360" w:lineRule="auto"/>
              <w:jc w:val="both"/>
            </w:pPr>
          </w:p>
          <w:p w14:paraId="7FDE7F86" w14:textId="77777777" w:rsidR="0073146C" w:rsidRDefault="0073146C" w:rsidP="00CB617A">
            <w:pPr>
              <w:pStyle w:val="ListParagraph"/>
              <w:numPr>
                <w:ilvl w:val="0"/>
                <w:numId w:val="1"/>
              </w:numPr>
              <w:spacing w:line="360" w:lineRule="auto"/>
              <w:jc w:val="both"/>
            </w:pPr>
            <w:r>
              <w:rPr>
                <w:rFonts w:hint="cs"/>
                <w:rtl/>
              </w:rPr>
              <w:t xml:space="preserve">כגורמים מעלי סיכון, שירות המבחן לקח בחשבון את מעורבותו של הנאשם בביצוע העבירות נשוא הדיון וחומרתן, קשייו ביחסים בינאישיים, שימוש בסמים כאמצעי להתמודד עם מצוקותיו, לצד בדידות וגורמי תמיכה מועטים. </w:t>
            </w:r>
          </w:p>
          <w:p w14:paraId="15CF2E5E" w14:textId="77777777" w:rsidR="0073146C" w:rsidRPr="0076228B" w:rsidRDefault="0073146C" w:rsidP="00CB617A">
            <w:pPr>
              <w:pStyle w:val="ListParagraph"/>
              <w:spacing w:line="360" w:lineRule="auto"/>
              <w:jc w:val="both"/>
            </w:pPr>
          </w:p>
          <w:p w14:paraId="48329B33" w14:textId="77777777" w:rsidR="0073146C" w:rsidRDefault="0073146C" w:rsidP="00CB617A">
            <w:pPr>
              <w:pStyle w:val="ListParagraph"/>
              <w:numPr>
                <w:ilvl w:val="0"/>
                <w:numId w:val="1"/>
              </w:numPr>
              <w:spacing w:line="360" w:lineRule="auto"/>
              <w:jc w:val="both"/>
            </w:pPr>
            <w:r>
              <w:rPr>
                <w:rFonts w:hint="cs"/>
                <w:rtl/>
              </w:rPr>
              <w:lastRenderedPageBreak/>
              <w:t xml:space="preserve">כגורמים מעלי סיכוי, שירות המבחן לקח בחשבון את העובדה שזוהי מעורבותו הראשונה של הנאשם בפלילים; הנאשם נטל אחריות על ביצוע העבירות; הנאשם שיתף פעולה עם שירות המבחן ומכיר בנזקקותו הטיפולית לצד נכונותו להשתלב בטיפול. עוד שקל השירות את הרתיעה הממשית אותה ביטא הנאשם מההליך המשפטי שמתנהל נגדו, כמו גם שמחזיק בערכים ונורמות חברתיות תקינות והערכת שירות המבחן היא שביצוע העבירות אינו מושתת על דפוסי התנהגות עבריינים מושרשים. שירות המבחן לא התרשם מבעיית התמכרות הדורשת התערבות ייעודית. לאור האמור לעיל, שירות המבחן המליץ על העמדתו של הנאשם בצו מבחן למשך שנה. </w:t>
            </w:r>
          </w:p>
          <w:p w14:paraId="5878BF34" w14:textId="77777777" w:rsidR="0073146C" w:rsidRDefault="0073146C" w:rsidP="00CB617A">
            <w:pPr>
              <w:pStyle w:val="ListParagraph"/>
              <w:spacing w:line="360" w:lineRule="auto"/>
              <w:jc w:val="both"/>
            </w:pPr>
          </w:p>
          <w:p w14:paraId="2B4C1944" w14:textId="77777777" w:rsidR="0073146C" w:rsidRDefault="0073146C" w:rsidP="00CB617A">
            <w:pPr>
              <w:pStyle w:val="ListParagraph"/>
              <w:numPr>
                <w:ilvl w:val="0"/>
                <w:numId w:val="1"/>
              </w:numPr>
              <w:spacing w:line="360" w:lineRule="auto"/>
              <w:jc w:val="both"/>
              <w:rPr>
                <w:rtl/>
              </w:rPr>
            </w:pPr>
            <w:r>
              <w:rPr>
                <w:rFonts w:hint="cs"/>
                <w:rtl/>
              </w:rPr>
              <w:t xml:space="preserve">לצד זאת, שירות המבחן המליץ גם על ענישה קונקרטית, אך נוכח גילו המבוגר, בעיותיו הרפואיות, כאשר שירות המבחן לא התרשם מדפוסי התנהגות עברייניים מושרשים, בשל משאביו האישיים המדולדלים, והקשיים שעלולים לעלות במהלך ריצוי מאסר בעבודות שירות, כמו נסיגה במצבו הנפשי וההתגברות תחושות דכדוך וייאוש, המליץ שירות המבחן על חלופה ענישתית בדרך של הטלת צו של"צ בהיקף של 250 שעות. </w:t>
            </w:r>
          </w:p>
          <w:p w14:paraId="21720458" w14:textId="77777777" w:rsidR="0073146C" w:rsidRDefault="0073146C" w:rsidP="00CB617A">
            <w:pPr>
              <w:spacing w:line="360" w:lineRule="auto"/>
              <w:jc w:val="both"/>
              <w:rPr>
                <w:rtl/>
              </w:rPr>
            </w:pPr>
          </w:p>
          <w:p w14:paraId="2E1D781D" w14:textId="77777777" w:rsidR="0073146C" w:rsidRPr="005F49C5" w:rsidRDefault="0073146C" w:rsidP="00CB617A">
            <w:pPr>
              <w:spacing w:line="360" w:lineRule="auto"/>
              <w:jc w:val="both"/>
              <w:rPr>
                <w:b/>
                <w:bCs/>
                <w:u w:val="single"/>
                <w:rtl/>
              </w:rPr>
            </w:pPr>
            <w:r w:rsidRPr="005F49C5">
              <w:rPr>
                <w:rFonts w:hint="cs"/>
                <w:b/>
                <w:bCs/>
                <w:u w:val="single"/>
                <w:rtl/>
              </w:rPr>
              <w:t xml:space="preserve">חוות דעת ממונה </w:t>
            </w:r>
          </w:p>
          <w:p w14:paraId="3B95C9B3" w14:textId="77777777" w:rsidR="0073146C" w:rsidRDefault="0073146C" w:rsidP="00CB617A">
            <w:pPr>
              <w:pStyle w:val="ListParagraph"/>
              <w:numPr>
                <w:ilvl w:val="0"/>
                <w:numId w:val="1"/>
              </w:numPr>
              <w:spacing w:line="360" w:lineRule="auto"/>
              <w:jc w:val="both"/>
              <w:rPr>
                <w:rtl/>
              </w:rPr>
            </w:pPr>
            <w:r>
              <w:rPr>
                <w:rFonts w:hint="cs"/>
                <w:rtl/>
              </w:rPr>
              <w:t xml:space="preserve">מהודעת הממונה על עבודות השירות מיום 04/05/17 עולה כי הנאשם התייצב לראיון התאמה והשמה ביום 30/04/17 ונמצא מתאים לריצוי מאסר בדרך של עבודות שירות. מועד תחילת ריצוי 13/7/17 בבית אבות משען נ.אפקה, ברחוב שלונסקי 6 בתל אביב.  </w:t>
            </w:r>
          </w:p>
          <w:p w14:paraId="7C67B7B5" w14:textId="77777777" w:rsidR="0073146C" w:rsidRPr="005F49C5" w:rsidRDefault="0073146C" w:rsidP="00CB617A">
            <w:pPr>
              <w:spacing w:line="360" w:lineRule="auto"/>
              <w:jc w:val="both"/>
              <w:rPr>
                <w:b/>
                <w:bCs/>
                <w:u w:val="single"/>
                <w:rtl/>
              </w:rPr>
            </w:pPr>
          </w:p>
          <w:p w14:paraId="31FF993C" w14:textId="77777777" w:rsidR="0073146C" w:rsidRPr="005F49C5" w:rsidRDefault="0073146C" w:rsidP="00CB617A">
            <w:pPr>
              <w:spacing w:line="360" w:lineRule="auto"/>
              <w:jc w:val="both"/>
              <w:rPr>
                <w:b/>
                <w:bCs/>
                <w:u w:val="single"/>
                <w:rtl/>
              </w:rPr>
            </w:pPr>
            <w:r w:rsidRPr="005F49C5">
              <w:rPr>
                <w:rFonts w:hint="cs"/>
                <w:b/>
                <w:bCs/>
                <w:u w:val="single"/>
                <w:rtl/>
              </w:rPr>
              <w:t>עמדת המאשימה</w:t>
            </w:r>
          </w:p>
          <w:p w14:paraId="35A65DA7" w14:textId="77777777" w:rsidR="0073146C" w:rsidRDefault="0073146C" w:rsidP="00CB617A">
            <w:pPr>
              <w:pStyle w:val="ListParagraph"/>
              <w:numPr>
                <w:ilvl w:val="0"/>
                <w:numId w:val="1"/>
              </w:numPr>
              <w:spacing w:line="360" w:lineRule="auto"/>
              <w:jc w:val="both"/>
            </w:pPr>
            <w:r>
              <w:rPr>
                <w:rFonts w:hint="cs"/>
                <w:rtl/>
              </w:rPr>
              <w:t xml:space="preserve">עמדת המאשימה המקורית היתה למתחם ענישה שנע בין 6 חודשים מאסר ל-12 חודשים ועתרה לענישה של 6 חודשי מאסר בפועל, שלא בעבודות שירות, מאסר על תנאי, קנס ופסילת רשיון נהיגה. עוד סוכם כי ב"כ הנאשם יוכל לטעון באופן חופשי. </w:t>
            </w:r>
          </w:p>
          <w:p w14:paraId="4A6394C0" w14:textId="77777777" w:rsidR="0073146C" w:rsidRPr="0061182D" w:rsidRDefault="0073146C" w:rsidP="00CB617A">
            <w:pPr>
              <w:pStyle w:val="ListParagraph"/>
              <w:spacing w:line="360" w:lineRule="auto"/>
              <w:jc w:val="both"/>
            </w:pPr>
          </w:p>
          <w:p w14:paraId="694E75B8" w14:textId="77777777" w:rsidR="0073146C" w:rsidRDefault="0073146C" w:rsidP="00CB617A">
            <w:pPr>
              <w:pStyle w:val="ListParagraph"/>
              <w:numPr>
                <w:ilvl w:val="0"/>
                <w:numId w:val="1"/>
              </w:numPr>
              <w:spacing w:line="360" w:lineRule="auto"/>
              <w:jc w:val="both"/>
            </w:pPr>
            <w:r>
              <w:rPr>
                <w:rFonts w:hint="cs"/>
                <w:rtl/>
              </w:rPr>
              <w:t xml:space="preserve">עם זאת, נוכח התסקיר החיובי שהתקבל והתאמתו של הנאשם לביצוע עבודות שירות, מיתנה המאשימה את עמדתה העונשית וכעת עתרה לעונש של ששה חודשי מאסר אשר אפשר שירוצו בעבודות שירות, זאת לצד קנס ופסילת רשיון הנהיגה בפועל ועל תנאי. </w:t>
            </w:r>
          </w:p>
          <w:p w14:paraId="02070A3C" w14:textId="77777777" w:rsidR="0073146C" w:rsidRPr="00FE522D" w:rsidRDefault="0073146C" w:rsidP="00CB617A">
            <w:pPr>
              <w:pStyle w:val="ListParagraph"/>
              <w:spacing w:line="360" w:lineRule="auto"/>
              <w:jc w:val="both"/>
            </w:pPr>
          </w:p>
          <w:p w14:paraId="632052F9" w14:textId="77777777" w:rsidR="0073146C" w:rsidRDefault="0073146C" w:rsidP="00CB617A">
            <w:pPr>
              <w:pStyle w:val="ListParagraph"/>
              <w:numPr>
                <w:ilvl w:val="0"/>
                <w:numId w:val="1"/>
              </w:numPr>
              <w:spacing w:line="360" w:lineRule="auto"/>
              <w:jc w:val="both"/>
            </w:pPr>
            <w:r>
              <w:rPr>
                <w:rFonts w:hint="cs"/>
                <w:rtl/>
              </w:rPr>
              <w:t>ב"כ המאשימה הפנה בטיעוניו לכך שעקרון ההלימה אינו מאפשר להסתפק בצו מבחן ושל"צ וזאת בשים לב לחומרת העבירות המיוחסות לנאשם והעדר היבט שיקומי נוכח גילו.</w:t>
            </w:r>
          </w:p>
          <w:p w14:paraId="6A1BF69E" w14:textId="77777777" w:rsidR="0073146C" w:rsidRPr="00FE522D" w:rsidRDefault="0073146C" w:rsidP="00CB617A">
            <w:pPr>
              <w:pStyle w:val="ListParagraph"/>
              <w:spacing w:line="360" w:lineRule="auto"/>
              <w:jc w:val="both"/>
            </w:pPr>
          </w:p>
          <w:p w14:paraId="4DD10C46" w14:textId="77777777" w:rsidR="0073146C" w:rsidRPr="005F49C5" w:rsidRDefault="0073146C" w:rsidP="00CB617A">
            <w:pPr>
              <w:spacing w:line="360" w:lineRule="auto"/>
              <w:jc w:val="both"/>
              <w:rPr>
                <w:b/>
                <w:bCs/>
                <w:u w:val="single"/>
              </w:rPr>
            </w:pPr>
            <w:r w:rsidRPr="005F49C5">
              <w:rPr>
                <w:rFonts w:hint="cs"/>
                <w:b/>
                <w:bCs/>
                <w:u w:val="single"/>
                <w:rtl/>
              </w:rPr>
              <w:t>עמדת ההגנה</w:t>
            </w:r>
          </w:p>
          <w:p w14:paraId="67D0C373" w14:textId="77777777" w:rsidR="0073146C" w:rsidRDefault="0073146C" w:rsidP="00CB617A">
            <w:pPr>
              <w:pStyle w:val="ListParagraph"/>
              <w:numPr>
                <w:ilvl w:val="0"/>
                <w:numId w:val="1"/>
              </w:numPr>
              <w:spacing w:line="360" w:lineRule="auto"/>
              <w:jc w:val="both"/>
            </w:pPr>
            <w:r>
              <w:rPr>
                <w:rFonts w:hint="cs"/>
                <w:rtl/>
              </w:rPr>
              <w:t xml:space="preserve">ב"כ הנאשם ביקש כי בית המשפט יאמץ את עמדת שירות המבחן ויטיל על הנאשם של"צ לצד צו מבחן בן 12 חודשים. </w:t>
            </w:r>
          </w:p>
          <w:p w14:paraId="4EE713CE" w14:textId="77777777" w:rsidR="0073146C" w:rsidRPr="0061182D" w:rsidRDefault="0073146C" w:rsidP="00CB617A">
            <w:pPr>
              <w:pStyle w:val="ListParagraph"/>
              <w:spacing w:line="360" w:lineRule="auto"/>
              <w:jc w:val="both"/>
            </w:pPr>
          </w:p>
          <w:p w14:paraId="11EF9770" w14:textId="77777777" w:rsidR="0073146C" w:rsidRDefault="0073146C" w:rsidP="00CB617A">
            <w:pPr>
              <w:pStyle w:val="ListParagraph"/>
              <w:numPr>
                <w:ilvl w:val="0"/>
                <w:numId w:val="1"/>
              </w:numPr>
              <w:spacing w:line="360" w:lineRule="auto"/>
              <w:jc w:val="both"/>
            </w:pPr>
            <w:r>
              <w:rPr>
                <w:rFonts w:hint="cs"/>
                <w:rtl/>
              </w:rPr>
              <w:t xml:space="preserve">ב"כ הנאשם הפנה לכך שמדובר במעידה חד פעמית של נאשם שאינו צעיר. הנאשם נמצא בפנסיה מזה כשבע שנים, והאירוע התרחש על רקע תקופה משברית בחייו ומהווה עבורו גורם מרתיע ולא פשוט כלל, בעיקר מול בני משפחתו. </w:t>
            </w:r>
          </w:p>
          <w:p w14:paraId="2F914FBF" w14:textId="77777777" w:rsidR="0073146C" w:rsidRPr="0061182D" w:rsidRDefault="0073146C" w:rsidP="00CB617A">
            <w:pPr>
              <w:spacing w:line="360" w:lineRule="auto"/>
              <w:jc w:val="both"/>
            </w:pPr>
          </w:p>
          <w:p w14:paraId="74AD24BB" w14:textId="77777777" w:rsidR="0073146C" w:rsidRDefault="0073146C" w:rsidP="00CB617A">
            <w:pPr>
              <w:pStyle w:val="ListParagraph"/>
              <w:numPr>
                <w:ilvl w:val="0"/>
                <w:numId w:val="1"/>
              </w:numPr>
              <w:spacing w:line="360" w:lineRule="auto"/>
              <w:jc w:val="both"/>
            </w:pPr>
            <w:r>
              <w:rPr>
                <w:rFonts w:hint="cs"/>
                <w:rtl/>
              </w:rPr>
              <w:t xml:space="preserve">ב"כ הנאשם, בדומה לב"כ המאשימה,  הפנה לפסיקה אותה הגיש לבית המשפט ועל בסיסה, כמו גם על בסיס האמור בתסקיר ויתר הטיעונים שהוצגו, עתר לשל"צ ומבחן בלבד.  </w:t>
            </w:r>
          </w:p>
          <w:p w14:paraId="31670BAD" w14:textId="77777777" w:rsidR="0073146C" w:rsidRDefault="0073146C" w:rsidP="00CB617A">
            <w:pPr>
              <w:spacing w:line="360" w:lineRule="auto"/>
              <w:ind w:left="360"/>
              <w:jc w:val="both"/>
              <w:rPr>
                <w:rtl/>
              </w:rPr>
            </w:pPr>
          </w:p>
          <w:p w14:paraId="5937BB7F" w14:textId="77777777" w:rsidR="0073146C" w:rsidRPr="005F49C5" w:rsidRDefault="0073146C" w:rsidP="00CB617A">
            <w:pPr>
              <w:spacing w:line="360" w:lineRule="auto"/>
              <w:jc w:val="both"/>
              <w:rPr>
                <w:b/>
                <w:bCs/>
                <w:u w:val="single"/>
                <w:rtl/>
              </w:rPr>
            </w:pPr>
            <w:r w:rsidRPr="005F49C5">
              <w:rPr>
                <w:rFonts w:hint="cs"/>
                <w:b/>
                <w:bCs/>
                <w:u w:val="single"/>
                <w:rtl/>
              </w:rPr>
              <w:t>הנאשם</w:t>
            </w:r>
          </w:p>
          <w:p w14:paraId="4A20D433" w14:textId="77777777" w:rsidR="0073146C" w:rsidRDefault="0073146C" w:rsidP="00CB617A">
            <w:pPr>
              <w:pStyle w:val="ListParagraph"/>
              <w:numPr>
                <w:ilvl w:val="0"/>
                <w:numId w:val="1"/>
              </w:numPr>
              <w:spacing w:line="360" w:lineRule="auto"/>
              <w:jc w:val="both"/>
            </w:pPr>
            <w:r>
              <w:rPr>
                <w:rFonts w:hint="cs"/>
                <w:rtl/>
              </w:rPr>
              <w:t xml:space="preserve">אחרון לדבר היה הנאשם, אשר ביטא חרטה כנה נוכח מעשיו ונטל אחריות מלאה על מעשיו. הנאשם דיבר על המחיר הכבד שהוא ומשפחתו משלמים נוכח מעשיו, ועל התחושה שמלווה אותו בהליך המשפטי בכלל ונוכח עמדתה העונשית של המאשימה בפרט. לבסוף סיפר הנאשם על עברו הצבאי ועל תרומתו למדינה וביקש שבפעם היחידה שהוא פונה אל המדינה תתחשב גם היא בו ותקל עמו. </w:t>
            </w:r>
          </w:p>
          <w:p w14:paraId="687972EE" w14:textId="77777777" w:rsidR="0073146C" w:rsidRPr="005F49C5" w:rsidRDefault="0073146C" w:rsidP="00CB617A">
            <w:pPr>
              <w:spacing w:line="360" w:lineRule="auto"/>
              <w:jc w:val="both"/>
              <w:rPr>
                <w:b/>
                <w:bCs/>
                <w:u w:val="single"/>
                <w:rtl/>
              </w:rPr>
            </w:pPr>
            <w:r w:rsidRPr="005F49C5">
              <w:rPr>
                <w:rFonts w:hint="cs"/>
                <w:b/>
                <w:bCs/>
                <w:u w:val="single"/>
                <w:rtl/>
              </w:rPr>
              <w:t xml:space="preserve"> </w:t>
            </w:r>
          </w:p>
          <w:p w14:paraId="163AFC77" w14:textId="77777777" w:rsidR="0073146C" w:rsidRPr="005F49C5" w:rsidRDefault="0073146C" w:rsidP="00CB617A">
            <w:pPr>
              <w:spacing w:line="360" w:lineRule="auto"/>
              <w:jc w:val="both"/>
              <w:rPr>
                <w:b/>
                <w:bCs/>
                <w:u w:val="single"/>
                <w:rtl/>
              </w:rPr>
            </w:pPr>
            <w:r w:rsidRPr="005F49C5">
              <w:rPr>
                <w:rFonts w:hint="cs"/>
                <w:b/>
                <w:bCs/>
                <w:u w:val="single"/>
                <w:rtl/>
              </w:rPr>
              <w:t>דיון והכרעה</w:t>
            </w:r>
          </w:p>
          <w:p w14:paraId="6FF41933" w14:textId="77777777" w:rsidR="0073146C" w:rsidRDefault="0073146C" w:rsidP="00CB617A">
            <w:pPr>
              <w:pStyle w:val="ListParagraph"/>
              <w:numPr>
                <w:ilvl w:val="0"/>
                <w:numId w:val="1"/>
              </w:numPr>
              <w:spacing w:line="360" w:lineRule="auto"/>
              <w:jc w:val="both"/>
            </w:pPr>
            <w:r>
              <w:rPr>
                <w:rFonts w:hint="cs"/>
                <w:rtl/>
              </w:rPr>
              <w:t xml:space="preserve">לשם קביעת עונשו של נאשם על בית המשפט להתחשב בעקרון המנחה בענישה שהוא עקרון ההלימה שמשמעותו קיום יחס הולם בין חומרת העבירה בה הורשע הנאשם לבין סוג ומידת העונש שיוטל עליו. </w:t>
            </w:r>
          </w:p>
          <w:p w14:paraId="0277ADAC" w14:textId="77777777" w:rsidR="0073146C" w:rsidRDefault="0073146C" w:rsidP="00CB617A">
            <w:pPr>
              <w:pStyle w:val="ListParagraph"/>
              <w:spacing w:line="360" w:lineRule="auto"/>
              <w:jc w:val="both"/>
            </w:pPr>
          </w:p>
          <w:p w14:paraId="444E4194" w14:textId="77777777" w:rsidR="0073146C" w:rsidRDefault="0073146C" w:rsidP="00CB617A">
            <w:pPr>
              <w:pStyle w:val="ListParagraph"/>
              <w:numPr>
                <w:ilvl w:val="0"/>
                <w:numId w:val="1"/>
              </w:numPr>
              <w:spacing w:line="360" w:lineRule="auto"/>
              <w:jc w:val="both"/>
            </w:pPr>
            <w:r>
              <w:rPr>
                <w:rFonts w:hint="cs"/>
                <w:rtl/>
              </w:rPr>
              <w:t xml:space="preserve">בקביעת מתחם העונש ההולם את העבירות בהן הורשע הנאשם יש להתחשב בשלושה פרמטרים: הערכים החברתיים שנפגעו מביצוע העבירות ומידת הפגיעה בהם; מדיניות הענישה הנהוגה והנסיבות הקשורות בביצוע העבירות. </w:t>
            </w:r>
          </w:p>
          <w:p w14:paraId="0936970C" w14:textId="77777777" w:rsidR="0073146C" w:rsidRDefault="0073146C" w:rsidP="00CB617A">
            <w:pPr>
              <w:spacing w:line="360" w:lineRule="auto"/>
              <w:jc w:val="both"/>
              <w:rPr>
                <w:rtl/>
              </w:rPr>
            </w:pPr>
            <w:r w:rsidRPr="005F49C5">
              <w:rPr>
                <w:rFonts w:hint="cs"/>
                <w:u w:val="single"/>
                <w:rtl/>
              </w:rPr>
              <w:t>הערכים החברתיים שנפגעו כתוצאה ממעשיו של הנאשם והפגיעה בהם</w:t>
            </w:r>
            <w:r>
              <w:rPr>
                <w:rFonts w:hint="cs"/>
                <w:rtl/>
              </w:rPr>
              <w:t xml:space="preserve"> </w:t>
            </w:r>
          </w:p>
          <w:p w14:paraId="0E4D6E65" w14:textId="77777777" w:rsidR="0073146C" w:rsidRDefault="0073146C" w:rsidP="00CB617A">
            <w:pPr>
              <w:pStyle w:val="ListParagraph"/>
              <w:numPr>
                <w:ilvl w:val="0"/>
                <w:numId w:val="1"/>
              </w:numPr>
              <w:spacing w:line="360" w:lineRule="auto"/>
              <w:jc w:val="both"/>
            </w:pPr>
            <w:r>
              <w:rPr>
                <w:rFonts w:hint="cs"/>
                <w:rtl/>
              </w:rPr>
              <w:t xml:space="preserve">אין מחלוקת כי הנאשם מכר בהזדמנות אחת סמים מסוג קנבוס, וזאת בתמורה לסך של 1000 ₪. מדובר בעסקת מכירה אחת של נאשם בן 67 לאדם אחר צעיר ממנו בשנים רבות. מכאן שהערכים החברתיים אשר נפגעו כתוצאה ממעשיו של הנאשם הינם ההגנה על המשתמשים בסמים מסוכנים והנזקים הכלכליים העקיפים שהינם פועל יוצא של סחר בסמים. </w:t>
            </w:r>
          </w:p>
          <w:p w14:paraId="4B90D3A9" w14:textId="77777777" w:rsidR="0073146C" w:rsidRPr="00D97698" w:rsidRDefault="0073146C" w:rsidP="00CB617A">
            <w:pPr>
              <w:pStyle w:val="ListParagraph"/>
              <w:spacing w:line="360" w:lineRule="auto"/>
              <w:jc w:val="both"/>
            </w:pPr>
          </w:p>
          <w:p w14:paraId="0E14D25D" w14:textId="77777777" w:rsidR="0073146C" w:rsidRDefault="0073146C" w:rsidP="00CB617A">
            <w:pPr>
              <w:pStyle w:val="ListParagraph"/>
              <w:numPr>
                <w:ilvl w:val="0"/>
                <w:numId w:val="1"/>
              </w:numPr>
              <w:spacing w:line="360" w:lineRule="auto"/>
              <w:jc w:val="both"/>
            </w:pPr>
            <w:r>
              <w:rPr>
                <w:rFonts w:hint="cs"/>
                <w:rtl/>
              </w:rPr>
              <w:t>בעניין זה נקבע ב</w:t>
            </w:r>
            <w:hyperlink r:id="rId14" w:history="1">
              <w:r w:rsidR="00CB617A" w:rsidRPr="00CB617A">
                <w:rPr>
                  <w:rStyle w:val="Hyperlink"/>
                  <w:rFonts w:hint="eastAsia"/>
                  <w:rtl/>
                </w:rPr>
                <w:t>ע</w:t>
              </w:r>
              <w:r w:rsidR="00CB617A" w:rsidRPr="00CB617A">
                <w:rPr>
                  <w:rStyle w:val="Hyperlink"/>
                  <w:rtl/>
                </w:rPr>
                <w:t>"פ 6990/13</w:t>
              </w:r>
            </w:hyperlink>
            <w:r>
              <w:rPr>
                <w:rFonts w:hint="cs"/>
                <w:rtl/>
              </w:rPr>
              <w:t xml:space="preserve"> </w:t>
            </w:r>
            <w:r w:rsidRPr="005F49C5">
              <w:rPr>
                <w:rFonts w:hint="cs"/>
                <w:b/>
                <w:bCs/>
                <w:rtl/>
              </w:rPr>
              <w:t>ח'טיב נגד מ"י</w:t>
            </w:r>
            <w:r>
              <w:rPr>
                <w:rFonts w:hint="cs"/>
                <w:rtl/>
              </w:rPr>
              <w:t xml:space="preserve"> כך:</w:t>
            </w:r>
          </w:p>
          <w:p w14:paraId="4FD6F6B4" w14:textId="77777777" w:rsidR="0073146C" w:rsidRPr="005F49C5" w:rsidRDefault="0073146C" w:rsidP="00CB617A">
            <w:pPr>
              <w:spacing w:line="360" w:lineRule="auto"/>
              <w:jc w:val="both"/>
              <w:rPr>
                <w:b/>
                <w:bCs/>
                <w:sz w:val="20"/>
                <w:szCs w:val="20"/>
                <w:rtl/>
              </w:rPr>
            </w:pPr>
            <w:r>
              <w:rPr>
                <w:rFonts w:hint="cs"/>
                <w:rtl/>
              </w:rPr>
              <w:t xml:space="preserve">                             </w:t>
            </w:r>
            <w:r w:rsidRPr="005F49C5">
              <w:rPr>
                <w:rFonts w:hint="cs"/>
                <w:b/>
                <w:bCs/>
                <w:sz w:val="20"/>
                <w:szCs w:val="20"/>
                <w:rtl/>
              </w:rPr>
              <w:t xml:space="preserve">"גם הערכים המוגנים הנפגעים מעבירות הסמים שבהם הורשעו הנאשמים שלפנינו, כל אחד לפי </w:t>
            </w:r>
          </w:p>
          <w:p w14:paraId="04C324B8" w14:textId="77777777" w:rsidR="0073146C" w:rsidRPr="005F49C5" w:rsidRDefault="0073146C" w:rsidP="00CB617A">
            <w:pPr>
              <w:spacing w:line="360" w:lineRule="auto"/>
              <w:jc w:val="both"/>
              <w:rPr>
                <w:b/>
                <w:bCs/>
                <w:sz w:val="20"/>
                <w:szCs w:val="20"/>
                <w:rtl/>
              </w:rPr>
            </w:pPr>
            <w:r w:rsidRPr="005F49C5">
              <w:rPr>
                <w:rFonts w:hint="cs"/>
                <w:b/>
                <w:bCs/>
                <w:sz w:val="20"/>
                <w:szCs w:val="20"/>
                <w:rtl/>
              </w:rPr>
              <w:t xml:space="preserve">                                      חלקו, אינם מבוטלים כלל ועיקר. בית משפט זה הצביע בפסקי דין רבים על התוצאות הקשות </w:t>
            </w:r>
          </w:p>
          <w:p w14:paraId="4D646BB4" w14:textId="77777777" w:rsidR="0073146C" w:rsidRPr="005F49C5" w:rsidRDefault="0073146C" w:rsidP="00CB617A">
            <w:pPr>
              <w:spacing w:line="360" w:lineRule="auto"/>
              <w:jc w:val="both"/>
              <w:rPr>
                <w:b/>
                <w:bCs/>
                <w:sz w:val="20"/>
                <w:szCs w:val="20"/>
                <w:rtl/>
              </w:rPr>
            </w:pPr>
            <w:r w:rsidRPr="005F49C5">
              <w:rPr>
                <w:rFonts w:hint="cs"/>
                <w:b/>
                <w:bCs/>
                <w:sz w:val="20"/>
                <w:szCs w:val="20"/>
                <w:rtl/>
              </w:rPr>
              <w:t xml:space="preserve">                                      וההרסניות הנגרמות בעקבות הפצת סמים מסוכנים, ובמיוחד הקשים שביניהם. קשה להגזים                   </w:t>
            </w:r>
          </w:p>
          <w:p w14:paraId="2084AF76" w14:textId="77777777" w:rsidR="0073146C" w:rsidRPr="005F49C5" w:rsidRDefault="0073146C" w:rsidP="00CB617A">
            <w:pPr>
              <w:spacing w:line="360" w:lineRule="auto"/>
              <w:jc w:val="both"/>
              <w:rPr>
                <w:b/>
                <w:bCs/>
                <w:sz w:val="20"/>
                <w:szCs w:val="20"/>
                <w:rtl/>
              </w:rPr>
            </w:pPr>
            <w:r w:rsidRPr="005F49C5">
              <w:rPr>
                <w:rFonts w:hint="cs"/>
                <w:b/>
                <w:bCs/>
                <w:sz w:val="20"/>
                <w:szCs w:val="20"/>
                <w:rtl/>
              </w:rPr>
              <w:t xml:space="preserve">                                      בהערכת הנזק הנגרם מייצור, הפצה, בחר ושימוש בסמים. נזק ממוני, גופני ונפשי, המקיף את </w:t>
            </w:r>
          </w:p>
          <w:p w14:paraId="1D4BF7E5" w14:textId="77777777" w:rsidR="0073146C" w:rsidRPr="005F49C5" w:rsidRDefault="0073146C" w:rsidP="00CB617A">
            <w:pPr>
              <w:spacing w:line="360" w:lineRule="auto"/>
              <w:jc w:val="both"/>
              <w:rPr>
                <w:b/>
                <w:bCs/>
                <w:sz w:val="20"/>
                <w:szCs w:val="20"/>
                <w:rtl/>
              </w:rPr>
            </w:pPr>
            <w:r w:rsidRPr="005F49C5">
              <w:rPr>
                <w:rFonts w:hint="cs"/>
                <w:b/>
                <w:bCs/>
                <w:sz w:val="20"/>
                <w:szCs w:val="20"/>
                <w:rtl/>
              </w:rPr>
              <w:t xml:space="preserve">                                      החברה בכלולותה, ואיננו נעצר במשתמש או במעורבים הישירים בביצתוע העבירות"</w:t>
            </w:r>
          </w:p>
          <w:p w14:paraId="0671BE3F" w14:textId="77777777" w:rsidR="0073146C" w:rsidRPr="005F49C5" w:rsidRDefault="0073146C" w:rsidP="00CB617A">
            <w:pPr>
              <w:spacing w:line="360" w:lineRule="auto"/>
              <w:jc w:val="both"/>
              <w:rPr>
                <w:b/>
                <w:bCs/>
                <w:sz w:val="20"/>
                <w:szCs w:val="20"/>
              </w:rPr>
            </w:pPr>
          </w:p>
          <w:p w14:paraId="549C3740" w14:textId="77777777" w:rsidR="0073146C" w:rsidRDefault="0073146C" w:rsidP="00CB617A">
            <w:pPr>
              <w:pStyle w:val="ListParagraph"/>
              <w:numPr>
                <w:ilvl w:val="0"/>
                <w:numId w:val="1"/>
              </w:numPr>
              <w:spacing w:line="360" w:lineRule="auto"/>
              <w:jc w:val="both"/>
            </w:pPr>
            <w:r>
              <w:rPr>
                <w:rFonts w:hint="cs"/>
                <w:rtl/>
              </w:rPr>
              <w:t xml:space="preserve">בעניינו, מידת הפגיעה בערכים המוגנים היא משמעותית, אולם יש לזכור כי אין המדובר בפגיעה המצויה ברף הגבוה מסוג עבירות אלה, שכן עסקינן בסחר בסם מסוג קנבוס, שאמנם גם הסחר בו פוגע בערכים חברתיים מוגנים, אך לא ניתן להשוות פגיעה זו לפגיעה הנגרמת מסחר בסמים מסוגים אחרים, אשר אינם נחשבים לסמים "קלים". </w:t>
            </w:r>
          </w:p>
          <w:p w14:paraId="08006D37" w14:textId="77777777" w:rsidR="0073146C" w:rsidRDefault="0073146C" w:rsidP="00CB617A">
            <w:pPr>
              <w:pStyle w:val="ListParagraph"/>
              <w:spacing w:line="360" w:lineRule="auto"/>
              <w:jc w:val="both"/>
            </w:pPr>
          </w:p>
          <w:p w14:paraId="136A9E17" w14:textId="77777777" w:rsidR="0073146C" w:rsidRDefault="0073146C" w:rsidP="00CB617A">
            <w:pPr>
              <w:pStyle w:val="ListParagraph"/>
              <w:numPr>
                <w:ilvl w:val="0"/>
                <w:numId w:val="1"/>
              </w:numPr>
              <w:spacing w:line="360" w:lineRule="auto"/>
              <w:jc w:val="both"/>
            </w:pPr>
            <w:r>
              <w:rPr>
                <w:rFonts w:hint="cs"/>
                <w:rtl/>
              </w:rPr>
              <w:t xml:space="preserve">יפים לעניין זה דברי בית המשפט העליון בע"פ 407/97 </w:t>
            </w:r>
            <w:r w:rsidRPr="005F49C5">
              <w:rPr>
                <w:rFonts w:hint="cs"/>
                <w:b/>
                <w:bCs/>
                <w:rtl/>
              </w:rPr>
              <w:t>אמויאל נ' מדינת ישראל</w:t>
            </w:r>
          </w:p>
          <w:p w14:paraId="7C3F9A4A" w14:textId="77777777" w:rsidR="0073146C" w:rsidRPr="005F49C5" w:rsidRDefault="0073146C" w:rsidP="00CB617A">
            <w:pPr>
              <w:pStyle w:val="ListParagraph"/>
              <w:spacing w:line="360" w:lineRule="auto"/>
              <w:jc w:val="both"/>
              <w:rPr>
                <w:b/>
                <w:bCs/>
                <w:sz w:val="20"/>
                <w:szCs w:val="20"/>
                <w:rtl/>
              </w:rPr>
            </w:pPr>
            <w:r>
              <w:rPr>
                <w:rFonts w:hint="cs"/>
                <w:rtl/>
              </w:rPr>
              <w:t xml:space="preserve">                 </w:t>
            </w:r>
            <w:r w:rsidRPr="005F49C5">
              <w:rPr>
                <w:rFonts w:hint="cs"/>
                <w:b/>
                <w:bCs/>
                <w:sz w:val="20"/>
                <w:szCs w:val="20"/>
                <w:rtl/>
              </w:rPr>
              <w:t xml:space="preserve">"המאבק בהפצת הסמים כולל גם הפצתם של סמים קלים יחסית, דוגמת הקנבוס; ולמיותר יהיה  </w:t>
            </w:r>
          </w:p>
          <w:p w14:paraId="2F0F0318"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להזכיר את המעבר הקל </w:t>
            </w:r>
            <w:r w:rsidRPr="005F49C5">
              <w:rPr>
                <w:b/>
                <w:bCs/>
                <w:sz w:val="20"/>
                <w:szCs w:val="20"/>
                <w:rtl/>
              </w:rPr>
              <w:t>–</w:t>
            </w:r>
            <w:r w:rsidRPr="005F49C5">
              <w:rPr>
                <w:rFonts w:hint="cs"/>
                <w:b/>
                <w:bCs/>
                <w:sz w:val="20"/>
                <w:szCs w:val="20"/>
                <w:rtl/>
              </w:rPr>
              <w:t xml:space="preserve"> והטבעי </w:t>
            </w:r>
            <w:r w:rsidRPr="005F49C5">
              <w:rPr>
                <w:b/>
                <w:bCs/>
                <w:sz w:val="20"/>
                <w:szCs w:val="20"/>
                <w:rtl/>
              </w:rPr>
              <w:t>–</w:t>
            </w:r>
            <w:r w:rsidRPr="005F49C5">
              <w:rPr>
                <w:rFonts w:hint="cs"/>
                <w:b/>
                <w:bCs/>
                <w:sz w:val="20"/>
                <w:szCs w:val="20"/>
                <w:rtl/>
              </w:rPr>
              <w:t xml:space="preserve"> מצריכתם של סמים קלים לכבדים יותר"</w:t>
            </w:r>
          </w:p>
          <w:p w14:paraId="6DF66D15" w14:textId="77777777" w:rsidR="0073146C" w:rsidRPr="005F49C5" w:rsidRDefault="0073146C" w:rsidP="00CB617A">
            <w:pPr>
              <w:pStyle w:val="ListParagraph"/>
              <w:spacing w:line="360" w:lineRule="auto"/>
              <w:jc w:val="both"/>
              <w:rPr>
                <w:b/>
                <w:bCs/>
                <w:sz w:val="20"/>
                <w:szCs w:val="20"/>
              </w:rPr>
            </w:pPr>
          </w:p>
          <w:p w14:paraId="21C3B5C4" w14:textId="77777777" w:rsidR="0073146C" w:rsidRDefault="0073146C" w:rsidP="00CB617A">
            <w:pPr>
              <w:pStyle w:val="ListParagraph"/>
              <w:numPr>
                <w:ilvl w:val="0"/>
                <w:numId w:val="1"/>
              </w:numPr>
              <w:spacing w:line="360" w:lineRule="auto"/>
              <w:jc w:val="both"/>
            </w:pPr>
            <w:r>
              <w:rPr>
                <w:rFonts w:hint="cs"/>
                <w:rtl/>
              </w:rPr>
              <w:t xml:space="preserve">לצד זאת לא ניתן גם להתעלם מן העובדה שמדובר בעסקה אחת ויחידה עליה נותן הנאשם את הדין. סוגיה זו מקבלת משנה תוקף נוכח הפסיקה שהוגשה לי מטעם המאשימה, שם הטיל בית המשפט מאסר לתקופה של שמונה חדשים, וזאת בשים לב לכך שהנאשם שם הורשע במספר עסקאות. הנאשם שבפניי אמנם החזיק סם גם בביתו, אך בפועל הרשעתו בעבירת סחר, שהיא העבירה החמורה יותר, נוגעת לעסקה אחת בלבד. ושוב, די בעסקה אחת כדי לפגוע בערך המוגן, אולם בוודאי שאין פגיעה בגין עסקה אחת כפגיעה בגין מספר עסקאות על פני תקופה. </w:t>
            </w:r>
          </w:p>
          <w:p w14:paraId="6C20F2D9" w14:textId="77777777" w:rsidR="0073146C" w:rsidRDefault="0073146C" w:rsidP="00CB617A">
            <w:pPr>
              <w:pStyle w:val="ListParagraph"/>
              <w:spacing w:line="360" w:lineRule="auto"/>
              <w:jc w:val="both"/>
            </w:pPr>
          </w:p>
          <w:p w14:paraId="47115615" w14:textId="77777777" w:rsidR="0073146C" w:rsidRDefault="0073146C" w:rsidP="00CB617A">
            <w:pPr>
              <w:pStyle w:val="ListParagraph"/>
              <w:numPr>
                <w:ilvl w:val="0"/>
                <w:numId w:val="1"/>
              </w:numPr>
              <w:spacing w:line="360" w:lineRule="auto"/>
              <w:jc w:val="both"/>
            </w:pPr>
            <w:r>
              <w:rPr>
                <w:rFonts w:hint="cs"/>
                <w:rtl/>
              </w:rPr>
              <w:t>כאמור, הנאשם הורשע לא רק בעבירת סחר אלא גם בעבירה של החזקת סם שלא לצריכה עצמית. על הערך החברתי המוגן שנפגע מעבירה זו ניתן ללמוד מהאמור ב</w:t>
            </w:r>
            <w:hyperlink r:id="rId15" w:history="1">
              <w:r w:rsidR="00CB617A" w:rsidRPr="00CB617A">
                <w:rPr>
                  <w:rStyle w:val="Hyperlink"/>
                  <w:rFonts w:hint="eastAsia"/>
                  <w:rtl/>
                </w:rPr>
                <w:t>ע</w:t>
              </w:r>
              <w:r w:rsidR="00CB617A" w:rsidRPr="00CB617A">
                <w:rPr>
                  <w:rStyle w:val="Hyperlink"/>
                  <w:rtl/>
                </w:rPr>
                <w:t>"פ 211/09</w:t>
              </w:r>
            </w:hyperlink>
            <w:r>
              <w:rPr>
                <w:rFonts w:hint="cs"/>
                <w:rtl/>
              </w:rPr>
              <w:t xml:space="preserve"> </w:t>
            </w:r>
            <w:r w:rsidRPr="005F49C5">
              <w:rPr>
                <w:rFonts w:hint="cs"/>
                <w:b/>
                <w:bCs/>
                <w:rtl/>
              </w:rPr>
              <w:t>אזולאי נגד מדינת ישראל</w:t>
            </w:r>
            <w:r>
              <w:rPr>
                <w:rFonts w:hint="cs"/>
                <w:rtl/>
              </w:rPr>
              <w:t xml:space="preserve"> שם נקבע </w:t>
            </w:r>
          </w:p>
          <w:p w14:paraId="7F204927"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"על חומרתה המופלגת של עבירת החזקת סמים מסוכנים שלא לצריכה עצמית אין צורך להכביר      </w:t>
            </w:r>
          </w:p>
          <w:p w14:paraId="14A36218"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מילים... הענישה בעבירות מסוג זה נועדה, קודם כל, לשרת את מטרת הגמול לעבריין על עיסוק </w:t>
            </w:r>
          </w:p>
          <w:p w14:paraId="5AF6EF2F"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בסם העלול לסכן חיי אדם ולפגוע בבריאות המשתמשים בו; שנית, על העונש להעביר מסר חד </w:t>
            </w:r>
          </w:p>
          <w:p w14:paraId="4E42CE51"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משמעי של הרתעה ביחס לעבריינים פוטנציאליים, ולשמש אות אזהרה אפקטיבי לכל מי </w:t>
            </w:r>
          </w:p>
          <w:p w14:paraId="73F1D702"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שמתכוון לקחת חלק במערכת ההעברות והסחר בסמים, תהא אשר תהא הפונקציה הוא ממלא </w:t>
            </w:r>
          </w:p>
          <w:p w14:paraId="1FD262E9" w14:textId="77777777" w:rsidR="0073146C" w:rsidRPr="005F49C5" w:rsidRDefault="0073146C" w:rsidP="00CB617A">
            <w:pPr>
              <w:pStyle w:val="ListParagraph"/>
              <w:spacing w:line="360" w:lineRule="auto"/>
              <w:jc w:val="both"/>
              <w:rPr>
                <w:b/>
                <w:bCs/>
                <w:sz w:val="20"/>
                <w:szCs w:val="20"/>
                <w:rtl/>
              </w:rPr>
            </w:pPr>
            <w:r w:rsidRPr="005F49C5">
              <w:rPr>
                <w:rFonts w:hint="cs"/>
                <w:b/>
                <w:bCs/>
                <w:sz w:val="20"/>
                <w:szCs w:val="20"/>
                <w:rtl/>
              </w:rPr>
              <w:t xml:space="preserve">                      בשרשרשת זו של העבתר הסם מיד ליד".</w:t>
            </w:r>
          </w:p>
          <w:p w14:paraId="65294FCC" w14:textId="77777777" w:rsidR="0073146C" w:rsidRDefault="0073146C" w:rsidP="00CB617A">
            <w:pPr>
              <w:pStyle w:val="ListParagraph"/>
              <w:spacing w:line="360" w:lineRule="auto"/>
              <w:jc w:val="both"/>
            </w:pPr>
          </w:p>
          <w:p w14:paraId="7CE72610" w14:textId="77777777" w:rsidR="0073146C" w:rsidRDefault="0073146C" w:rsidP="00CB617A">
            <w:pPr>
              <w:pStyle w:val="ListParagraph"/>
              <w:numPr>
                <w:ilvl w:val="0"/>
                <w:numId w:val="1"/>
              </w:numPr>
              <w:spacing w:line="360" w:lineRule="auto"/>
              <w:jc w:val="both"/>
            </w:pPr>
            <w:r>
              <w:rPr>
                <w:rFonts w:hint="cs"/>
                <w:rtl/>
              </w:rPr>
              <w:t xml:space="preserve">לצד האמור לעיל, הרי שבמקרה שבפניי מדובר בהחזקת סם מסוכן מסוג קנבוס במשקל של 18.2399 גרם ומכאן שאין המדובר בכמות גדולה. לפיכך הפגיעה בערכים המוגנים הגם שקיימת אינה מן הגבוהות.  </w:t>
            </w:r>
          </w:p>
          <w:p w14:paraId="4AAC35AA" w14:textId="77777777" w:rsidR="0073146C" w:rsidRDefault="0073146C" w:rsidP="00CB617A">
            <w:pPr>
              <w:pStyle w:val="ListParagraph"/>
              <w:spacing w:line="360" w:lineRule="auto"/>
              <w:jc w:val="both"/>
              <w:rPr>
                <w:rtl/>
              </w:rPr>
            </w:pPr>
          </w:p>
          <w:p w14:paraId="4B938C5B" w14:textId="77777777" w:rsidR="0073146C" w:rsidRPr="005F49C5" w:rsidRDefault="0073146C" w:rsidP="00CB617A">
            <w:pPr>
              <w:spacing w:line="360" w:lineRule="auto"/>
              <w:jc w:val="both"/>
              <w:rPr>
                <w:u w:val="single"/>
              </w:rPr>
            </w:pPr>
            <w:r w:rsidRPr="005F49C5">
              <w:rPr>
                <w:rFonts w:hint="cs"/>
                <w:u w:val="single"/>
                <w:rtl/>
              </w:rPr>
              <w:t>נסיבות הקשורות בביצוע העבירות</w:t>
            </w:r>
          </w:p>
          <w:p w14:paraId="767C517A" w14:textId="77777777" w:rsidR="0073146C" w:rsidRDefault="0073146C" w:rsidP="00CB617A">
            <w:pPr>
              <w:pStyle w:val="ListParagraph"/>
              <w:numPr>
                <w:ilvl w:val="0"/>
                <w:numId w:val="1"/>
              </w:numPr>
              <w:spacing w:line="360" w:lineRule="auto"/>
              <w:jc w:val="both"/>
            </w:pPr>
            <w:r>
              <w:rPr>
                <w:rFonts w:hint="cs"/>
                <w:rtl/>
              </w:rPr>
              <w:t xml:space="preserve">אין מחלוקת כי הנאשם ביצע עבירת סחר אחת במסגרתה מכר סם במשקל 9.90 גרם נטו לנועם מראד בתמורה ל- 1000 ₪. על מנת לבצע את עסקת הסמים היה על הנאשם להצטייד בסמים ולתאם עם הרוכש את המכירה. לא זו אף זו אלא שבביתו של הנאשם נתפסה כמות גדולה יותר של סם, שלא לצריכה עצמית, והפסיקה נתנה דעתה פעמים רבות לכך שההחזקה בסם עשויה להביא להתפשטות נגע הסמים ולנזק בריאותי קשה כתוצאה משימוש בסמים. </w:t>
            </w:r>
          </w:p>
          <w:p w14:paraId="1A4EAE08" w14:textId="77777777" w:rsidR="0073146C" w:rsidRDefault="0073146C" w:rsidP="00CB617A">
            <w:pPr>
              <w:pStyle w:val="ListParagraph"/>
              <w:spacing w:line="360" w:lineRule="auto"/>
              <w:jc w:val="both"/>
            </w:pPr>
          </w:p>
          <w:p w14:paraId="5777345C" w14:textId="77777777" w:rsidR="0073146C" w:rsidRDefault="0073146C" w:rsidP="00CB617A">
            <w:pPr>
              <w:pStyle w:val="ListParagraph"/>
              <w:numPr>
                <w:ilvl w:val="0"/>
                <w:numId w:val="1"/>
              </w:numPr>
              <w:spacing w:line="360" w:lineRule="auto"/>
              <w:jc w:val="both"/>
            </w:pPr>
            <w:r>
              <w:rPr>
                <w:rFonts w:hint="cs"/>
                <w:rtl/>
              </w:rPr>
              <w:t xml:space="preserve">כפי שעלה מן התסקיר, הנסיבות אשר הביאו את הנאשם לבצע את העבירות נוגעות לתקופה משברית בחייו, שבה חווה קשיי הסתגלות לצד משבר גיל. לצד זאת, הנאשם היה זה אשר בחר באופן מודע אימפולסיבי וילדותי לבצע את העבירות מבלי שחשב על השלכות מעשיו. </w:t>
            </w:r>
          </w:p>
          <w:p w14:paraId="132083E4" w14:textId="77777777" w:rsidR="0073146C" w:rsidRDefault="0073146C" w:rsidP="00CB617A">
            <w:pPr>
              <w:spacing w:line="360" w:lineRule="auto"/>
              <w:jc w:val="both"/>
              <w:rPr>
                <w:rtl/>
              </w:rPr>
            </w:pPr>
          </w:p>
          <w:p w14:paraId="61708CD4" w14:textId="77777777" w:rsidR="0073146C" w:rsidRPr="005F49C5" w:rsidRDefault="0073146C" w:rsidP="00CB617A">
            <w:pPr>
              <w:spacing w:line="360" w:lineRule="auto"/>
              <w:jc w:val="both"/>
              <w:rPr>
                <w:u w:val="single"/>
              </w:rPr>
            </w:pPr>
            <w:r w:rsidRPr="005F49C5">
              <w:rPr>
                <w:rFonts w:hint="cs"/>
                <w:u w:val="single"/>
                <w:rtl/>
              </w:rPr>
              <w:t>הענישה הנוהגת</w:t>
            </w:r>
          </w:p>
          <w:p w14:paraId="35D79A67" w14:textId="77777777" w:rsidR="0073146C" w:rsidRDefault="0073146C" w:rsidP="00CB617A">
            <w:pPr>
              <w:pStyle w:val="ListParagraph"/>
              <w:numPr>
                <w:ilvl w:val="0"/>
                <w:numId w:val="1"/>
              </w:numPr>
              <w:spacing w:line="360" w:lineRule="auto"/>
              <w:jc w:val="both"/>
            </w:pPr>
            <w:r>
              <w:rPr>
                <w:rFonts w:hint="cs"/>
                <w:rtl/>
              </w:rPr>
              <w:t xml:space="preserve">בבוא בית המשפט להכריע באשר למתחם הענישה שיוטל על נאשם בעבירת סמים, יש לקחת בחשבון את סוג הסם, כמות הסם, מספר העסקאות שביצע וסכום הכסף שקיבל לידיו. הענישה ההולמת נועדה להעביר מסר ברור בדבר חוסר הכדאיות לבצע את העבירות. </w:t>
            </w:r>
          </w:p>
          <w:p w14:paraId="2B4B1EC9" w14:textId="77777777" w:rsidR="0073146C" w:rsidRDefault="0073146C" w:rsidP="00CB617A">
            <w:pPr>
              <w:pStyle w:val="ListParagraph"/>
              <w:spacing w:line="360" w:lineRule="auto"/>
              <w:jc w:val="both"/>
            </w:pPr>
          </w:p>
          <w:p w14:paraId="7BE8D5CA" w14:textId="77777777" w:rsidR="0073146C" w:rsidRDefault="0073146C" w:rsidP="00CB617A">
            <w:pPr>
              <w:pStyle w:val="ListParagraph"/>
              <w:numPr>
                <w:ilvl w:val="0"/>
                <w:numId w:val="1"/>
              </w:numPr>
              <w:spacing w:line="360" w:lineRule="auto"/>
              <w:jc w:val="both"/>
            </w:pPr>
            <w:r>
              <w:rPr>
                <w:rFonts w:hint="cs"/>
                <w:rtl/>
              </w:rPr>
              <w:t xml:space="preserve">בעניינו של הנאשם עסקינן בסחר בסמים מסוג קנבוס, הנחשב לסם "קל", בהיקף של פחות מ-10 גרם נטו ובעבור סך של 1000 ₪. בנוסף, החזיק הנאשם בסם, אף הוא מסוגר קנבוס, במשקל הנמוך מ-19 גרם נטו. </w:t>
            </w:r>
          </w:p>
          <w:p w14:paraId="2E5E9F3E" w14:textId="77777777" w:rsidR="0073146C" w:rsidRDefault="0073146C" w:rsidP="00CB617A">
            <w:pPr>
              <w:pStyle w:val="ListParagraph"/>
              <w:spacing w:line="360" w:lineRule="auto"/>
              <w:jc w:val="both"/>
            </w:pPr>
          </w:p>
          <w:p w14:paraId="7F0FE6E9" w14:textId="77777777" w:rsidR="0073146C" w:rsidRDefault="0073146C" w:rsidP="00CB617A">
            <w:pPr>
              <w:pStyle w:val="ListParagraph"/>
              <w:numPr>
                <w:ilvl w:val="0"/>
                <w:numId w:val="1"/>
              </w:numPr>
              <w:spacing w:line="360" w:lineRule="auto"/>
              <w:jc w:val="both"/>
            </w:pPr>
            <w:r>
              <w:rPr>
                <w:rFonts w:hint="cs"/>
                <w:rtl/>
              </w:rPr>
              <w:t xml:space="preserve">מתחם הענישה בעבירה אחת של סחר בסם נע בין תקופת מאסר קצרה, שיכול ותרוצה בעבודות שירות, לבין 7 חודשי מאסר בפועל. יש לזכור כי בעניינו מדובר בעבירה אחת בלבד, בעוד הפסיקה שהוגשה על ידי המאשימה כללה מספר עבירות של סחר. מן הטעם הזה המתחם שם היה גבוה יותר מזה שקבעתי במקרה שבפניי, שכן הפער שבין מעידה חד פעמית לבין ביצוע עבירות סחר במספר הזדמנויות הינו משמעותי ויש לתת לו ביטוי בענישה. </w:t>
            </w:r>
          </w:p>
          <w:p w14:paraId="201A6D3C" w14:textId="77777777" w:rsidR="0073146C" w:rsidRPr="00C60C04" w:rsidRDefault="0073146C" w:rsidP="00CB617A">
            <w:pPr>
              <w:pStyle w:val="ListParagraph"/>
              <w:spacing w:line="360" w:lineRule="auto"/>
              <w:jc w:val="both"/>
            </w:pPr>
          </w:p>
          <w:p w14:paraId="30DD628D" w14:textId="77777777" w:rsidR="0073146C" w:rsidRDefault="0073146C" w:rsidP="00CB617A">
            <w:pPr>
              <w:pStyle w:val="ListParagraph"/>
              <w:numPr>
                <w:ilvl w:val="0"/>
                <w:numId w:val="1"/>
              </w:numPr>
              <w:spacing w:line="360" w:lineRule="auto"/>
              <w:jc w:val="both"/>
            </w:pPr>
            <w:r>
              <w:rPr>
                <w:rFonts w:hint="cs"/>
                <w:rtl/>
              </w:rPr>
              <w:t xml:space="preserve">בכל הנוגע לעבירת החזקת סם שלא לצריכה עצמית, מתחם הענישה נע בין מאסר על תנאי לבין מאסר לתקופה קצרה שיכול וירוצה בעבודות שירות. </w:t>
            </w:r>
          </w:p>
          <w:p w14:paraId="381A8733" w14:textId="77777777" w:rsidR="0073146C" w:rsidRDefault="0073146C" w:rsidP="00CB617A">
            <w:pPr>
              <w:spacing w:line="360" w:lineRule="auto"/>
              <w:jc w:val="both"/>
              <w:rPr>
                <w:rtl/>
              </w:rPr>
            </w:pPr>
          </w:p>
          <w:p w14:paraId="6CC19068" w14:textId="77777777" w:rsidR="0073146C" w:rsidRPr="005F49C5" w:rsidRDefault="0073146C" w:rsidP="00CB617A">
            <w:pPr>
              <w:spacing w:line="360" w:lineRule="auto"/>
              <w:jc w:val="both"/>
              <w:rPr>
                <w:b/>
                <w:bCs/>
                <w:u w:val="single"/>
              </w:rPr>
            </w:pPr>
            <w:r w:rsidRPr="005F49C5">
              <w:rPr>
                <w:rFonts w:hint="cs"/>
                <w:b/>
                <w:bCs/>
                <w:u w:val="single"/>
                <w:rtl/>
              </w:rPr>
              <w:t>חריגה ממתחם העונש ההולם בשל שיקולי שיקום</w:t>
            </w:r>
          </w:p>
          <w:p w14:paraId="58CDE0AA" w14:textId="77777777" w:rsidR="0073146C" w:rsidRDefault="0073146C" w:rsidP="00CB617A">
            <w:pPr>
              <w:pStyle w:val="ListParagraph"/>
              <w:numPr>
                <w:ilvl w:val="0"/>
                <w:numId w:val="1"/>
              </w:numPr>
              <w:spacing w:line="360" w:lineRule="auto"/>
              <w:jc w:val="both"/>
            </w:pPr>
            <w:r>
              <w:rPr>
                <w:rFonts w:hint="cs"/>
                <w:rtl/>
              </w:rPr>
              <w:t xml:space="preserve">ב"כ הנאשם עתר להטיל ענישה מקלה מזו לה עתרה המאשימה ומחובתו של בית משפט זה לבחון האם ראוי לחרוג לקולא ממתחם העונש ההולם מטעמי שיקום, או שמא לחרוג לחומרא ממתחם העונש ההולם מטעמי שלום הציבור. </w:t>
            </w:r>
          </w:p>
          <w:p w14:paraId="6D30AF66" w14:textId="77777777" w:rsidR="0073146C" w:rsidRDefault="0073146C" w:rsidP="00CB617A">
            <w:pPr>
              <w:pStyle w:val="ListParagraph"/>
              <w:spacing w:line="360" w:lineRule="auto"/>
              <w:jc w:val="both"/>
            </w:pPr>
          </w:p>
          <w:p w14:paraId="7FC5CD7E" w14:textId="77777777" w:rsidR="0073146C" w:rsidRDefault="0073146C" w:rsidP="00CB617A">
            <w:pPr>
              <w:pStyle w:val="ListParagraph"/>
              <w:numPr>
                <w:ilvl w:val="0"/>
                <w:numId w:val="1"/>
              </w:numPr>
              <w:spacing w:line="360" w:lineRule="auto"/>
              <w:jc w:val="both"/>
            </w:pPr>
            <w:r>
              <w:rPr>
                <w:rFonts w:hint="cs"/>
                <w:rtl/>
              </w:rPr>
              <w:t xml:space="preserve">בעניינו של הנאשם שבפניי לא הוצגה תוכנית טיפולית </w:t>
            </w:r>
            <w:r>
              <w:rPr>
                <w:rtl/>
              </w:rPr>
              <w:t>–</w:t>
            </w:r>
            <w:r>
              <w:rPr>
                <w:rFonts w:hint="cs"/>
                <w:rtl/>
              </w:rPr>
              <w:t xml:space="preserve"> שיקומית וזאת בעיקר נוכח גילו המבוגר של הנאשם, כמו גם התרשמות שירות המבחן כי הנאשם הינו בעל עמדות ערכיות ומוסריות תקינות, ביצוע העבירות אינו מושתת על דפוסי התנהגות עבריינים מושרשים ושירות המבחן לא התרשם מבעיית התמכרות הדורשת התערבות ייעודית. עם זאת הנאשם בעצמו הכיר בנזקקותו הטיפולית והביע נכונות להשתלב בטיפול. </w:t>
            </w:r>
          </w:p>
          <w:p w14:paraId="62695B46" w14:textId="77777777" w:rsidR="0073146C" w:rsidRPr="006815E3" w:rsidRDefault="0073146C" w:rsidP="00CB617A">
            <w:pPr>
              <w:pStyle w:val="ListParagraph"/>
              <w:spacing w:line="360" w:lineRule="auto"/>
              <w:jc w:val="both"/>
            </w:pPr>
          </w:p>
          <w:p w14:paraId="7EDF7A0C" w14:textId="77777777" w:rsidR="0073146C" w:rsidRDefault="0073146C" w:rsidP="00CB617A">
            <w:pPr>
              <w:pStyle w:val="ListParagraph"/>
              <w:numPr>
                <w:ilvl w:val="0"/>
                <w:numId w:val="1"/>
              </w:numPr>
              <w:spacing w:line="360" w:lineRule="auto"/>
              <w:jc w:val="both"/>
            </w:pPr>
            <w:r>
              <w:rPr>
                <w:rFonts w:hint="cs"/>
                <w:rtl/>
              </w:rPr>
              <w:t xml:space="preserve">העובדה שהנאשם לא נטל חלק בהליך טיפולי נוכח הנסיבות שפורטו לעיל, אינה יכולה לפעול כנגדו. אמנם לא ניתן לקבוע כי קיים אופק שיקומי המצדיק חריגה מהמתחם, אולם אי שילובו באפיק שיקומי, שאינו פועל יוצא של העדר התאמה או מטיבציה מצידו של הנאשם ושהינו פועל יוצא של גילו ומבנה אישיותו, מהווים בסיס מספיק לשיטתי לחריגה מן המתחם לקולא תוך קביעה כי מדובר, בכל זאת, באפיק שיקומי מספק בנסיבות המיוחדות של תיק זה. לו היה הנאשם בחור צעיר שביצע עבירות דומות, יש להניח כי היה משולב בהליך טיפולי שיכול היה ללמד על אפשרויות שיקום משמעותיות. הנאשם שבפניי אינו יכול להשתלב בהליך שכזה, לא בשל היעדר מוטיבציה מצדו, אלא בשל גילו ובשל היותה של העבירה אירוע חריג בנוף חייו של הנאשם, כפי שהיטב לתאר שירות המבחן בתסקירו. ודוק, הנאשם הכיר בנזקוקותו הטיפולית לצד נכונות להשתלב בהליך טיפולי ושירות המבחן הציע לשלב את הנאשם בצו מבחן למשך שנה ובכלל זאת בדיקות שתן. </w:t>
            </w:r>
          </w:p>
          <w:p w14:paraId="5E5A1498" w14:textId="77777777" w:rsidR="0073146C" w:rsidRDefault="0073146C" w:rsidP="00CB617A">
            <w:pPr>
              <w:pStyle w:val="ListParagraph"/>
              <w:spacing w:line="360" w:lineRule="auto"/>
              <w:jc w:val="both"/>
            </w:pPr>
          </w:p>
          <w:p w14:paraId="40D4FD56" w14:textId="77777777" w:rsidR="0073146C" w:rsidRDefault="0073146C" w:rsidP="00CB617A">
            <w:pPr>
              <w:pStyle w:val="ListParagraph"/>
              <w:numPr>
                <w:ilvl w:val="0"/>
                <w:numId w:val="1"/>
              </w:numPr>
              <w:spacing w:line="360" w:lineRule="auto"/>
              <w:jc w:val="both"/>
            </w:pPr>
            <w:r>
              <w:rPr>
                <w:rFonts w:hint="cs"/>
                <w:rtl/>
              </w:rPr>
              <w:t xml:space="preserve">לנוכח השיקולים המפורטים לעיל ולאור העובדה שעסקינן בעבירה אחת של סחר ואחת של החזקה שהתרחשו באותו מועד; נוכח הודיית הנאשם במיוחס לו בהזדמנות הראשונה; היעדר רישום פלילי; גילו של הנאשם ותרומתו המשמעותית לחברה במשך שנים בין השאר במהלך שירותו הצבאי, ולאור העובדה שהנאשם נמצא במקום אחר בחייו מזה שהיה מצוי בו בעת ביצוע העבירה ומכאן שניתן ללמוד על שיקומו הנוכחי והעתידי, מצאתי כי יש מקום לחרוג לקולא ממתחם הענישה ולא למצות את הדין עם הנאשם ולגזור עליו עונש כולל לשתי העבירות המיוחסות, אשר יהיה ברף הנמוך של מתחם הענישה. </w:t>
            </w:r>
          </w:p>
          <w:p w14:paraId="46079838" w14:textId="77777777" w:rsidR="0073146C" w:rsidRPr="00746363" w:rsidRDefault="0073146C" w:rsidP="00CB617A">
            <w:pPr>
              <w:pStyle w:val="ListParagraph"/>
              <w:spacing w:line="360" w:lineRule="auto"/>
              <w:jc w:val="both"/>
            </w:pPr>
          </w:p>
          <w:p w14:paraId="2C677D3A" w14:textId="77777777" w:rsidR="0073146C" w:rsidRDefault="0073146C" w:rsidP="00CB617A">
            <w:pPr>
              <w:pStyle w:val="ListParagraph"/>
              <w:numPr>
                <w:ilvl w:val="0"/>
                <w:numId w:val="1"/>
              </w:numPr>
              <w:spacing w:line="360" w:lineRule="auto"/>
              <w:jc w:val="both"/>
            </w:pPr>
            <w:r>
              <w:rPr>
                <w:rFonts w:hint="cs"/>
                <w:rtl/>
              </w:rPr>
              <w:t>לאור כל האמור לעיל אני מוצאת לגזור על הנאשם את העונשים הבאים:</w:t>
            </w:r>
          </w:p>
          <w:p w14:paraId="193BEE98" w14:textId="77777777" w:rsidR="0073146C" w:rsidRDefault="0073146C" w:rsidP="00CB617A">
            <w:pPr>
              <w:pStyle w:val="ListParagraph"/>
              <w:spacing w:line="360" w:lineRule="auto"/>
              <w:jc w:val="both"/>
            </w:pPr>
          </w:p>
          <w:p w14:paraId="2B3CEC80" w14:textId="77777777" w:rsidR="0073146C" w:rsidRDefault="0073146C" w:rsidP="00CB617A">
            <w:pPr>
              <w:pStyle w:val="ListParagraph"/>
              <w:spacing w:line="360" w:lineRule="auto"/>
              <w:jc w:val="both"/>
              <w:rPr>
                <w:rtl/>
              </w:rPr>
            </w:pPr>
            <w:r>
              <w:rPr>
                <w:rFonts w:hint="cs"/>
                <w:rtl/>
              </w:rPr>
              <w:t xml:space="preserve">א.     מאסר לתקופה של 3 חודשים, אשר ירוצה בדרך של עבודות שירות, החל מיום 13.7.17 </w:t>
            </w:r>
          </w:p>
          <w:p w14:paraId="5B49B594" w14:textId="77777777" w:rsidR="0073146C" w:rsidRDefault="0073146C" w:rsidP="00CB617A">
            <w:pPr>
              <w:pStyle w:val="ListParagraph"/>
              <w:spacing w:line="360" w:lineRule="auto"/>
              <w:jc w:val="both"/>
              <w:rPr>
                <w:rtl/>
              </w:rPr>
            </w:pPr>
            <w:r>
              <w:rPr>
                <w:rFonts w:hint="cs"/>
                <w:rtl/>
              </w:rPr>
              <w:t xml:space="preserve">         בבית אבות משען נ.אפקה, ברחוב שלונסקי 6 בתל אביב, חמישה ימים בשבוע, 8.5 שעות </w:t>
            </w:r>
          </w:p>
          <w:p w14:paraId="35C7C8C1" w14:textId="77777777" w:rsidR="0073146C" w:rsidRDefault="0073146C" w:rsidP="00CB617A">
            <w:pPr>
              <w:pStyle w:val="ListParagraph"/>
              <w:spacing w:line="360" w:lineRule="auto"/>
              <w:jc w:val="both"/>
              <w:rPr>
                <w:rtl/>
              </w:rPr>
            </w:pPr>
            <w:r>
              <w:rPr>
                <w:rFonts w:hint="cs"/>
                <w:rtl/>
              </w:rPr>
              <w:t xml:space="preserve">         עבודה יומית. הובהר לנאשם כי עליו לעמוד בתנאי הפיקוח והביקורת וכן כי עליו למסור  </w:t>
            </w:r>
          </w:p>
          <w:p w14:paraId="4C6D73B9" w14:textId="77777777" w:rsidR="0073146C" w:rsidRDefault="0073146C" w:rsidP="00CB617A">
            <w:pPr>
              <w:pStyle w:val="ListParagraph"/>
              <w:spacing w:line="360" w:lineRule="auto"/>
              <w:jc w:val="both"/>
              <w:rPr>
                <w:rtl/>
              </w:rPr>
            </w:pPr>
            <w:r>
              <w:rPr>
                <w:rFonts w:hint="cs"/>
                <w:rtl/>
              </w:rPr>
              <w:t xml:space="preserve">        דגימת שתן לגילוי סמים ככל שיידרש על ידי הממונה על עבודות שירות. כל הפרה   </w:t>
            </w:r>
          </w:p>
          <w:p w14:paraId="1DFD515B" w14:textId="77777777" w:rsidR="0073146C" w:rsidRDefault="0073146C" w:rsidP="00CB617A">
            <w:pPr>
              <w:pStyle w:val="ListParagraph"/>
              <w:spacing w:line="360" w:lineRule="auto"/>
              <w:jc w:val="both"/>
              <w:rPr>
                <w:rtl/>
              </w:rPr>
            </w:pPr>
            <w:r>
              <w:rPr>
                <w:rFonts w:hint="cs"/>
                <w:rtl/>
              </w:rPr>
              <w:t xml:space="preserve">        בעבודות השירות לרבות גילוי סם בדגימת השתן או ביצוע עבירות נוספות, יביאו </w:t>
            </w:r>
          </w:p>
          <w:p w14:paraId="1A26DF09" w14:textId="77777777" w:rsidR="0073146C" w:rsidRDefault="0073146C" w:rsidP="00CB617A">
            <w:pPr>
              <w:pStyle w:val="ListParagraph"/>
              <w:spacing w:line="360" w:lineRule="auto"/>
              <w:jc w:val="both"/>
              <w:rPr>
                <w:rtl/>
              </w:rPr>
            </w:pPr>
            <w:r>
              <w:rPr>
                <w:rFonts w:hint="cs"/>
                <w:rtl/>
              </w:rPr>
              <w:t xml:space="preserve">        להפסקה מנהלית וריצוי עונש במאסר ממש. </w:t>
            </w:r>
          </w:p>
          <w:p w14:paraId="604720FA" w14:textId="77777777" w:rsidR="0073146C" w:rsidRDefault="0073146C" w:rsidP="00CB617A">
            <w:pPr>
              <w:pStyle w:val="ListParagraph"/>
              <w:spacing w:line="360" w:lineRule="auto"/>
              <w:jc w:val="both"/>
              <w:rPr>
                <w:rtl/>
              </w:rPr>
            </w:pPr>
          </w:p>
          <w:p w14:paraId="23C90651" w14:textId="77777777" w:rsidR="0073146C" w:rsidRDefault="0073146C" w:rsidP="00CB617A">
            <w:pPr>
              <w:pStyle w:val="ListParagraph"/>
              <w:spacing w:line="360" w:lineRule="auto"/>
              <w:jc w:val="both"/>
              <w:rPr>
                <w:rtl/>
              </w:rPr>
            </w:pPr>
            <w:r>
              <w:rPr>
                <w:rFonts w:hint="cs"/>
                <w:rtl/>
              </w:rPr>
              <w:t xml:space="preserve">ב.      מאסר על תנאי למשך 5 חודשים והנאשם לא יישא עונש זה אלא אם כן יעבור בתוך 3 </w:t>
            </w:r>
          </w:p>
          <w:p w14:paraId="72040FB0" w14:textId="77777777" w:rsidR="0073146C" w:rsidRDefault="0073146C" w:rsidP="00CB617A">
            <w:pPr>
              <w:pStyle w:val="ListParagraph"/>
              <w:spacing w:line="360" w:lineRule="auto"/>
              <w:jc w:val="both"/>
              <w:rPr>
                <w:rtl/>
              </w:rPr>
            </w:pPr>
            <w:r>
              <w:rPr>
                <w:rFonts w:hint="cs"/>
                <w:rtl/>
              </w:rPr>
              <w:t xml:space="preserve">         שנים מהיום כל עבירה על פקודת הסמים המסוכנים מסוג פשע ועוון, לרבות ניסיון או </w:t>
            </w:r>
          </w:p>
          <w:p w14:paraId="20DAD0F8" w14:textId="77777777" w:rsidR="0073146C" w:rsidRDefault="0073146C" w:rsidP="00CB617A">
            <w:pPr>
              <w:pStyle w:val="ListParagraph"/>
              <w:spacing w:line="360" w:lineRule="auto"/>
              <w:jc w:val="both"/>
              <w:rPr>
                <w:rtl/>
              </w:rPr>
            </w:pPr>
            <w:r>
              <w:rPr>
                <w:rFonts w:hint="cs"/>
                <w:rtl/>
              </w:rPr>
              <w:t xml:space="preserve">         סיוע לבצע עבירה זו. </w:t>
            </w:r>
          </w:p>
          <w:p w14:paraId="058F81A7" w14:textId="77777777" w:rsidR="0073146C" w:rsidRDefault="0073146C" w:rsidP="00CB617A">
            <w:pPr>
              <w:pStyle w:val="ListParagraph"/>
              <w:spacing w:line="360" w:lineRule="auto"/>
              <w:jc w:val="both"/>
              <w:rPr>
                <w:rtl/>
              </w:rPr>
            </w:pPr>
          </w:p>
          <w:p w14:paraId="6D6DA90D" w14:textId="77777777" w:rsidR="0073146C" w:rsidRDefault="0073146C" w:rsidP="00CB617A">
            <w:pPr>
              <w:pStyle w:val="ListParagraph"/>
              <w:spacing w:line="360" w:lineRule="auto"/>
              <w:jc w:val="both"/>
              <w:rPr>
                <w:rtl/>
              </w:rPr>
            </w:pPr>
            <w:r>
              <w:rPr>
                <w:rFonts w:hint="cs"/>
                <w:rtl/>
              </w:rPr>
              <w:t>ג.     קנס כספי בסך של 1000 ₪ או 10 ימי מאסר תמורתו. ניתן לקזז את הקנס מתוך הפקדה שהפקיד הנאשם בהליך המעצר ב</w:t>
            </w:r>
            <w:hyperlink r:id="rId16" w:history="1">
              <w:r w:rsidR="00CB617A" w:rsidRPr="00CB617A">
                <w:rPr>
                  <w:rStyle w:val="Hyperlink"/>
                  <w:rFonts w:hint="eastAsia"/>
                  <w:rtl/>
                </w:rPr>
                <w:t>מ</w:t>
              </w:r>
              <w:r w:rsidR="00CB617A" w:rsidRPr="00CB617A">
                <w:rPr>
                  <w:rStyle w:val="Hyperlink"/>
                  <w:rtl/>
                </w:rPr>
                <w:t>"י 29317-05-15</w:t>
              </w:r>
            </w:hyperlink>
            <w:r>
              <w:rPr>
                <w:rFonts w:hint="cs"/>
                <w:rtl/>
              </w:rPr>
              <w:t xml:space="preserve">. </w:t>
            </w:r>
          </w:p>
          <w:p w14:paraId="22FB3935" w14:textId="77777777" w:rsidR="0073146C" w:rsidRDefault="0073146C" w:rsidP="00CB617A">
            <w:pPr>
              <w:pStyle w:val="ListParagraph"/>
              <w:spacing w:line="360" w:lineRule="auto"/>
              <w:jc w:val="both"/>
              <w:rPr>
                <w:rtl/>
              </w:rPr>
            </w:pPr>
          </w:p>
          <w:p w14:paraId="1ACE65DF" w14:textId="77777777" w:rsidR="0073146C" w:rsidRDefault="0073146C" w:rsidP="00CB617A">
            <w:pPr>
              <w:pStyle w:val="ListParagraph"/>
              <w:spacing w:line="360" w:lineRule="auto"/>
              <w:jc w:val="both"/>
              <w:rPr>
                <w:rtl/>
              </w:rPr>
            </w:pPr>
            <w:r>
              <w:rPr>
                <w:rFonts w:hint="cs"/>
                <w:rtl/>
              </w:rPr>
              <w:t xml:space="preserve">ד.      אני פוסלת את הנאשם מלנהוג וזאת על תנאי למשך 6 חודשים. התנאי יעמוד בתוקפו </w:t>
            </w:r>
          </w:p>
          <w:p w14:paraId="7B26D7A7" w14:textId="77777777" w:rsidR="0073146C" w:rsidRDefault="0073146C" w:rsidP="00CB617A">
            <w:pPr>
              <w:pStyle w:val="ListParagraph"/>
              <w:spacing w:line="360" w:lineRule="auto"/>
              <w:jc w:val="both"/>
              <w:rPr>
                <w:rtl/>
              </w:rPr>
            </w:pPr>
            <w:r>
              <w:rPr>
                <w:rFonts w:hint="cs"/>
                <w:rtl/>
              </w:rPr>
              <w:t xml:space="preserve">          משך שנתיים מיום מתן גזר הדין, וייכנס לתוקפו במידה והנאשם יעבור על העבירות בהן </w:t>
            </w:r>
          </w:p>
          <w:p w14:paraId="1C2C11FD" w14:textId="77777777" w:rsidR="0073146C" w:rsidRDefault="0073146C" w:rsidP="00CB617A">
            <w:pPr>
              <w:pStyle w:val="ListParagraph"/>
              <w:spacing w:line="360" w:lineRule="auto"/>
              <w:jc w:val="both"/>
            </w:pPr>
            <w:r>
              <w:rPr>
                <w:rFonts w:hint="cs"/>
                <w:rtl/>
              </w:rPr>
              <w:t xml:space="preserve">         הורשע. </w:t>
            </w:r>
          </w:p>
          <w:p w14:paraId="61BAD52D" w14:textId="77777777" w:rsidR="0073146C" w:rsidRDefault="0073146C" w:rsidP="00CB617A">
            <w:pPr>
              <w:pStyle w:val="ListParagraph"/>
              <w:spacing w:line="360" w:lineRule="auto"/>
              <w:jc w:val="both"/>
              <w:rPr>
                <w:rtl/>
              </w:rPr>
            </w:pPr>
          </w:p>
          <w:p w14:paraId="5790F703" w14:textId="77777777" w:rsidR="0073146C" w:rsidRDefault="0073146C" w:rsidP="00CB617A">
            <w:pPr>
              <w:pStyle w:val="ListParagraph"/>
              <w:spacing w:line="360" w:lineRule="auto"/>
              <w:jc w:val="both"/>
            </w:pPr>
          </w:p>
          <w:p w14:paraId="6F611BDB" w14:textId="77777777" w:rsidR="0073146C" w:rsidRPr="005F49C5" w:rsidRDefault="0073146C" w:rsidP="00CB617A">
            <w:pPr>
              <w:jc w:val="both"/>
              <w:rPr>
                <w:rFonts w:ascii="Arial" w:hAnsi="Arial"/>
                <w:b/>
                <w:bCs/>
                <w:noProof w:val="0"/>
                <w:u w:val="single"/>
                <w:rtl/>
              </w:rPr>
            </w:pPr>
          </w:p>
        </w:tc>
      </w:tr>
      <w:bookmarkEnd w:id="0"/>
      <w:tr w:rsidR="0073146C" w14:paraId="6FB9A942" w14:textId="77777777" w:rsidTr="00CB617A">
        <w:trPr>
          <w:jc w:val="center"/>
        </w:trPr>
        <w:tc>
          <w:tcPr>
            <w:tcW w:w="8820" w:type="dxa"/>
            <w:shd w:val="clear" w:color="auto" w:fill="auto"/>
          </w:tcPr>
          <w:p w14:paraId="119A83A9" w14:textId="77777777" w:rsidR="0073146C" w:rsidRPr="005F49C5" w:rsidRDefault="0073146C" w:rsidP="00CB617A">
            <w:pPr>
              <w:bidi w:val="0"/>
              <w:jc w:val="both"/>
              <w:rPr>
                <w:rFonts w:ascii="Arial" w:hAnsi="Arial"/>
                <w:b/>
                <w:bCs/>
                <w:noProof w:val="0"/>
                <w:sz w:val="28"/>
                <w:szCs w:val="28"/>
                <w:u w:val="single"/>
              </w:rPr>
            </w:pPr>
            <w:r w:rsidRPr="005F49C5">
              <w:rPr>
                <w:rFonts w:ascii="Arial" w:hAnsi="Arial"/>
                <w:b/>
                <w:bCs/>
                <w:noProof w:val="0"/>
                <w:sz w:val="28"/>
                <w:szCs w:val="28"/>
                <w:u w:val="single"/>
              </w:rPr>
              <w:lastRenderedPageBreak/>
              <w:t xml:space="preserve"> </w:t>
            </w:r>
          </w:p>
        </w:tc>
      </w:tr>
      <w:tr w:rsidR="0073146C" w14:paraId="1045E785" w14:textId="77777777" w:rsidTr="00CB617A">
        <w:trPr>
          <w:jc w:val="center"/>
        </w:trPr>
        <w:tc>
          <w:tcPr>
            <w:tcW w:w="8820" w:type="dxa"/>
            <w:shd w:val="clear" w:color="auto" w:fill="auto"/>
          </w:tcPr>
          <w:p w14:paraId="409F3207" w14:textId="77777777" w:rsidR="00CB617A" w:rsidRDefault="00CB617A" w:rsidP="00CB617A">
            <w:pPr>
              <w:bidi w:val="0"/>
              <w:jc w:val="both"/>
              <w:rPr>
                <w:rFonts w:ascii="Arial" w:hAnsi="Arial"/>
                <w:b/>
                <w:bCs/>
                <w:noProof w:val="0"/>
                <w:sz w:val="28"/>
                <w:szCs w:val="28"/>
                <w:u w:val="single"/>
              </w:rPr>
            </w:pPr>
          </w:p>
          <w:p w14:paraId="364F037F" w14:textId="77777777" w:rsidR="0073146C" w:rsidRPr="005F49C5" w:rsidRDefault="0073146C" w:rsidP="00CB617A">
            <w:pPr>
              <w:bidi w:val="0"/>
              <w:jc w:val="both"/>
              <w:rPr>
                <w:rFonts w:ascii="Arial" w:hAnsi="Arial"/>
                <w:b/>
                <w:bCs/>
                <w:noProof w:val="0"/>
                <w:sz w:val="28"/>
                <w:szCs w:val="28"/>
                <w:u w:val="single"/>
                <w:rtl/>
              </w:rPr>
            </w:pPr>
          </w:p>
        </w:tc>
      </w:tr>
    </w:tbl>
    <w:p w14:paraId="64CF9EA0" w14:textId="77777777" w:rsidR="0073146C" w:rsidRDefault="00CB617A" w:rsidP="0073146C">
      <w:pPr>
        <w:tabs>
          <w:tab w:val="left" w:pos="2553"/>
        </w:tabs>
        <w:ind w:left="5040"/>
        <w:rPr>
          <w:rtl/>
        </w:rPr>
      </w:pPr>
      <w:bookmarkStart w:id="8" w:name="NGCSBookmark"/>
      <w:bookmarkEnd w:id="8"/>
      <w:r w:rsidRPr="00CB617A">
        <w:rPr>
          <w:rFonts w:ascii="Arial" w:hAnsi="Arial"/>
          <w:noProof w:val="0"/>
          <w:color w:val="FFFFFF"/>
          <w:sz w:val="2"/>
          <w:szCs w:val="2"/>
          <w:rtl/>
        </w:rPr>
        <w:t>5129371</w:t>
      </w:r>
      <w:r>
        <w:rPr>
          <w:rFonts w:ascii="Arial" w:hAnsi="Arial"/>
          <w:noProof w:val="0"/>
          <w:rtl/>
        </w:rPr>
        <w:t xml:space="preserve">ניתנה היום, כ"ב אייר תשע"ז, 18 מאי 2017, בהעדר הצדדים. </w:t>
      </w:r>
      <w:r w:rsidR="0073146C">
        <w:rPr>
          <w:rFonts w:hint="cs"/>
          <w:rtl/>
        </w:rPr>
        <w:t xml:space="preserve">     </w:t>
      </w:r>
    </w:p>
    <w:p w14:paraId="0C053AA4" w14:textId="77777777" w:rsidR="0073146C" w:rsidRPr="00CB617A" w:rsidRDefault="00CB617A" w:rsidP="0073146C">
      <w:pPr>
        <w:tabs>
          <w:tab w:val="left" w:pos="2553"/>
        </w:tabs>
        <w:rPr>
          <w:color w:val="FFFFFF"/>
          <w:sz w:val="2"/>
          <w:szCs w:val="2"/>
        </w:rPr>
      </w:pPr>
      <w:r w:rsidRPr="00CB617A">
        <w:rPr>
          <w:color w:val="FFFFFF"/>
          <w:sz w:val="2"/>
          <w:szCs w:val="2"/>
          <w:rtl/>
        </w:rPr>
        <w:t>54678313</w:t>
      </w:r>
      <w:r w:rsidR="0073146C" w:rsidRPr="00CB617A">
        <w:rPr>
          <w:rFonts w:hint="cs"/>
          <w:color w:val="FFFFFF"/>
          <w:sz w:val="2"/>
          <w:szCs w:val="2"/>
          <w:rtl/>
        </w:rPr>
        <w:tab/>
      </w:r>
      <w:r w:rsidR="0073146C" w:rsidRPr="00CB617A">
        <w:rPr>
          <w:rFonts w:hint="cs"/>
          <w:color w:val="FFFFFF"/>
          <w:sz w:val="2"/>
          <w:szCs w:val="2"/>
          <w:rtl/>
        </w:rPr>
        <w:tab/>
      </w:r>
      <w:r w:rsidR="0073146C" w:rsidRPr="00CB617A">
        <w:rPr>
          <w:rFonts w:hint="cs"/>
          <w:color w:val="FFFFFF"/>
          <w:sz w:val="2"/>
          <w:szCs w:val="2"/>
          <w:rtl/>
        </w:rPr>
        <w:tab/>
      </w:r>
      <w:r w:rsidR="0073146C" w:rsidRPr="00CB617A">
        <w:rPr>
          <w:rFonts w:hint="cs"/>
          <w:color w:val="FFFFFF"/>
          <w:sz w:val="2"/>
          <w:szCs w:val="2"/>
          <w:rtl/>
        </w:rPr>
        <w:tab/>
        <w:t xml:space="preserve">        </w:t>
      </w:r>
    </w:p>
    <w:p w14:paraId="3FA7693D" w14:textId="77777777" w:rsidR="0073146C" w:rsidRDefault="0073146C" w:rsidP="0073146C">
      <w:pPr>
        <w:tabs>
          <w:tab w:val="left" w:pos="2553"/>
        </w:tabs>
        <w:rPr>
          <w:rFonts w:ascii="Arial" w:hAnsi="Arial"/>
          <w:noProof w:val="0"/>
          <w:rtl/>
        </w:rPr>
      </w:pPr>
    </w:p>
    <w:p w14:paraId="147D23D4" w14:textId="77777777" w:rsidR="00CB617A" w:rsidRPr="00CB617A" w:rsidRDefault="00CB617A" w:rsidP="00CB617A">
      <w:pPr>
        <w:keepNext/>
        <w:rPr>
          <w:rFonts w:ascii="David" w:hAnsi="David"/>
          <w:color w:val="000000"/>
          <w:sz w:val="22"/>
          <w:szCs w:val="22"/>
          <w:rtl/>
        </w:rPr>
      </w:pPr>
    </w:p>
    <w:p w14:paraId="1FD42740" w14:textId="77777777" w:rsidR="00CB617A" w:rsidRPr="00CB617A" w:rsidRDefault="00CB617A" w:rsidP="00CB617A">
      <w:pPr>
        <w:keepNext/>
        <w:rPr>
          <w:rFonts w:ascii="David" w:hAnsi="David"/>
          <w:color w:val="000000"/>
          <w:sz w:val="22"/>
          <w:szCs w:val="22"/>
          <w:rtl/>
        </w:rPr>
      </w:pPr>
      <w:r w:rsidRPr="00CB617A">
        <w:rPr>
          <w:rFonts w:ascii="David" w:hAnsi="David"/>
          <w:color w:val="000000"/>
          <w:sz w:val="22"/>
          <w:szCs w:val="22"/>
          <w:rtl/>
        </w:rPr>
        <w:t>רונית פוזננסקי כץ 54678313</w:t>
      </w:r>
    </w:p>
    <w:p w14:paraId="28F294AC" w14:textId="77777777" w:rsidR="00CB617A" w:rsidRDefault="00CB617A" w:rsidP="00CB617A">
      <w:pPr>
        <w:rPr>
          <w:color w:val="000000"/>
          <w:rtl/>
        </w:rPr>
      </w:pPr>
      <w:r w:rsidRPr="00CB617A">
        <w:rPr>
          <w:color w:val="000000"/>
          <w:rtl/>
        </w:rPr>
        <w:t>נוסח מסמך זה כפוף לשינויי ניסוח ועריכה</w:t>
      </w:r>
    </w:p>
    <w:p w14:paraId="7D3E5CD4" w14:textId="77777777" w:rsidR="00CB617A" w:rsidRDefault="00CB617A" w:rsidP="00CB617A">
      <w:pPr>
        <w:rPr>
          <w:rtl/>
        </w:rPr>
      </w:pPr>
    </w:p>
    <w:p w14:paraId="5C7C22C1" w14:textId="77777777" w:rsidR="00CB617A" w:rsidRDefault="00CB617A" w:rsidP="00CB617A">
      <w:pPr>
        <w:jc w:val="center"/>
        <w:rPr>
          <w:color w:val="0000FF"/>
          <w:u w:val="single"/>
          <w:rtl/>
        </w:rPr>
      </w:pPr>
      <w:hyperlink r:id="rId17" w:history="1">
        <w:r>
          <w:rPr>
            <w:rStyle w:val="Hyperlink"/>
            <w:rtl/>
          </w:rPr>
          <w:t>בעניין עריכה ושינויים במסמכי פסיקה, חקיקה ועוד באתר נבו – הקש כאן</w:t>
        </w:r>
      </w:hyperlink>
    </w:p>
    <w:p w14:paraId="214E3C21" w14:textId="77777777" w:rsidR="00782CAD" w:rsidRPr="00CB617A" w:rsidRDefault="00782CAD" w:rsidP="00CB617A">
      <w:pPr>
        <w:jc w:val="center"/>
        <w:rPr>
          <w:color w:val="0000FF"/>
          <w:u w:val="single"/>
        </w:rPr>
      </w:pPr>
    </w:p>
    <w:sectPr w:rsidR="00782CAD" w:rsidRPr="00CB617A" w:rsidSect="00CB617A">
      <w:headerReference w:type="even" r:id="rId18"/>
      <w:headerReference w:type="default" r:id="rId19"/>
      <w:footerReference w:type="even" r:id="rId20"/>
      <w:footerReference w:type="default" r:id="rId2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8A127" w14:textId="77777777" w:rsidR="005D0453" w:rsidRDefault="005D0453">
      <w:r>
        <w:separator/>
      </w:r>
    </w:p>
  </w:endnote>
  <w:endnote w:type="continuationSeparator" w:id="0">
    <w:p w14:paraId="3B6840DD" w14:textId="77777777" w:rsidR="005D0453" w:rsidRDefault="005D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2B2" w14:textId="77777777" w:rsidR="005D0453" w:rsidRDefault="005D0453" w:rsidP="00CB617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4865508" w14:textId="77777777" w:rsidR="005D0453" w:rsidRPr="00CB617A" w:rsidRDefault="005D0453" w:rsidP="00CB617A">
    <w:pPr>
      <w:pStyle w:val="a4"/>
      <w:pBdr>
        <w:top w:val="single" w:sz="4" w:space="1" w:color="auto"/>
        <w:between w:val="single" w:sz="4" w:space="0" w:color="auto"/>
      </w:pBdr>
      <w:spacing w:after="60"/>
      <w:jc w:val="center"/>
      <w:rPr>
        <w:rFonts w:ascii="FrankRuehl" w:hAnsi="FrankRuehl" w:cs="FrankRuehl"/>
        <w:color w:val="000000"/>
      </w:rPr>
    </w:pPr>
    <w:r w:rsidRPr="00CB61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BA513" w14:textId="77777777" w:rsidR="005D0453" w:rsidRDefault="005D0453" w:rsidP="00CB617A">
    <w:pPr>
      <w:pStyle w:val="a4"/>
      <w:jc w:val="center"/>
      <w:rPr>
        <w:rStyle w:val="a5"/>
        <w:rFonts w:ascii="FrankRuehl" w:hAnsi="FrankRuehl" w:cs="FrankRuehl"/>
        <w:rt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F70E25">
      <w:rPr>
        <w:rStyle w:val="a5"/>
        <w:rFonts w:ascii="FrankRuehl" w:hAnsi="FrankRuehl" w:cs="FrankRuehl"/>
        <w:rtl/>
      </w:rPr>
      <w:t>1</w:t>
    </w:r>
    <w:r>
      <w:rPr>
        <w:rStyle w:val="a5"/>
        <w:rFonts w:ascii="FrankRuehl" w:hAnsi="FrankRuehl" w:cs="FrankRuehl"/>
        <w:rtl/>
      </w:rPr>
      <w:fldChar w:fldCharType="end"/>
    </w:r>
  </w:p>
  <w:p w14:paraId="5B788791" w14:textId="77777777" w:rsidR="005D0453" w:rsidRPr="00CB617A" w:rsidRDefault="005D0453" w:rsidP="00CB617A">
    <w:pPr>
      <w:pStyle w:val="a4"/>
      <w:pBdr>
        <w:top w:val="single" w:sz="4" w:space="1" w:color="auto"/>
        <w:between w:val="single" w:sz="4" w:space="0" w:color="auto"/>
      </w:pBdr>
      <w:spacing w:after="60"/>
      <w:jc w:val="center"/>
      <w:rPr>
        <w:rStyle w:val="a5"/>
        <w:rFonts w:ascii="FrankRuehl" w:hAnsi="FrankRuehl" w:cs="FrankRuehl"/>
        <w:color w:val="000000"/>
      </w:rPr>
    </w:pPr>
    <w:r w:rsidRPr="00CB617A">
      <w:rPr>
        <w:rStyle w:val="a5"/>
        <w:rFonts w:ascii="FrankRuehl" w:hAnsi="FrankRuehl" w:cs="FrankRuehl"/>
        <w:color w:val="000000"/>
      </w:rPr>
      <w:pict w14:anchorId="64F9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A4E58" w14:textId="77777777" w:rsidR="005D0453" w:rsidRDefault="005D0453">
      <w:r>
        <w:separator/>
      </w:r>
    </w:p>
  </w:footnote>
  <w:footnote w:type="continuationSeparator" w:id="0">
    <w:p w14:paraId="54B3E3A4" w14:textId="77777777" w:rsidR="005D0453" w:rsidRDefault="005D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09C19" w14:textId="77777777" w:rsidR="005D0453" w:rsidRPr="00CB617A" w:rsidRDefault="005D0453" w:rsidP="00CB61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39727-08-16</w:t>
    </w:r>
    <w:r>
      <w:rPr>
        <w:rFonts w:ascii="David" w:hAnsi="David"/>
        <w:color w:val="000000"/>
        <w:sz w:val="22"/>
        <w:szCs w:val="22"/>
        <w:rtl/>
      </w:rPr>
      <w:tab/>
      <w:t xml:space="preserve"> מדינת ישראל נ' ישראל ליפשיץ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A5765" w14:textId="77777777" w:rsidR="005D0453" w:rsidRPr="00CB617A" w:rsidRDefault="005D0453" w:rsidP="00CB61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39727-08-16</w:t>
    </w:r>
    <w:r>
      <w:rPr>
        <w:rFonts w:ascii="David" w:hAnsi="David"/>
        <w:color w:val="000000"/>
        <w:sz w:val="22"/>
        <w:szCs w:val="22"/>
        <w:rtl/>
      </w:rPr>
      <w:tab/>
      <w:t xml:space="preserve"> מדינת ישראל נ' ישראל ליפשיץ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F25E9"/>
    <w:multiLevelType w:val="hybridMultilevel"/>
    <w:tmpl w:val="186E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146C"/>
    <w:rsid w:val="000E3683"/>
    <w:rsid w:val="001406D6"/>
    <w:rsid w:val="002921B1"/>
    <w:rsid w:val="005D0453"/>
    <w:rsid w:val="00634639"/>
    <w:rsid w:val="0073146C"/>
    <w:rsid w:val="00782CAD"/>
    <w:rsid w:val="0091237F"/>
    <w:rsid w:val="00CB617A"/>
    <w:rsid w:val="00CE4FB2"/>
    <w:rsid w:val="00F11ADF"/>
    <w:rsid w:val="00F70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3CCF15"/>
  <w15:chartTrackingRefBased/>
  <w15:docId w15:val="{C685AD78-DB44-4876-8533-882F22AF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146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3146C"/>
    <w:pPr>
      <w:tabs>
        <w:tab w:val="center" w:pos="4153"/>
        <w:tab w:val="right" w:pos="8306"/>
      </w:tabs>
    </w:pPr>
  </w:style>
  <w:style w:type="paragraph" w:styleId="a4">
    <w:name w:val="footer"/>
    <w:basedOn w:val="a"/>
    <w:rsid w:val="0073146C"/>
    <w:pPr>
      <w:tabs>
        <w:tab w:val="center" w:pos="4153"/>
        <w:tab w:val="right" w:pos="8306"/>
      </w:tabs>
    </w:pPr>
  </w:style>
  <w:style w:type="character" w:styleId="a5">
    <w:name w:val="page number"/>
    <w:basedOn w:val="a0"/>
    <w:rsid w:val="0073146C"/>
  </w:style>
  <w:style w:type="paragraph" w:customStyle="1" w:styleId="ListParagraph">
    <w:name w:val="List Paragraph"/>
    <w:basedOn w:val="a"/>
    <w:rsid w:val="0073146C"/>
    <w:pPr>
      <w:ind w:left="720"/>
      <w:contextualSpacing/>
    </w:pPr>
  </w:style>
  <w:style w:type="character" w:styleId="Hyperlink">
    <w:name w:val="Hyperlink"/>
    <w:basedOn w:val="a0"/>
    <w:rsid w:val="00CB6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02768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126977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2370</Words>
  <Characters>11854</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14196</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3276923</vt:i4>
      </vt:variant>
      <vt:variant>
        <vt:i4>27</vt:i4>
      </vt:variant>
      <vt:variant>
        <vt:i4>0</vt:i4>
      </vt:variant>
      <vt:variant>
        <vt:i4>5</vt:i4>
      </vt:variant>
      <vt:variant>
        <vt:lpwstr>http://www.nevo.co.il/case/20276840</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3997812</vt:i4>
      </vt:variant>
      <vt:variant>
        <vt:i4>21</vt:i4>
      </vt:variant>
      <vt:variant>
        <vt:i4>0</vt:i4>
      </vt:variant>
      <vt:variant>
        <vt:i4>5</vt:i4>
      </vt:variant>
      <vt:variant>
        <vt:lpwstr>http://www.nevo.co.il/case/11269774</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39727</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ישראל ליפשיץ</vt:lpwstr>
  </property>
  <property fmtid="{D5CDD505-2E9C-101B-9397-08002B2CF9AE}" pid="10" name="LAWYER">
    <vt:lpwstr/>
  </property>
  <property fmtid="{D5CDD505-2E9C-101B-9397-08002B2CF9AE}" pid="11" name="JUDGE">
    <vt:lpwstr>רונית פוזננסקי כץ</vt:lpwstr>
  </property>
  <property fmtid="{D5CDD505-2E9C-101B-9397-08002B2CF9AE}" pid="12" name="CITY">
    <vt:lpwstr>ת"א</vt:lpwstr>
  </property>
  <property fmtid="{D5CDD505-2E9C-101B-9397-08002B2CF9AE}" pid="13" name="DATE">
    <vt:lpwstr>20170518</vt:lpwstr>
  </property>
  <property fmtid="{D5CDD505-2E9C-101B-9397-08002B2CF9AE}" pid="14" name="TYPE_N_DATE">
    <vt:lpwstr>38020170518</vt:lpwstr>
  </property>
  <property fmtid="{D5CDD505-2E9C-101B-9397-08002B2CF9AE}" pid="15" name="CASESLISTTMP1">
    <vt:lpwstr>11269774;5698919;20276840</vt:lpwstr>
  </property>
  <property fmtid="{D5CDD505-2E9C-101B-9397-08002B2CF9AE}" pid="16" name="CASENOTES1">
    <vt:lpwstr>ProcID=133;209&amp;PartA=407&amp;PartC=97</vt:lpwstr>
  </property>
  <property fmtid="{D5CDD505-2E9C-101B-9397-08002B2CF9AE}" pid="17" name="WORDNUMPAGES">
    <vt:lpwstr>8</vt:lpwstr>
  </property>
  <property fmtid="{D5CDD505-2E9C-101B-9397-08002B2CF9AE}" pid="18" name="TYPE_ABS_DATE">
    <vt:lpwstr>380020170518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4216/013;007.a;007.c</vt:lpwstr>
  </property>
</Properties>
</file>