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20"/>
        <w:gridCol w:w="3825"/>
        <w:gridCol w:w="440"/>
        <w:gridCol w:w="3138"/>
        <w:gridCol w:w="297"/>
      </w:tblGrid>
      <w:tr w:rsidR="00D45F71" w:rsidRPr="007A6FD3" w14:paraId="676D7E39" w14:textId="77777777" w:rsidTr="00AC0211">
        <w:trPr>
          <w:gridAfter w:val="1"/>
          <w:wAfter w:w="297" w:type="dxa"/>
          <w:trHeight w:hRule="exact" w:val="418"/>
          <w:jc w:val="center"/>
        </w:trPr>
        <w:tc>
          <w:tcPr>
            <w:tcW w:w="8523" w:type="dxa"/>
            <w:gridSpan w:val="4"/>
          </w:tcPr>
          <w:p w14:paraId="44CF7FFA" w14:textId="77777777" w:rsidR="00D45F71" w:rsidRPr="007A6FD3" w:rsidRDefault="00D45F71" w:rsidP="00D10228">
            <w:pPr>
              <w:pStyle w:val="a3"/>
              <w:jc w:val="center"/>
              <w:rPr>
                <w:rFonts w:ascii="Tahoma" w:hAnsi="Tahoma"/>
                <w:color w:val="000080"/>
                <w:sz w:val="32"/>
                <w:szCs w:val="32"/>
                <w:rtl/>
              </w:rPr>
            </w:pPr>
            <w:bookmarkStart w:id="0" w:name="LastJudge"/>
            <w:r w:rsidRPr="007A6FD3">
              <w:rPr>
                <w:rFonts w:ascii="Tahoma" w:hAnsi="Tahoma"/>
                <w:b/>
                <w:bCs/>
                <w:color w:val="000080"/>
                <w:sz w:val="32"/>
                <w:szCs w:val="32"/>
                <w:rtl/>
              </w:rPr>
              <w:t>בית משפט השלום בתל אביב - יפו</w:t>
            </w:r>
          </w:p>
        </w:tc>
      </w:tr>
      <w:tr w:rsidR="00D45F71" w:rsidRPr="007A6FD3" w14:paraId="6EFFB2A3" w14:textId="77777777" w:rsidTr="00AC0211">
        <w:trPr>
          <w:gridAfter w:val="1"/>
          <w:wAfter w:w="297" w:type="dxa"/>
          <w:trHeight w:val="337"/>
          <w:jc w:val="center"/>
        </w:trPr>
        <w:tc>
          <w:tcPr>
            <w:tcW w:w="4945" w:type="dxa"/>
            <w:gridSpan w:val="2"/>
          </w:tcPr>
          <w:p w14:paraId="6E9039D4" w14:textId="77777777" w:rsidR="00D45F71" w:rsidRPr="007A6FD3" w:rsidRDefault="00D45F71" w:rsidP="00D10228">
            <w:pPr>
              <w:rPr>
                <w:sz w:val="26"/>
                <w:szCs w:val="26"/>
                <w:rtl/>
              </w:rPr>
            </w:pPr>
            <w:r w:rsidRPr="007A6FD3">
              <w:rPr>
                <w:sz w:val="26"/>
                <w:szCs w:val="26"/>
                <w:rtl/>
              </w:rPr>
              <w:t>ת"פ</w:t>
            </w:r>
            <w:r w:rsidRPr="007A6FD3">
              <w:rPr>
                <w:rFonts w:hint="cs"/>
                <w:sz w:val="26"/>
                <w:szCs w:val="26"/>
                <w:rtl/>
              </w:rPr>
              <w:t xml:space="preserve"> </w:t>
            </w:r>
            <w:r w:rsidRPr="007A6FD3">
              <w:rPr>
                <w:sz w:val="26"/>
                <w:szCs w:val="26"/>
                <w:rtl/>
              </w:rPr>
              <w:t>60385-08-16</w:t>
            </w:r>
            <w:r w:rsidRPr="007A6FD3">
              <w:rPr>
                <w:rFonts w:hint="cs"/>
                <w:sz w:val="26"/>
                <w:szCs w:val="26"/>
                <w:rtl/>
              </w:rPr>
              <w:t xml:space="preserve"> </w:t>
            </w:r>
            <w:r w:rsidRPr="007A6FD3">
              <w:rPr>
                <w:sz w:val="26"/>
                <w:szCs w:val="26"/>
                <w:rtl/>
              </w:rPr>
              <w:t>מדינת ישראל נ' קנאו</w:t>
            </w:r>
          </w:p>
        </w:tc>
        <w:tc>
          <w:tcPr>
            <w:tcW w:w="3578" w:type="dxa"/>
            <w:gridSpan w:val="2"/>
          </w:tcPr>
          <w:p w14:paraId="2E077426" w14:textId="77777777" w:rsidR="00D45F71" w:rsidRPr="007A6FD3" w:rsidRDefault="00D45F71" w:rsidP="00D10228">
            <w:pPr>
              <w:pStyle w:val="a3"/>
              <w:jc w:val="right"/>
              <w:rPr>
                <w:rFonts w:cs="FrankRuehl"/>
                <w:sz w:val="28"/>
                <w:szCs w:val="28"/>
                <w:rtl/>
              </w:rPr>
            </w:pPr>
          </w:p>
        </w:tc>
      </w:tr>
      <w:tr w:rsidR="00D45F71" w:rsidRPr="007A6FD3" w14:paraId="415DD234" w14:textId="77777777" w:rsidTr="00AC02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62751970" w14:textId="77777777" w:rsidR="00D45F71" w:rsidRPr="007A6FD3" w:rsidRDefault="00D45F71" w:rsidP="00D45F71">
            <w:pPr>
              <w:jc w:val="both"/>
              <w:rPr>
                <w:rFonts w:ascii="David" w:hAnsi="David"/>
                <w:b/>
                <w:bCs/>
              </w:rPr>
            </w:pPr>
            <w:r w:rsidRPr="007A6FD3">
              <w:rPr>
                <w:rFonts w:hint="cs"/>
                <w:rtl/>
              </w:rPr>
              <w:t xml:space="preserve"> </w:t>
            </w:r>
            <w:r w:rsidRPr="007A6FD3">
              <w:rPr>
                <w:rFonts w:ascii="David" w:hAnsi="David"/>
                <w:b/>
                <w:bCs/>
                <w:rtl/>
              </w:rPr>
              <w:t>לפני כבוד השופטת  דנה אמיר</w:t>
            </w:r>
          </w:p>
        </w:tc>
      </w:tr>
      <w:tr w:rsidR="00D45F71" w:rsidRPr="007A6FD3" w14:paraId="46B9F446" w14:textId="77777777" w:rsidTr="00AC02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20" w:type="dxa"/>
            <w:tcBorders>
              <w:top w:val="nil"/>
              <w:left w:val="nil"/>
              <w:bottom w:val="nil"/>
              <w:right w:val="nil"/>
            </w:tcBorders>
            <w:shd w:val="clear" w:color="auto" w:fill="auto"/>
          </w:tcPr>
          <w:p w14:paraId="4755D9AD" w14:textId="77777777" w:rsidR="00D45F71" w:rsidRPr="007A6FD3" w:rsidRDefault="00D45F71" w:rsidP="00D45F71">
            <w:pPr>
              <w:jc w:val="both"/>
              <w:rPr>
                <w:rFonts w:ascii="David" w:hAnsi="David"/>
                <w:b/>
                <w:bCs/>
              </w:rPr>
            </w:pPr>
            <w:bookmarkStart w:id="1" w:name="FirstAppellant"/>
            <w:r w:rsidRPr="007A6FD3">
              <w:rPr>
                <w:rFonts w:ascii="David" w:hAnsi="David"/>
                <w:rtl/>
              </w:rPr>
              <w:t>המאשימה</w:t>
            </w:r>
          </w:p>
        </w:tc>
        <w:tc>
          <w:tcPr>
            <w:tcW w:w="4265" w:type="dxa"/>
            <w:gridSpan w:val="2"/>
            <w:tcBorders>
              <w:top w:val="nil"/>
              <w:left w:val="nil"/>
              <w:bottom w:val="nil"/>
              <w:right w:val="nil"/>
            </w:tcBorders>
            <w:shd w:val="clear" w:color="auto" w:fill="auto"/>
          </w:tcPr>
          <w:p w14:paraId="438C91F2" w14:textId="77777777" w:rsidR="00D45F71" w:rsidRPr="007A6FD3" w:rsidRDefault="00D45F71" w:rsidP="00D10228">
            <w:pPr>
              <w:rPr>
                <w:rFonts w:ascii="David" w:hAnsi="David"/>
              </w:rPr>
            </w:pPr>
            <w:r w:rsidRPr="007A6FD3">
              <w:rPr>
                <w:rFonts w:ascii="David" w:hAnsi="David"/>
                <w:rtl/>
              </w:rPr>
              <w:t>מדינת ישראל</w:t>
            </w:r>
          </w:p>
        </w:tc>
        <w:tc>
          <w:tcPr>
            <w:tcW w:w="3435" w:type="dxa"/>
            <w:gridSpan w:val="2"/>
            <w:tcBorders>
              <w:top w:val="nil"/>
              <w:left w:val="nil"/>
              <w:bottom w:val="nil"/>
              <w:right w:val="nil"/>
            </w:tcBorders>
            <w:shd w:val="clear" w:color="auto" w:fill="auto"/>
          </w:tcPr>
          <w:p w14:paraId="02C7D16D" w14:textId="77777777" w:rsidR="00D45F71" w:rsidRPr="007A6FD3" w:rsidRDefault="00D45F71" w:rsidP="00D45F71">
            <w:pPr>
              <w:jc w:val="both"/>
              <w:rPr>
                <w:rFonts w:ascii="David" w:hAnsi="David"/>
              </w:rPr>
            </w:pPr>
          </w:p>
        </w:tc>
      </w:tr>
      <w:bookmarkEnd w:id="1"/>
      <w:tr w:rsidR="00D45F71" w:rsidRPr="007A6FD3" w14:paraId="2712A117" w14:textId="77777777" w:rsidTr="00AC02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20" w:type="dxa"/>
            <w:tcBorders>
              <w:top w:val="nil"/>
              <w:left w:val="nil"/>
              <w:bottom w:val="nil"/>
              <w:right w:val="nil"/>
            </w:tcBorders>
            <w:shd w:val="clear" w:color="auto" w:fill="auto"/>
          </w:tcPr>
          <w:p w14:paraId="66DD0BAE" w14:textId="77777777" w:rsidR="00D45F71" w:rsidRPr="007A6FD3" w:rsidRDefault="00D45F71" w:rsidP="00D45F71">
            <w:pPr>
              <w:jc w:val="both"/>
              <w:rPr>
                <w:rFonts w:ascii="David" w:hAnsi="David"/>
                <w:rtl/>
              </w:rPr>
            </w:pPr>
          </w:p>
        </w:tc>
        <w:tc>
          <w:tcPr>
            <w:tcW w:w="7700" w:type="dxa"/>
            <w:gridSpan w:val="4"/>
            <w:tcBorders>
              <w:top w:val="nil"/>
              <w:left w:val="nil"/>
              <w:bottom w:val="nil"/>
              <w:right w:val="nil"/>
            </w:tcBorders>
            <w:shd w:val="clear" w:color="auto" w:fill="auto"/>
          </w:tcPr>
          <w:p w14:paraId="4915F26B" w14:textId="77777777" w:rsidR="00D45F71" w:rsidRPr="007A6FD3" w:rsidRDefault="00D45F71" w:rsidP="00D45F71">
            <w:pPr>
              <w:jc w:val="center"/>
              <w:rPr>
                <w:rFonts w:ascii="David" w:hAnsi="David"/>
                <w:b/>
                <w:bCs/>
                <w:rtl/>
              </w:rPr>
            </w:pPr>
          </w:p>
          <w:p w14:paraId="6A01D566" w14:textId="77777777" w:rsidR="00D45F71" w:rsidRPr="007A6FD3" w:rsidRDefault="00D45F71" w:rsidP="00D45F71">
            <w:pPr>
              <w:jc w:val="center"/>
              <w:rPr>
                <w:rFonts w:ascii="David" w:hAnsi="David"/>
                <w:b/>
                <w:bCs/>
                <w:rtl/>
              </w:rPr>
            </w:pPr>
            <w:r w:rsidRPr="007A6FD3">
              <w:rPr>
                <w:rFonts w:ascii="David" w:hAnsi="David"/>
                <w:b/>
                <w:bCs/>
                <w:rtl/>
              </w:rPr>
              <w:t>נגד</w:t>
            </w:r>
          </w:p>
          <w:p w14:paraId="6364A4C9" w14:textId="77777777" w:rsidR="00D45F71" w:rsidRPr="007A6FD3" w:rsidRDefault="00D45F71" w:rsidP="00D45F71">
            <w:pPr>
              <w:jc w:val="both"/>
              <w:rPr>
                <w:rFonts w:ascii="David" w:hAnsi="David"/>
              </w:rPr>
            </w:pPr>
          </w:p>
        </w:tc>
      </w:tr>
      <w:tr w:rsidR="00D45F71" w:rsidRPr="007A6FD3" w14:paraId="2448F7F0" w14:textId="77777777" w:rsidTr="00AC02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20" w:type="dxa"/>
            <w:tcBorders>
              <w:top w:val="nil"/>
              <w:left w:val="nil"/>
              <w:bottom w:val="nil"/>
              <w:right w:val="nil"/>
            </w:tcBorders>
            <w:shd w:val="clear" w:color="auto" w:fill="auto"/>
          </w:tcPr>
          <w:p w14:paraId="10BAC2AE" w14:textId="77777777" w:rsidR="00D45F71" w:rsidRPr="007A6FD3" w:rsidRDefault="00D45F71" w:rsidP="00D10228">
            <w:pPr>
              <w:rPr>
                <w:rFonts w:ascii="David" w:hAnsi="David"/>
                <w:rtl/>
              </w:rPr>
            </w:pPr>
            <w:r w:rsidRPr="007A6FD3">
              <w:rPr>
                <w:rFonts w:ascii="David" w:hAnsi="David"/>
                <w:rtl/>
              </w:rPr>
              <w:t>הנאשם</w:t>
            </w:r>
          </w:p>
        </w:tc>
        <w:tc>
          <w:tcPr>
            <w:tcW w:w="4265" w:type="dxa"/>
            <w:gridSpan w:val="2"/>
            <w:tcBorders>
              <w:top w:val="nil"/>
              <w:left w:val="nil"/>
              <w:bottom w:val="nil"/>
              <w:right w:val="nil"/>
            </w:tcBorders>
            <w:shd w:val="clear" w:color="auto" w:fill="auto"/>
          </w:tcPr>
          <w:p w14:paraId="67CB4016" w14:textId="77777777" w:rsidR="00D45F71" w:rsidRPr="007A6FD3" w:rsidRDefault="00D45F71" w:rsidP="00D10228">
            <w:pPr>
              <w:rPr>
                <w:rFonts w:ascii="David" w:hAnsi="David"/>
                <w:rtl/>
              </w:rPr>
            </w:pPr>
            <w:r w:rsidRPr="007A6FD3">
              <w:rPr>
                <w:rFonts w:ascii="David" w:hAnsi="David"/>
                <w:rtl/>
              </w:rPr>
              <w:t>גיזאצ'או קנאו</w:t>
            </w:r>
          </w:p>
        </w:tc>
        <w:tc>
          <w:tcPr>
            <w:tcW w:w="3435" w:type="dxa"/>
            <w:gridSpan w:val="2"/>
            <w:tcBorders>
              <w:top w:val="nil"/>
              <w:left w:val="nil"/>
              <w:bottom w:val="nil"/>
              <w:right w:val="nil"/>
            </w:tcBorders>
            <w:shd w:val="clear" w:color="auto" w:fill="auto"/>
          </w:tcPr>
          <w:p w14:paraId="7B6672A4" w14:textId="77777777" w:rsidR="00D45F71" w:rsidRPr="007A6FD3" w:rsidRDefault="00D45F71" w:rsidP="00D45F71">
            <w:pPr>
              <w:jc w:val="right"/>
              <w:rPr>
                <w:rFonts w:ascii="David" w:hAnsi="David"/>
              </w:rPr>
            </w:pPr>
          </w:p>
        </w:tc>
      </w:tr>
    </w:tbl>
    <w:p w14:paraId="1E5C7D7E" w14:textId="77777777" w:rsidR="00D45F71" w:rsidRPr="007A6FD3" w:rsidRDefault="00D45F71" w:rsidP="00D45F71">
      <w:pPr>
        <w:rPr>
          <w:rFonts w:ascii="David" w:hAnsi="David"/>
          <w:rtl/>
        </w:rPr>
      </w:pPr>
    </w:p>
    <w:p w14:paraId="5D47134D" w14:textId="77777777" w:rsidR="00D45F71" w:rsidRPr="007A6FD3" w:rsidRDefault="00D45F71" w:rsidP="00D45F71">
      <w:pPr>
        <w:rPr>
          <w:rFonts w:ascii="David" w:hAnsi="David"/>
          <w:rtl/>
        </w:rPr>
      </w:pPr>
    </w:p>
    <w:p w14:paraId="0ABC6A96" w14:textId="77777777" w:rsidR="00D45F71" w:rsidRPr="007A6FD3" w:rsidRDefault="00D45F71" w:rsidP="00D45F71">
      <w:pPr>
        <w:rPr>
          <w:rFonts w:ascii="David" w:hAnsi="David"/>
          <w:b/>
          <w:bCs/>
          <w:rtl/>
        </w:rPr>
      </w:pPr>
      <w:r w:rsidRPr="007A6FD3">
        <w:rPr>
          <w:rFonts w:ascii="David" w:hAnsi="David" w:hint="cs"/>
          <w:b/>
          <w:bCs/>
          <w:rtl/>
        </w:rPr>
        <w:t>נוכחים:</w:t>
      </w:r>
    </w:p>
    <w:p w14:paraId="7951A866" w14:textId="77777777" w:rsidR="00D45F71" w:rsidRPr="007A6FD3" w:rsidRDefault="00D45F71" w:rsidP="00D45F71">
      <w:pPr>
        <w:rPr>
          <w:rFonts w:ascii="David" w:hAnsi="David"/>
          <w:rtl/>
        </w:rPr>
      </w:pPr>
      <w:bookmarkStart w:id="2" w:name="FirstLawyer"/>
      <w:r w:rsidRPr="007A6FD3">
        <w:rPr>
          <w:rFonts w:ascii="David" w:hAnsi="David" w:hint="cs"/>
          <w:rtl/>
        </w:rPr>
        <w:t>ב"כ</w:t>
      </w:r>
      <w:bookmarkEnd w:id="2"/>
      <w:r w:rsidRPr="007A6FD3">
        <w:rPr>
          <w:rFonts w:ascii="David" w:hAnsi="David" w:hint="cs"/>
          <w:rtl/>
        </w:rPr>
        <w:t xml:space="preserve"> המאשימה </w:t>
      </w:r>
      <w:r w:rsidRPr="007A6FD3">
        <w:rPr>
          <w:rFonts w:ascii="David" w:hAnsi="David"/>
          <w:rtl/>
        </w:rPr>
        <w:t>–</w:t>
      </w:r>
      <w:r w:rsidRPr="007A6FD3">
        <w:rPr>
          <w:rFonts w:ascii="David" w:hAnsi="David" w:hint="cs"/>
          <w:rtl/>
        </w:rPr>
        <w:t xml:space="preserve"> עו"ד אבישג לוי-ברקוביץ'</w:t>
      </w:r>
    </w:p>
    <w:p w14:paraId="4CB63BD4" w14:textId="77777777" w:rsidR="00D45F71" w:rsidRPr="007A6FD3" w:rsidRDefault="00D45F71" w:rsidP="00D45F71">
      <w:pPr>
        <w:rPr>
          <w:rFonts w:ascii="David" w:hAnsi="David"/>
          <w:rtl/>
        </w:rPr>
      </w:pPr>
      <w:r w:rsidRPr="007A6FD3">
        <w:rPr>
          <w:rFonts w:ascii="David" w:hAnsi="David" w:hint="cs"/>
          <w:rtl/>
        </w:rPr>
        <w:t xml:space="preserve">ב"כ הנאשם </w:t>
      </w:r>
      <w:r w:rsidRPr="007A6FD3">
        <w:rPr>
          <w:rFonts w:ascii="David" w:hAnsi="David"/>
          <w:rtl/>
        </w:rPr>
        <w:t>–</w:t>
      </w:r>
      <w:r w:rsidRPr="007A6FD3">
        <w:rPr>
          <w:rFonts w:ascii="David" w:hAnsi="David" w:hint="cs"/>
          <w:rtl/>
        </w:rPr>
        <w:t xml:space="preserve"> עו"ד ענבר קינן</w:t>
      </w:r>
    </w:p>
    <w:p w14:paraId="062207B7" w14:textId="77777777" w:rsidR="00AC0211" w:rsidRDefault="00D45F71" w:rsidP="00D45F71">
      <w:pPr>
        <w:rPr>
          <w:rFonts w:ascii="David" w:hAnsi="David"/>
          <w:rtl/>
        </w:rPr>
      </w:pPr>
      <w:r w:rsidRPr="007A6FD3">
        <w:rPr>
          <w:rFonts w:ascii="David" w:hAnsi="David" w:hint="cs"/>
          <w:rtl/>
        </w:rPr>
        <w:t>הנאשם</w:t>
      </w:r>
    </w:p>
    <w:p w14:paraId="628EA6D5" w14:textId="77777777" w:rsidR="00AC0211" w:rsidRPr="00AC0211" w:rsidRDefault="00AC0211" w:rsidP="00AC0211">
      <w:pPr>
        <w:spacing w:after="120" w:line="240" w:lineRule="exact"/>
        <w:ind w:left="283" w:hanging="283"/>
        <w:jc w:val="both"/>
        <w:rPr>
          <w:rFonts w:ascii="FrankRuehl" w:hAnsi="FrankRuehl" w:cs="FrankRuehl"/>
          <w:rtl/>
        </w:rPr>
      </w:pPr>
    </w:p>
    <w:p w14:paraId="15A331CB" w14:textId="77777777" w:rsidR="00E60FD9" w:rsidRPr="00E60FD9" w:rsidRDefault="00E60FD9" w:rsidP="00E60FD9">
      <w:pPr>
        <w:spacing w:before="120" w:after="120" w:line="240" w:lineRule="exact"/>
        <w:ind w:left="283" w:hanging="283"/>
        <w:jc w:val="both"/>
        <w:rPr>
          <w:rFonts w:ascii="FrankRuehl" w:hAnsi="FrankRuehl" w:cs="FrankRuehl"/>
          <w:rtl/>
        </w:rPr>
      </w:pPr>
    </w:p>
    <w:p w14:paraId="30B9E840" w14:textId="77777777" w:rsidR="00A33AE6" w:rsidRDefault="00A33AE6" w:rsidP="00A33AE6">
      <w:pPr>
        <w:rPr>
          <w:rFonts w:ascii="David" w:hAnsi="David"/>
          <w:rtl/>
        </w:rPr>
      </w:pPr>
      <w:bookmarkStart w:id="3" w:name="LawTable"/>
      <w:bookmarkEnd w:id="3"/>
    </w:p>
    <w:p w14:paraId="670FBF3B" w14:textId="77777777" w:rsidR="00A33AE6" w:rsidRPr="00A33AE6" w:rsidRDefault="00A33AE6" w:rsidP="00A33AE6">
      <w:pPr>
        <w:spacing w:before="120" w:after="120" w:line="240" w:lineRule="exact"/>
        <w:ind w:left="283" w:hanging="283"/>
        <w:jc w:val="both"/>
        <w:rPr>
          <w:rFonts w:ascii="FrankRuehl" w:hAnsi="FrankRuehl" w:cs="FrankRuehl"/>
          <w:rtl/>
        </w:rPr>
      </w:pPr>
    </w:p>
    <w:p w14:paraId="62282E6C" w14:textId="77777777" w:rsidR="00A33AE6" w:rsidRPr="00A33AE6" w:rsidRDefault="00A33AE6" w:rsidP="00A33AE6">
      <w:pPr>
        <w:spacing w:before="120" w:after="120" w:line="240" w:lineRule="exact"/>
        <w:ind w:left="283" w:hanging="283"/>
        <w:jc w:val="both"/>
        <w:rPr>
          <w:rFonts w:ascii="FrankRuehl" w:hAnsi="FrankRuehl" w:cs="FrankRuehl"/>
          <w:rtl/>
        </w:rPr>
      </w:pPr>
    </w:p>
    <w:p w14:paraId="3A89C5F8" w14:textId="77777777" w:rsidR="00A33AE6" w:rsidRPr="00A33AE6" w:rsidRDefault="00A33AE6" w:rsidP="00A33AE6">
      <w:pPr>
        <w:spacing w:before="120" w:after="120" w:line="240" w:lineRule="exact"/>
        <w:ind w:left="283" w:hanging="283"/>
        <w:jc w:val="both"/>
        <w:rPr>
          <w:rFonts w:ascii="FrankRuehl" w:hAnsi="FrankRuehl" w:cs="FrankRuehl"/>
          <w:rtl/>
        </w:rPr>
      </w:pPr>
      <w:r w:rsidRPr="00A33AE6">
        <w:rPr>
          <w:rFonts w:ascii="FrankRuehl" w:hAnsi="FrankRuehl" w:cs="FrankRuehl"/>
          <w:rtl/>
        </w:rPr>
        <w:t xml:space="preserve">חקיקה שאוזכרה: </w:t>
      </w:r>
    </w:p>
    <w:p w14:paraId="527C81AD" w14:textId="77777777" w:rsidR="00A33AE6" w:rsidRPr="00A33AE6" w:rsidRDefault="00A33AE6" w:rsidP="00A33AE6">
      <w:pPr>
        <w:spacing w:before="120" w:after="120" w:line="240" w:lineRule="exact"/>
        <w:ind w:left="283" w:hanging="283"/>
        <w:jc w:val="both"/>
        <w:rPr>
          <w:rFonts w:ascii="FrankRuehl" w:hAnsi="FrankRuehl" w:cs="FrankRuehl"/>
          <w:rtl/>
        </w:rPr>
      </w:pPr>
      <w:hyperlink r:id="rId7" w:history="1">
        <w:r w:rsidRPr="00A33AE6">
          <w:rPr>
            <w:rFonts w:ascii="FrankRuehl" w:hAnsi="FrankRuehl" w:cs="FrankRuehl"/>
            <w:color w:val="0000FF"/>
            <w:rtl/>
          </w:rPr>
          <w:t>חוק העונשין, תשל"ז-1977</w:t>
        </w:r>
      </w:hyperlink>
      <w:r w:rsidRPr="00A33AE6">
        <w:rPr>
          <w:rFonts w:ascii="FrankRuehl" w:hAnsi="FrankRuehl" w:cs="FrankRuehl"/>
          <w:rtl/>
        </w:rPr>
        <w:t xml:space="preserve">: סע'  </w:t>
      </w:r>
      <w:hyperlink r:id="rId8" w:history="1">
        <w:r w:rsidRPr="00A33AE6">
          <w:rPr>
            <w:rFonts w:ascii="FrankRuehl" w:hAnsi="FrankRuehl" w:cs="FrankRuehl"/>
            <w:color w:val="0000FF"/>
            <w:rtl/>
          </w:rPr>
          <w:t>29</w:t>
        </w:r>
      </w:hyperlink>
      <w:r w:rsidRPr="00A33AE6">
        <w:rPr>
          <w:rFonts w:ascii="FrankRuehl" w:hAnsi="FrankRuehl" w:cs="FrankRuehl"/>
          <w:rtl/>
        </w:rPr>
        <w:t xml:space="preserve">, </w:t>
      </w:r>
      <w:hyperlink r:id="rId9" w:history="1">
        <w:r w:rsidRPr="00A33AE6">
          <w:rPr>
            <w:rFonts w:ascii="FrankRuehl" w:hAnsi="FrankRuehl" w:cs="FrankRuehl"/>
            <w:color w:val="0000FF"/>
            <w:rtl/>
          </w:rPr>
          <w:t>384</w:t>
        </w:r>
      </w:hyperlink>
      <w:r w:rsidRPr="00A33AE6">
        <w:rPr>
          <w:rFonts w:ascii="FrankRuehl" w:hAnsi="FrankRuehl" w:cs="FrankRuehl"/>
          <w:rtl/>
        </w:rPr>
        <w:t xml:space="preserve">, </w:t>
      </w:r>
      <w:hyperlink r:id="rId10" w:history="1">
        <w:r w:rsidRPr="00A33AE6">
          <w:rPr>
            <w:rFonts w:ascii="FrankRuehl" w:hAnsi="FrankRuehl" w:cs="FrankRuehl"/>
            <w:color w:val="0000FF"/>
            <w:rtl/>
          </w:rPr>
          <w:t>413</w:t>
        </w:r>
      </w:hyperlink>
      <w:r w:rsidRPr="00A33AE6">
        <w:rPr>
          <w:rFonts w:ascii="FrankRuehl" w:hAnsi="FrankRuehl" w:cs="FrankRuehl"/>
          <w:rtl/>
        </w:rPr>
        <w:t xml:space="preserve">, </w:t>
      </w:r>
      <w:hyperlink r:id="rId11" w:history="1">
        <w:r w:rsidRPr="00A33AE6">
          <w:rPr>
            <w:rFonts w:ascii="FrankRuehl" w:hAnsi="FrankRuehl" w:cs="FrankRuehl"/>
            <w:color w:val="0000FF"/>
            <w:rtl/>
          </w:rPr>
          <w:t>447(א)</w:t>
        </w:r>
      </w:hyperlink>
      <w:r w:rsidRPr="00A33AE6">
        <w:rPr>
          <w:rFonts w:ascii="FrankRuehl" w:hAnsi="FrankRuehl" w:cs="FrankRuehl"/>
          <w:rtl/>
        </w:rPr>
        <w:t xml:space="preserve">, </w:t>
      </w:r>
      <w:hyperlink r:id="rId12" w:history="1">
        <w:r w:rsidRPr="00A33AE6">
          <w:rPr>
            <w:rFonts w:ascii="FrankRuehl" w:hAnsi="FrankRuehl" w:cs="FrankRuehl"/>
            <w:color w:val="0000FF"/>
            <w:rtl/>
          </w:rPr>
          <w:t>452</w:t>
        </w:r>
      </w:hyperlink>
    </w:p>
    <w:p w14:paraId="0D87A7BC" w14:textId="77777777" w:rsidR="00A33AE6" w:rsidRPr="00A33AE6" w:rsidRDefault="00A33AE6" w:rsidP="00A33AE6">
      <w:pPr>
        <w:spacing w:before="120" w:after="120" w:line="240" w:lineRule="exact"/>
        <w:ind w:left="283" w:hanging="283"/>
        <w:jc w:val="both"/>
        <w:rPr>
          <w:rFonts w:ascii="FrankRuehl" w:hAnsi="FrankRuehl" w:cs="FrankRuehl"/>
          <w:rtl/>
        </w:rPr>
      </w:pPr>
      <w:hyperlink r:id="rId13" w:history="1">
        <w:r w:rsidRPr="00A33AE6">
          <w:rPr>
            <w:rFonts w:ascii="FrankRuehl" w:hAnsi="FrankRuehl" w:cs="FrankRuehl"/>
            <w:color w:val="0000FF"/>
            <w:rtl/>
          </w:rPr>
          <w:t>פקודת הסמים המסוכנים [נוסח חדש], תשל"ג-1973</w:t>
        </w:r>
      </w:hyperlink>
      <w:r w:rsidRPr="00A33AE6">
        <w:rPr>
          <w:rFonts w:ascii="FrankRuehl" w:hAnsi="FrankRuehl" w:cs="FrankRuehl"/>
          <w:rtl/>
        </w:rPr>
        <w:t xml:space="preserve">: סע'  </w:t>
      </w:r>
      <w:hyperlink r:id="rId14" w:history="1">
        <w:r w:rsidRPr="00A33AE6">
          <w:rPr>
            <w:rFonts w:ascii="FrankRuehl" w:hAnsi="FrankRuehl" w:cs="FrankRuehl"/>
            <w:color w:val="0000FF"/>
            <w:rtl/>
          </w:rPr>
          <w:t>14</w:t>
        </w:r>
      </w:hyperlink>
    </w:p>
    <w:p w14:paraId="283AA1A1" w14:textId="77777777" w:rsidR="00A33AE6" w:rsidRPr="00A33AE6" w:rsidRDefault="00A33AE6" w:rsidP="00A33AE6">
      <w:pPr>
        <w:rPr>
          <w:rFonts w:ascii="David" w:hAnsi="David"/>
          <w:rtl/>
        </w:rPr>
      </w:pPr>
      <w:bookmarkStart w:id="4" w:name="LawTable_End"/>
      <w:bookmarkEnd w:id="4"/>
    </w:p>
    <w:p w14:paraId="6C575828" w14:textId="77777777" w:rsidR="00D45F71" w:rsidRPr="00E60FD9" w:rsidRDefault="00D45F71" w:rsidP="00E60FD9">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5F71" w:rsidRPr="001521C6" w14:paraId="375B9BB5" w14:textId="77777777" w:rsidTr="00D45F71">
        <w:trPr>
          <w:trHeight w:val="355"/>
          <w:jc w:val="center"/>
        </w:trPr>
        <w:tc>
          <w:tcPr>
            <w:tcW w:w="8820" w:type="dxa"/>
            <w:tcBorders>
              <w:top w:val="nil"/>
              <w:left w:val="nil"/>
              <w:bottom w:val="nil"/>
              <w:right w:val="nil"/>
            </w:tcBorders>
            <w:shd w:val="clear" w:color="auto" w:fill="auto"/>
          </w:tcPr>
          <w:p w14:paraId="6DDDD8FC" w14:textId="77777777" w:rsidR="007A6FD3" w:rsidRPr="007A6FD3" w:rsidRDefault="007A6FD3" w:rsidP="007A6FD3">
            <w:pPr>
              <w:spacing w:line="360" w:lineRule="auto"/>
              <w:jc w:val="center"/>
              <w:rPr>
                <w:rFonts w:ascii="David" w:hAnsi="David"/>
                <w:b/>
                <w:bCs/>
                <w:u w:val="single"/>
                <w:rtl/>
              </w:rPr>
            </w:pPr>
            <w:bookmarkStart w:id="5" w:name="PsakDin" w:colFirst="0" w:colLast="0"/>
            <w:bookmarkEnd w:id="0"/>
            <w:r w:rsidRPr="007A6FD3">
              <w:rPr>
                <w:rFonts w:ascii="David" w:hAnsi="David"/>
                <w:b/>
                <w:bCs/>
                <w:u w:val="single"/>
                <w:rtl/>
              </w:rPr>
              <w:t>גזר דין</w:t>
            </w:r>
          </w:p>
          <w:p w14:paraId="72DA2F75" w14:textId="77777777" w:rsidR="00D45F71" w:rsidRPr="007A6FD3" w:rsidRDefault="00D45F71" w:rsidP="007A6FD3">
            <w:pPr>
              <w:spacing w:line="360" w:lineRule="auto"/>
              <w:jc w:val="center"/>
              <w:rPr>
                <w:rFonts w:ascii="David" w:hAnsi="David"/>
                <w:bCs/>
                <w:u w:val="single"/>
                <w:rtl/>
              </w:rPr>
            </w:pPr>
          </w:p>
        </w:tc>
      </w:tr>
    </w:tbl>
    <w:p w14:paraId="50714080" w14:textId="77777777" w:rsidR="00D45F71" w:rsidRPr="00FB7975" w:rsidRDefault="00D45F71" w:rsidP="00D45F71">
      <w:pPr>
        <w:pStyle w:val="a9"/>
        <w:numPr>
          <w:ilvl w:val="0"/>
          <w:numId w:val="1"/>
        </w:numPr>
        <w:spacing w:after="240" w:line="360" w:lineRule="auto"/>
        <w:ind w:left="84" w:hanging="69"/>
        <w:jc w:val="both"/>
        <w:rPr>
          <w:rFonts w:eastAsia="Times New Roman"/>
          <w:color w:val="000000"/>
        </w:rPr>
      </w:pPr>
      <w:bookmarkStart w:id="6" w:name="ABSTRACT_START"/>
      <w:bookmarkEnd w:id="5"/>
      <w:bookmarkEnd w:id="6"/>
      <w:r w:rsidRPr="001521C6">
        <w:rPr>
          <w:rFonts w:eastAsia="Times New Roman"/>
          <w:color w:val="000000"/>
          <w:rtl/>
        </w:rPr>
        <w:t xml:space="preserve">הנאשם הורשע </w:t>
      </w:r>
      <w:r>
        <w:rPr>
          <w:rFonts w:eastAsia="Times New Roman" w:hint="cs"/>
          <w:color w:val="000000"/>
          <w:rtl/>
        </w:rPr>
        <w:t xml:space="preserve">ביום 6.8.2020, </w:t>
      </w:r>
      <w:r w:rsidRPr="001521C6">
        <w:rPr>
          <w:rFonts w:eastAsia="Times New Roman"/>
          <w:color w:val="000000"/>
          <w:rtl/>
        </w:rPr>
        <w:t xml:space="preserve">על יסוד הודאתו </w:t>
      </w:r>
      <w:r>
        <w:rPr>
          <w:rFonts w:eastAsia="Times New Roman" w:hint="cs"/>
          <w:color w:val="000000"/>
          <w:rtl/>
        </w:rPr>
        <w:t xml:space="preserve">ובהמשך להסדר דיוני שכלל צירוף 2 תיקים פליליים נוספים </w:t>
      </w:r>
      <w:r w:rsidRPr="001521C6">
        <w:rPr>
          <w:rFonts w:eastAsia="Times New Roman"/>
          <w:color w:val="000000"/>
          <w:rtl/>
        </w:rPr>
        <w:t xml:space="preserve">לאחר </w:t>
      </w:r>
      <w:r>
        <w:rPr>
          <w:rFonts w:eastAsia="Times New Roman" w:hint="cs"/>
          <w:color w:val="000000"/>
          <w:rtl/>
        </w:rPr>
        <w:t xml:space="preserve">קיומו של </w:t>
      </w:r>
      <w:r w:rsidRPr="001521C6">
        <w:rPr>
          <w:rFonts w:eastAsia="Times New Roman"/>
          <w:color w:val="000000"/>
          <w:rtl/>
        </w:rPr>
        <w:t xml:space="preserve">הליך גישור, בביצוע </w:t>
      </w:r>
      <w:r>
        <w:rPr>
          <w:rFonts w:eastAsia="Times New Roman" w:hint="cs"/>
          <w:color w:val="000000"/>
          <w:rtl/>
        </w:rPr>
        <w:t xml:space="preserve">העבירות הבאות: </w:t>
      </w:r>
      <w:r w:rsidRPr="00F30EE3">
        <w:rPr>
          <w:rFonts w:eastAsia="Times New Roman"/>
          <w:color w:val="000000"/>
          <w:rtl/>
        </w:rPr>
        <w:t>עבירת הסגת גבול פלילית בצוותא</w:t>
      </w:r>
      <w:r w:rsidRPr="00F30EE3">
        <w:rPr>
          <w:rtl/>
        </w:rPr>
        <w:t xml:space="preserve"> לפי </w:t>
      </w:r>
      <w:hyperlink r:id="rId15" w:history="1">
        <w:r w:rsidR="00AC0211" w:rsidRPr="00AC0211">
          <w:rPr>
            <w:rStyle w:val="Hyperlink"/>
            <w:rtl/>
          </w:rPr>
          <w:t>סעיף 447(א)</w:t>
        </w:r>
      </w:hyperlink>
      <w:r w:rsidRPr="00F30EE3">
        <w:rPr>
          <w:rtl/>
        </w:rPr>
        <w:t xml:space="preserve"> </w:t>
      </w:r>
      <w:r>
        <w:rPr>
          <w:rFonts w:hint="cs"/>
          <w:rtl/>
        </w:rPr>
        <w:t xml:space="preserve">יחד עם </w:t>
      </w:r>
      <w:hyperlink r:id="rId16" w:history="1">
        <w:r w:rsidR="00AC0211" w:rsidRPr="00AC0211">
          <w:rPr>
            <w:rStyle w:val="Hyperlink"/>
            <w:rFonts w:hint="eastAsia"/>
            <w:rtl/>
          </w:rPr>
          <w:t>סעיף</w:t>
        </w:r>
        <w:r w:rsidR="00AC0211" w:rsidRPr="00AC0211">
          <w:rPr>
            <w:rStyle w:val="Hyperlink"/>
            <w:rtl/>
          </w:rPr>
          <w:t xml:space="preserve"> 29</w:t>
        </w:r>
      </w:hyperlink>
      <w:r>
        <w:rPr>
          <w:rFonts w:hint="cs"/>
          <w:rtl/>
        </w:rPr>
        <w:t xml:space="preserve"> </w:t>
      </w:r>
      <w:r w:rsidRPr="00F30EE3">
        <w:rPr>
          <w:rtl/>
        </w:rPr>
        <w:t>ל</w:t>
      </w:r>
      <w:hyperlink r:id="rId17" w:history="1">
        <w:r w:rsidR="007A6FD3" w:rsidRPr="007A6FD3">
          <w:rPr>
            <w:color w:val="0000FF"/>
            <w:u w:val="single"/>
            <w:rtl/>
          </w:rPr>
          <w:t>חוק העונשין</w:t>
        </w:r>
      </w:hyperlink>
      <w:r w:rsidRPr="00F30EE3">
        <w:rPr>
          <w:rtl/>
        </w:rPr>
        <w:t>, תשל"ז-1977 (להלן: "</w:t>
      </w:r>
      <w:r w:rsidRPr="00F30EE3">
        <w:rPr>
          <w:b/>
          <w:bCs/>
          <w:rtl/>
        </w:rPr>
        <w:t>חוק העונשין</w:t>
      </w:r>
      <w:r w:rsidRPr="00F30EE3">
        <w:rPr>
          <w:rtl/>
        </w:rPr>
        <w:t xml:space="preserve">"), עבירת גניבה בצוותא לפי </w:t>
      </w:r>
      <w:hyperlink r:id="rId18" w:history="1">
        <w:r w:rsidR="00AC0211" w:rsidRPr="00AC0211">
          <w:rPr>
            <w:rStyle w:val="Hyperlink"/>
            <w:rtl/>
          </w:rPr>
          <w:t>סעיף 384</w:t>
        </w:r>
      </w:hyperlink>
      <w:r w:rsidRPr="00F30EE3">
        <w:rPr>
          <w:rtl/>
        </w:rPr>
        <w:t xml:space="preserve"> </w:t>
      </w:r>
      <w:r>
        <w:rPr>
          <w:rFonts w:hint="cs"/>
          <w:rtl/>
        </w:rPr>
        <w:t xml:space="preserve">יחד עם </w:t>
      </w:r>
      <w:hyperlink r:id="rId19" w:history="1">
        <w:r w:rsidR="00AC0211" w:rsidRPr="00AC0211">
          <w:rPr>
            <w:rStyle w:val="Hyperlink"/>
            <w:rFonts w:hint="eastAsia"/>
            <w:rtl/>
          </w:rPr>
          <w:t>סעיף</w:t>
        </w:r>
        <w:r w:rsidR="00AC0211" w:rsidRPr="00AC0211">
          <w:rPr>
            <w:rStyle w:val="Hyperlink"/>
            <w:rtl/>
          </w:rPr>
          <w:t xml:space="preserve"> 29</w:t>
        </w:r>
      </w:hyperlink>
      <w:r>
        <w:rPr>
          <w:rFonts w:hint="cs"/>
          <w:rtl/>
        </w:rPr>
        <w:t xml:space="preserve"> </w:t>
      </w:r>
      <w:r w:rsidRPr="00F30EE3">
        <w:rPr>
          <w:rtl/>
        </w:rPr>
        <w:t xml:space="preserve">לחוק העונשין, ועבירת היזק לרכוש במזיד לפי </w:t>
      </w:r>
      <w:hyperlink r:id="rId20" w:history="1">
        <w:r w:rsidR="00AC0211" w:rsidRPr="00AC0211">
          <w:rPr>
            <w:rStyle w:val="Hyperlink"/>
            <w:rtl/>
          </w:rPr>
          <w:t>סעיף 452</w:t>
        </w:r>
      </w:hyperlink>
      <w:r w:rsidRPr="00F30EE3">
        <w:rPr>
          <w:rtl/>
        </w:rPr>
        <w:t xml:space="preserve"> לחוק העונשין</w:t>
      </w:r>
      <w:r>
        <w:rPr>
          <w:rFonts w:hint="cs"/>
          <w:rtl/>
        </w:rPr>
        <w:t xml:space="preserve"> </w:t>
      </w:r>
      <w:r w:rsidRPr="00BD525A">
        <w:rPr>
          <w:rFonts w:hint="cs"/>
          <w:b/>
          <w:bCs/>
          <w:rtl/>
        </w:rPr>
        <w:t>ב</w:t>
      </w:r>
      <w:hyperlink r:id="rId21" w:history="1">
        <w:r w:rsidR="007A6FD3" w:rsidRPr="007A6FD3">
          <w:rPr>
            <w:rFonts w:eastAsia="Times New Roman"/>
            <w:b/>
            <w:bCs/>
            <w:color w:val="0000FF"/>
            <w:u w:val="single"/>
            <w:rtl/>
          </w:rPr>
          <w:t>ת"פ 60385-08-16</w:t>
        </w:r>
      </w:hyperlink>
      <w:r>
        <w:rPr>
          <w:rFonts w:eastAsia="Times New Roman" w:hint="cs"/>
          <w:color w:val="000000"/>
          <w:rtl/>
        </w:rPr>
        <w:t xml:space="preserve">, עבירה של </w:t>
      </w:r>
      <w:r w:rsidRPr="00F30EE3">
        <w:rPr>
          <w:rFonts w:eastAsia="Times New Roman"/>
          <w:color w:val="000000"/>
          <w:rtl/>
        </w:rPr>
        <w:t>תיווך בעסקת סם</w:t>
      </w:r>
      <w:r w:rsidRPr="00F30EE3">
        <w:rPr>
          <w:rtl/>
        </w:rPr>
        <w:t xml:space="preserve"> לפי </w:t>
      </w:r>
      <w:hyperlink r:id="rId22" w:history="1">
        <w:r w:rsidR="00AC0211" w:rsidRPr="00AC0211">
          <w:rPr>
            <w:rStyle w:val="Hyperlink"/>
            <w:rtl/>
          </w:rPr>
          <w:t>סעיף 14</w:t>
        </w:r>
      </w:hyperlink>
      <w:r w:rsidRPr="00F30EE3">
        <w:rPr>
          <w:rtl/>
        </w:rPr>
        <w:t xml:space="preserve"> ל</w:t>
      </w:r>
      <w:hyperlink r:id="rId23" w:history="1">
        <w:r w:rsidR="007A6FD3" w:rsidRPr="007A6FD3">
          <w:rPr>
            <w:color w:val="0000FF"/>
            <w:u w:val="single"/>
            <w:rtl/>
          </w:rPr>
          <w:t>פקודת הסמים המסוכנים</w:t>
        </w:r>
      </w:hyperlink>
      <w:r w:rsidRPr="00F30EE3">
        <w:rPr>
          <w:rtl/>
        </w:rPr>
        <w:t xml:space="preserve"> [נוסח חדש], תשל"ג-1973 (להלן: "</w:t>
      </w:r>
      <w:r w:rsidRPr="00F30EE3">
        <w:rPr>
          <w:b/>
          <w:bCs/>
          <w:rtl/>
        </w:rPr>
        <w:t>פקודת הסמים</w:t>
      </w:r>
      <w:r w:rsidRPr="00F30EE3">
        <w:rPr>
          <w:rtl/>
        </w:rPr>
        <w:t xml:space="preserve">") ועבירת החזקת נכס חשוד כגנוב לפי </w:t>
      </w:r>
      <w:hyperlink r:id="rId24" w:history="1">
        <w:r w:rsidR="00AC0211" w:rsidRPr="00AC0211">
          <w:rPr>
            <w:rStyle w:val="Hyperlink"/>
            <w:rtl/>
          </w:rPr>
          <w:t>סעיף 413</w:t>
        </w:r>
      </w:hyperlink>
      <w:r w:rsidRPr="00F30EE3">
        <w:rPr>
          <w:rtl/>
        </w:rPr>
        <w:t xml:space="preserve"> לחוק העונשין</w:t>
      </w:r>
      <w:r>
        <w:rPr>
          <w:rFonts w:hint="cs"/>
          <w:rtl/>
        </w:rPr>
        <w:t xml:space="preserve"> </w:t>
      </w:r>
      <w:r w:rsidRPr="00E40CF7">
        <w:rPr>
          <w:rFonts w:hint="cs"/>
          <w:b/>
          <w:bCs/>
          <w:rtl/>
        </w:rPr>
        <w:t>ב</w:t>
      </w:r>
      <w:hyperlink r:id="rId25" w:history="1">
        <w:r w:rsidR="007A6FD3" w:rsidRPr="007A6FD3">
          <w:rPr>
            <w:rFonts w:eastAsia="Times New Roman"/>
            <w:b/>
            <w:bCs/>
            <w:color w:val="0000FF"/>
            <w:u w:val="single"/>
            <w:rtl/>
          </w:rPr>
          <w:t>ת"פ 48151-04-17</w:t>
        </w:r>
      </w:hyperlink>
      <w:r>
        <w:rPr>
          <w:rFonts w:eastAsia="Times New Roman" w:hint="cs"/>
          <w:color w:val="000000"/>
          <w:rtl/>
        </w:rPr>
        <w:t>,</w:t>
      </w:r>
      <w:r>
        <w:rPr>
          <w:rFonts w:hint="cs"/>
          <w:rtl/>
        </w:rPr>
        <w:t xml:space="preserve"> וכן </w:t>
      </w:r>
      <w:r w:rsidRPr="00F30EE3">
        <w:rPr>
          <w:rFonts w:eastAsia="Times New Roman"/>
          <w:color w:val="000000"/>
          <w:rtl/>
        </w:rPr>
        <w:t>עבירת גניבה</w:t>
      </w:r>
      <w:r w:rsidRPr="00F30EE3">
        <w:rPr>
          <w:rtl/>
        </w:rPr>
        <w:t xml:space="preserve"> לפי </w:t>
      </w:r>
      <w:hyperlink r:id="rId26" w:history="1">
        <w:r w:rsidR="00AC0211" w:rsidRPr="00AC0211">
          <w:rPr>
            <w:rStyle w:val="Hyperlink"/>
            <w:rtl/>
          </w:rPr>
          <w:t>סעיף 384</w:t>
        </w:r>
      </w:hyperlink>
      <w:r w:rsidRPr="00F30EE3">
        <w:rPr>
          <w:rtl/>
        </w:rPr>
        <w:t xml:space="preserve"> לחוק העונשין</w:t>
      </w:r>
      <w:r>
        <w:rPr>
          <w:rFonts w:hint="cs"/>
          <w:rtl/>
        </w:rPr>
        <w:t xml:space="preserve"> </w:t>
      </w:r>
      <w:r w:rsidRPr="00E40CF7">
        <w:rPr>
          <w:rFonts w:hint="cs"/>
          <w:b/>
          <w:bCs/>
          <w:rtl/>
        </w:rPr>
        <w:t>ב</w:t>
      </w:r>
      <w:hyperlink r:id="rId27" w:history="1">
        <w:r w:rsidR="007A6FD3" w:rsidRPr="007A6FD3">
          <w:rPr>
            <w:rFonts w:eastAsia="Times New Roman"/>
            <w:b/>
            <w:bCs/>
            <w:color w:val="0000FF"/>
            <w:u w:val="single"/>
            <w:rtl/>
          </w:rPr>
          <w:t>ת"פ 60884-05-17</w:t>
        </w:r>
      </w:hyperlink>
      <w:r w:rsidRPr="00F30EE3">
        <w:rPr>
          <w:rtl/>
        </w:rPr>
        <w:t>.</w:t>
      </w:r>
    </w:p>
    <w:p w14:paraId="23C44EDC" w14:textId="77777777" w:rsidR="00D45F71" w:rsidRPr="00FB7975" w:rsidRDefault="00D45F71" w:rsidP="00D45F71">
      <w:pPr>
        <w:pStyle w:val="a9"/>
        <w:spacing w:after="240"/>
        <w:ind w:left="84"/>
        <w:jc w:val="both"/>
        <w:rPr>
          <w:rFonts w:eastAsia="Times New Roman"/>
          <w:color w:val="000000"/>
          <w:sz w:val="20"/>
          <w:szCs w:val="20"/>
        </w:rPr>
      </w:pPr>
      <w:bookmarkStart w:id="7" w:name="ABSTRACT_END"/>
      <w:bookmarkEnd w:id="7"/>
    </w:p>
    <w:p w14:paraId="3D121807" w14:textId="77777777" w:rsidR="00D45F71" w:rsidRPr="00FB7975" w:rsidRDefault="00D45F71" w:rsidP="00D45F71">
      <w:pPr>
        <w:pStyle w:val="a9"/>
        <w:numPr>
          <w:ilvl w:val="0"/>
          <w:numId w:val="1"/>
        </w:numPr>
        <w:spacing w:after="240" w:line="360" w:lineRule="auto"/>
        <w:ind w:left="84" w:hanging="69"/>
        <w:jc w:val="both"/>
        <w:rPr>
          <w:rFonts w:eastAsia="Times New Roman"/>
          <w:color w:val="000000"/>
        </w:rPr>
      </w:pPr>
      <w:r w:rsidRPr="00FB7975">
        <w:rPr>
          <w:rFonts w:eastAsia="Times New Roman"/>
          <w:color w:val="000000"/>
          <w:rtl/>
        </w:rPr>
        <w:t>על פי המפורט בכתב האישום ב</w:t>
      </w:r>
      <w:hyperlink r:id="rId28" w:history="1">
        <w:r w:rsidR="007A6FD3" w:rsidRPr="007A6FD3">
          <w:rPr>
            <w:rFonts w:eastAsia="Times New Roman"/>
            <w:color w:val="0000FF"/>
            <w:u w:val="single"/>
            <w:rtl/>
          </w:rPr>
          <w:t>ת"פ 60385-08-16</w:t>
        </w:r>
      </w:hyperlink>
      <w:r w:rsidRPr="001521C6">
        <w:rPr>
          <w:rtl/>
        </w:rPr>
        <w:t>, ביום 5.8.2014 הנאשם ושני חבריו הקטינים הסיגו גבול בצוותא למקלט בתל אביב שהיה נעול בכך שנכנס</w:t>
      </w:r>
      <w:r>
        <w:rPr>
          <w:rFonts w:hint="cs"/>
          <w:rtl/>
        </w:rPr>
        <w:t>ו</w:t>
      </w:r>
      <w:r w:rsidRPr="001521C6">
        <w:rPr>
          <w:rtl/>
        </w:rPr>
        <w:t xml:space="preserve"> למקלט על מנת לבצע גניבה. באותן </w:t>
      </w:r>
      <w:r>
        <w:rPr>
          <w:rtl/>
        </w:rPr>
        <w:t>נסיבות גנבו הנאשם והקטינים</w:t>
      </w:r>
      <w:r>
        <w:rPr>
          <w:rFonts w:hint="cs"/>
          <w:rtl/>
        </w:rPr>
        <w:t xml:space="preserve">, </w:t>
      </w:r>
      <w:r>
        <w:rPr>
          <w:rtl/>
        </w:rPr>
        <w:t>בצוותא חדא</w:t>
      </w:r>
      <w:r>
        <w:rPr>
          <w:rFonts w:hint="cs"/>
          <w:rtl/>
        </w:rPr>
        <w:t xml:space="preserve">, </w:t>
      </w:r>
      <w:r w:rsidRPr="001521C6">
        <w:rPr>
          <w:rtl/>
        </w:rPr>
        <w:t xml:space="preserve">את רכושו של מאיר מאור רומנו </w:t>
      </w:r>
      <w:r w:rsidRPr="00FB7975">
        <w:rPr>
          <w:rFonts w:eastAsia="Times New Roman"/>
          <w:color w:val="000000"/>
          <w:rtl/>
        </w:rPr>
        <w:t>(להלן: "</w:t>
      </w:r>
      <w:r w:rsidRPr="00FB7975">
        <w:rPr>
          <w:rFonts w:eastAsia="Times New Roman"/>
          <w:b/>
          <w:bCs/>
          <w:color w:val="000000"/>
          <w:rtl/>
        </w:rPr>
        <w:t>רומנו</w:t>
      </w:r>
      <w:r w:rsidRPr="00FB7975">
        <w:rPr>
          <w:rFonts w:eastAsia="Times New Roman"/>
          <w:color w:val="000000"/>
          <w:rtl/>
        </w:rPr>
        <w:t>") בכך שנשאו ונטלו מהמקלט</w:t>
      </w:r>
      <w:r w:rsidRPr="00FB7975">
        <w:rPr>
          <w:rFonts w:eastAsia="Times New Roman" w:hint="cs"/>
          <w:color w:val="000000"/>
          <w:rtl/>
        </w:rPr>
        <w:t xml:space="preserve">, </w:t>
      </w:r>
      <w:r w:rsidRPr="00FB7975">
        <w:rPr>
          <w:rFonts w:eastAsia="Times New Roman"/>
          <w:color w:val="000000"/>
          <w:rtl/>
        </w:rPr>
        <w:t>בצוותא חדא</w:t>
      </w:r>
      <w:r w:rsidRPr="00FB7975">
        <w:rPr>
          <w:rFonts w:eastAsia="Times New Roman" w:hint="cs"/>
          <w:color w:val="000000"/>
          <w:rtl/>
        </w:rPr>
        <w:t xml:space="preserve">, </w:t>
      </w:r>
      <w:r w:rsidRPr="00FB7975">
        <w:rPr>
          <w:rFonts w:eastAsia="Times New Roman"/>
          <w:color w:val="000000"/>
          <w:rtl/>
        </w:rPr>
        <w:t xml:space="preserve">קורקינט חשמלי שגלגלו הקדמי היה קשור בשרשרת, וכן מטען ותיק ללא רשות רומנו, כשבכוונתם לשלול את הרכוש שלילת קבע, למכרו ולהתחלק ביניהם בכסף שירוויחו. בהמשך לכך לקחו הנאשם והקטינים את הקורקינט למגרש נטוש בחצר בית ספר בתל אביב, שם ניסו בצוותא לפרוץ את שרשרת הקורקינט באמצעות מוט ברזל, לא צלחו בכך וגרמו לתקר בגלגל, ובכך הזיקו לרכושו של רומנו. באותן </w:t>
      </w:r>
      <w:r w:rsidRPr="00FB7975">
        <w:rPr>
          <w:rFonts w:eastAsia="Times New Roman"/>
          <w:color w:val="000000"/>
          <w:rtl/>
        </w:rPr>
        <w:lastRenderedPageBreak/>
        <w:t>נסיבות נעצרו הנאשם והקטינים על ידי שוטרים.</w:t>
      </w:r>
      <w:r w:rsidRPr="00FB7975">
        <w:rPr>
          <w:rFonts w:eastAsia="Times New Roman" w:hint="cs"/>
          <w:color w:val="000000"/>
          <w:rtl/>
        </w:rPr>
        <w:t xml:space="preserve"> בגין מעשיו אלה הורשע הנאשם בהסגת גבול פלילית בצוותא, גניבה בצוותא והיזק לרכוש במזיד.</w:t>
      </w:r>
    </w:p>
    <w:p w14:paraId="7A3090AB" w14:textId="77777777" w:rsidR="00D45F71" w:rsidRPr="00FB7975" w:rsidRDefault="00D45F71" w:rsidP="00D45F71">
      <w:pPr>
        <w:pStyle w:val="a9"/>
        <w:rPr>
          <w:rFonts w:eastAsia="Times New Roman"/>
          <w:color w:val="000000"/>
          <w:sz w:val="20"/>
          <w:szCs w:val="20"/>
          <w:rtl/>
        </w:rPr>
      </w:pPr>
    </w:p>
    <w:p w14:paraId="342ADEF1" w14:textId="77777777" w:rsidR="00D45F71" w:rsidRPr="001521C6" w:rsidRDefault="00D45F71" w:rsidP="00D45F71">
      <w:pPr>
        <w:pStyle w:val="a9"/>
        <w:numPr>
          <w:ilvl w:val="0"/>
          <w:numId w:val="1"/>
        </w:numPr>
        <w:spacing w:after="240" w:line="360" w:lineRule="auto"/>
        <w:ind w:left="84" w:hanging="69"/>
        <w:jc w:val="both"/>
        <w:rPr>
          <w:rFonts w:eastAsia="Times New Roman"/>
          <w:color w:val="000000"/>
          <w:rtl/>
        </w:rPr>
      </w:pPr>
      <w:r w:rsidRPr="001521C6">
        <w:rPr>
          <w:rFonts w:eastAsia="Times New Roman"/>
          <w:color w:val="000000"/>
          <w:rtl/>
        </w:rPr>
        <w:t>על פי המפורט בכתב האישום ב</w:t>
      </w:r>
      <w:hyperlink r:id="rId29" w:history="1">
        <w:r w:rsidR="007A6FD3" w:rsidRPr="007A6FD3">
          <w:rPr>
            <w:rFonts w:eastAsia="Times New Roman"/>
            <w:color w:val="0000FF"/>
            <w:u w:val="single"/>
            <w:rtl/>
          </w:rPr>
          <w:t>ת"פ 48151-04-17</w:t>
        </w:r>
      </w:hyperlink>
      <w:r w:rsidRPr="001521C6">
        <w:rPr>
          <w:rtl/>
        </w:rPr>
        <w:t>, ביום 22.4.2017 הגיעו שוטרים בלבוש אזרחי לרחוב לוינסקי בתל אביב. הנאשם, שהיה רכוב על אופניים, שאל אותם "</w:t>
      </w:r>
      <w:r w:rsidRPr="001521C6">
        <w:rPr>
          <w:b/>
          <w:bCs/>
          <w:rtl/>
        </w:rPr>
        <w:t>אתם רוצים משהו? ... אתם רוצים חום?</w:t>
      </w:r>
      <w:r w:rsidRPr="001521C6">
        <w:rPr>
          <w:rtl/>
        </w:rPr>
        <w:t>" והשוטר תומר השיב בחיוב. הנאשם ביקש שיחכו במקום, ואז פנה לנאשם השני באותו כתב אישום ושניהם הגיעו לשוטרים. הנאשם השני מסר לשוטר תומר סם מסוכן מסוג חשיש במשקל 2.5259 גרם נטו תמורת ₪200, והעסקה בוצעה בעוד הנאשם עומד לצדו של הנאשם השני. הנאשם רכב על אופניים שיש לגביהם חשד סביר שהם גנובים, ואין בידו להוכיח כי רכש החזקה בהם כדין.</w:t>
      </w:r>
      <w:r>
        <w:rPr>
          <w:rFonts w:eastAsia="Times New Roman" w:hint="cs"/>
          <w:color w:val="000000"/>
          <w:rtl/>
        </w:rPr>
        <w:t xml:space="preserve"> בגין מעשיו אלה הורשע הנאשם בתיווך בעסקי סמים מסוכנים והחזקת נכס חשוד כגנוב.</w:t>
      </w:r>
    </w:p>
    <w:p w14:paraId="6BB78FE6" w14:textId="77777777" w:rsidR="00D45F71" w:rsidRPr="00FB7975" w:rsidRDefault="00D45F71" w:rsidP="00D45F71">
      <w:pPr>
        <w:pStyle w:val="a9"/>
        <w:rPr>
          <w:rFonts w:eastAsia="Times New Roman"/>
          <w:color w:val="000000"/>
          <w:sz w:val="20"/>
          <w:szCs w:val="20"/>
        </w:rPr>
      </w:pPr>
    </w:p>
    <w:p w14:paraId="7C186E46" w14:textId="77777777" w:rsidR="00D45F71" w:rsidRPr="00A46EA8" w:rsidRDefault="00D45F71" w:rsidP="00D45F71">
      <w:pPr>
        <w:pStyle w:val="a9"/>
        <w:numPr>
          <w:ilvl w:val="0"/>
          <w:numId w:val="1"/>
        </w:numPr>
        <w:spacing w:after="240" w:line="360" w:lineRule="auto"/>
        <w:ind w:left="84" w:hanging="69"/>
        <w:jc w:val="both"/>
        <w:rPr>
          <w:rFonts w:eastAsia="Times New Roman"/>
          <w:color w:val="000000"/>
        </w:rPr>
      </w:pPr>
      <w:r w:rsidRPr="001521C6">
        <w:rPr>
          <w:rFonts w:eastAsia="Times New Roman"/>
          <w:color w:val="000000"/>
          <w:rtl/>
        </w:rPr>
        <w:t>על פי המפורט בכתב האישום ב</w:t>
      </w:r>
      <w:hyperlink r:id="rId30" w:history="1">
        <w:r w:rsidR="007A6FD3" w:rsidRPr="007A6FD3">
          <w:rPr>
            <w:rFonts w:eastAsia="Times New Roman"/>
            <w:color w:val="0000FF"/>
            <w:u w:val="single"/>
            <w:rtl/>
          </w:rPr>
          <w:t>ת"פ 60884-05-17</w:t>
        </w:r>
      </w:hyperlink>
      <w:r w:rsidRPr="001521C6">
        <w:rPr>
          <w:rtl/>
        </w:rPr>
        <w:t>, ביום 5.1.2017 קשר יהושע לאה (להלן: "</w:t>
      </w:r>
      <w:r w:rsidRPr="001521C6">
        <w:rPr>
          <w:b/>
          <w:bCs/>
          <w:rtl/>
        </w:rPr>
        <w:t>יהושע</w:t>
      </w:r>
      <w:r w:rsidRPr="001521C6">
        <w:rPr>
          <w:rtl/>
        </w:rPr>
        <w:t xml:space="preserve">") את אופניו החשמליים מחוץ לחנותו בתל אביב. באותן נסיבות גנב הנאשם את הסוללה של האופניים בכך שהוציאה ממקומה באופניים והחל ללכת מהמקום עד אשר </w:t>
      </w:r>
      <w:r>
        <w:rPr>
          <w:rFonts w:hint="cs"/>
          <w:rtl/>
        </w:rPr>
        <w:t xml:space="preserve">חבר של יהושע </w:t>
      </w:r>
      <w:r w:rsidRPr="001521C6">
        <w:rPr>
          <w:rtl/>
        </w:rPr>
        <w:t>הבחין ב</w:t>
      </w:r>
      <w:r>
        <w:rPr>
          <w:rtl/>
        </w:rPr>
        <w:t>נאשם</w:t>
      </w:r>
      <w:r>
        <w:rPr>
          <w:rFonts w:hint="cs"/>
          <w:rtl/>
        </w:rPr>
        <w:t xml:space="preserve"> ו</w:t>
      </w:r>
      <w:r w:rsidRPr="001521C6">
        <w:rPr>
          <w:rtl/>
        </w:rPr>
        <w:t>צעק גנב, ובעקבות כך הבחינו השוטרים שהיו במקום בנאשם רץ והסוללה בידו, עד אשר השליך אותה, ועצרו אותו. הסוללה הושבה ליהושע.</w:t>
      </w:r>
      <w:r>
        <w:rPr>
          <w:rFonts w:eastAsia="Times New Roman" w:hint="cs"/>
          <w:color w:val="000000"/>
          <w:rtl/>
        </w:rPr>
        <w:t xml:space="preserve"> בגין מעשה זה הורשע הנאשם בביצוע גניבה.</w:t>
      </w:r>
    </w:p>
    <w:p w14:paraId="504B8038" w14:textId="77777777" w:rsidR="00D45F71" w:rsidRPr="00592C77" w:rsidRDefault="00D45F71" w:rsidP="00D45F71">
      <w:pPr>
        <w:pStyle w:val="a9"/>
        <w:rPr>
          <w:rFonts w:eastAsia="Times New Roman"/>
          <w:color w:val="000000"/>
          <w:sz w:val="20"/>
          <w:szCs w:val="20"/>
          <w:rtl/>
        </w:rPr>
      </w:pPr>
    </w:p>
    <w:p w14:paraId="7B82C9DE" w14:textId="77777777" w:rsidR="00D45F71" w:rsidRPr="00A46EA8" w:rsidRDefault="00D45F71" w:rsidP="00D45F71">
      <w:pPr>
        <w:pStyle w:val="a9"/>
        <w:spacing w:after="240" w:line="360" w:lineRule="auto"/>
        <w:ind w:left="84"/>
        <w:jc w:val="both"/>
        <w:rPr>
          <w:rFonts w:eastAsia="Times New Roman"/>
          <w:b/>
          <w:bCs/>
          <w:color w:val="000000"/>
          <w:u w:val="single"/>
          <w:rtl/>
        </w:rPr>
      </w:pPr>
      <w:r w:rsidRPr="00A46EA8">
        <w:rPr>
          <w:rFonts w:eastAsia="Times New Roman" w:hint="cs"/>
          <w:b/>
          <w:bCs/>
          <w:color w:val="000000"/>
          <w:u w:val="single"/>
          <w:rtl/>
        </w:rPr>
        <w:t>תסקיר שירות המבחן</w:t>
      </w:r>
    </w:p>
    <w:p w14:paraId="63874E92" w14:textId="77777777" w:rsidR="00D45F71" w:rsidRPr="001521C6" w:rsidRDefault="00D45F71" w:rsidP="00D45F71">
      <w:pPr>
        <w:pStyle w:val="a9"/>
        <w:numPr>
          <w:ilvl w:val="0"/>
          <w:numId w:val="1"/>
        </w:numPr>
        <w:spacing w:after="240" w:line="360" w:lineRule="auto"/>
        <w:ind w:left="84" w:hanging="69"/>
        <w:jc w:val="both"/>
        <w:rPr>
          <w:rFonts w:eastAsia="Times New Roman"/>
          <w:color w:val="000000"/>
        </w:rPr>
      </w:pPr>
      <w:r w:rsidRPr="001521C6">
        <w:rPr>
          <w:rFonts w:eastAsia="Times New Roman"/>
          <w:color w:val="000000"/>
          <w:rtl/>
        </w:rPr>
        <w:t>תסקיר שירות המבחן נושא תאריך 5.12.2021</w:t>
      </w:r>
      <w:r>
        <w:rPr>
          <w:rFonts w:eastAsia="Times New Roman"/>
          <w:color w:val="000000"/>
          <w:rtl/>
        </w:rPr>
        <w:t xml:space="preserve"> התקבל לאחר שניתנ</w:t>
      </w:r>
      <w:r>
        <w:rPr>
          <w:rFonts w:eastAsia="Times New Roman" w:hint="cs"/>
          <w:color w:val="000000"/>
          <w:rtl/>
        </w:rPr>
        <w:t>ה</w:t>
      </w:r>
      <w:r>
        <w:rPr>
          <w:rFonts w:eastAsia="Times New Roman"/>
          <w:color w:val="000000"/>
          <w:rtl/>
        </w:rPr>
        <w:t xml:space="preserve"> לנאשם הזדמנות חוזר</w:t>
      </w:r>
      <w:r w:rsidRPr="001521C6">
        <w:rPr>
          <w:rFonts w:eastAsia="Times New Roman"/>
          <w:color w:val="000000"/>
          <w:rtl/>
        </w:rPr>
        <w:t>ת להתייצב אצל שירות המבחן לשם עריכת</w:t>
      </w:r>
      <w:r>
        <w:rPr>
          <w:rFonts w:eastAsia="Times New Roman" w:hint="cs"/>
          <w:color w:val="000000"/>
          <w:rtl/>
        </w:rPr>
        <w:t>ו</w:t>
      </w:r>
      <w:r>
        <w:rPr>
          <w:rFonts w:eastAsia="Times New Roman"/>
          <w:color w:val="000000"/>
          <w:rtl/>
        </w:rPr>
        <w:t xml:space="preserve">, </w:t>
      </w:r>
      <w:r>
        <w:rPr>
          <w:rFonts w:eastAsia="Times New Roman" w:hint="cs"/>
          <w:color w:val="000000"/>
          <w:rtl/>
        </w:rPr>
        <w:t>ו</w:t>
      </w:r>
      <w:r w:rsidRPr="001521C6">
        <w:rPr>
          <w:rFonts w:eastAsia="Times New Roman"/>
          <w:color w:val="000000"/>
          <w:rtl/>
        </w:rPr>
        <w:t xml:space="preserve">הוא תסקיר חובה. על פי התסקיר, הנאשם הוא בעל רקע אישי ומשפחתי מורכב </w:t>
      </w:r>
      <w:r>
        <w:rPr>
          <w:rFonts w:eastAsia="Times New Roman" w:hint="cs"/>
          <w:color w:val="000000"/>
          <w:rtl/>
        </w:rPr>
        <w:t>ו</w:t>
      </w:r>
      <w:r w:rsidRPr="001521C6">
        <w:rPr>
          <w:rFonts w:eastAsia="Times New Roman"/>
          <w:color w:val="000000"/>
          <w:rtl/>
        </w:rPr>
        <w:t xml:space="preserve">התמודד עם משברים שונים לאורך חייו, ובכלל זאת אובדן הוריו </w:t>
      </w:r>
      <w:r>
        <w:rPr>
          <w:rFonts w:eastAsia="Times New Roman" w:hint="cs"/>
          <w:color w:val="000000"/>
          <w:rtl/>
        </w:rPr>
        <w:t xml:space="preserve">בגיל צעיר מאוד </w:t>
      </w:r>
      <w:r w:rsidRPr="001521C6">
        <w:rPr>
          <w:rFonts w:eastAsia="Times New Roman"/>
          <w:color w:val="000000"/>
          <w:rtl/>
        </w:rPr>
        <w:t>ועלייה לארץ חדשה. הנאשם ניהל אורח חיים שולי והתמכרותי בהתבגרותו, כשנראה שבשנים האחרונות הוא מגלה כוחות מסוימים ומגויס לשיקום. לדעת שירות המבחן, ברקע למעורבותו בביצוע העבירות דפוסים התמכרותיים, מעורבות והזדהות שולית, מיקוד עצמי, דפוסי חשיבה בעי</w:t>
      </w:r>
      <w:r>
        <w:rPr>
          <w:rFonts w:eastAsia="Times New Roman" w:hint="cs"/>
          <w:color w:val="000000"/>
          <w:rtl/>
        </w:rPr>
        <w:t>י</w:t>
      </w:r>
      <w:r w:rsidRPr="001521C6">
        <w:rPr>
          <w:rFonts w:eastAsia="Times New Roman"/>
          <w:color w:val="000000"/>
          <w:rtl/>
        </w:rPr>
        <w:t>תיים והיעדר גורמי תמיכה.</w:t>
      </w:r>
    </w:p>
    <w:p w14:paraId="58DE19DE" w14:textId="77777777" w:rsidR="00D45F71" w:rsidRPr="00FB7975" w:rsidRDefault="00D45F71" w:rsidP="00D45F71">
      <w:pPr>
        <w:pStyle w:val="a9"/>
        <w:rPr>
          <w:rFonts w:eastAsia="Times New Roman"/>
          <w:color w:val="000000"/>
          <w:sz w:val="20"/>
          <w:szCs w:val="20"/>
          <w:rtl/>
        </w:rPr>
      </w:pPr>
    </w:p>
    <w:p w14:paraId="5B9349E4" w14:textId="77777777" w:rsidR="00D45F71" w:rsidRPr="001521C6" w:rsidRDefault="00D45F71" w:rsidP="00D45F71">
      <w:pPr>
        <w:pStyle w:val="a9"/>
        <w:numPr>
          <w:ilvl w:val="0"/>
          <w:numId w:val="1"/>
        </w:numPr>
        <w:spacing w:after="240" w:line="360" w:lineRule="auto"/>
        <w:ind w:left="84" w:hanging="69"/>
        <w:jc w:val="both"/>
        <w:rPr>
          <w:rFonts w:eastAsia="Times New Roman"/>
          <w:color w:val="000000"/>
        </w:rPr>
      </w:pPr>
      <w:r>
        <w:rPr>
          <w:rFonts w:eastAsia="Times New Roman"/>
          <w:color w:val="000000"/>
          <w:rtl/>
        </w:rPr>
        <w:t>על פי ה</w:t>
      </w:r>
      <w:r w:rsidRPr="001521C6">
        <w:rPr>
          <w:rFonts w:eastAsia="Times New Roman"/>
          <w:color w:val="000000"/>
          <w:rtl/>
        </w:rPr>
        <w:t>תרשמות</w:t>
      </w:r>
      <w:r>
        <w:rPr>
          <w:rFonts w:eastAsia="Times New Roman" w:hint="cs"/>
          <w:color w:val="000000"/>
          <w:rtl/>
        </w:rPr>
        <w:t xml:space="preserve"> קצינת המבחן</w:t>
      </w:r>
      <w:r w:rsidRPr="001521C6">
        <w:rPr>
          <w:rFonts w:eastAsia="Times New Roman"/>
          <w:color w:val="000000"/>
          <w:rtl/>
        </w:rPr>
        <w:t xml:space="preserve">, הנאשם מתקשה לתת אמון בשירות המבחן ואינו חפץ בהמשך מעורבותו במצבו. </w:t>
      </w:r>
      <w:r>
        <w:rPr>
          <w:rFonts w:eastAsia="Times New Roman" w:hint="cs"/>
          <w:color w:val="000000"/>
          <w:rtl/>
        </w:rPr>
        <w:t xml:space="preserve">הנאשם שיתף באופן מצמצם ולקוני והתקשה להרחיב, נעדר מבדיקות שתן, לא שיתף פעולה בהקשר זה ושלל נזקקות טיפולית. לדבריו, מירב משאביו מושקעים בניהול אורח חיים תקין. חששו מהשלכות ענישה מוחשית נוגע לתעסוקתו, המהווה מקור בלעדי להכנסה עבורו. </w:t>
      </w:r>
      <w:r w:rsidRPr="001521C6">
        <w:rPr>
          <w:rFonts w:eastAsia="Times New Roman"/>
          <w:color w:val="000000"/>
          <w:rtl/>
        </w:rPr>
        <w:t>שירות המבחן ציין את גורמי הסיכון בעניינו של הנאשם, וביניהם מעורבותו בעבירות וחומרתן, דפוסי התמכרותו, היותו ממוקד בצרכיו, מעורב</w:t>
      </w:r>
      <w:r>
        <w:rPr>
          <w:rFonts w:eastAsia="Times New Roman" w:hint="cs"/>
          <w:color w:val="000000"/>
          <w:rtl/>
        </w:rPr>
        <w:t>ותו</w:t>
      </w:r>
      <w:r w:rsidRPr="001521C6">
        <w:rPr>
          <w:rFonts w:eastAsia="Times New Roman"/>
          <w:color w:val="000000"/>
          <w:rtl/>
        </w:rPr>
        <w:t xml:space="preserve"> בקשרים חברתיים שוליים והיעדר גורמי תמיכה</w:t>
      </w:r>
      <w:r>
        <w:rPr>
          <w:rFonts w:eastAsia="Times New Roman" w:hint="cs"/>
          <w:color w:val="000000"/>
          <w:rtl/>
        </w:rPr>
        <w:t xml:space="preserve"> מספקים</w:t>
      </w:r>
      <w:r w:rsidRPr="001521C6">
        <w:rPr>
          <w:rFonts w:eastAsia="Times New Roman"/>
          <w:color w:val="000000"/>
          <w:rtl/>
        </w:rPr>
        <w:t>. בנוסף, את עמדתו השוללת נזקקות טיפולית במצבו והקושי להעריך את מצבו ההתמכרותי משל</w:t>
      </w:r>
      <w:r>
        <w:rPr>
          <w:rFonts w:eastAsia="Times New Roman"/>
          <w:color w:val="000000"/>
          <w:rtl/>
        </w:rPr>
        <w:t>א ערך בדיקת שתן לאיתור שרידי ס</w:t>
      </w:r>
      <w:r>
        <w:rPr>
          <w:rFonts w:eastAsia="Times New Roman" w:hint="cs"/>
          <w:color w:val="000000"/>
          <w:rtl/>
        </w:rPr>
        <w:t>ם</w:t>
      </w:r>
      <w:r>
        <w:rPr>
          <w:rFonts w:eastAsia="Times New Roman"/>
          <w:color w:val="000000"/>
          <w:rtl/>
        </w:rPr>
        <w:t>. כגורמי סיכוי לשיקום צוינ</w:t>
      </w:r>
      <w:r>
        <w:rPr>
          <w:rFonts w:eastAsia="Times New Roman" w:hint="cs"/>
          <w:color w:val="000000"/>
          <w:rtl/>
        </w:rPr>
        <w:t>ו</w:t>
      </w:r>
      <w:r w:rsidRPr="001521C6">
        <w:rPr>
          <w:rFonts w:eastAsia="Times New Roman"/>
          <w:color w:val="000000"/>
          <w:rtl/>
        </w:rPr>
        <w:t xml:space="preserve"> נטילת האחריות על ביצוע העבירות, דבריו לפיהם הוא ממוקד בהליך שיקומו</w:t>
      </w:r>
      <w:r>
        <w:rPr>
          <w:rFonts w:eastAsia="Times New Roman" w:hint="cs"/>
          <w:color w:val="000000"/>
          <w:rtl/>
        </w:rPr>
        <w:t>,</w:t>
      </w:r>
      <w:r w:rsidRPr="001521C6">
        <w:rPr>
          <w:rFonts w:eastAsia="Times New Roman"/>
          <w:color w:val="000000"/>
          <w:rtl/>
        </w:rPr>
        <w:t xml:space="preserve"> והי</w:t>
      </w:r>
      <w:r>
        <w:rPr>
          <w:rFonts w:eastAsia="Times New Roman"/>
          <w:color w:val="000000"/>
          <w:rtl/>
        </w:rPr>
        <w:t>עדר פתיחת תיקים בשנים האחרונות</w:t>
      </w:r>
      <w:r>
        <w:rPr>
          <w:rFonts w:eastAsia="Times New Roman" w:hint="cs"/>
          <w:color w:val="000000"/>
          <w:rtl/>
        </w:rPr>
        <w:t xml:space="preserve">, אך </w:t>
      </w:r>
      <w:r w:rsidRPr="001521C6">
        <w:rPr>
          <w:rFonts w:eastAsia="Times New Roman"/>
          <w:color w:val="000000"/>
          <w:rtl/>
        </w:rPr>
        <w:t xml:space="preserve">מסקנת שירות המבחן היא שלא ניתן לשלול את סיכון </w:t>
      </w:r>
      <w:r>
        <w:rPr>
          <w:rFonts w:eastAsia="Times New Roman" w:hint="cs"/>
          <w:color w:val="000000"/>
          <w:rtl/>
        </w:rPr>
        <w:t xml:space="preserve">מצדו </w:t>
      </w:r>
      <w:r w:rsidRPr="001521C6">
        <w:rPr>
          <w:rFonts w:eastAsia="Times New Roman"/>
          <w:color w:val="000000"/>
          <w:rtl/>
        </w:rPr>
        <w:t xml:space="preserve">להתנהגות שולית. שירות המבחן לא בא בהמלצה טיפולית שיקומית בעניינו של הנאשם, אך המליץ כי בין שיקולי הענישה יילקחו בחשבון גילו הצעיר, נסיבות חייו, היעדר עורף </w:t>
      </w:r>
      <w:r w:rsidRPr="001521C6">
        <w:rPr>
          <w:rFonts w:eastAsia="Times New Roman"/>
          <w:color w:val="000000"/>
          <w:rtl/>
        </w:rPr>
        <w:lastRenderedPageBreak/>
        <w:t>משפחתי, היותו ממוקד בניהול אורח חיים תקין, חלוף הזמן מאז ביצוע העבירות והיעדר פתיחת תיקים</w:t>
      </w:r>
      <w:r>
        <w:rPr>
          <w:rFonts w:eastAsia="Times New Roman" w:hint="cs"/>
          <w:color w:val="000000"/>
          <w:rtl/>
        </w:rPr>
        <w:t xml:space="preserve"> פליליים חדשים בשנים האחרונות</w:t>
      </w:r>
      <w:r w:rsidRPr="001521C6">
        <w:rPr>
          <w:rFonts w:eastAsia="Times New Roman"/>
          <w:color w:val="000000"/>
          <w:rtl/>
        </w:rPr>
        <w:t>.</w:t>
      </w:r>
    </w:p>
    <w:p w14:paraId="3C868D6A" w14:textId="77777777" w:rsidR="00D45F71" w:rsidRPr="00B014CD" w:rsidRDefault="00D45F71" w:rsidP="00D45F71">
      <w:pPr>
        <w:pStyle w:val="a9"/>
        <w:rPr>
          <w:rFonts w:eastAsia="Times New Roman"/>
          <w:b/>
          <w:bCs/>
          <w:color w:val="000000"/>
          <w:sz w:val="20"/>
          <w:szCs w:val="20"/>
          <w:u w:val="single"/>
          <w:rtl/>
        </w:rPr>
      </w:pPr>
    </w:p>
    <w:p w14:paraId="10EBF054" w14:textId="77777777" w:rsidR="00D45F71" w:rsidRPr="00A46EA8" w:rsidRDefault="00D45F71" w:rsidP="00D45F71">
      <w:pPr>
        <w:pStyle w:val="a9"/>
        <w:spacing w:after="240" w:line="360" w:lineRule="auto"/>
        <w:ind w:left="84"/>
        <w:jc w:val="both"/>
        <w:rPr>
          <w:rFonts w:eastAsia="Times New Roman"/>
          <w:color w:val="000000"/>
          <w:u w:val="single"/>
          <w:rtl/>
        </w:rPr>
      </w:pPr>
      <w:r w:rsidRPr="00A46EA8">
        <w:rPr>
          <w:rFonts w:eastAsia="Times New Roman"/>
          <w:b/>
          <w:bCs/>
          <w:color w:val="000000"/>
          <w:u w:val="single"/>
          <w:rtl/>
        </w:rPr>
        <w:t>טיעוני הצדדים לעונש</w:t>
      </w:r>
    </w:p>
    <w:p w14:paraId="466F91AB" w14:textId="77777777" w:rsidR="00D45F71" w:rsidRDefault="00D45F71" w:rsidP="00D45F71">
      <w:pPr>
        <w:pStyle w:val="a9"/>
        <w:numPr>
          <w:ilvl w:val="0"/>
          <w:numId w:val="1"/>
        </w:numPr>
        <w:spacing w:after="240" w:line="360" w:lineRule="auto"/>
        <w:ind w:left="84" w:hanging="69"/>
        <w:jc w:val="both"/>
        <w:rPr>
          <w:rFonts w:eastAsia="Times New Roman"/>
          <w:color w:val="000000"/>
        </w:rPr>
      </w:pPr>
      <w:r>
        <w:rPr>
          <w:rFonts w:eastAsia="Times New Roman" w:hint="cs"/>
          <w:color w:val="000000"/>
          <w:rtl/>
        </w:rPr>
        <w:t xml:space="preserve">טיעונים לעונש נשמעו ביום 1.2.2022, לאחר דחיות בדיונים שנקבעו, בין היתר, על מנת לאפשר לנאשם הזדמנויות חוזרות להתייצב אצל שירות המבחן והממונה על עבודות השירות. </w:t>
      </w:r>
    </w:p>
    <w:p w14:paraId="41342E14" w14:textId="77777777" w:rsidR="00D45F71" w:rsidRPr="00DA3424" w:rsidRDefault="00D45F71" w:rsidP="00D45F71">
      <w:pPr>
        <w:pStyle w:val="a9"/>
        <w:spacing w:after="240"/>
        <w:ind w:left="84"/>
        <w:jc w:val="both"/>
        <w:rPr>
          <w:rFonts w:eastAsia="Times New Roman"/>
          <w:color w:val="000000"/>
          <w:sz w:val="20"/>
          <w:szCs w:val="20"/>
        </w:rPr>
      </w:pPr>
    </w:p>
    <w:p w14:paraId="09D890C2" w14:textId="77777777" w:rsidR="00D45F71" w:rsidRDefault="00D45F71" w:rsidP="00D45F71">
      <w:pPr>
        <w:pStyle w:val="a9"/>
        <w:numPr>
          <w:ilvl w:val="0"/>
          <w:numId w:val="1"/>
        </w:numPr>
        <w:spacing w:after="240" w:line="360" w:lineRule="auto"/>
        <w:ind w:left="84" w:hanging="69"/>
        <w:jc w:val="both"/>
        <w:rPr>
          <w:rFonts w:eastAsia="Times New Roman"/>
          <w:color w:val="000000"/>
        </w:rPr>
      </w:pPr>
      <w:r w:rsidRPr="001A60E5">
        <w:rPr>
          <w:rFonts w:eastAsia="Times New Roman" w:hint="cs"/>
          <w:color w:val="000000"/>
          <w:rtl/>
        </w:rPr>
        <w:t>בטיעוניה</w:t>
      </w:r>
      <w:r>
        <w:rPr>
          <w:rFonts w:eastAsia="Times New Roman" w:hint="cs"/>
          <w:color w:val="000000"/>
          <w:rtl/>
        </w:rPr>
        <w:t>,</w:t>
      </w:r>
      <w:r w:rsidRPr="001A60E5">
        <w:rPr>
          <w:rFonts w:eastAsia="Times New Roman" w:hint="cs"/>
          <w:color w:val="000000"/>
          <w:rtl/>
        </w:rPr>
        <w:t xml:space="preserve"> הפנתה</w:t>
      </w:r>
      <w:r>
        <w:rPr>
          <w:rFonts w:eastAsia="Times New Roman" w:hint="cs"/>
          <w:b/>
          <w:bCs/>
          <w:color w:val="000000"/>
          <w:rtl/>
        </w:rPr>
        <w:t xml:space="preserve"> </w:t>
      </w:r>
      <w:r w:rsidRPr="001521C6">
        <w:rPr>
          <w:rFonts w:eastAsia="Times New Roman"/>
          <w:b/>
          <w:bCs/>
          <w:color w:val="000000"/>
          <w:rtl/>
        </w:rPr>
        <w:t>ב"כ המאשימה</w:t>
      </w:r>
      <w:r w:rsidRPr="001521C6">
        <w:rPr>
          <w:rFonts w:eastAsia="Times New Roman"/>
          <w:color w:val="000000"/>
          <w:rtl/>
        </w:rPr>
        <w:t xml:space="preserve"> </w:t>
      </w:r>
      <w:r w:rsidRPr="001521C6">
        <w:rPr>
          <w:color w:val="000000"/>
          <w:rtl/>
        </w:rPr>
        <w:t xml:space="preserve">לערכים המוגנים בעבירות בביצוען הורשע הנאשם, </w:t>
      </w:r>
      <w:r>
        <w:rPr>
          <w:rFonts w:hint="cs"/>
          <w:color w:val="000000"/>
          <w:rtl/>
        </w:rPr>
        <w:t>ו</w:t>
      </w:r>
      <w:r w:rsidRPr="001521C6">
        <w:rPr>
          <w:color w:val="000000"/>
          <w:rtl/>
        </w:rPr>
        <w:t xml:space="preserve">לנסיבות ביצוען, </w:t>
      </w:r>
      <w:r>
        <w:rPr>
          <w:rFonts w:hint="cs"/>
          <w:color w:val="000000"/>
          <w:rtl/>
        </w:rPr>
        <w:t xml:space="preserve">ציינה כי </w:t>
      </w:r>
      <w:r w:rsidRPr="001521C6">
        <w:rPr>
          <w:color w:val="000000"/>
          <w:rtl/>
        </w:rPr>
        <w:t xml:space="preserve">חלקן בוצעו בצוותא, חלקן בתכנון, </w:t>
      </w:r>
      <w:r>
        <w:rPr>
          <w:rFonts w:hint="cs"/>
          <w:color w:val="000000"/>
          <w:rtl/>
        </w:rPr>
        <w:t>והפנתה ל</w:t>
      </w:r>
      <w:r w:rsidRPr="001521C6">
        <w:rPr>
          <w:color w:val="000000"/>
          <w:rtl/>
        </w:rPr>
        <w:t xml:space="preserve">סוג הרכוש שנגנב. </w:t>
      </w:r>
      <w:r>
        <w:rPr>
          <w:rFonts w:hint="cs"/>
          <w:color w:val="000000"/>
          <w:rtl/>
        </w:rPr>
        <w:t xml:space="preserve">הגם שאישרה שאין כנגד הנאשם תיקים חדשים תלויים ועומדים, ציינה שחלק מהעבירות בוצעו על ידי הנאשם בעת שתלוי ועומד נגדו כתב אישום. </w:t>
      </w:r>
      <w:r>
        <w:rPr>
          <w:rFonts w:hint="cs"/>
          <w:rtl/>
        </w:rPr>
        <w:t>לטענתה, יש לקבוע</w:t>
      </w:r>
      <w:r w:rsidRPr="001521C6">
        <w:rPr>
          <w:rtl/>
        </w:rPr>
        <w:t xml:space="preserve"> מתחמים שונים </w:t>
      </w:r>
      <w:r>
        <w:rPr>
          <w:rFonts w:hint="cs"/>
          <w:rtl/>
        </w:rPr>
        <w:t>לעבירות המפורטות ב</w:t>
      </w:r>
      <w:r w:rsidRPr="001521C6">
        <w:rPr>
          <w:rtl/>
        </w:rPr>
        <w:t xml:space="preserve">כל כתב אישום </w:t>
      </w:r>
      <w:r>
        <w:rPr>
          <w:rFonts w:hint="cs"/>
          <w:rtl/>
        </w:rPr>
        <w:t>כאירועים נפרדים,</w:t>
      </w:r>
      <w:r w:rsidRPr="001521C6">
        <w:rPr>
          <w:rtl/>
        </w:rPr>
        <w:t xml:space="preserve"> מש</w:t>
      </w:r>
      <w:r>
        <w:rPr>
          <w:rFonts w:hint="cs"/>
          <w:rtl/>
        </w:rPr>
        <w:t>ה</w:t>
      </w:r>
      <w:r w:rsidRPr="001521C6">
        <w:rPr>
          <w:rtl/>
        </w:rPr>
        <w:t xml:space="preserve">מדובר בעבירות שונות </w:t>
      </w:r>
      <w:r>
        <w:rPr>
          <w:rFonts w:hint="cs"/>
          <w:rtl/>
        </w:rPr>
        <w:t>ש</w:t>
      </w:r>
      <w:r w:rsidRPr="001521C6">
        <w:rPr>
          <w:rtl/>
        </w:rPr>
        <w:t>בוצעו במקומות ובזמנים שונים</w:t>
      </w:r>
      <w:r>
        <w:rPr>
          <w:rFonts w:hint="cs"/>
          <w:rtl/>
        </w:rPr>
        <w:t>. עתירתה היא שלכל אירוע יקבע מתחם ענישה שבין מספר חודשי מאסר ו- 12 חודשי מאסר</w:t>
      </w:r>
      <w:r w:rsidRPr="001521C6">
        <w:rPr>
          <w:rtl/>
        </w:rPr>
        <w:t xml:space="preserve">. </w:t>
      </w:r>
      <w:r>
        <w:rPr>
          <w:rFonts w:eastAsia="Times New Roman"/>
          <w:color w:val="000000"/>
          <w:rtl/>
        </w:rPr>
        <w:t>לחלופין</w:t>
      </w:r>
      <w:r>
        <w:rPr>
          <w:rFonts w:eastAsia="Times New Roman" w:hint="cs"/>
          <w:color w:val="000000"/>
          <w:rtl/>
        </w:rPr>
        <w:t>,</w:t>
      </w:r>
      <w:r>
        <w:rPr>
          <w:rFonts w:eastAsia="Times New Roman"/>
          <w:color w:val="000000"/>
          <w:rtl/>
        </w:rPr>
        <w:t xml:space="preserve"> עתרה להתחשבות </w:t>
      </w:r>
      <w:r>
        <w:rPr>
          <w:rFonts w:eastAsia="Times New Roman" w:hint="cs"/>
          <w:color w:val="000000"/>
          <w:rtl/>
        </w:rPr>
        <w:t>ב</w:t>
      </w:r>
      <w:r w:rsidRPr="001521C6">
        <w:rPr>
          <w:rFonts w:eastAsia="Times New Roman"/>
          <w:color w:val="000000"/>
          <w:rtl/>
        </w:rPr>
        <w:t>מספר המעשים שבוצעו על ידי הנאשם</w:t>
      </w:r>
      <w:r>
        <w:rPr>
          <w:rFonts w:eastAsia="Times New Roman" w:hint="cs"/>
          <w:color w:val="000000"/>
          <w:rtl/>
        </w:rPr>
        <w:t>,</w:t>
      </w:r>
      <w:r w:rsidRPr="001521C6">
        <w:rPr>
          <w:rFonts w:eastAsia="Times New Roman"/>
          <w:color w:val="000000"/>
          <w:rtl/>
        </w:rPr>
        <w:t xml:space="preserve"> באם יוחלט לקבוע מתחם עונש כולל. </w:t>
      </w:r>
    </w:p>
    <w:p w14:paraId="54360DA2" w14:textId="77777777" w:rsidR="00D45F71" w:rsidRPr="006B4266" w:rsidRDefault="00D45F71" w:rsidP="00D45F71">
      <w:pPr>
        <w:pStyle w:val="a9"/>
        <w:rPr>
          <w:rFonts w:eastAsia="Times New Roman"/>
          <w:color w:val="000000"/>
          <w:sz w:val="20"/>
          <w:szCs w:val="20"/>
          <w:rtl/>
        </w:rPr>
      </w:pPr>
    </w:p>
    <w:p w14:paraId="38B5F1AB" w14:textId="77777777" w:rsidR="00D45F71" w:rsidRPr="006B4266" w:rsidRDefault="00D45F71" w:rsidP="00D45F71">
      <w:pPr>
        <w:pStyle w:val="a9"/>
        <w:numPr>
          <w:ilvl w:val="0"/>
          <w:numId w:val="1"/>
        </w:numPr>
        <w:spacing w:after="240" w:line="360" w:lineRule="auto"/>
        <w:ind w:left="84" w:hanging="69"/>
        <w:jc w:val="both"/>
        <w:rPr>
          <w:rFonts w:eastAsia="Times New Roman"/>
          <w:color w:val="000000"/>
        </w:rPr>
      </w:pPr>
      <w:r w:rsidRPr="001521C6">
        <w:rPr>
          <w:rFonts w:eastAsia="Times New Roman"/>
          <w:color w:val="000000"/>
          <w:rtl/>
        </w:rPr>
        <w:t>ב"כ המאשימה הפנתה לחלוף הזמן מ</w:t>
      </w:r>
      <w:r>
        <w:rPr>
          <w:rFonts w:eastAsia="Times New Roman" w:hint="cs"/>
          <w:color w:val="000000"/>
          <w:rtl/>
        </w:rPr>
        <w:t xml:space="preserve">אז </w:t>
      </w:r>
      <w:r w:rsidRPr="001521C6">
        <w:rPr>
          <w:rFonts w:eastAsia="Times New Roman"/>
          <w:color w:val="000000"/>
          <w:rtl/>
        </w:rPr>
        <w:t>ביצוע העבירו</w:t>
      </w:r>
      <w:r>
        <w:rPr>
          <w:rFonts w:eastAsia="Times New Roman"/>
          <w:color w:val="000000"/>
          <w:rtl/>
        </w:rPr>
        <w:t xml:space="preserve">ת וטענה כי יש </w:t>
      </w:r>
      <w:r>
        <w:rPr>
          <w:rFonts w:eastAsia="Times New Roman" w:hint="cs"/>
          <w:color w:val="000000"/>
          <w:rtl/>
        </w:rPr>
        <w:t>לזקוף אותו</w:t>
      </w:r>
      <w:r>
        <w:rPr>
          <w:rFonts w:eastAsia="Times New Roman"/>
          <w:color w:val="000000"/>
          <w:rtl/>
        </w:rPr>
        <w:t xml:space="preserve"> לחובת הנאשם שלאור</w:t>
      </w:r>
      <w:r>
        <w:rPr>
          <w:rFonts w:eastAsia="Times New Roman" w:hint="cs"/>
          <w:color w:val="000000"/>
          <w:rtl/>
        </w:rPr>
        <w:t>ך</w:t>
      </w:r>
      <w:r w:rsidRPr="001521C6">
        <w:rPr>
          <w:rFonts w:eastAsia="Times New Roman"/>
          <w:color w:val="000000"/>
          <w:rtl/>
        </w:rPr>
        <w:t xml:space="preserve"> כל ההליך התנהג בצורה מתחמקת ומזלזלת</w:t>
      </w:r>
      <w:r>
        <w:rPr>
          <w:rFonts w:eastAsia="Times New Roman" w:hint="cs"/>
          <w:color w:val="000000"/>
          <w:rtl/>
        </w:rPr>
        <w:t>,</w:t>
      </w:r>
      <w:r w:rsidRPr="001521C6">
        <w:rPr>
          <w:rFonts w:eastAsia="Times New Roman"/>
          <w:color w:val="000000"/>
          <w:rtl/>
        </w:rPr>
        <w:t xml:space="preserve"> ואף לא ניצל את ההזדמנויות שניתנו לו על ידי בית המשפט</w:t>
      </w:r>
      <w:r>
        <w:rPr>
          <w:rFonts w:eastAsia="Times New Roman" w:hint="cs"/>
          <w:color w:val="000000"/>
          <w:rtl/>
        </w:rPr>
        <w:t>,</w:t>
      </w:r>
      <w:r>
        <w:rPr>
          <w:rFonts w:eastAsia="Times New Roman"/>
          <w:color w:val="000000"/>
          <w:rtl/>
        </w:rPr>
        <w:t xml:space="preserve"> </w:t>
      </w:r>
      <w:r>
        <w:rPr>
          <w:rFonts w:eastAsia="Times New Roman" w:hint="cs"/>
          <w:color w:val="000000"/>
          <w:rtl/>
        </w:rPr>
        <w:t>ו</w:t>
      </w:r>
      <w:r w:rsidRPr="001521C6">
        <w:rPr>
          <w:rFonts w:eastAsia="Times New Roman"/>
          <w:color w:val="000000"/>
          <w:rtl/>
        </w:rPr>
        <w:t>לא התייצב תחילה בפני שירות המבחן והממונה על עבודות השירות.</w:t>
      </w:r>
      <w:r>
        <w:rPr>
          <w:rFonts w:eastAsia="Times New Roman" w:hint="cs"/>
          <w:color w:val="000000"/>
          <w:rtl/>
        </w:rPr>
        <w:t xml:space="preserve"> עוד </w:t>
      </w:r>
      <w:r w:rsidRPr="006B4266">
        <w:rPr>
          <w:rFonts w:eastAsia="Times New Roman"/>
          <w:color w:val="000000"/>
          <w:rtl/>
        </w:rPr>
        <w:t>הפנתה למפורט בתסקיר לפיו הנאשם שולל נזקקות טיפולית</w:t>
      </w:r>
      <w:r>
        <w:rPr>
          <w:rFonts w:eastAsia="Times New Roman"/>
          <w:color w:val="000000"/>
          <w:rtl/>
        </w:rPr>
        <w:t xml:space="preserve"> והוא בעל דפוסים בעיתיים</w:t>
      </w:r>
      <w:r>
        <w:rPr>
          <w:rFonts w:eastAsia="Times New Roman" w:hint="cs"/>
          <w:color w:val="000000"/>
          <w:rtl/>
        </w:rPr>
        <w:t xml:space="preserve"> ול</w:t>
      </w:r>
      <w:r w:rsidRPr="006B4266">
        <w:rPr>
          <w:rFonts w:eastAsia="Times New Roman"/>
          <w:color w:val="000000"/>
          <w:rtl/>
        </w:rPr>
        <w:t xml:space="preserve">גיליון </w:t>
      </w:r>
      <w:r>
        <w:rPr>
          <w:rFonts w:eastAsia="Times New Roman" w:hint="cs"/>
          <w:color w:val="000000"/>
          <w:rtl/>
        </w:rPr>
        <w:t>הרשעותיו</w:t>
      </w:r>
      <w:r w:rsidRPr="006B4266">
        <w:rPr>
          <w:rFonts w:eastAsia="Times New Roman" w:hint="cs"/>
          <w:color w:val="000000"/>
          <w:rtl/>
        </w:rPr>
        <w:t xml:space="preserve"> (</w:t>
      </w:r>
      <w:r w:rsidRPr="006B4266">
        <w:rPr>
          <w:rFonts w:eastAsia="Times New Roman" w:hint="cs"/>
          <w:b/>
          <w:bCs/>
          <w:color w:val="000000"/>
          <w:rtl/>
        </w:rPr>
        <w:t>עת/1</w:t>
      </w:r>
      <w:r w:rsidRPr="006B4266">
        <w:rPr>
          <w:rFonts w:eastAsia="Times New Roman" w:hint="cs"/>
          <w:color w:val="000000"/>
          <w:rtl/>
        </w:rPr>
        <w:t>)</w:t>
      </w:r>
      <w:r w:rsidRPr="006B4266">
        <w:rPr>
          <w:rFonts w:eastAsia="Times New Roman"/>
          <w:color w:val="000000"/>
          <w:rtl/>
        </w:rPr>
        <w:t>,</w:t>
      </w:r>
      <w:r w:rsidRPr="006B4266">
        <w:rPr>
          <w:rFonts w:eastAsia="Times New Roman" w:hint="cs"/>
          <w:color w:val="000000"/>
          <w:rtl/>
        </w:rPr>
        <w:t xml:space="preserve"> </w:t>
      </w:r>
      <w:r>
        <w:rPr>
          <w:rFonts w:eastAsia="Times New Roman" w:hint="cs"/>
          <w:color w:val="000000"/>
          <w:rtl/>
        </w:rPr>
        <w:t>לפיו הורשע בעבר בעבירות רלבנטיות. כשאלה הן הנסיבות, עתירתה היא כי עונשו של הנאשם ימוקם</w:t>
      </w:r>
      <w:r w:rsidRPr="006B4266">
        <w:rPr>
          <w:rFonts w:eastAsia="Times New Roman"/>
          <w:color w:val="000000"/>
          <w:rtl/>
        </w:rPr>
        <w:t xml:space="preserve"> ברף האמצעי-עליון</w:t>
      </w:r>
      <w:r>
        <w:rPr>
          <w:rFonts w:eastAsia="Times New Roman" w:hint="cs"/>
          <w:color w:val="000000"/>
          <w:rtl/>
        </w:rPr>
        <w:t>,</w:t>
      </w:r>
      <w:r w:rsidRPr="006B4266">
        <w:rPr>
          <w:rFonts w:eastAsia="Times New Roman"/>
          <w:color w:val="000000"/>
          <w:rtl/>
        </w:rPr>
        <w:t xml:space="preserve"> </w:t>
      </w:r>
      <w:r>
        <w:rPr>
          <w:rFonts w:eastAsia="Times New Roman" w:hint="cs"/>
          <w:color w:val="000000"/>
          <w:rtl/>
        </w:rPr>
        <w:t>וכי יושת</w:t>
      </w:r>
      <w:r w:rsidRPr="006B4266">
        <w:rPr>
          <w:rFonts w:eastAsia="Times New Roman"/>
          <w:color w:val="000000"/>
          <w:rtl/>
        </w:rPr>
        <w:t xml:space="preserve"> עליו עונש שלא יפחת מ-9 חודשי מאסר</w:t>
      </w:r>
      <w:r w:rsidRPr="006B4266">
        <w:rPr>
          <w:rFonts w:eastAsia="Times New Roman" w:hint="cs"/>
          <w:color w:val="000000"/>
          <w:rtl/>
        </w:rPr>
        <w:t>,</w:t>
      </w:r>
      <w:r>
        <w:rPr>
          <w:rFonts w:eastAsia="Times New Roman"/>
          <w:color w:val="000000"/>
          <w:rtl/>
        </w:rPr>
        <w:t xml:space="preserve"> ככל שירוצ</w:t>
      </w:r>
      <w:r>
        <w:rPr>
          <w:rFonts w:eastAsia="Times New Roman" w:hint="cs"/>
          <w:color w:val="000000"/>
          <w:rtl/>
        </w:rPr>
        <w:t>ה</w:t>
      </w:r>
      <w:r w:rsidRPr="006B4266">
        <w:rPr>
          <w:rFonts w:eastAsia="Times New Roman"/>
          <w:color w:val="000000"/>
          <w:rtl/>
        </w:rPr>
        <w:t xml:space="preserve"> בעבודות שירות. לחלופין, ככל שלא תתקבל חוות דעת מטעם הממונה על עבודות השירות</w:t>
      </w:r>
      <w:r>
        <w:rPr>
          <w:rFonts w:eastAsia="Times New Roman" w:hint="cs"/>
          <w:color w:val="000000"/>
          <w:rtl/>
        </w:rPr>
        <w:t>,</w:t>
      </w:r>
      <w:r w:rsidRPr="006B4266">
        <w:rPr>
          <w:rFonts w:eastAsia="Times New Roman"/>
          <w:color w:val="000000"/>
          <w:rtl/>
        </w:rPr>
        <w:t xml:space="preserve"> עתרה </w:t>
      </w:r>
      <w:r w:rsidRPr="001521C6">
        <w:rPr>
          <w:rtl/>
        </w:rPr>
        <w:t>לקביעת עונש של מאסר בפועל</w:t>
      </w:r>
      <w:r>
        <w:rPr>
          <w:rFonts w:hint="cs"/>
          <w:rtl/>
        </w:rPr>
        <w:t xml:space="preserve"> </w:t>
      </w:r>
      <w:r w:rsidRPr="001521C6">
        <w:rPr>
          <w:rtl/>
        </w:rPr>
        <w:t>בשליש העליון של התקופה אותה ניתן לרצות בעבודות שירות, גם אם לא 9 חודשים מלאים.</w:t>
      </w:r>
    </w:p>
    <w:p w14:paraId="37050397" w14:textId="77777777" w:rsidR="00D45F71" w:rsidRPr="00FB7975" w:rsidRDefault="00D45F71" w:rsidP="00D45F71">
      <w:pPr>
        <w:pStyle w:val="a9"/>
        <w:ind w:left="84"/>
        <w:jc w:val="both"/>
        <w:rPr>
          <w:rFonts w:eastAsia="Times New Roman"/>
          <w:color w:val="000000"/>
          <w:sz w:val="20"/>
          <w:szCs w:val="20"/>
        </w:rPr>
      </w:pPr>
    </w:p>
    <w:p w14:paraId="566782DC" w14:textId="77777777" w:rsidR="00D45F71" w:rsidRPr="001521C6" w:rsidRDefault="00D45F71" w:rsidP="00D45F71">
      <w:pPr>
        <w:pStyle w:val="a9"/>
        <w:numPr>
          <w:ilvl w:val="0"/>
          <w:numId w:val="1"/>
        </w:numPr>
        <w:spacing w:after="240" w:line="360" w:lineRule="auto"/>
        <w:ind w:left="84" w:hanging="69"/>
        <w:jc w:val="both"/>
        <w:rPr>
          <w:rFonts w:eastAsia="Times New Roman"/>
          <w:color w:val="000000"/>
        </w:rPr>
      </w:pPr>
      <w:r w:rsidRPr="001521C6">
        <w:rPr>
          <w:rFonts w:eastAsia="Times New Roman"/>
          <w:b/>
          <w:bCs/>
          <w:color w:val="000000"/>
          <w:rtl/>
        </w:rPr>
        <w:t>ב"כ הנאשם</w:t>
      </w:r>
      <w:r w:rsidRPr="001521C6">
        <w:rPr>
          <w:rFonts w:eastAsia="Times New Roman"/>
          <w:color w:val="000000"/>
          <w:rtl/>
        </w:rPr>
        <w:t xml:space="preserve"> חלקה על עמדת המאשימה באשר לקביעת מתחמי ענישה נפרדים בגין כל כתב אישום</w:t>
      </w:r>
      <w:r>
        <w:rPr>
          <w:rFonts w:eastAsia="Times New Roman" w:hint="cs"/>
          <w:color w:val="000000"/>
          <w:rtl/>
        </w:rPr>
        <w:t>,</w:t>
      </w:r>
      <w:r w:rsidRPr="001521C6">
        <w:rPr>
          <w:rFonts w:eastAsia="Times New Roman"/>
          <w:color w:val="000000"/>
          <w:rtl/>
        </w:rPr>
        <w:t xml:space="preserve"> </w:t>
      </w:r>
      <w:r>
        <w:rPr>
          <w:rFonts w:eastAsia="Times New Roman" w:hint="cs"/>
          <w:color w:val="000000"/>
          <w:rtl/>
        </w:rPr>
        <w:t>ו</w:t>
      </w:r>
      <w:r>
        <w:rPr>
          <w:rFonts w:eastAsia="Times New Roman"/>
          <w:color w:val="000000"/>
          <w:rtl/>
        </w:rPr>
        <w:t>לטענתה</w:t>
      </w:r>
      <w:r>
        <w:rPr>
          <w:rFonts w:eastAsia="Times New Roman" w:hint="cs"/>
          <w:color w:val="000000"/>
          <w:rtl/>
        </w:rPr>
        <w:t xml:space="preserve">, </w:t>
      </w:r>
      <w:r w:rsidRPr="001521C6">
        <w:rPr>
          <w:rFonts w:eastAsia="Times New Roman"/>
          <w:color w:val="000000"/>
          <w:rtl/>
        </w:rPr>
        <w:t>על פי המבחנים שנקבעו בפסיקה</w:t>
      </w:r>
      <w:r>
        <w:rPr>
          <w:rFonts w:eastAsia="Times New Roman" w:hint="cs"/>
          <w:color w:val="000000"/>
          <w:rtl/>
        </w:rPr>
        <w:t>,</w:t>
      </w:r>
      <w:r w:rsidRPr="001521C6">
        <w:rPr>
          <w:rFonts w:eastAsia="Times New Roman"/>
          <w:color w:val="000000"/>
          <w:rtl/>
        </w:rPr>
        <w:t xml:space="preserve"> יש לראות בכלל מעשיו של הנאשם כאירוע אחד</w:t>
      </w:r>
      <w:r w:rsidRPr="001521C6">
        <w:rPr>
          <w:rtl/>
        </w:rPr>
        <w:t xml:space="preserve"> דווקא מכוח צירוף התיקים, </w:t>
      </w:r>
      <w:r>
        <w:rPr>
          <w:rFonts w:hint="cs"/>
          <w:rtl/>
        </w:rPr>
        <w:t>המלמד לטענתה</w:t>
      </w:r>
      <w:r w:rsidRPr="001521C6">
        <w:rPr>
          <w:rtl/>
        </w:rPr>
        <w:t xml:space="preserve"> שגם המאשימה מתייחסת לכלל האירועים כמקשה אחת. ב"כ הנאשם עתרה</w:t>
      </w:r>
      <w:r w:rsidRPr="001521C6">
        <w:rPr>
          <w:rFonts w:eastAsia="Times New Roman"/>
          <w:color w:val="000000"/>
          <w:rtl/>
        </w:rPr>
        <w:t xml:space="preserve"> לקביעת</w:t>
      </w:r>
      <w:r>
        <w:rPr>
          <w:rFonts w:eastAsia="Times New Roman"/>
          <w:color w:val="000000"/>
          <w:rtl/>
        </w:rPr>
        <w:t xml:space="preserve"> מתחם עונש אשר </w:t>
      </w:r>
      <w:r>
        <w:rPr>
          <w:rFonts w:eastAsia="Times New Roman" w:hint="cs"/>
          <w:color w:val="000000"/>
          <w:rtl/>
        </w:rPr>
        <w:t xml:space="preserve">תחתיתו </w:t>
      </w:r>
      <w:r w:rsidRPr="001521C6">
        <w:rPr>
          <w:rFonts w:eastAsia="Times New Roman"/>
          <w:color w:val="000000"/>
          <w:rtl/>
        </w:rPr>
        <w:t>מאסר על תנאי ותקרתו 9 חודשי עבודות שירות</w:t>
      </w:r>
      <w:r>
        <w:rPr>
          <w:rFonts w:eastAsia="Times New Roman" w:hint="cs"/>
          <w:color w:val="000000"/>
          <w:rtl/>
        </w:rPr>
        <w:t xml:space="preserve"> בכל הנוגע לעבירת התיווך לסם</w:t>
      </w:r>
      <w:r w:rsidRPr="001521C6">
        <w:rPr>
          <w:rFonts w:eastAsia="Times New Roman"/>
          <w:color w:val="000000"/>
          <w:rtl/>
        </w:rPr>
        <w:t>. כמו כן הפנתה לחלוף הזמן מאז ביצוע העבירות</w:t>
      </w:r>
      <w:r>
        <w:rPr>
          <w:rFonts w:eastAsia="Times New Roman" w:hint="cs"/>
          <w:color w:val="000000"/>
          <w:rtl/>
        </w:rPr>
        <w:t>,</w:t>
      </w:r>
      <w:r w:rsidRPr="001521C6">
        <w:rPr>
          <w:rFonts w:eastAsia="Times New Roman"/>
          <w:color w:val="000000"/>
          <w:rtl/>
        </w:rPr>
        <w:t xml:space="preserve"> ולכך שמאז הגשת התיק האחרון בזמן לא נפתחו נגד הנאשם תיקים חדשים.</w:t>
      </w:r>
    </w:p>
    <w:p w14:paraId="5C1404F1" w14:textId="77777777" w:rsidR="00D45F71" w:rsidRPr="007F0310" w:rsidRDefault="00D45F71" w:rsidP="00D45F71">
      <w:pPr>
        <w:pStyle w:val="a9"/>
        <w:rPr>
          <w:sz w:val="20"/>
          <w:szCs w:val="20"/>
          <w:rtl/>
        </w:rPr>
      </w:pPr>
    </w:p>
    <w:p w14:paraId="070E7549" w14:textId="77777777" w:rsidR="00D45F71" w:rsidRPr="00276A3F" w:rsidRDefault="00D45F71" w:rsidP="00D45F71">
      <w:pPr>
        <w:pStyle w:val="a9"/>
        <w:numPr>
          <w:ilvl w:val="0"/>
          <w:numId w:val="1"/>
        </w:numPr>
        <w:spacing w:after="240" w:line="360" w:lineRule="auto"/>
        <w:ind w:left="84" w:hanging="69"/>
        <w:jc w:val="both"/>
        <w:rPr>
          <w:sz w:val="20"/>
          <w:szCs w:val="20"/>
        </w:rPr>
      </w:pPr>
      <w:r>
        <w:rPr>
          <w:rFonts w:hint="cs"/>
          <w:rtl/>
        </w:rPr>
        <w:t>עוד</w:t>
      </w:r>
      <w:r w:rsidRPr="001521C6">
        <w:rPr>
          <w:rtl/>
        </w:rPr>
        <w:t xml:space="preserve"> הפנתה לתסקיר </w:t>
      </w:r>
      <w:r>
        <w:rPr>
          <w:rFonts w:hint="cs"/>
          <w:rtl/>
        </w:rPr>
        <w:t>שהתקבל</w:t>
      </w:r>
      <w:r w:rsidRPr="001521C6">
        <w:rPr>
          <w:rtl/>
        </w:rPr>
        <w:t xml:space="preserve"> </w:t>
      </w:r>
      <w:r>
        <w:rPr>
          <w:rFonts w:hint="cs"/>
          <w:rtl/>
        </w:rPr>
        <w:t>וטענה שעולה ממנו ש</w:t>
      </w:r>
      <w:r w:rsidRPr="001521C6">
        <w:rPr>
          <w:rtl/>
        </w:rPr>
        <w:t xml:space="preserve">הנאשם בעל יכולות מוגבלות על אף </w:t>
      </w:r>
      <w:r>
        <w:rPr>
          <w:rFonts w:hint="cs"/>
          <w:rtl/>
        </w:rPr>
        <w:t>ש</w:t>
      </w:r>
      <w:r w:rsidRPr="001521C6">
        <w:rPr>
          <w:rtl/>
        </w:rPr>
        <w:t xml:space="preserve">אינו מאובחן כמי </w:t>
      </w:r>
      <w:r>
        <w:rPr>
          <w:rFonts w:hint="cs"/>
          <w:rtl/>
        </w:rPr>
        <w:t>שסובל</w:t>
      </w:r>
      <w:r w:rsidRPr="001521C6">
        <w:rPr>
          <w:rtl/>
        </w:rPr>
        <w:t xml:space="preserve"> </w:t>
      </w:r>
      <w:r>
        <w:rPr>
          <w:rFonts w:hint="cs"/>
          <w:rtl/>
        </w:rPr>
        <w:t>מ</w:t>
      </w:r>
      <w:r>
        <w:rPr>
          <w:rtl/>
        </w:rPr>
        <w:t>הנמכה קוגניטיבית</w:t>
      </w:r>
      <w:r w:rsidRPr="001521C6">
        <w:rPr>
          <w:rtl/>
        </w:rPr>
        <w:t xml:space="preserve">. לטענתה, </w:t>
      </w:r>
      <w:r>
        <w:rPr>
          <w:rFonts w:hint="cs"/>
          <w:rtl/>
        </w:rPr>
        <w:t xml:space="preserve">בתקופה הרלבנטית לכתבי האישום </w:t>
      </w:r>
      <w:r w:rsidRPr="001521C6">
        <w:rPr>
          <w:rtl/>
        </w:rPr>
        <w:t xml:space="preserve">היה </w:t>
      </w:r>
      <w:r>
        <w:rPr>
          <w:rFonts w:hint="cs"/>
          <w:rtl/>
        </w:rPr>
        <w:t xml:space="preserve">הנאשם </w:t>
      </w:r>
      <w:r>
        <w:rPr>
          <w:rtl/>
        </w:rPr>
        <w:t xml:space="preserve">בתקופה קשה בחייו סביב </w:t>
      </w:r>
      <w:r w:rsidRPr="001521C6">
        <w:rPr>
          <w:rtl/>
        </w:rPr>
        <w:t>שירות</w:t>
      </w:r>
      <w:r>
        <w:rPr>
          <w:rFonts w:hint="cs"/>
          <w:rtl/>
        </w:rPr>
        <w:t>ו</w:t>
      </w:r>
      <w:r w:rsidRPr="001521C6">
        <w:rPr>
          <w:rtl/>
        </w:rPr>
        <w:t xml:space="preserve"> הצבאי </w:t>
      </w:r>
      <w:r>
        <w:rPr>
          <w:rFonts w:hint="cs"/>
          <w:rtl/>
        </w:rPr>
        <w:t>ו</w:t>
      </w:r>
      <w:r w:rsidRPr="001521C6">
        <w:rPr>
          <w:rtl/>
        </w:rPr>
        <w:t>במסלול התדרדרות</w:t>
      </w:r>
      <w:r>
        <w:rPr>
          <w:rtl/>
        </w:rPr>
        <w:t xml:space="preserve"> שעצר</w:t>
      </w:r>
      <w:r>
        <w:rPr>
          <w:rFonts w:hint="cs"/>
          <w:rtl/>
        </w:rPr>
        <w:t xml:space="preserve"> </w:t>
      </w:r>
      <w:r>
        <w:rPr>
          <w:rtl/>
        </w:rPr>
        <w:t>בסופו של יום בכוחות עצמו</w:t>
      </w:r>
      <w:r>
        <w:rPr>
          <w:rFonts w:hint="cs"/>
          <w:rtl/>
        </w:rPr>
        <w:t xml:space="preserve">, ובנסיבות אלה יש לתת משמעות רבה </w:t>
      </w:r>
      <w:r w:rsidRPr="001521C6">
        <w:rPr>
          <w:rtl/>
        </w:rPr>
        <w:t xml:space="preserve">לחלוף הזמן מאז ביצוע העבירות. ב"כ הנאשם טענה </w:t>
      </w:r>
      <w:r>
        <w:rPr>
          <w:rFonts w:hint="cs"/>
          <w:rtl/>
        </w:rPr>
        <w:t>ש</w:t>
      </w:r>
      <w:r w:rsidRPr="001521C6">
        <w:rPr>
          <w:rtl/>
        </w:rPr>
        <w:t>אין להשוות בין עניינו</w:t>
      </w:r>
      <w:r>
        <w:rPr>
          <w:rFonts w:hint="cs"/>
          <w:rtl/>
        </w:rPr>
        <w:t xml:space="preserve"> של הנאשם לזה</w:t>
      </w:r>
      <w:r w:rsidRPr="001521C6">
        <w:rPr>
          <w:rtl/>
        </w:rPr>
        <w:t xml:space="preserve"> של </w:t>
      </w:r>
      <w:r>
        <w:rPr>
          <w:rFonts w:hint="cs"/>
          <w:rtl/>
        </w:rPr>
        <w:t>נאשם 2</w:t>
      </w:r>
      <w:r w:rsidRPr="001521C6">
        <w:rPr>
          <w:rtl/>
        </w:rPr>
        <w:t xml:space="preserve"> בתיק </w:t>
      </w:r>
      <w:r>
        <w:rPr>
          <w:rFonts w:hint="cs"/>
          <w:rtl/>
        </w:rPr>
        <w:t xml:space="preserve">בו תיווך לסחר בסם, </w:t>
      </w:r>
      <w:r w:rsidRPr="001521C6">
        <w:rPr>
          <w:rtl/>
        </w:rPr>
        <w:t xml:space="preserve">שכן </w:t>
      </w:r>
      <w:r>
        <w:rPr>
          <w:rFonts w:hint="cs"/>
          <w:rtl/>
        </w:rPr>
        <w:t>נאשם 2 היה</w:t>
      </w:r>
      <w:r w:rsidRPr="001521C6">
        <w:rPr>
          <w:rtl/>
        </w:rPr>
        <w:t xml:space="preserve"> בעל עבר פלילי, </w:t>
      </w:r>
      <w:r>
        <w:rPr>
          <w:rFonts w:hint="cs"/>
          <w:rtl/>
        </w:rPr>
        <w:t>נגדו</w:t>
      </w:r>
      <w:r w:rsidRPr="001521C6">
        <w:rPr>
          <w:rtl/>
        </w:rPr>
        <w:t xml:space="preserve"> היה </w:t>
      </w:r>
      <w:r>
        <w:rPr>
          <w:rFonts w:hint="cs"/>
          <w:rtl/>
        </w:rPr>
        <w:t xml:space="preserve">תלוי ועומד </w:t>
      </w:r>
      <w:r w:rsidRPr="001521C6">
        <w:rPr>
          <w:rtl/>
        </w:rPr>
        <w:t>מאסר על תנאי</w:t>
      </w:r>
      <w:r>
        <w:rPr>
          <w:rFonts w:hint="cs"/>
          <w:rtl/>
        </w:rPr>
        <w:t>,</w:t>
      </w:r>
      <w:r w:rsidRPr="001521C6">
        <w:rPr>
          <w:rtl/>
        </w:rPr>
        <w:t xml:space="preserve"> והעבירה שביצע חמורה יותר, ואם </w:t>
      </w:r>
      <w:r>
        <w:rPr>
          <w:rFonts w:hint="cs"/>
          <w:rtl/>
        </w:rPr>
        <w:t xml:space="preserve">יש </w:t>
      </w:r>
      <w:r w:rsidRPr="001521C6">
        <w:rPr>
          <w:rtl/>
        </w:rPr>
        <w:t xml:space="preserve">להקיש מעניינו </w:t>
      </w:r>
      <w:r>
        <w:rPr>
          <w:rFonts w:hint="cs"/>
          <w:rtl/>
        </w:rPr>
        <w:t>אזי</w:t>
      </w:r>
      <w:r w:rsidRPr="001521C6">
        <w:rPr>
          <w:rtl/>
        </w:rPr>
        <w:t xml:space="preserve"> </w:t>
      </w:r>
      <w:r>
        <w:rPr>
          <w:rFonts w:hint="cs"/>
          <w:rtl/>
        </w:rPr>
        <w:t>על עונשו של הנאשם להיות קל יותר. עתירת הסנגורית היא לגזירת עונש של מאסר על תנאי על הנאשם בנסיבות הכוללות. עוד ביקשה כי ככל שיקבע</w:t>
      </w:r>
      <w:r>
        <w:rPr>
          <w:rtl/>
        </w:rPr>
        <w:t xml:space="preserve"> שאין להסתפק</w:t>
      </w:r>
      <w:r>
        <w:rPr>
          <w:rFonts w:hint="cs"/>
          <w:rtl/>
        </w:rPr>
        <w:t xml:space="preserve"> בעונש זה, תינתן לנאשם</w:t>
      </w:r>
      <w:r>
        <w:rPr>
          <w:rtl/>
        </w:rPr>
        <w:t xml:space="preserve"> הזדמנות נוספת </w:t>
      </w:r>
      <w:r>
        <w:rPr>
          <w:rFonts w:hint="cs"/>
          <w:rtl/>
        </w:rPr>
        <w:t>לבחינת התאמתו לביצוע עבודות שירות. לדבריה, לאור ה</w:t>
      </w:r>
      <w:r w:rsidRPr="001521C6">
        <w:rPr>
          <w:rtl/>
        </w:rPr>
        <w:t>שיפור במצבו של הנאשם</w:t>
      </w:r>
      <w:r>
        <w:rPr>
          <w:rFonts w:hint="cs"/>
          <w:rtl/>
        </w:rPr>
        <w:t xml:space="preserve">, אין זה המקרה </w:t>
      </w:r>
      <w:r w:rsidRPr="001521C6">
        <w:rPr>
          <w:rtl/>
        </w:rPr>
        <w:t xml:space="preserve"> </w:t>
      </w:r>
      <w:r>
        <w:rPr>
          <w:rFonts w:hint="cs"/>
          <w:rtl/>
        </w:rPr>
        <w:t xml:space="preserve">לגזירת מאסר </w:t>
      </w:r>
      <w:r w:rsidRPr="001521C6">
        <w:rPr>
          <w:rtl/>
        </w:rPr>
        <w:t>מאחורי סורג ובריח.</w:t>
      </w:r>
    </w:p>
    <w:p w14:paraId="50B61BEE" w14:textId="77777777" w:rsidR="00D45F71" w:rsidRPr="008D4656" w:rsidRDefault="00D45F71" w:rsidP="00D45F71">
      <w:pPr>
        <w:pStyle w:val="a9"/>
        <w:ind w:left="84"/>
        <w:jc w:val="both"/>
        <w:rPr>
          <w:rFonts w:eastAsia="Times New Roman"/>
          <w:color w:val="000000"/>
          <w:sz w:val="20"/>
          <w:szCs w:val="20"/>
        </w:rPr>
      </w:pPr>
    </w:p>
    <w:p w14:paraId="755A4BF4" w14:textId="77777777" w:rsidR="00D45F71" w:rsidRPr="001B4CFF" w:rsidRDefault="00D45F71" w:rsidP="00D45F71">
      <w:pPr>
        <w:pStyle w:val="a9"/>
        <w:numPr>
          <w:ilvl w:val="0"/>
          <w:numId w:val="1"/>
        </w:numPr>
        <w:spacing w:after="240" w:line="360" w:lineRule="auto"/>
        <w:ind w:left="84" w:hanging="69"/>
        <w:jc w:val="both"/>
        <w:rPr>
          <w:b/>
          <w:bCs/>
          <w:color w:val="000000"/>
          <w:sz w:val="20"/>
          <w:szCs w:val="20"/>
          <w:u w:val="single"/>
        </w:rPr>
      </w:pPr>
      <w:r w:rsidRPr="001B4CFF">
        <w:rPr>
          <w:rFonts w:eastAsia="Times New Roman"/>
          <w:b/>
          <w:bCs/>
          <w:color w:val="000000"/>
          <w:rtl/>
        </w:rPr>
        <w:t>הנאשם</w:t>
      </w:r>
      <w:r>
        <w:rPr>
          <w:rFonts w:eastAsia="Times New Roman"/>
          <w:color w:val="000000"/>
          <w:rtl/>
        </w:rPr>
        <w:t xml:space="preserve"> בחר שלא להוסיף דבר</w:t>
      </w:r>
      <w:r>
        <w:rPr>
          <w:rFonts w:eastAsia="Times New Roman" w:hint="cs"/>
          <w:color w:val="000000"/>
          <w:rtl/>
        </w:rPr>
        <w:t>.</w:t>
      </w:r>
    </w:p>
    <w:p w14:paraId="2420CF52" w14:textId="77777777" w:rsidR="00D45F71" w:rsidRPr="001B4CFF" w:rsidRDefault="00D45F71" w:rsidP="00D45F71">
      <w:pPr>
        <w:pStyle w:val="a9"/>
        <w:rPr>
          <w:b/>
          <w:bCs/>
          <w:color w:val="000000"/>
          <w:sz w:val="20"/>
          <w:szCs w:val="20"/>
          <w:u w:val="single"/>
          <w:rtl/>
        </w:rPr>
      </w:pPr>
    </w:p>
    <w:p w14:paraId="19BE440C" w14:textId="77777777" w:rsidR="00D45F71" w:rsidRPr="001B4CFF" w:rsidRDefault="00D45F71" w:rsidP="00D45F71">
      <w:pPr>
        <w:pStyle w:val="a9"/>
        <w:spacing w:after="240" w:line="360" w:lineRule="auto"/>
        <w:ind w:left="84"/>
        <w:jc w:val="both"/>
        <w:rPr>
          <w:b/>
          <w:bCs/>
          <w:color w:val="000000"/>
          <w:sz w:val="20"/>
          <w:szCs w:val="20"/>
          <w:u w:val="single"/>
        </w:rPr>
      </w:pPr>
      <w:r w:rsidRPr="001B4CFF">
        <w:rPr>
          <w:rFonts w:hint="cs"/>
          <w:b/>
          <w:bCs/>
          <w:color w:val="000000"/>
          <w:u w:val="single"/>
          <w:rtl/>
        </w:rPr>
        <w:t>מ</w:t>
      </w:r>
      <w:r w:rsidRPr="001B4CFF">
        <w:rPr>
          <w:b/>
          <w:bCs/>
          <w:color w:val="000000"/>
          <w:u w:val="single"/>
          <w:rtl/>
        </w:rPr>
        <w:t>תחם העונש ההולם</w:t>
      </w:r>
    </w:p>
    <w:p w14:paraId="3345503C" w14:textId="77777777" w:rsidR="00D45F71" w:rsidRDefault="00D45F71" w:rsidP="00D45F71">
      <w:pPr>
        <w:pStyle w:val="a9"/>
        <w:numPr>
          <w:ilvl w:val="0"/>
          <w:numId w:val="1"/>
        </w:numPr>
        <w:spacing w:after="240" w:line="360" w:lineRule="auto"/>
        <w:ind w:left="84" w:hanging="69"/>
        <w:jc w:val="both"/>
        <w:rPr>
          <w:rFonts w:eastAsia="Times New Roman"/>
          <w:color w:val="000000"/>
        </w:rPr>
      </w:pPr>
      <w:r w:rsidRPr="001521C6">
        <w:rPr>
          <w:rFonts w:eastAsia="Times New Roman"/>
          <w:color w:val="000000"/>
          <w:rtl/>
        </w:rPr>
        <w:t>כידוע, מתחם העונש ההולם נקבע בהתאם לעקרון המנחה בענישה, היינו קיומו של יחס הולם בין חומרת מעשה העבירה בנסיבותיו ומידת אשמו של הנאשם, לבין סוג ומידת העונש המוטל עליו, תוך התחשבות בערך החברתי אשר נפגע, במידת הפגיעה בו, בנסיבות הקשורות בביצוע העבירה ובמדיניות הענישה הנהוגה</w:t>
      </w:r>
      <w:r w:rsidRPr="001521C6">
        <w:rPr>
          <w:rFonts w:eastAsia="Times New Roman"/>
          <w:color w:val="000000"/>
          <w:rtl/>
          <w:lang w:bidi="ar-SA"/>
        </w:rPr>
        <w:t>.</w:t>
      </w:r>
    </w:p>
    <w:p w14:paraId="0523D967" w14:textId="77777777" w:rsidR="00D45F71" w:rsidRPr="002F4B4F" w:rsidRDefault="00D45F71" w:rsidP="00D45F71">
      <w:pPr>
        <w:pStyle w:val="a9"/>
        <w:spacing w:after="240"/>
        <w:ind w:left="84"/>
        <w:jc w:val="both"/>
        <w:rPr>
          <w:rFonts w:eastAsia="Times New Roman"/>
          <w:color w:val="000000"/>
          <w:sz w:val="20"/>
          <w:szCs w:val="20"/>
        </w:rPr>
      </w:pPr>
    </w:p>
    <w:p w14:paraId="4B580275" w14:textId="77777777" w:rsidR="00D45F71" w:rsidRPr="002F4B4F" w:rsidRDefault="00D45F71" w:rsidP="00D45F71">
      <w:pPr>
        <w:pStyle w:val="a9"/>
        <w:numPr>
          <w:ilvl w:val="0"/>
          <w:numId w:val="1"/>
        </w:numPr>
        <w:spacing w:after="240" w:line="360" w:lineRule="auto"/>
        <w:ind w:left="84" w:hanging="69"/>
        <w:jc w:val="both"/>
        <w:rPr>
          <w:rFonts w:eastAsia="Times New Roman"/>
          <w:color w:val="000000"/>
        </w:rPr>
      </w:pPr>
      <w:r w:rsidRPr="002F4B4F">
        <w:rPr>
          <w:rFonts w:eastAsia="Times New Roman"/>
          <w:color w:val="000000"/>
          <w:rtl/>
        </w:rPr>
        <w:t xml:space="preserve">הנאשם הורשע כאמור בביצוע עבירות </w:t>
      </w:r>
      <w:r>
        <w:rPr>
          <w:rFonts w:eastAsia="Times New Roman" w:hint="cs"/>
          <w:color w:val="000000"/>
          <w:rtl/>
        </w:rPr>
        <w:t xml:space="preserve">של </w:t>
      </w:r>
      <w:r w:rsidRPr="002F4B4F">
        <w:rPr>
          <w:rFonts w:eastAsia="Times New Roman"/>
          <w:color w:val="000000"/>
          <w:rtl/>
        </w:rPr>
        <w:t xml:space="preserve">הסגת גבול פלילית בצוותא, גניבה, החזקת נכס החשוד כגנוב </w:t>
      </w:r>
      <w:r w:rsidRPr="002F4B4F">
        <w:rPr>
          <w:rFonts w:eastAsia="Times New Roman" w:hint="cs"/>
          <w:color w:val="000000"/>
          <w:rtl/>
        </w:rPr>
        <w:t>ו</w:t>
      </w:r>
      <w:r w:rsidRPr="002F4B4F">
        <w:rPr>
          <w:rFonts w:eastAsia="Times New Roman"/>
          <w:color w:val="000000"/>
          <w:rtl/>
        </w:rPr>
        <w:t>היזק לרכוש במזיד. הערכים המוגנים בעבירות אלו נוגעים לחשיבות ההגנה</w:t>
      </w:r>
      <w:r>
        <w:rPr>
          <w:rFonts w:eastAsia="Times New Roman" w:hint="cs"/>
          <w:color w:val="000000"/>
          <w:rtl/>
        </w:rPr>
        <w:t xml:space="preserve"> והשמירה</w:t>
      </w:r>
      <w:r w:rsidRPr="002F4B4F">
        <w:rPr>
          <w:rFonts w:eastAsia="Times New Roman"/>
          <w:color w:val="000000"/>
          <w:rtl/>
        </w:rPr>
        <w:t xml:space="preserve"> על הקניין </w:t>
      </w:r>
      <w:r>
        <w:rPr>
          <w:rFonts w:eastAsia="Times New Roman" w:hint="cs"/>
          <w:color w:val="000000"/>
          <w:rtl/>
        </w:rPr>
        <w:t xml:space="preserve">ועל </w:t>
      </w:r>
      <w:r w:rsidRPr="002F4B4F">
        <w:rPr>
          <w:rFonts w:eastAsia="Times New Roman"/>
          <w:color w:val="000000"/>
          <w:rtl/>
        </w:rPr>
        <w:t xml:space="preserve">רכוש הציבור וביטחונו. כמו כן הורשע הנאשם בעבירה של תיווך בסם מסוכן. </w:t>
      </w:r>
      <w:r w:rsidRPr="002F4B4F">
        <w:rPr>
          <w:rFonts w:eastAsia="Times New Roman" w:hint="cs"/>
          <w:color w:val="000000"/>
          <w:rtl/>
        </w:rPr>
        <w:t>בהקשר זה יש לתת את הדעת</w:t>
      </w:r>
      <w:r w:rsidRPr="002F4B4F">
        <w:rPr>
          <w:rFonts w:eastAsia="Times New Roman"/>
          <w:color w:val="000000"/>
          <w:rtl/>
        </w:rPr>
        <w:t xml:space="preserve"> </w:t>
      </w:r>
      <w:r w:rsidRPr="002F4B4F">
        <w:rPr>
          <w:color w:val="000000"/>
          <w:rtl/>
        </w:rPr>
        <w:t>לערכים המוגנים בעבירות הסמים, לחומרה שלצידן ולחשיבות ההרתעה. רבות נכתב על אודות הנזק לגוף ולנפש מנגע הסמים</w:t>
      </w:r>
      <w:r w:rsidRPr="002F4B4F">
        <w:rPr>
          <w:rFonts w:hint="cs"/>
          <w:color w:val="000000"/>
          <w:rtl/>
        </w:rPr>
        <w:t>,</w:t>
      </w:r>
      <w:r w:rsidRPr="002F4B4F">
        <w:rPr>
          <w:color w:val="000000"/>
          <w:rtl/>
        </w:rPr>
        <w:t xml:space="preserve"> אשר אף עלול לגרום בדרך עקיפה לביצוען של עבירות אחרות ונוספות. המתווך בסמים הוא חלק משרשרת הפצת הסם, ויש במעשיו כדי להנגיש את הסמים לאחרים, להפכם לקלים להשגה, וכך הם מתפשטים בקלות ובמהירות בקרב הציבור</w:t>
      </w:r>
      <w:r w:rsidRPr="002F4B4F">
        <w:rPr>
          <w:rFonts w:hint="cs"/>
          <w:color w:val="000000"/>
          <w:rtl/>
        </w:rPr>
        <w:t>.</w:t>
      </w:r>
    </w:p>
    <w:p w14:paraId="0A632BA2" w14:textId="77777777" w:rsidR="00D45F71" w:rsidRPr="002F4B4F" w:rsidRDefault="00D45F71" w:rsidP="00D45F71">
      <w:pPr>
        <w:pStyle w:val="a9"/>
        <w:rPr>
          <w:color w:val="000000"/>
          <w:sz w:val="20"/>
          <w:szCs w:val="20"/>
          <w:rtl/>
        </w:rPr>
      </w:pPr>
    </w:p>
    <w:p w14:paraId="198D9343" w14:textId="77777777" w:rsidR="00D45F71" w:rsidRDefault="00D45F71" w:rsidP="00D45F71">
      <w:pPr>
        <w:pStyle w:val="a9"/>
        <w:numPr>
          <w:ilvl w:val="0"/>
          <w:numId w:val="1"/>
        </w:numPr>
        <w:spacing w:after="240" w:line="360" w:lineRule="auto"/>
        <w:ind w:left="84" w:hanging="69"/>
        <w:jc w:val="both"/>
        <w:rPr>
          <w:color w:val="000000"/>
        </w:rPr>
      </w:pPr>
      <w:r w:rsidRPr="002F4B4F">
        <w:rPr>
          <w:rFonts w:hint="cs"/>
          <w:color w:val="000000"/>
          <w:rtl/>
        </w:rPr>
        <w:t xml:space="preserve">בכל הנוגע לעבירות הרכוש בביצוען הורשע הנאשם </w:t>
      </w:r>
      <w:r w:rsidRPr="006D4750">
        <w:rPr>
          <w:rFonts w:eastAsia="Times New Roman"/>
          <w:b/>
          <w:bCs/>
          <w:color w:val="000000"/>
          <w:rtl/>
        </w:rPr>
        <w:t>ב</w:t>
      </w:r>
      <w:hyperlink r:id="rId31" w:history="1">
        <w:r w:rsidR="007A6FD3" w:rsidRPr="007A6FD3">
          <w:rPr>
            <w:rFonts w:eastAsia="Times New Roman"/>
            <w:b/>
            <w:bCs/>
            <w:color w:val="0000FF"/>
            <w:u w:val="single"/>
            <w:rtl/>
          </w:rPr>
          <w:t>ת"פ 60385-08-16</w:t>
        </w:r>
      </w:hyperlink>
      <w:r>
        <w:rPr>
          <w:rFonts w:hint="cs"/>
          <w:color w:val="000000"/>
          <w:rtl/>
        </w:rPr>
        <w:t xml:space="preserve">, </w:t>
      </w:r>
      <w:r w:rsidRPr="002F4B4F">
        <w:rPr>
          <w:rFonts w:hint="cs"/>
          <w:color w:val="000000"/>
          <w:rtl/>
        </w:rPr>
        <w:t>נתתי דעתי לכך שהעבירות בוצעו בצוותא, לסוג הרכוש שנגנב ו</w:t>
      </w:r>
      <w:r>
        <w:rPr>
          <w:rFonts w:hint="cs"/>
          <w:color w:val="000000"/>
          <w:rtl/>
        </w:rPr>
        <w:t>ל</w:t>
      </w:r>
      <w:r w:rsidRPr="002F4B4F">
        <w:rPr>
          <w:rFonts w:hint="cs"/>
          <w:color w:val="000000"/>
          <w:rtl/>
        </w:rPr>
        <w:t xml:space="preserve">ערכו הכספי, כמו גם </w:t>
      </w:r>
      <w:r>
        <w:rPr>
          <w:rFonts w:hint="cs"/>
          <w:color w:val="000000"/>
          <w:rtl/>
        </w:rPr>
        <w:t>ל</w:t>
      </w:r>
      <w:r w:rsidRPr="002F4B4F">
        <w:rPr>
          <w:rFonts w:hint="cs"/>
          <w:color w:val="000000"/>
          <w:rtl/>
        </w:rPr>
        <w:t>חשיבותו לבעליו</w:t>
      </w:r>
      <w:r>
        <w:rPr>
          <w:rFonts w:hint="cs"/>
          <w:color w:val="000000"/>
          <w:rtl/>
        </w:rPr>
        <w:t>. בנוסף לכך ש</w:t>
      </w:r>
      <w:r w:rsidRPr="002F4B4F">
        <w:rPr>
          <w:rFonts w:hint="cs"/>
          <w:color w:val="000000"/>
          <w:rtl/>
        </w:rPr>
        <w:t>לצורך ביצוע עבירת הגניבה הנאשם אף הסיג גבול למקלט נעול, כך שאף לא ניתן לראות במעשיו כמעשה ספונטני או ניצול הזדמנות. בנוסף, לכך שהיה בכוונת הנאשם למכור את הקורקינט ולהתחלק ברווחים עם שותפיו למעשה. אמנם הקורקינט בסופו של יום לא נמכר על ידי הנאשם ושותפיו, אך טרם תפיסתו על ידי השוטרים גרם הנא</w:t>
      </w:r>
      <w:r>
        <w:rPr>
          <w:rFonts w:hint="cs"/>
          <w:color w:val="000000"/>
          <w:rtl/>
        </w:rPr>
        <w:t xml:space="preserve">שם נזק לקורקינט בדמות תקר בגלגל. בעת בחינת הנסיבות שקלתי גם את גילו של הנאשם היה צעיר מאוד בעת ביצוע העבירות, כבן 19, גם אם האחרים שביצעו את העבירות בצוותא עמו היו צעירים ממנו, קטינים. בנסיבות הכוללות, מידת הפגיעה בערכים המוגנים במקרה זה היא ברף בינוני - נמוך. </w:t>
      </w:r>
    </w:p>
    <w:p w14:paraId="675727A9" w14:textId="77777777" w:rsidR="00D45F71" w:rsidRPr="004B6F12" w:rsidRDefault="00D45F71" w:rsidP="00D45F71">
      <w:pPr>
        <w:pStyle w:val="a9"/>
        <w:rPr>
          <w:rFonts w:eastAsia="Times New Roman"/>
          <w:color w:val="000000"/>
          <w:sz w:val="20"/>
          <w:szCs w:val="20"/>
          <w:rtl/>
        </w:rPr>
      </w:pPr>
    </w:p>
    <w:p w14:paraId="159972B0" w14:textId="77777777" w:rsidR="00D45F71" w:rsidRDefault="00D45F71" w:rsidP="00D45F71">
      <w:pPr>
        <w:pStyle w:val="a9"/>
        <w:numPr>
          <w:ilvl w:val="0"/>
          <w:numId w:val="1"/>
        </w:numPr>
        <w:spacing w:after="240" w:line="360" w:lineRule="auto"/>
        <w:ind w:left="84" w:hanging="69"/>
        <w:jc w:val="both"/>
        <w:rPr>
          <w:color w:val="000000"/>
        </w:rPr>
      </w:pPr>
      <w:r w:rsidRPr="002F4B4F">
        <w:rPr>
          <w:rFonts w:eastAsia="Times New Roman" w:hint="cs"/>
          <w:color w:val="000000"/>
          <w:rtl/>
        </w:rPr>
        <w:t xml:space="preserve">אשר לעבירות הרכוש בביצוען הורשע הנאשם </w:t>
      </w:r>
      <w:r w:rsidRPr="006D4750">
        <w:rPr>
          <w:rFonts w:eastAsia="Times New Roman" w:hint="cs"/>
          <w:b/>
          <w:bCs/>
          <w:color w:val="000000"/>
          <w:rtl/>
        </w:rPr>
        <w:t>ב</w:t>
      </w:r>
      <w:hyperlink r:id="rId32" w:history="1">
        <w:r w:rsidR="007A6FD3" w:rsidRPr="007A6FD3">
          <w:rPr>
            <w:rFonts w:eastAsia="Times New Roman"/>
            <w:b/>
            <w:bCs/>
            <w:color w:val="0000FF"/>
            <w:u w:val="single"/>
            <w:rtl/>
          </w:rPr>
          <w:t>ת"פ 60884-05-17</w:t>
        </w:r>
      </w:hyperlink>
      <w:r>
        <w:rPr>
          <w:rFonts w:hint="cs"/>
          <w:color w:val="000000"/>
          <w:rtl/>
        </w:rPr>
        <w:t>,</w:t>
      </w:r>
      <w:r w:rsidRPr="002F4B4F">
        <w:rPr>
          <w:rFonts w:hint="cs"/>
          <w:color w:val="000000"/>
          <w:rtl/>
        </w:rPr>
        <w:t xml:space="preserve"> </w:t>
      </w:r>
      <w:r w:rsidRPr="002F4B4F">
        <w:rPr>
          <w:rFonts w:eastAsia="Times New Roman"/>
          <w:color w:val="000000"/>
          <w:rtl/>
        </w:rPr>
        <w:t xml:space="preserve">המדובר בנסיבות שאינן מדגימות מידת פגיעה גבוהה בערכים המוגנים. הנאשם </w:t>
      </w:r>
      <w:r>
        <w:rPr>
          <w:rFonts w:eastAsia="Times New Roman" w:hint="cs"/>
          <w:color w:val="000000"/>
          <w:rtl/>
        </w:rPr>
        <w:t>גנב</w:t>
      </w:r>
      <w:r w:rsidRPr="002F4B4F">
        <w:rPr>
          <w:rFonts w:eastAsia="Times New Roman"/>
          <w:color w:val="000000"/>
          <w:rtl/>
        </w:rPr>
        <w:t xml:space="preserve"> סוללה של האופניים </w:t>
      </w:r>
      <w:r>
        <w:rPr>
          <w:rFonts w:eastAsia="Times New Roman"/>
          <w:color w:val="000000"/>
          <w:rtl/>
        </w:rPr>
        <w:t>חשמליים</w:t>
      </w:r>
      <w:r>
        <w:rPr>
          <w:rFonts w:eastAsia="Times New Roman" w:hint="cs"/>
          <w:color w:val="000000"/>
          <w:rtl/>
        </w:rPr>
        <w:t xml:space="preserve">, </w:t>
      </w:r>
      <w:r w:rsidRPr="002F4B4F">
        <w:rPr>
          <w:rFonts w:eastAsia="Times New Roman"/>
          <w:color w:val="000000"/>
          <w:rtl/>
        </w:rPr>
        <w:t>אך בעת שהחל חברו של יהושע לצעוק לעברו</w:t>
      </w:r>
      <w:r>
        <w:rPr>
          <w:rFonts w:eastAsia="Times New Roman" w:hint="cs"/>
          <w:color w:val="000000"/>
          <w:rtl/>
        </w:rPr>
        <w:t>,</w:t>
      </w:r>
      <w:r w:rsidRPr="002F4B4F">
        <w:rPr>
          <w:rFonts w:eastAsia="Times New Roman"/>
          <w:color w:val="000000"/>
          <w:rtl/>
        </w:rPr>
        <w:t xml:space="preserve"> וכשהשוטרים שהיו בקרבת מקום החלו לדלוק אח</w:t>
      </w:r>
      <w:r w:rsidRPr="002F4B4F">
        <w:rPr>
          <w:rFonts w:eastAsia="Times New Roman" w:hint="cs"/>
          <w:color w:val="000000"/>
          <w:rtl/>
        </w:rPr>
        <w:t>ר</w:t>
      </w:r>
      <w:r w:rsidRPr="002F4B4F">
        <w:rPr>
          <w:rFonts w:eastAsia="Times New Roman"/>
          <w:color w:val="000000"/>
          <w:rtl/>
        </w:rPr>
        <w:t>יו</w:t>
      </w:r>
      <w:r>
        <w:rPr>
          <w:rFonts w:eastAsia="Times New Roman" w:hint="cs"/>
          <w:color w:val="000000"/>
          <w:rtl/>
        </w:rPr>
        <w:t>,</w:t>
      </w:r>
      <w:r w:rsidRPr="002F4B4F">
        <w:rPr>
          <w:rFonts w:eastAsia="Times New Roman"/>
          <w:color w:val="000000"/>
          <w:rtl/>
        </w:rPr>
        <w:t xml:space="preserve"> השליך את הסוללה והיא הושב</w:t>
      </w:r>
      <w:r w:rsidRPr="002F4B4F">
        <w:rPr>
          <w:rFonts w:eastAsia="Times New Roman" w:hint="cs"/>
          <w:color w:val="000000"/>
          <w:rtl/>
        </w:rPr>
        <w:t>ה</w:t>
      </w:r>
      <w:r w:rsidRPr="002F4B4F">
        <w:rPr>
          <w:rFonts w:eastAsia="Times New Roman"/>
          <w:color w:val="000000"/>
          <w:rtl/>
        </w:rPr>
        <w:t xml:space="preserve"> ליהושע. </w:t>
      </w:r>
      <w:r>
        <w:rPr>
          <w:rFonts w:eastAsia="Times New Roman" w:hint="cs"/>
          <w:color w:val="000000"/>
          <w:rtl/>
        </w:rPr>
        <w:t xml:space="preserve">הגם שלצד המעשה </w:t>
      </w:r>
      <w:r w:rsidRPr="002F4B4F">
        <w:rPr>
          <w:rFonts w:eastAsia="Times New Roman"/>
          <w:color w:val="000000"/>
          <w:rtl/>
        </w:rPr>
        <w:t>פוטנציאל נזק קנייני ואישי</w:t>
      </w:r>
      <w:r>
        <w:rPr>
          <w:rFonts w:eastAsia="Times New Roman" w:hint="cs"/>
          <w:color w:val="000000"/>
          <w:rtl/>
        </w:rPr>
        <w:t xml:space="preserve">, כמו גם מביצוע העבירה ביחס לקורקינט, </w:t>
      </w:r>
      <w:r w:rsidRPr="002F4B4F">
        <w:rPr>
          <w:rFonts w:eastAsia="Times New Roman"/>
          <w:color w:val="000000"/>
          <w:rtl/>
        </w:rPr>
        <w:t xml:space="preserve">במקרה זה </w:t>
      </w:r>
      <w:r>
        <w:rPr>
          <w:rFonts w:eastAsia="Times New Roman" w:hint="cs"/>
          <w:color w:val="000000"/>
          <w:rtl/>
        </w:rPr>
        <w:t>לא נגרם נזק בפועל</w:t>
      </w:r>
      <w:r w:rsidRPr="002F4B4F">
        <w:rPr>
          <w:rFonts w:eastAsia="Times New Roman"/>
          <w:color w:val="000000"/>
          <w:rtl/>
        </w:rPr>
        <w:t xml:space="preserve">. בנוסף, </w:t>
      </w:r>
      <w:r>
        <w:rPr>
          <w:rFonts w:eastAsia="Times New Roman" w:hint="cs"/>
          <w:color w:val="000000"/>
          <w:rtl/>
        </w:rPr>
        <w:t>למרות</w:t>
      </w:r>
      <w:r w:rsidRPr="002F4B4F">
        <w:rPr>
          <w:rFonts w:eastAsia="Times New Roman"/>
          <w:color w:val="000000"/>
          <w:rtl/>
        </w:rPr>
        <w:t xml:space="preserve"> פוטנציאל </w:t>
      </w:r>
      <w:r>
        <w:rPr>
          <w:rFonts w:eastAsia="Times New Roman" w:hint="cs"/>
          <w:color w:val="000000"/>
          <w:rtl/>
        </w:rPr>
        <w:t>ה</w:t>
      </w:r>
      <w:r w:rsidRPr="002F4B4F">
        <w:rPr>
          <w:rFonts w:eastAsia="Times New Roman"/>
          <w:color w:val="000000"/>
          <w:rtl/>
        </w:rPr>
        <w:t>התלקחות לצד העבירה, הלכה למעשה</w:t>
      </w:r>
      <w:r>
        <w:rPr>
          <w:rFonts w:eastAsia="Times New Roman" w:hint="cs"/>
          <w:color w:val="000000"/>
          <w:rtl/>
        </w:rPr>
        <w:t>, הנאשם</w:t>
      </w:r>
      <w:r w:rsidRPr="002F4B4F">
        <w:rPr>
          <w:rFonts w:eastAsia="Times New Roman"/>
          <w:color w:val="000000"/>
          <w:rtl/>
        </w:rPr>
        <w:t xml:space="preserve"> לא התעמת עם יהושע </w:t>
      </w:r>
      <w:r>
        <w:rPr>
          <w:rFonts w:eastAsia="Times New Roman" w:hint="cs"/>
          <w:color w:val="000000"/>
          <w:rtl/>
        </w:rPr>
        <w:t xml:space="preserve">ועם </w:t>
      </w:r>
      <w:r w:rsidRPr="002F4B4F">
        <w:rPr>
          <w:rFonts w:eastAsia="Times New Roman"/>
          <w:color w:val="000000"/>
          <w:rtl/>
        </w:rPr>
        <w:t xml:space="preserve">השוטרים </w:t>
      </w:r>
      <w:r>
        <w:rPr>
          <w:rFonts w:eastAsia="Times New Roman" w:hint="cs"/>
          <w:color w:val="000000"/>
          <w:rtl/>
        </w:rPr>
        <w:t>ו</w:t>
      </w:r>
      <w:r w:rsidRPr="002F4B4F">
        <w:rPr>
          <w:rFonts w:eastAsia="Times New Roman"/>
          <w:color w:val="000000"/>
          <w:rtl/>
        </w:rPr>
        <w:t>נראה כי גניבת הסוללה על ידו הייתה ספונטנית, תוך "זיהוי הזדמנות", ללא תחכום או תכנון</w:t>
      </w:r>
      <w:r w:rsidRPr="002F4B4F">
        <w:rPr>
          <w:rFonts w:eastAsia="Times New Roman" w:hint="cs"/>
          <w:color w:val="000000"/>
          <w:rtl/>
        </w:rPr>
        <w:t>.</w:t>
      </w:r>
      <w:r>
        <w:rPr>
          <w:rFonts w:hint="cs"/>
          <w:color w:val="000000"/>
          <w:rtl/>
        </w:rPr>
        <w:t xml:space="preserve"> בעת ביצוע עבירות אלה היה הנאשם בן 22.</w:t>
      </w:r>
    </w:p>
    <w:p w14:paraId="3AD179D1" w14:textId="77777777" w:rsidR="00D45F71" w:rsidRPr="0095032D" w:rsidRDefault="00D45F71" w:rsidP="00D45F71">
      <w:pPr>
        <w:pStyle w:val="a9"/>
        <w:rPr>
          <w:rFonts w:eastAsia="Times New Roman"/>
          <w:color w:val="000000"/>
          <w:sz w:val="20"/>
          <w:szCs w:val="20"/>
          <w:rtl/>
        </w:rPr>
      </w:pPr>
    </w:p>
    <w:p w14:paraId="113B2364" w14:textId="77777777" w:rsidR="00D45F71" w:rsidRDefault="00D45F71" w:rsidP="00D45F71">
      <w:pPr>
        <w:pStyle w:val="a9"/>
        <w:numPr>
          <w:ilvl w:val="0"/>
          <w:numId w:val="1"/>
        </w:numPr>
        <w:spacing w:after="240" w:line="360" w:lineRule="auto"/>
        <w:ind w:left="84" w:hanging="69"/>
        <w:jc w:val="both"/>
        <w:rPr>
          <w:color w:val="000000"/>
        </w:rPr>
      </w:pPr>
      <w:r>
        <w:rPr>
          <w:rFonts w:eastAsia="Times New Roman" w:hint="cs"/>
          <w:color w:val="000000"/>
          <w:rtl/>
        </w:rPr>
        <w:t xml:space="preserve">אשר </w:t>
      </w:r>
      <w:r w:rsidRPr="006D4750">
        <w:rPr>
          <w:rFonts w:eastAsia="Times New Roman" w:hint="cs"/>
          <w:b/>
          <w:bCs/>
          <w:color w:val="000000"/>
          <w:rtl/>
        </w:rPr>
        <w:t>ל</w:t>
      </w:r>
      <w:hyperlink r:id="rId33" w:history="1">
        <w:r w:rsidR="007A6FD3" w:rsidRPr="007A6FD3">
          <w:rPr>
            <w:rFonts w:eastAsia="Times New Roman"/>
            <w:b/>
            <w:bCs/>
            <w:color w:val="0000FF"/>
            <w:u w:val="single"/>
            <w:rtl/>
          </w:rPr>
          <w:t>ת"פ 48151-04-17</w:t>
        </w:r>
      </w:hyperlink>
      <w:r>
        <w:rPr>
          <w:rFonts w:eastAsia="Times New Roman" w:hint="cs"/>
          <w:color w:val="000000"/>
          <w:rtl/>
        </w:rPr>
        <w:t xml:space="preserve">, </w:t>
      </w:r>
      <w:r w:rsidRPr="0095032D">
        <w:rPr>
          <w:rFonts w:eastAsia="Times New Roman" w:hint="cs"/>
          <w:color w:val="000000"/>
          <w:rtl/>
        </w:rPr>
        <w:t xml:space="preserve">בכל הנוגע לעבירת התיווך בסם, </w:t>
      </w:r>
      <w:r>
        <w:rPr>
          <w:rFonts w:hint="cs"/>
          <w:color w:val="000000"/>
          <w:rtl/>
        </w:rPr>
        <w:t>לצד</w:t>
      </w:r>
      <w:r w:rsidRPr="0095032D">
        <w:rPr>
          <w:rFonts w:hint="cs"/>
          <w:color w:val="000000"/>
          <w:rtl/>
        </w:rPr>
        <w:t xml:space="preserve"> </w:t>
      </w:r>
      <w:r>
        <w:rPr>
          <w:rFonts w:hint="cs"/>
          <w:color w:val="000000"/>
          <w:rtl/>
        </w:rPr>
        <w:t>ה</w:t>
      </w:r>
      <w:r w:rsidRPr="0095032D">
        <w:rPr>
          <w:color w:val="000000"/>
          <w:rtl/>
        </w:rPr>
        <w:t>חומרה האינהרנטית בעבירות הקשורות להפצת סם</w:t>
      </w:r>
      <w:r w:rsidRPr="0095032D">
        <w:rPr>
          <w:rFonts w:hint="cs"/>
          <w:color w:val="000000"/>
          <w:rtl/>
        </w:rPr>
        <w:t xml:space="preserve"> כאמור,</w:t>
      </w:r>
      <w:r>
        <w:rPr>
          <w:rFonts w:hint="cs"/>
          <w:color w:val="000000"/>
          <w:rtl/>
        </w:rPr>
        <w:t xml:space="preserve"> כש</w:t>
      </w:r>
      <w:r w:rsidRPr="0095032D">
        <w:rPr>
          <w:rFonts w:hint="cs"/>
          <w:color w:val="000000"/>
          <w:rtl/>
        </w:rPr>
        <w:t>הנאשם התנהל באופן אקטיבי מול השוטרים ו</w:t>
      </w:r>
      <w:r w:rsidRPr="0095032D">
        <w:rPr>
          <w:color w:val="000000"/>
          <w:rtl/>
        </w:rPr>
        <w:t xml:space="preserve">אף נכח </w:t>
      </w:r>
      <w:r w:rsidRPr="0095032D">
        <w:rPr>
          <w:rFonts w:hint="cs"/>
          <w:color w:val="000000"/>
          <w:rtl/>
        </w:rPr>
        <w:t xml:space="preserve">בעת מכירת הסם, </w:t>
      </w:r>
      <w:r w:rsidRPr="0095032D">
        <w:rPr>
          <w:color w:val="000000"/>
          <w:rtl/>
        </w:rPr>
        <w:t xml:space="preserve"> </w:t>
      </w:r>
      <w:r>
        <w:rPr>
          <w:rFonts w:hint="cs"/>
          <w:color w:val="000000"/>
          <w:rtl/>
        </w:rPr>
        <w:t>נתתי דעתי גם לכך</w:t>
      </w:r>
      <w:r w:rsidRPr="0095032D">
        <w:rPr>
          <w:color w:val="000000"/>
          <w:rtl/>
        </w:rPr>
        <w:t xml:space="preserve"> </w:t>
      </w:r>
      <w:r>
        <w:rPr>
          <w:rFonts w:hint="cs"/>
          <w:color w:val="000000"/>
          <w:rtl/>
        </w:rPr>
        <w:t>ש</w:t>
      </w:r>
      <w:r w:rsidRPr="0095032D">
        <w:rPr>
          <w:color w:val="000000"/>
          <w:rtl/>
        </w:rPr>
        <w:t>המדובר ב</w:t>
      </w:r>
      <w:r w:rsidRPr="0095032D">
        <w:rPr>
          <w:rFonts w:hint="cs"/>
          <w:color w:val="000000"/>
          <w:rtl/>
        </w:rPr>
        <w:t>תיווך ב</w:t>
      </w:r>
      <w:r w:rsidRPr="0095032D">
        <w:rPr>
          <w:color w:val="000000"/>
          <w:rtl/>
        </w:rPr>
        <w:t xml:space="preserve">סם מסוג חשיש, </w:t>
      </w:r>
      <w:r>
        <w:rPr>
          <w:rFonts w:hint="cs"/>
          <w:color w:val="000000"/>
          <w:rtl/>
        </w:rPr>
        <w:t>ול</w:t>
      </w:r>
      <w:r w:rsidRPr="0095032D">
        <w:rPr>
          <w:color w:val="000000"/>
          <w:rtl/>
        </w:rPr>
        <w:t xml:space="preserve">משקל </w:t>
      </w:r>
      <w:r>
        <w:rPr>
          <w:rFonts w:hint="cs"/>
          <w:color w:val="000000"/>
          <w:rtl/>
        </w:rPr>
        <w:t>ה</w:t>
      </w:r>
      <w:r w:rsidRPr="0095032D">
        <w:rPr>
          <w:color w:val="000000"/>
          <w:rtl/>
        </w:rPr>
        <w:t xml:space="preserve">נמוך </w:t>
      </w:r>
      <w:r>
        <w:rPr>
          <w:rFonts w:hint="cs"/>
          <w:color w:val="000000"/>
          <w:rtl/>
        </w:rPr>
        <w:t xml:space="preserve">יחסית </w:t>
      </w:r>
      <w:r w:rsidRPr="0095032D">
        <w:rPr>
          <w:color w:val="000000"/>
          <w:rtl/>
        </w:rPr>
        <w:t>של כ-2.5 גרם תמורת סכום של 200 ₪</w:t>
      </w:r>
      <w:r w:rsidRPr="0095032D">
        <w:rPr>
          <w:rFonts w:hint="cs"/>
          <w:color w:val="000000"/>
          <w:rtl/>
        </w:rPr>
        <w:t>. בנוסף, משהתיווך והמכירה היו מול שוטרים, נזק בפועל לא נגרם</w:t>
      </w:r>
      <w:r w:rsidRPr="0095032D">
        <w:rPr>
          <w:color w:val="000000"/>
          <w:rtl/>
        </w:rPr>
        <w:t xml:space="preserve">. </w:t>
      </w:r>
      <w:r>
        <w:rPr>
          <w:rFonts w:hint="cs"/>
          <w:color w:val="000000"/>
          <w:rtl/>
        </w:rPr>
        <w:t>בעת בחינת הנסיבות יש לתת משקל גם לגילו של הנאשם בעת ביצוע העבירות, בן 22, ולכך ש</w:t>
      </w:r>
      <w:r w:rsidRPr="0095032D">
        <w:rPr>
          <w:rFonts w:hint="cs"/>
          <w:color w:val="000000"/>
          <w:rtl/>
        </w:rPr>
        <w:t xml:space="preserve">בעת התיווך </w:t>
      </w:r>
      <w:r>
        <w:rPr>
          <w:rFonts w:hint="cs"/>
          <w:color w:val="000000"/>
          <w:rtl/>
        </w:rPr>
        <w:t xml:space="preserve">בסם </w:t>
      </w:r>
      <w:r w:rsidRPr="0095032D">
        <w:rPr>
          <w:rFonts w:hint="cs"/>
          <w:color w:val="000000"/>
          <w:rtl/>
        </w:rPr>
        <w:t xml:space="preserve">החזיק </w:t>
      </w:r>
      <w:r>
        <w:rPr>
          <w:rFonts w:hint="cs"/>
          <w:color w:val="000000"/>
          <w:rtl/>
        </w:rPr>
        <w:t xml:space="preserve">גם </w:t>
      </w:r>
      <w:r w:rsidRPr="0095032D">
        <w:rPr>
          <w:rFonts w:hint="cs"/>
          <w:color w:val="000000"/>
          <w:rtl/>
        </w:rPr>
        <w:t xml:space="preserve">באופניים </w:t>
      </w:r>
      <w:r>
        <w:rPr>
          <w:rFonts w:hint="cs"/>
          <w:color w:val="000000"/>
          <w:rtl/>
        </w:rPr>
        <w:t>ה</w:t>
      </w:r>
      <w:r w:rsidRPr="0095032D">
        <w:rPr>
          <w:rFonts w:hint="cs"/>
          <w:color w:val="000000"/>
          <w:rtl/>
        </w:rPr>
        <w:t>חשודים כגנובים.</w:t>
      </w:r>
      <w:r w:rsidRPr="0095032D">
        <w:rPr>
          <w:color w:val="000000"/>
          <w:rtl/>
        </w:rPr>
        <w:t xml:space="preserve"> </w:t>
      </w:r>
    </w:p>
    <w:p w14:paraId="24C96C5A" w14:textId="77777777" w:rsidR="00D45F71" w:rsidRPr="0095032D" w:rsidRDefault="00D45F71" w:rsidP="00D45F71">
      <w:pPr>
        <w:pStyle w:val="a9"/>
        <w:rPr>
          <w:sz w:val="20"/>
          <w:szCs w:val="20"/>
          <w:rtl/>
        </w:rPr>
      </w:pPr>
    </w:p>
    <w:p w14:paraId="5E4E74F0" w14:textId="77777777" w:rsidR="00D45F71" w:rsidRPr="0095032D" w:rsidRDefault="00D45F71" w:rsidP="00D45F71">
      <w:pPr>
        <w:pStyle w:val="a9"/>
        <w:numPr>
          <w:ilvl w:val="0"/>
          <w:numId w:val="1"/>
        </w:numPr>
        <w:spacing w:after="240" w:line="360" w:lineRule="auto"/>
        <w:ind w:left="84" w:hanging="69"/>
        <w:jc w:val="both"/>
        <w:rPr>
          <w:color w:val="000000"/>
          <w:rtl/>
        </w:rPr>
      </w:pPr>
      <w:r w:rsidRPr="001521C6">
        <w:rPr>
          <w:rtl/>
        </w:rPr>
        <w:t xml:space="preserve">אשר </w:t>
      </w:r>
      <w:r w:rsidRPr="0095032D">
        <w:rPr>
          <w:b/>
          <w:bCs/>
          <w:rtl/>
        </w:rPr>
        <w:t>לענישה הנוהגת</w:t>
      </w:r>
      <w:r>
        <w:rPr>
          <w:rFonts w:hint="cs"/>
          <w:rtl/>
        </w:rPr>
        <w:t>, בחינתה ב</w:t>
      </w:r>
      <w:r w:rsidRPr="001521C6">
        <w:rPr>
          <w:rtl/>
        </w:rPr>
        <w:t>עבירות של גניבה לצד הסגת גבול</w:t>
      </w:r>
      <w:r>
        <w:rPr>
          <w:rFonts w:hint="cs"/>
          <w:rtl/>
        </w:rPr>
        <w:t xml:space="preserve"> מלמדת </w:t>
      </w:r>
      <w:r w:rsidRPr="001521C6">
        <w:rPr>
          <w:rtl/>
        </w:rPr>
        <w:t xml:space="preserve">כי במקרים דומים הוטלו על נאשמים עונשים במנעד רחב, בהתאם לנסיבות המקרה ולנסיבותיו האישיות של הנאשם, לרבות גילו ועברו הפלילי. </w:t>
      </w:r>
      <w:r>
        <w:rPr>
          <w:rFonts w:hint="cs"/>
          <w:rtl/>
        </w:rPr>
        <w:t>מתחמי הענישה בגין כל אירוע גניבה לצד הסגת גבול, נקבעים בדרך כלל כשבתחתיתם עונש של מאסר קצר, ולצד זאת קיימים מקרים בהם נקבעת תחתיתם על מאסר על תנאי. ביחס לעבירת גניבה, גם של אופניים חשמליים ולא רק סוללה, נקבע פעמים רבות עונש של מאסר על תנאי בתחתית מתחם הענישה. ראו והשוו</w:t>
      </w:r>
      <w:r w:rsidRPr="001521C6">
        <w:rPr>
          <w:rtl/>
        </w:rPr>
        <w:t>:</w:t>
      </w:r>
    </w:p>
    <w:p w14:paraId="02E8F687" w14:textId="77777777" w:rsidR="00D45F71" w:rsidRPr="009D4455" w:rsidRDefault="00D45F71" w:rsidP="00D45F71">
      <w:pPr>
        <w:pStyle w:val="a9"/>
        <w:ind w:left="4"/>
        <w:jc w:val="both"/>
        <w:rPr>
          <w:sz w:val="20"/>
          <w:szCs w:val="20"/>
        </w:rPr>
      </w:pPr>
    </w:p>
    <w:p w14:paraId="3E465CA1" w14:textId="77777777" w:rsidR="00D45F71" w:rsidRDefault="007A6FD3" w:rsidP="00D45F71">
      <w:pPr>
        <w:pStyle w:val="a9"/>
        <w:numPr>
          <w:ilvl w:val="0"/>
          <w:numId w:val="2"/>
        </w:numPr>
        <w:spacing w:after="240" w:line="360" w:lineRule="auto"/>
        <w:jc w:val="both"/>
      </w:pPr>
      <w:hyperlink r:id="rId34" w:history="1">
        <w:r w:rsidRPr="007A6FD3">
          <w:rPr>
            <w:color w:val="0000FF"/>
            <w:u w:val="single"/>
            <w:rtl/>
          </w:rPr>
          <w:t>רע"פ 9043/14</w:t>
        </w:r>
      </w:hyperlink>
      <w:r w:rsidR="00D45F71" w:rsidRPr="001521C6">
        <w:rPr>
          <w:rtl/>
        </w:rPr>
        <w:t xml:space="preserve"> </w:t>
      </w:r>
      <w:r w:rsidR="00D45F71" w:rsidRPr="001521C6">
        <w:rPr>
          <w:b/>
          <w:bCs/>
          <w:rtl/>
        </w:rPr>
        <w:t>ברששת נ' מדינת ישראל</w:t>
      </w:r>
      <w:r w:rsidR="00D45F71" w:rsidRPr="001521C6">
        <w:rPr>
          <w:rtl/>
        </w:rPr>
        <w:t xml:space="preserve"> (18.1.2015), שם הורשע המבקש במסגר</w:t>
      </w:r>
      <w:r w:rsidR="00D45F71">
        <w:rPr>
          <w:rtl/>
        </w:rPr>
        <w:t>ת הסדר דיוני בהסגת גבול וגניבה</w:t>
      </w:r>
      <w:r w:rsidR="00D45F71">
        <w:rPr>
          <w:rFonts w:hint="cs"/>
          <w:rtl/>
        </w:rPr>
        <w:t>, ו</w:t>
      </w:r>
      <w:r w:rsidR="00D45F71" w:rsidRPr="001521C6">
        <w:rPr>
          <w:rtl/>
        </w:rPr>
        <w:t xml:space="preserve">בתיק שצורף בעבירת שבל"ר ונהיגה ללא רישיון. המבקש </w:t>
      </w:r>
      <w:r w:rsidR="00D45F71">
        <w:rPr>
          <w:rFonts w:hint="cs"/>
          <w:rtl/>
        </w:rPr>
        <w:t xml:space="preserve">ושלושה קטינים </w:t>
      </w:r>
      <w:r w:rsidR="00D45F71" w:rsidRPr="001521C6">
        <w:rPr>
          <w:rtl/>
        </w:rPr>
        <w:t>נכנס</w:t>
      </w:r>
      <w:r w:rsidR="00D45F71">
        <w:rPr>
          <w:rFonts w:hint="cs"/>
          <w:rtl/>
        </w:rPr>
        <w:t>ו</w:t>
      </w:r>
      <w:r w:rsidR="00D45F71" w:rsidRPr="001521C6">
        <w:rPr>
          <w:rtl/>
        </w:rPr>
        <w:t xml:space="preserve"> למחסן באמצעות מפתח אשר השיגו, ונטלו ממנו קרטון </w:t>
      </w:r>
      <w:r w:rsidR="00D45F71">
        <w:rPr>
          <w:rFonts w:hint="cs"/>
          <w:rtl/>
        </w:rPr>
        <w:t>ש</w:t>
      </w:r>
      <w:r w:rsidR="00D45F71" w:rsidRPr="001521C6">
        <w:rPr>
          <w:rtl/>
        </w:rPr>
        <w:t xml:space="preserve">הכיל כלי עבודה השייך לאחד מדיירי הבניין. בית משפט השלום </w:t>
      </w:r>
      <w:r w:rsidR="00D45F71">
        <w:rPr>
          <w:rFonts w:hint="cs"/>
          <w:rtl/>
        </w:rPr>
        <w:t>קבע מתחם ענישה שבין 3 ו-18 חודשי מאסר, ו</w:t>
      </w:r>
      <w:r w:rsidR="00D45F71" w:rsidRPr="001521C6">
        <w:rPr>
          <w:rtl/>
        </w:rPr>
        <w:t>גזר על המבקש 6 חודשי מאסר שירוצו בעבודות שירות לצד ענישה נלווית. ערעורו של המבקש לבית המשפט המחוזי נדחה, וכן בקשה שהגיש לרשות ערעור לבית המשפט העליון.</w:t>
      </w:r>
    </w:p>
    <w:p w14:paraId="2C5C6030" w14:textId="77777777" w:rsidR="00D45F71" w:rsidRPr="00420C55" w:rsidRDefault="007A6FD3" w:rsidP="00D45F71">
      <w:pPr>
        <w:pStyle w:val="a9"/>
        <w:numPr>
          <w:ilvl w:val="0"/>
          <w:numId w:val="2"/>
        </w:numPr>
        <w:spacing w:after="240" w:line="360" w:lineRule="auto"/>
        <w:jc w:val="both"/>
        <w:rPr>
          <w:color w:val="FF0000"/>
          <w:rtl/>
        </w:rPr>
      </w:pPr>
      <w:hyperlink r:id="rId35" w:history="1">
        <w:r w:rsidRPr="007A6FD3">
          <w:rPr>
            <w:color w:val="0000FF"/>
            <w:u w:val="single"/>
            <w:rtl/>
          </w:rPr>
          <w:t>ת"פ (ת"א) 56657-09-14</w:t>
        </w:r>
      </w:hyperlink>
      <w:r w:rsidR="00D45F71" w:rsidRPr="00364CA6">
        <w:rPr>
          <w:color w:val="000000"/>
          <w:rtl/>
        </w:rPr>
        <w:t xml:space="preserve"> </w:t>
      </w:r>
      <w:r w:rsidR="00D45F71" w:rsidRPr="00364CA6">
        <w:rPr>
          <w:b/>
          <w:bCs/>
          <w:color w:val="000000"/>
          <w:rtl/>
        </w:rPr>
        <w:t>מדינת ישראל נ' שלום לוי</w:t>
      </w:r>
      <w:r w:rsidR="00D45F71" w:rsidRPr="00364CA6">
        <w:rPr>
          <w:color w:val="000000"/>
          <w:rtl/>
        </w:rPr>
        <w:t xml:space="preserve"> (2.3.2017), שם הורשע הנאשם על יסוד הודאתו בביצוע עבירות הסגת גבול, גניבה והיזק לרכוש. הנאשם הסיג גבול והזיק לרכוש בכך ששבר את מנעולי דלתות האחסון בדוכן באמצעות מוט ברזל, ונטל מן הדוכן בשווי של כ 3000 ₪. בית המש</w:t>
      </w:r>
      <w:r w:rsidR="00D45F71">
        <w:rPr>
          <w:rFonts w:hint="cs"/>
          <w:color w:val="000000"/>
          <w:rtl/>
        </w:rPr>
        <w:t>פ</w:t>
      </w:r>
      <w:r w:rsidR="00D45F71" w:rsidRPr="00364CA6">
        <w:rPr>
          <w:color w:val="000000"/>
          <w:rtl/>
        </w:rPr>
        <w:t>ט קבע מתחם שבין מאסר לתקופה קצרה ועד מאסר למשך 8 חודשים מאסר וגזר על הנאשם 6 חודשי מאסר והפעיל מאסר מותנה בן 18 חודשי מאסר כך שסך הכל ירצה הנאשם 20 חודשי מאסר, לצד ענישה נלווית.</w:t>
      </w:r>
    </w:p>
    <w:p w14:paraId="6EE2D7CB" w14:textId="77777777" w:rsidR="00D45F71" w:rsidRPr="001521C6" w:rsidRDefault="007A6FD3" w:rsidP="00D45F71">
      <w:pPr>
        <w:pStyle w:val="a9"/>
        <w:numPr>
          <w:ilvl w:val="0"/>
          <w:numId w:val="2"/>
        </w:numPr>
        <w:spacing w:line="360" w:lineRule="auto"/>
        <w:jc w:val="both"/>
        <w:rPr>
          <w:rtl/>
        </w:rPr>
      </w:pPr>
      <w:hyperlink r:id="rId36" w:history="1">
        <w:r w:rsidRPr="007A6FD3">
          <w:rPr>
            <w:color w:val="0000FF"/>
            <w:u w:val="single"/>
            <w:rtl/>
          </w:rPr>
          <w:t>ת"פ (קריות) 32482-12-15</w:t>
        </w:r>
      </w:hyperlink>
      <w:r w:rsidR="00D45F71" w:rsidRPr="001521C6">
        <w:rPr>
          <w:rtl/>
        </w:rPr>
        <w:t xml:space="preserve"> </w:t>
      </w:r>
      <w:r w:rsidR="00D45F71" w:rsidRPr="001521C6">
        <w:rPr>
          <w:b/>
          <w:bCs/>
          <w:rtl/>
        </w:rPr>
        <w:t>מדינת ישראל נגד חוג'יראת</w:t>
      </w:r>
      <w:r w:rsidR="00D45F71" w:rsidRPr="001521C6">
        <w:rPr>
          <w:rtl/>
        </w:rPr>
        <w:t xml:space="preserve"> (5.5.2016), שם הורשע נאשם לאחר שמיעת ראיות בעבירות של הסגת גבול וגניבה. הנאשם נכנס למחסן של מוסך וגנב מברגה בשווי 1,200 ₪. בית המשפט קבע מתחם ענישה הנע בין מספר חודשי מאסר אשר יכול וירוצו בעבודות שירות ובין 8 חודשי מאסר בפועל, וגזר על הנאשם 6 חודשי מאסר בפועל. בנוסף הופעלו מאסרים מותנים אשר היו תלויים ועומדים כנגד הנאשם, חלקם במצטבר וחלקם בחופף.</w:t>
      </w:r>
    </w:p>
    <w:p w14:paraId="0F7D7618" w14:textId="77777777" w:rsidR="00D45F71" w:rsidRPr="00420C55" w:rsidRDefault="007A6FD3" w:rsidP="00D45F71">
      <w:pPr>
        <w:pStyle w:val="a9"/>
        <w:numPr>
          <w:ilvl w:val="0"/>
          <w:numId w:val="2"/>
        </w:numPr>
        <w:spacing w:after="240" w:line="360" w:lineRule="auto"/>
        <w:jc w:val="both"/>
        <w:rPr>
          <w:color w:val="FF0000"/>
          <w:rtl/>
        </w:rPr>
      </w:pPr>
      <w:hyperlink r:id="rId37" w:history="1">
        <w:r w:rsidRPr="007A6FD3">
          <w:rPr>
            <w:rFonts w:eastAsia="Times New Roman"/>
            <w:color w:val="0000FF"/>
            <w:u w:val="single"/>
            <w:rtl/>
          </w:rPr>
          <w:t>ת"פ (ת"א) 1935-11-18</w:t>
        </w:r>
      </w:hyperlink>
      <w:r>
        <w:rPr>
          <w:rFonts w:eastAsia="Times New Roman"/>
          <w:color w:val="000000"/>
          <w:rtl/>
        </w:rPr>
        <w:t xml:space="preserve"> </w:t>
      </w:r>
      <w:r w:rsidR="00D45F71" w:rsidRPr="001521C6">
        <w:rPr>
          <w:rFonts w:eastAsia="Times New Roman"/>
          <w:b/>
          <w:bCs/>
          <w:color w:val="000000"/>
          <w:rtl/>
        </w:rPr>
        <w:t>מדינת ישראל נ' אל עביד</w:t>
      </w:r>
      <w:r>
        <w:rPr>
          <w:rFonts w:eastAsia="Times New Roman"/>
          <w:color w:val="000000"/>
          <w:rtl/>
        </w:rPr>
        <w:t xml:space="preserve"> </w:t>
      </w:r>
      <w:r w:rsidR="00D45F71" w:rsidRPr="001521C6">
        <w:rPr>
          <w:rFonts w:eastAsia="Times New Roman"/>
          <w:color w:val="000000"/>
          <w:rtl/>
        </w:rPr>
        <w:t>(15.9.2019), שם הורשע הנאשם על יסוד הודאתו בעבירת גניבה לאחר שגנב אופניים חשמליים. בית המשפט קבע מתחם שבין מאסר על תנאי ועד 8 חודשי מאסר, וגזר על הנאשם 50 ימי מאסר, לצד מאסר מותנה ופיצוי.</w:t>
      </w:r>
    </w:p>
    <w:p w14:paraId="5B282732" w14:textId="77777777" w:rsidR="00D45F71" w:rsidRPr="00B37ACF" w:rsidRDefault="007A6FD3" w:rsidP="00D45F71">
      <w:pPr>
        <w:pStyle w:val="a9"/>
        <w:numPr>
          <w:ilvl w:val="0"/>
          <w:numId w:val="2"/>
        </w:numPr>
        <w:spacing w:after="240" w:line="360" w:lineRule="auto"/>
        <w:jc w:val="both"/>
        <w:rPr>
          <w:color w:val="FF0000"/>
        </w:rPr>
      </w:pPr>
      <w:hyperlink r:id="rId38" w:history="1">
        <w:r w:rsidRPr="007A6FD3">
          <w:rPr>
            <w:rFonts w:eastAsia="Times New Roman"/>
            <w:color w:val="0000FF"/>
            <w:u w:val="single"/>
            <w:rtl/>
          </w:rPr>
          <w:t>ת"פ (ת"א) 10925-10-18</w:t>
        </w:r>
      </w:hyperlink>
      <w:r>
        <w:rPr>
          <w:rFonts w:eastAsia="Times New Roman"/>
          <w:color w:val="000000"/>
          <w:rtl/>
        </w:rPr>
        <w:t xml:space="preserve"> </w:t>
      </w:r>
      <w:r w:rsidR="00D45F71" w:rsidRPr="001521C6">
        <w:rPr>
          <w:rFonts w:eastAsia="Times New Roman"/>
          <w:b/>
          <w:bCs/>
          <w:color w:val="000000"/>
          <w:rtl/>
        </w:rPr>
        <w:t>מדינת ישראל נ' סוקולוב</w:t>
      </w:r>
      <w:r>
        <w:rPr>
          <w:rFonts w:eastAsia="Times New Roman"/>
          <w:color w:val="000000"/>
          <w:rtl/>
        </w:rPr>
        <w:t xml:space="preserve"> </w:t>
      </w:r>
      <w:r w:rsidR="00D45F71" w:rsidRPr="001521C6">
        <w:rPr>
          <w:rFonts w:eastAsia="Times New Roman"/>
          <w:color w:val="000000"/>
          <w:rtl/>
        </w:rPr>
        <w:t>(13.6.</w:t>
      </w:r>
      <w:r w:rsidR="00D45F71">
        <w:rPr>
          <w:rFonts w:eastAsia="Times New Roman"/>
          <w:color w:val="000000"/>
          <w:rtl/>
        </w:rPr>
        <w:t>2019), שם צירף הנאשם מספר תיקים</w:t>
      </w:r>
      <w:r w:rsidR="00D45F71">
        <w:rPr>
          <w:rFonts w:eastAsia="Times New Roman" w:hint="cs"/>
          <w:color w:val="000000"/>
          <w:rtl/>
        </w:rPr>
        <w:t xml:space="preserve">, </w:t>
      </w:r>
      <w:r w:rsidR="00D45F71" w:rsidRPr="001521C6">
        <w:rPr>
          <w:rFonts w:eastAsia="Times New Roman"/>
          <w:color w:val="000000"/>
          <w:rtl/>
        </w:rPr>
        <w:t>כך שהורשע על יסוד הודאתו בשורה של עבירות רכוש (אופניים ואופניים חשמליים), הסגת גבול פלילית והחזקת מכשירי פריצה.</w:t>
      </w:r>
      <w:r>
        <w:rPr>
          <w:rFonts w:eastAsia="Times New Roman"/>
          <w:color w:val="000000"/>
          <w:rtl/>
        </w:rPr>
        <w:t xml:space="preserve"> </w:t>
      </w:r>
      <w:r w:rsidR="00D45F71" w:rsidRPr="001521C6">
        <w:rPr>
          <w:rFonts w:eastAsia="Times New Roman"/>
          <w:color w:val="000000"/>
          <w:rtl/>
        </w:rPr>
        <w:t xml:space="preserve"> בית המשפט קבע מתחם בגין כל אירוע בין מאסר על תנאי לצד ענישה נלווית ועד 12 חודשי מאסר, וגזר על הנאשם עונש כולל של 10 חודשי מאסר ומאסר מותנה. בנוסף, הפעיל בית המשפט מאסר מותנה כך שסך הכל נקבע כי הנאשם ירצה 12 חודשי מאסר.</w:t>
      </w:r>
    </w:p>
    <w:p w14:paraId="2E749703" w14:textId="77777777" w:rsidR="00D45F71" w:rsidRPr="00B37ACF" w:rsidRDefault="00D45F71" w:rsidP="00D45F71">
      <w:pPr>
        <w:pStyle w:val="a9"/>
        <w:spacing w:after="240" w:line="360" w:lineRule="auto"/>
        <w:jc w:val="both"/>
        <w:rPr>
          <w:color w:val="FF0000"/>
          <w:sz w:val="20"/>
          <w:szCs w:val="20"/>
          <w:rtl/>
        </w:rPr>
      </w:pPr>
    </w:p>
    <w:p w14:paraId="49D20C81" w14:textId="77777777" w:rsidR="00D45F71" w:rsidRPr="003F7D2A" w:rsidRDefault="00D45F71" w:rsidP="00D45F71">
      <w:pPr>
        <w:pStyle w:val="a9"/>
        <w:numPr>
          <w:ilvl w:val="0"/>
          <w:numId w:val="1"/>
        </w:numPr>
        <w:spacing w:line="360" w:lineRule="auto"/>
        <w:ind w:left="-57" w:firstLine="74"/>
        <w:jc w:val="both"/>
        <w:rPr>
          <w:color w:val="FF0000"/>
        </w:rPr>
      </w:pPr>
      <w:r>
        <w:rPr>
          <w:rFonts w:hint="cs"/>
          <w:color w:val="000000"/>
          <w:rtl/>
        </w:rPr>
        <w:t xml:space="preserve">באשר לענישה הנוהגת בעבירה של החזקת רכוש גנוב, מתחם העונש בסוג זה של עבירה נע בין מאסר על תנאי ועד מספר חודשי מאסר בפועל (ראו והשוו: </w:t>
      </w:r>
      <w:hyperlink r:id="rId39" w:history="1">
        <w:r w:rsidR="007A6FD3" w:rsidRPr="007A6FD3">
          <w:rPr>
            <w:color w:val="0000FF"/>
            <w:u w:val="single"/>
            <w:rtl/>
          </w:rPr>
          <w:t>ת"פ (רח') 9567-10-17</w:t>
        </w:r>
      </w:hyperlink>
      <w:r w:rsidRPr="00F30EE3">
        <w:rPr>
          <w:color w:val="000000"/>
          <w:rtl/>
        </w:rPr>
        <w:t xml:space="preserve"> </w:t>
      </w:r>
      <w:r w:rsidRPr="00F30EE3">
        <w:rPr>
          <w:b/>
          <w:bCs/>
          <w:color w:val="000000"/>
          <w:rtl/>
        </w:rPr>
        <w:t>מדינת ישראל נ' עומאר אבו עדרה</w:t>
      </w:r>
      <w:r w:rsidRPr="00F30EE3">
        <w:rPr>
          <w:color w:val="000000"/>
          <w:rtl/>
        </w:rPr>
        <w:t xml:space="preserve"> (9.7.2018)</w:t>
      </w:r>
      <w:r>
        <w:rPr>
          <w:rFonts w:hint="cs"/>
          <w:color w:val="000000"/>
          <w:rtl/>
        </w:rPr>
        <w:t>).</w:t>
      </w:r>
    </w:p>
    <w:p w14:paraId="1A369678" w14:textId="77777777" w:rsidR="00D45F71" w:rsidRPr="00B76F5F" w:rsidRDefault="00D45F71" w:rsidP="00D45F71">
      <w:pPr>
        <w:ind w:left="-57"/>
        <w:jc w:val="both"/>
        <w:rPr>
          <w:color w:val="FF0000"/>
          <w:sz w:val="20"/>
          <w:szCs w:val="20"/>
        </w:rPr>
      </w:pPr>
    </w:p>
    <w:p w14:paraId="3B3738C2" w14:textId="77777777" w:rsidR="00D45F71" w:rsidRPr="001521C6" w:rsidRDefault="00D45F71" w:rsidP="00D45F71">
      <w:pPr>
        <w:pStyle w:val="a9"/>
        <w:numPr>
          <w:ilvl w:val="0"/>
          <w:numId w:val="1"/>
        </w:numPr>
        <w:spacing w:after="240" w:line="360" w:lineRule="auto"/>
        <w:ind w:left="-57" w:firstLine="74"/>
        <w:jc w:val="both"/>
        <w:rPr>
          <w:color w:val="FF0000"/>
        </w:rPr>
      </w:pPr>
      <w:r w:rsidRPr="001521C6">
        <w:rPr>
          <w:color w:val="000000"/>
          <w:rtl/>
        </w:rPr>
        <w:t>מדיניות הענישה הנוהגת בעבירה של היזק לרכוש היא בין מאסר על תנאי ועד חו</w:t>
      </w:r>
      <w:r>
        <w:rPr>
          <w:color w:val="000000"/>
          <w:rtl/>
        </w:rPr>
        <w:t>דשי מאסר ספורים</w:t>
      </w:r>
      <w:r w:rsidRPr="001521C6">
        <w:rPr>
          <w:color w:val="000000"/>
          <w:rtl/>
        </w:rPr>
        <w:t xml:space="preserve"> (ראו למשל:</w:t>
      </w:r>
      <w:r w:rsidR="007A6FD3">
        <w:rPr>
          <w:color w:val="000000"/>
          <w:rtl/>
        </w:rPr>
        <w:t xml:space="preserve"> </w:t>
      </w:r>
      <w:hyperlink r:id="rId40" w:history="1">
        <w:r w:rsidR="007A6FD3" w:rsidRPr="007A6FD3">
          <w:rPr>
            <w:rFonts w:eastAsia="Times New Roman"/>
            <w:color w:val="0000FF"/>
            <w:u w:val="single"/>
            <w:rtl/>
          </w:rPr>
          <w:t>ת"פ (ת"א) 17997-09-15</w:t>
        </w:r>
      </w:hyperlink>
      <w:r w:rsidR="007A6FD3">
        <w:rPr>
          <w:color w:val="000000"/>
          <w:rtl/>
        </w:rPr>
        <w:t xml:space="preserve"> </w:t>
      </w:r>
      <w:r w:rsidRPr="001521C6">
        <w:rPr>
          <w:b/>
          <w:bCs/>
          <w:color w:val="000000"/>
          <w:rtl/>
        </w:rPr>
        <w:t>מדינת ישראל נ' ירון</w:t>
      </w:r>
      <w:r w:rsidR="007A6FD3">
        <w:rPr>
          <w:color w:val="000000"/>
          <w:rtl/>
        </w:rPr>
        <w:t xml:space="preserve"> </w:t>
      </w:r>
      <w:r w:rsidRPr="001521C6">
        <w:rPr>
          <w:color w:val="000000"/>
          <w:rtl/>
        </w:rPr>
        <w:t>(18.3.2018),</w:t>
      </w:r>
      <w:r w:rsidR="007A6FD3">
        <w:rPr>
          <w:color w:val="000000"/>
          <w:rtl/>
        </w:rPr>
        <w:t xml:space="preserve">  </w:t>
      </w:r>
      <w:hyperlink r:id="rId41" w:history="1">
        <w:r w:rsidR="007A6FD3" w:rsidRPr="007A6FD3">
          <w:rPr>
            <w:rFonts w:eastAsia="Times New Roman"/>
            <w:color w:val="0000FF"/>
            <w:u w:val="single"/>
            <w:rtl/>
          </w:rPr>
          <w:t>ת"פ (רח') 48959-02-18</w:t>
        </w:r>
      </w:hyperlink>
      <w:r w:rsidR="007A6FD3">
        <w:rPr>
          <w:color w:val="000000"/>
          <w:rtl/>
        </w:rPr>
        <w:t xml:space="preserve"> </w:t>
      </w:r>
      <w:r w:rsidRPr="001521C6">
        <w:rPr>
          <w:b/>
          <w:bCs/>
          <w:color w:val="000000"/>
          <w:rtl/>
        </w:rPr>
        <w:t>מדינת ישראל נ' לוי</w:t>
      </w:r>
      <w:r w:rsidR="007A6FD3">
        <w:rPr>
          <w:color w:val="000000"/>
          <w:rtl/>
        </w:rPr>
        <w:t xml:space="preserve"> </w:t>
      </w:r>
      <w:r w:rsidRPr="001521C6">
        <w:rPr>
          <w:color w:val="000000"/>
          <w:rtl/>
        </w:rPr>
        <w:t>(3.7.2020),</w:t>
      </w:r>
      <w:r w:rsidR="007A6FD3">
        <w:rPr>
          <w:color w:val="000000"/>
          <w:rtl/>
        </w:rPr>
        <w:t xml:space="preserve"> </w:t>
      </w:r>
      <w:hyperlink r:id="rId42" w:history="1">
        <w:r w:rsidR="007A6FD3" w:rsidRPr="007A6FD3">
          <w:rPr>
            <w:rFonts w:eastAsia="Times New Roman"/>
            <w:color w:val="0000FF"/>
            <w:u w:val="single"/>
            <w:rtl/>
          </w:rPr>
          <w:t>ת"פ (טב') 24119-11-16</w:t>
        </w:r>
      </w:hyperlink>
      <w:r w:rsidR="007A6FD3">
        <w:rPr>
          <w:color w:val="000000"/>
          <w:rtl/>
        </w:rPr>
        <w:t xml:space="preserve"> </w:t>
      </w:r>
      <w:r w:rsidR="007A6FD3">
        <w:rPr>
          <w:b/>
          <w:bCs/>
          <w:color w:val="000000"/>
          <w:rtl/>
        </w:rPr>
        <w:t xml:space="preserve"> </w:t>
      </w:r>
      <w:r w:rsidRPr="001521C6">
        <w:rPr>
          <w:b/>
          <w:bCs/>
          <w:color w:val="000000"/>
          <w:rtl/>
        </w:rPr>
        <w:t>מדינת ישראל נ' גולדשמידט</w:t>
      </w:r>
      <w:r w:rsidR="007A6FD3">
        <w:rPr>
          <w:b/>
          <w:bCs/>
          <w:color w:val="000000"/>
          <w:rtl/>
        </w:rPr>
        <w:t xml:space="preserve"> </w:t>
      </w:r>
      <w:r w:rsidRPr="001521C6">
        <w:rPr>
          <w:color w:val="000000"/>
          <w:rtl/>
        </w:rPr>
        <w:t>(12.2.2017),</w:t>
      </w:r>
      <w:r w:rsidR="007A6FD3">
        <w:rPr>
          <w:color w:val="000000"/>
          <w:rtl/>
        </w:rPr>
        <w:t xml:space="preserve"> </w:t>
      </w:r>
      <w:hyperlink r:id="rId43" w:history="1">
        <w:r w:rsidR="007A6FD3" w:rsidRPr="007A6FD3">
          <w:rPr>
            <w:rFonts w:eastAsia="Times New Roman"/>
            <w:color w:val="0000FF"/>
            <w:u w:val="single"/>
            <w:rtl/>
          </w:rPr>
          <w:t>ת"פ (טב') 24730-11-16</w:t>
        </w:r>
      </w:hyperlink>
      <w:r w:rsidR="007A6FD3">
        <w:rPr>
          <w:color w:val="000000"/>
          <w:rtl/>
        </w:rPr>
        <w:t xml:space="preserve"> </w:t>
      </w:r>
      <w:r w:rsidRPr="001521C6">
        <w:rPr>
          <w:b/>
          <w:bCs/>
          <w:color w:val="000000"/>
          <w:rtl/>
        </w:rPr>
        <w:t>מדינת ישראל נ' אדון</w:t>
      </w:r>
      <w:r w:rsidR="007A6FD3">
        <w:rPr>
          <w:b/>
          <w:bCs/>
          <w:color w:val="000000"/>
          <w:rtl/>
        </w:rPr>
        <w:t xml:space="preserve"> </w:t>
      </w:r>
      <w:r w:rsidRPr="001521C6">
        <w:rPr>
          <w:color w:val="000000"/>
          <w:rtl/>
        </w:rPr>
        <w:t>(9.2.2017),</w:t>
      </w:r>
      <w:r w:rsidR="007A6FD3">
        <w:rPr>
          <w:color w:val="000000"/>
          <w:rtl/>
        </w:rPr>
        <w:t xml:space="preserve">  </w:t>
      </w:r>
      <w:hyperlink r:id="rId44" w:history="1">
        <w:r w:rsidR="007A6FD3" w:rsidRPr="007A6FD3">
          <w:rPr>
            <w:rFonts w:eastAsia="Times New Roman"/>
            <w:color w:val="0000FF"/>
            <w:u w:val="single"/>
            <w:rtl/>
          </w:rPr>
          <w:t>ת"פ (ראשל"צ) 50755-03-16</w:t>
        </w:r>
      </w:hyperlink>
      <w:r w:rsidR="007A6FD3">
        <w:rPr>
          <w:color w:val="000000"/>
          <w:rtl/>
        </w:rPr>
        <w:t xml:space="preserve"> </w:t>
      </w:r>
      <w:r w:rsidRPr="001521C6">
        <w:rPr>
          <w:b/>
          <w:bCs/>
          <w:color w:val="000000"/>
          <w:rtl/>
        </w:rPr>
        <w:t>מדינת ישראל נ' גריידי</w:t>
      </w:r>
      <w:r w:rsidR="007A6FD3">
        <w:rPr>
          <w:color w:val="000000"/>
          <w:rtl/>
        </w:rPr>
        <w:t xml:space="preserve"> </w:t>
      </w:r>
      <w:r w:rsidRPr="001521C6">
        <w:rPr>
          <w:color w:val="000000"/>
          <w:rtl/>
        </w:rPr>
        <w:t>(26.9.2016),</w:t>
      </w:r>
      <w:r w:rsidR="007A6FD3">
        <w:rPr>
          <w:color w:val="000000"/>
          <w:rtl/>
        </w:rPr>
        <w:t xml:space="preserve"> </w:t>
      </w:r>
      <w:hyperlink r:id="rId45" w:history="1">
        <w:r w:rsidR="007A6FD3" w:rsidRPr="007A6FD3">
          <w:rPr>
            <w:rFonts w:eastAsia="Times New Roman"/>
            <w:color w:val="0000FF"/>
            <w:u w:val="single"/>
            <w:rtl/>
          </w:rPr>
          <w:t>ת"פ (ראשל"צ) 26750-09-15</w:t>
        </w:r>
      </w:hyperlink>
      <w:r w:rsidR="007A6FD3">
        <w:rPr>
          <w:color w:val="000000"/>
          <w:rtl/>
        </w:rPr>
        <w:t xml:space="preserve"> </w:t>
      </w:r>
      <w:r w:rsidRPr="001521C6">
        <w:rPr>
          <w:b/>
          <w:bCs/>
          <w:color w:val="000000"/>
          <w:rtl/>
        </w:rPr>
        <w:t>מדינת ישראל נ' סויסה</w:t>
      </w:r>
      <w:r w:rsidR="007A6FD3">
        <w:rPr>
          <w:b/>
          <w:bCs/>
          <w:color w:val="000000"/>
          <w:rtl/>
        </w:rPr>
        <w:t xml:space="preserve"> </w:t>
      </w:r>
      <w:r w:rsidRPr="001521C6">
        <w:rPr>
          <w:color w:val="000000"/>
          <w:rtl/>
        </w:rPr>
        <w:t>(19.7.2016),</w:t>
      </w:r>
      <w:r w:rsidR="007A6FD3">
        <w:rPr>
          <w:color w:val="000000"/>
          <w:rtl/>
        </w:rPr>
        <w:t xml:space="preserve"> </w:t>
      </w:r>
      <w:hyperlink r:id="rId46" w:history="1">
        <w:r w:rsidR="007A6FD3" w:rsidRPr="007A6FD3">
          <w:rPr>
            <w:rFonts w:eastAsia="Times New Roman"/>
            <w:color w:val="0000FF"/>
            <w:u w:val="single"/>
            <w:rtl/>
          </w:rPr>
          <w:t>ת"פ (טב') 8462-06-15</w:t>
        </w:r>
      </w:hyperlink>
      <w:r w:rsidR="007A6FD3">
        <w:rPr>
          <w:color w:val="000000"/>
          <w:rtl/>
        </w:rPr>
        <w:t xml:space="preserve"> </w:t>
      </w:r>
      <w:r w:rsidRPr="001521C6">
        <w:rPr>
          <w:b/>
          <w:bCs/>
          <w:color w:val="000000"/>
          <w:rtl/>
        </w:rPr>
        <w:t>מדינת ישראל נ' מרלל</w:t>
      </w:r>
      <w:r w:rsidR="007A6FD3">
        <w:rPr>
          <w:b/>
          <w:bCs/>
          <w:color w:val="000000"/>
          <w:rtl/>
        </w:rPr>
        <w:t xml:space="preserve"> </w:t>
      </w:r>
      <w:r w:rsidR="007A6FD3">
        <w:rPr>
          <w:color w:val="000000"/>
          <w:rtl/>
        </w:rPr>
        <w:t xml:space="preserve"> </w:t>
      </w:r>
      <w:r w:rsidRPr="001521C6">
        <w:rPr>
          <w:color w:val="000000"/>
          <w:rtl/>
        </w:rPr>
        <w:t>(5.11.2015),</w:t>
      </w:r>
      <w:r w:rsidR="007A6FD3">
        <w:rPr>
          <w:color w:val="000000"/>
          <w:rtl/>
        </w:rPr>
        <w:t xml:space="preserve"> </w:t>
      </w:r>
      <w:hyperlink r:id="rId47" w:history="1">
        <w:r w:rsidR="007A6FD3" w:rsidRPr="007A6FD3">
          <w:rPr>
            <w:rFonts w:eastAsia="Times New Roman"/>
            <w:color w:val="0000FF"/>
            <w:u w:val="single"/>
            <w:rtl/>
          </w:rPr>
          <w:t>ת"פ (פ"ת) 40510-11-13</w:t>
        </w:r>
      </w:hyperlink>
      <w:r w:rsidR="007A6FD3">
        <w:rPr>
          <w:color w:val="000000"/>
          <w:rtl/>
        </w:rPr>
        <w:t xml:space="preserve"> </w:t>
      </w:r>
      <w:r w:rsidRPr="001521C6">
        <w:rPr>
          <w:b/>
          <w:bCs/>
          <w:color w:val="000000"/>
          <w:rtl/>
        </w:rPr>
        <w:t>מדינת ישראל נ' גונצ'רנקו</w:t>
      </w:r>
      <w:r w:rsidR="007A6FD3">
        <w:rPr>
          <w:b/>
          <w:bCs/>
          <w:color w:val="000000"/>
          <w:rtl/>
        </w:rPr>
        <w:t xml:space="preserve"> </w:t>
      </w:r>
      <w:r w:rsidRPr="001521C6">
        <w:rPr>
          <w:color w:val="000000"/>
          <w:rtl/>
        </w:rPr>
        <w:t>(13.3.2014)).</w:t>
      </w:r>
    </w:p>
    <w:p w14:paraId="50894909" w14:textId="77777777" w:rsidR="00D45F71" w:rsidRPr="00D44121" w:rsidRDefault="00D45F71" w:rsidP="00D45F71">
      <w:pPr>
        <w:pStyle w:val="a9"/>
        <w:ind w:left="17"/>
        <w:jc w:val="both"/>
        <w:rPr>
          <w:color w:val="FF0000"/>
          <w:sz w:val="20"/>
          <w:szCs w:val="20"/>
        </w:rPr>
      </w:pPr>
    </w:p>
    <w:p w14:paraId="3DC3C0F3" w14:textId="77777777" w:rsidR="00D45F71" w:rsidRPr="00B76F5F" w:rsidRDefault="00D45F71" w:rsidP="00D45F71">
      <w:pPr>
        <w:pStyle w:val="a9"/>
        <w:numPr>
          <w:ilvl w:val="0"/>
          <w:numId w:val="1"/>
        </w:numPr>
        <w:spacing w:after="240" w:line="360" w:lineRule="auto"/>
        <w:ind w:left="-57" w:firstLine="74"/>
        <w:jc w:val="both"/>
      </w:pPr>
      <w:r w:rsidRPr="0019589D">
        <w:rPr>
          <w:rFonts w:eastAsia="Times New Roman" w:hint="cs"/>
          <w:color w:val="000000"/>
          <w:rtl/>
        </w:rPr>
        <w:t xml:space="preserve">אשר לעבירת התיווך בסם מסוכן, </w:t>
      </w:r>
      <w:r w:rsidRPr="0019589D">
        <w:rPr>
          <w:rFonts w:eastAsia="Times New Roman"/>
          <w:color w:val="000000"/>
          <w:rtl/>
        </w:rPr>
        <w:t xml:space="preserve">עיון בפסיקה מלמד </w:t>
      </w:r>
      <w:r>
        <w:rPr>
          <w:rFonts w:eastAsia="Times New Roman" w:hint="cs"/>
          <w:color w:val="000000"/>
          <w:rtl/>
        </w:rPr>
        <w:t>שב</w:t>
      </w:r>
      <w:r w:rsidRPr="0019589D">
        <w:rPr>
          <w:rFonts w:eastAsia="Times New Roman"/>
          <w:color w:val="000000"/>
          <w:rtl/>
        </w:rPr>
        <w:t xml:space="preserve">מקרים רבים </w:t>
      </w:r>
      <w:r>
        <w:rPr>
          <w:rFonts w:eastAsia="Times New Roman" w:hint="cs"/>
          <w:color w:val="000000"/>
          <w:rtl/>
        </w:rPr>
        <w:t xml:space="preserve">נקבע </w:t>
      </w:r>
      <w:r>
        <w:rPr>
          <w:rFonts w:eastAsia="Times New Roman"/>
          <w:color w:val="000000"/>
          <w:rtl/>
        </w:rPr>
        <w:t>בתחתית מתחם הענישה עונש מ</w:t>
      </w:r>
      <w:r>
        <w:rPr>
          <w:rFonts w:eastAsia="Times New Roman" w:hint="cs"/>
          <w:color w:val="000000"/>
          <w:rtl/>
        </w:rPr>
        <w:t>אסר למספר חודשים.</w:t>
      </w:r>
      <w:r>
        <w:rPr>
          <w:rFonts w:hint="cs"/>
          <w:color w:val="FF0000"/>
          <w:rtl/>
        </w:rPr>
        <w:t xml:space="preserve"> </w:t>
      </w:r>
      <w:r>
        <w:rPr>
          <w:rFonts w:hint="cs"/>
          <w:rtl/>
        </w:rPr>
        <w:t xml:space="preserve">לצד זאת, קיימים גם מקרים בהם בתחתית המתחם עונש של מאסר על תנאי בקשר לתיווך בקנביס, גם כאשר המדובר בתיווך למכירה בתמורה, הכולל במעורבות אקטיבית מצד המתווך. </w:t>
      </w:r>
      <w:r w:rsidRPr="00B76F5F">
        <w:rPr>
          <w:rFonts w:hint="cs"/>
          <w:rtl/>
        </w:rPr>
        <w:t>ראו והשוו:</w:t>
      </w:r>
    </w:p>
    <w:p w14:paraId="19CE0C96" w14:textId="77777777" w:rsidR="00D45F71" w:rsidRPr="001D47D7" w:rsidRDefault="00D45F71" w:rsidP="00D45F71">
      <w:pPr>
        <w:pStyle w:val="a9"/>
        <w:rPr>
          <w:rFonts w:eastAsia="Times New Roman"/>
          <w:color w:val="000000"/>
          <w:sz w:val="20"/>
          <w:szCs w:val="20"/>
          <w:rtl/>
        </w:rPr>
      </w:pPr>
    </w:p>
    <w:p w14:paraId="10C595F6" w14:textId="77777777" w:rsidR="00D45F71" w:rsidRPr="00B76F5F" w:rsidRDefault="00D45F71" w:rsidP="00D45F71">
      <w:pPr>
        <w:pStyle w:val="a9"/>
        <w:numPr>
          <w:ilvl w:val="0"/>
          <w:numId w:val="4"/>
        </w:numPr>
        <w:spacing w:after="240" w:line="360" w:lineRule="auto"/>
        <w:jc w:val="both"/>
        <w:rPr>
          <w:color w:val="FF0000"/>
        </w:rPr>
      </w:pPr>
      <w:r>
        <w:rPr>
          <w:color w:val="000000"/>
          <w:rtl/>
        </w:rPr>
        <w:t>עפ"ג (מר</w:t>
      </w:r>
      <w:r>
        <w:rPr>
          <w:rFonts w:hint="cs"/>
          <w:color w:val="000000"/>
          <w:rtl/>
        </w:rPr>
        <w:t>כז</w:t>
      </w:r>
      <w:r w:rsidRPr="00B76F5F">
        <w:rPr>
          <w:color w:val="000000"/>
          <w:rtl/>
        </w:rPr>
        <w:t>)</w:t>
      </w:r>
      <w:r w:rsidRPr="00B76F5F">
        <w:rPr>
          <w:b/>
          <w:bCs/>
          <w:color w:val="000000"/>
          <w:rtl/>
        </w:rPr>
        <w:t xml:space="preserve"> </w:t>
      </w:r>
      <w:hyperlink r:id="rId48" w:history="1">
        <w:r w:rsidR="00E60FD9" w:rsidRPr="00E60FD9">
          <w:rPr>
            <w:b/>
            <w:bCs/>
            <w:color w:val="0000FF"/>
            <w:u w:val="single"/>
            <w:rtl/>
          </w:rPr>
          <w:t xml:space="preserve">21862-03-15 </w:t>
        </w:r>
      </w:hyperlink>
      <w:r w:rsidRPr="00B76F5F">
        <w:rPr>
          <w:b/>
          <w:bCs/>
          <w:color w:val="000000"/>
          <w:rtl/>
        </w:rPr>
        <w:t xml:space="preserve"> גאבר נ' מדינת ישראל </w:t>
      </w:r>
      <w:r w:rsidRPr="00B76F5F">
        <w:rPr>
          <w:color w:val="000000"/>
          <w:rtl/>
        </w:rPr>
        <w:t xml:space="preserve">(20.12.2015), </w:t>
      </w:r>
      <w:r w:rsidRPr="00B76F5F">
        <w:rPr>
          <w:rFonts w:hint="cs"/>
          <w:color w:val="000000"/>
          <w:rtl/>
        </w:rPr>
        <w:t xml:space="preserve">שם הורשע </w:t>
      </w:r>
      <w:r w:rsidRPr="00B76F5F">
        <w:rPr>
          <w:color w:val="000000"/>
          <w:rtl/>
        </w:rPr>
        <w:t xml:space="preserve">המערער לאחר שמיעת </w:t>
      </w:r>
      <w:r w:rsidRPr="00B76F5F">
        <w:rPr>
          <w:rFonts w:hint="cs"/>
          <w:color w:val="000000"/>
          <w:rtl/>
        </w:rPr>
        <w:t>ראיות</w:t>
      </w:r>
      <w:r w:rsidRPr="00B76F5F">
        <w:rPr>
          <w:color w:val="000000"/>
          <w:rtl/>
        </w:rPr>
        <w:t xml:space="preserve"> בתיווך עסקת מכירת גרמים בודדים של סם מסוג חשיש, ללא תמורה. בית משפט</w:t>
      </w:r>
      <w:r w:rsidRPr="00B76F5F">
        <w:rPr>
          <w:rFonts w:hint="cs"/>
          <w:color w:val="000000"/>
          <w:rtl/>
        </w:rPr>
        <w:t xml:space="preserve"> השלום</w:t>
      </w:r>
      <w:r w:rsidRPr="00B76F5F">
        <w:rPr>
          <w:color w:val="000000"/>
          <w:rtl/>
        </w:rPr>
        <w:t xml:space="preserve"> קבע מתחם עונש</w:t>
      </w:r>
      <w:r w:rsidRPr="00B76F5F">
        <w:rPr>
          <w:rFonts w:hint="cs"/>
          <w:color w:val="000000"/>
          <w:rtl/>
        </w:rPr>
        <w:t xml:space="preserve"> ש</w:t>
      </w:r>
      <w:r w:rsidRPr="00B76F5F">
        <w:rPr>
          <w:color w:val="000000"/>
          <w:rtl/>
        </w:rPr>
        <w:t xml:space="preserve">בין מספר חודשי מאסר </w:t>
      </w:r>
      <w:r w:rsidRPr="00B76F5F">
        <w:rPr>
          <w:rFonts w:hint="cs"/>
          <w:color w:val="000000"/>
          <w:rtl/>
        </w:rPr>
        <w:t>ו</w:t>
      </w:r>
      <w:r w:rsidRPr="00B76F5F">
        <w:rPr>
          <w:color w:val="000000"/>
          <w:rtl/>
        </w:rPr>
        <w:t>-12 חודשי</w:t>
      </w:r>
      <w:r w:rsidRPr="00B76F5F">
        <w:rPr>
          <w:rFonts w:hint="cs"/>
          <w:color w:val="000000"/>
          <w:rtl/>
        </w:rPr>
        <w:t xml:space="preserve"> </w:t>
      </w:r>
      <w:r w:rsidRPr="00B76F5F">
        <w:rPr>
          <w:color w:val="000000"/>
          <w:rtl/>
        </w:rPr>
        <w:t>מאסר בפועל, וגזר על המערער 7 חודשי מאסר לצד ענישה נלווית. בית המשפט המחוזי קיבל</w:t>
      </w:r>
      <w:r w:rsidRPr="00B76F5F">
        <w:rPr>
          <w:rFonts w:hint="cs"/>
          <w:color w:val="000000"/>
          <w:rtl/>
        </w:rPr>
        <w:t xml:space="preserve"> את</w:t>
      </w:r>
      <w:r w:rsidRPr="00B76F5F">
        <w:rPr>
          <w:color w:val="000000"/>
          <w:rtl/>
        </w:rPr>
        <w:t xml:space="preserve"> ערעור</w:t>
      </w:r>
      <w:r w:rsidRPr="00B76F5F">
        <w:rPr>
          <w:rFonts w:hint="cs"/>
          <w:color w:val="000000"/>
          <w:rtl/>
        </w:rPr>
        <w:t xml:space="preserve"> המערער</w:t>
      </w:r>
      <w:r w:rsidRPr="00B76F5F">
        <w:rPr>
          <w:color w:val="000000"/>
          <w:rtl/>
        </w:rPr>
        <w:t xml:space="preserve"> באופן חלקי</w:t>
      </w:r>
      <w:r w:rsidRPr="00B76F5F">
        <w:rPr>
          <w:rFonts w:hint="cs"/>
          <w:color w:val="000000"/>
          <w:rtl/>
        </w:rPr>
        <w:t xml:space="preserve"> כך </w:t>
      </w:r>
      <w:r w:rsidRPr="00B76F5F">
        <w:rPr>
          <w:color w:val="000000"/>
          <w:rtl/>
        </w:rPr>
        <w:t>שלאחר שהמערער ריצה כ</w:t>
      </w:r>
      <w:r w:rsidRPr="00B76F5F">
        <w:rPr>
          <w:rFonts w:hint="cs"/>
          <w:color w:val="000000"/>
          <w:rtl/>
        </w:rPr>
        <w:t>שלושה</w:t>
      </w:r>
      <w:r w:rsidRPr="00B76F5F">
        <w:rPr>
          <w:color w:val="000000"/>
          <w:rtl/>
        </w:rPr>
        <w:t xml:space="preserve"> חודשי מאסר, המיר </w:t>
      </w:r>
      <w:r w:rsidRPr="00B76F5F">
        <w:rPr>
          <w:rFonts w:hint="cs"/>
          <w:color w:val="000000"/>
          <w:rtl/>
        </w:rPr>
        <w:t xml:space="preserve">בית המשפט </w:t>
      </w:r>
      <w:r w:rsidRPr="00B76F5F">
        <w:rPr>
          <w:color w:val="000000"/>
          <w:rtl/>
        </w:rPr>
        <w:t xml:space="preserve">את יתרת המאסר </w:t>
      </w:r>
      <w:r w:rsidRPr="00B76F5F">
        <w:rPr>
          <w:rFonts w:hint="cs"/>
          <w:color w:val="000000"/>
          <w:rtl/>
        </w:rPr>
        <w:t>ב-</w:t>
      </w:r>
      <w:r w:rsidRPr="00B76F5F">
        <w:rPr>
          <w:color w:val="000000"/>
          <w:rtl/>
        </w:rPr>
        <w:t>6 חודשים עבודות שירות</w:t>
      </w:r>
      <w:r>
        <w:rPr>
          <w:rFonts w:hint="cs"/>
          <w:color w:val="000000"/>
          <w:rtl/>
        </w:rPr>
        <w:t>.</w:t>
      </w:r>
    </w:p>
    <w:p w14:paraId="0716AC14" w14:textId="77777777" w:rsidR="00D45F71" w:rsidRPr="001D47D7" w:rsidRDefault="007A6FD3" w:rsidP="00D45F71">
      <w:pPr>
        <w:pStyle w:val="a9"/>
        <w:numPr>
          <w:ilvl w:val="0"/>
          <w:numId w:val="4"/>
        </w:numPr>
        <w:spacing w:after="240" w:line="360" w:lineRule="auto"/>
        <w:jc w:val="both"/>
        <w:rPr>
          <w:color w:val="FF0000"/>
        </w:rPr>
      </w:pPr>
      <w:hyperlink r:id="rId49" w:history="1">
        <w:r w:rsidRPr="007A6FD3">
          <w:rPr>
            <w:color w:val="0000FF"/>
            <w:u w:val="single"/>
            <w:rtl/>
          </w:rPr>
          <w:t>ת"פ (י-ם) 8123-04-14</w:t>
        </w:r>
      </w:hyperlink>
      <w:r>
        <w:rPr>
          <w:b/>
          <w:bCs/>
          <w:color w:val="000000"/>
          <w:rtl/>
        </w:rPr>
        <w:t xml:space="preserve"> </w:t>
      </w:r>
      <w:r w:rsidR="00D45F71" w:rsidRPr="00B76F5F">
        <w:rPr>
          <w:b/>
          <w:bCs/>
          <w:color w:val="000000"/>
          <w:rtl/>
        </w:rPr>
        <w:t xml:space="preserve">מדינת ישראל נ' אבו צביח </w:t>
      </w:r>
      <w:r w:rsidR="00D45F71" w:rsidRPr="001D47D7">
        <w:rPr>
          <w:color w:val="000000"/>
          <w:rtl/>
        </w:rPr>
        <w:t>(17.06.2015)</w:t>
      </w:r>
      <w:r w:rsidR="00D45F71" w:rsidRPr="00B76F5F">
        <w:rPr>
          <w:color w:val="000000"/>
          <w:rtl/>
        </w:rPr>
        <w:t xml:space="preserve"> </w:t>
      </w:r>
      <w:r w:rsidR="00D45F71" w:rsidRPr="00B76F5F">
        <w:rPr>
          <w:rFonts w:hint="cs"/>
          <w:color w:val="000000"/>
          <w:rtl/>
        </w:rPr>
        <w:t xml:space="preserve">שם </w:t>
      </w:r>
      <w:r w:rsidR="00D45F71" w:rsidRPr="00B76F5F">
        <w:rPr>
          <w:color w:val="000000"/>
          <w:rtl/>
        </w:rPr>
        <w:t>הורשע נאשם על פי הודאתו בעבירה של תיווך בסם מסוכן ללא תמורה. על פי עובדות כתב האישום, הנאשם קישר בין הסוכן המשטרתי לאחר, אשר מכר לסוכן המשטרתי 17.89 גרם חשיש,</w:t>
      </w:r>
      <w:r w:rsidR="00D45F71" w:rsidRPr="00B76F5F">
        <w:rPr>
          <w:rFonts w:hint="cs"/>
          <w:color w:val="000000"/>
          <w:rtl/>
        </w:rPr>
        <w:t xml:space="preserve"> </w:t>
      </w:r>
      <w:r w:rsidR="00D45F71" w:rsidRPr="00B76F5F">
        <w:rPr>
          <w:color w:val="000000"/>
          <w:rtl/>
        </w:rPr>
        <w:t>בתמורה ל-1,000 ₪. בית המשפט קבע את מתחם העונש ההולם כנע בין מאסר קצר בפועל ועד 12 חודשי מאסר בפועל</w:t>
      </w:r>
      <w:r w:rsidR="00D45F71" w:rsidRPr="00B76F5F">
        <w:rPr>
          <w:rFonts w:hint="cs"/>
          <w:color w:val="000000"/>
          <w:rtl/>
        </w:rPr>
        <w:t xml:space="preserve"> וגזר</w:t>
      </w:r>
      <w:r w:rsidR="00D45F71" w:rsidRPr="00B76F5F">
        <w:rPr>
          <w:color w:val="000000"/>
          <w:rtl/>
        </w:rPr>
        <w:t xml:space="preserve"> על הנאשם 6 חודשי מאסר לריצוי בעבודות שירות</w:t>
      </w:r>
      <w:r w:rsidR="00D45F71">
        <w:rPr>
          <w:rFonts w:eastAsia="Times New Roman"/>
          <w:color w:val="000000"/>
          <w:rtl/>
        </w:rPr>
        <w:t>)</w:t>
      </w:r>
      <w:r w:rsidR="00D45F71">
        <w:rPr>
          <w:rFonts w:eastAsia="Times New Roman" w:hint="cs"/>
          <w:color w:val="000000"/>
          <w:rtl/>
        </w:rPr>
        <w:t>.</w:t>
      </w:r>
    </w:p>
    <w:p w14:paraId="0BD4271A" w14:textId="77777777" w:rsidR="00D45F71" w:rsidRDefault="00D45F71" w:rsidP="00D45F71">
      <w:pPr>
        <w:pStyle w:val="a9"/>
        <w:numPr>
          <w:ilvl w:val="0"/>
          <w:numId w:val="4"/>
        </w:numPr>
        <w:spacing w:after="240" w:line="360" w:lineRule="auto"/>
        <w:jc w:val="both"/>
        <w:rPr>
          <w:color w:val="000000"/>
        </w:rPr>
      </w:pPr>
      <w:r w:rsidRPr="001D47D7">
        <w:rPr>
          <w:rFonts w:hint="cs"/>
          <w:color w:val="000000"/>
          <w:rtl/>
        </w:rPr>
        <w:t xml:space="preserve">לצד אלה, </w:t>
      </w:r>
      <w:r w:rsidRPr="001D47D7">
        <w:rPr>
          <w:color w:val="000000"/>
          <w:rtl/>
        </w:rPr>
        <w:t xml:space="preserve">ראו גם </w:t>
      </w:r>
      <w:hyperlink r:id="rId50" w:history="1">
        <w:r w:rsidR="007A6FD3" w:rsidRPr="007A6FD3">
          <w:rPr>
            <w:color w:val="0000FF"/>
            <w:u w:val="single"/>
            <w:rtl/>
          </w:rPr>
          <w:t>ת"פ (רח') 13289-03-15</w:t>
        </w:r>
      </w:hyperlink>
      <w:r w:rsidRPr="001D47D7">
        <w:rPr>
          <w:color w:val="000000"/>
          <w:rtl/>
        </w:rPr>
        <w:t xml:space="preserve"> </w:t>
      </w:r>
      <w:r w:rsidRPr="001D47D7">
        <w:rPr>
          <w:b/>
          <w:bCs/>
          <w:color w:val="000000"/>
          <w:rtl/>
        </w:rPr>
        <w:t>מדינת ישראל נ' רעד</w:t>
      </w:r>
      <w:r w:rsidRPr="001D47D7">
        <w:rPr>
          <w:color w:val="000000"/>
          <w:rtl/>
        </w:rPr>
        <w:t xml:space="preserve"> (30.11.2015) שם דובר בנאשם אשר הורשע באישום אחד בעבירת תיווך ובשני בעבירת סחר בקנבוס במספר הזדמנויות. בגין עבירת התיווך נקבע מתחם ענישה שתחתיתו מאסר על תנאי. </w:t>
      </w:r>
    </w:p>
    <w:p w14:paraId="64ECCDE2" w14:textId="77777777" w:rsidR="00D45F71" w:rsidRPr="009B4D69" w:rsidRDefault="00D45F71" w:rsidP="00D45F71">
      <w:pPr>
        <w:pStyle w:val="a9"/>
        <w:numPr>
          <w:ilvl w:val="0"/>
          <w:numId w:val="4"/>
        </w:numPr>
        <w:spacing w:line="360" w:lineRule="auto"/>
        <w:jc w:val="both"/>
        <w:rPr>
          <w:color w:val="000000"/>
        </w:rPr>
      </w:pPr>
      <w:r>
        <w:rPr>
          <w:rFonts w:hint="cs"/>
          <w:rtl/>
        </w:rPr>
        <w:t>נתתי דעתי גם לעונש שנגזר על נאשם 2 ב</w:t>
      </w:r>
      <w:hyperlink r:id="rId51" w:history="1">
        <w:r w:rsidR="007A6FD3" w:rsidRPr="007A6FD3">
          <w:rPr>
            <w:color w:val="0000FF"/>
            <w:u w:val="single"/>
            <w:rtl/>
          </w:rPr>
          <w:t>ת"פ 48151-04-17</w:t>
        </w:r>
      </w:hyperlink>
      <w:r>
        <w:rPr>
          <w:rFonts w:hint="cs"/>
          <w:rtl/>
        </w:rPr>
        <w:t xml:space="preserve"> (תיק התיווך בעניינו של הנאשם), אשר הואשם בסחר בסם, עליו נגזרו 3.5 חודשי מאסר בהסדר טיעון ו</w:t>
      </w:r>
      <w:r>
        <w:rPr>
          <w:rFonts w:hint="cs"/>
          <w:color w:val="000000"/>
          <w:rtl/>
        </w:rPr>
        <w:t>ללא נימוקים. בהקשר זה יש לציין כי בניגוד לדברי הסנגורית, מדברי המאשימה שם דווקא עולה כי לנאשם 2 לא היה כל רישום פלילי (ראו טיעון לעונש מיום 5.7.2017).</w:t>
      </w:r>
    </w:p>
    <w:p w14:paraId="6BA35534" w14:textId="77777777" w:rsidR="00D45F71" w:rsidRPr="00D44121" w:rsidRDefault="00D45F71" w:rsidP="00D45F71">
      <w:pPr>
        <w:pStyle w:val="a9"/>
        <w:spacing w:after="240"/>
        <w:jc w:val="both"/>
        <w:rPr>
          <w:color w:val="000000"/>
          <w:sz w:val="20"/>
          <w:szCs w:val="20"/>
          <w:rtl/>
        </w:rPr>
      </w:pPr>
    </w:p>
    <w:p w14:paraId="7408A0A0" w14:textId="77777777" w:rsidR="00D45F71" w:rsidRDefault="00D45F71" w:rsidP="00D45F71">
      <w:pPr>
        <w:pStyle w:val="a9"/>
        <w:numPr>
          <w:ilvl w:val="0"/>
          <w:numId w:val="1"/>
        </w:numPr>
        <w:spacing w:after="240" w:line="360" w:lineRule="auto"/>
        <w:ind w:left="-57" w:firstLine="74"/>
        <w:jc w:val="both"/>
      </w:pPr>
      <w:r>
        <w:rPr>
          <w:color w:val="000000"/>
          <w:rtl/>
        </w:rPr>
        <w:t>במקרה זה,</w:t>
      </w:r>
      <w:r>
        <w:rPr>
          <w:rFonts w:hint="cs"/>
          <w:color w:val="000000"/>
          <w:rtl/>
        </w:rPr>
        <w:t xml:space="preserve"> בשים לב לנסיבות ביצוע העבירות המפורטות לעיל, ובכללן לגילו הצעיר בעת ביצוען (בפרט בעת ביצוע העבירות ב</w:t>
      </w:r>
      <w:hyperlink r:id="rId52" w:history="1">
        <w:r w:rsidR="007A6FD3" w:rsidRPr="007A6FD3">
          <w:rPr>
            <w:color w:val="0000FF"/>
            <w:u w:val="single"/>
            <w:rtl/>
          </w:rPr>
          <w:t>ת"פ 60385-08-16</w:t>
        </w:r>
      </w:hyperlink>
      <w:r>
        <w:rPr>
          <w:rFonts w:hint="cs"/>
          <w:color w:val="000000"/>
          <w:rtl/>
        </w:rPr>
        <w:t>), לו היה נקבע מתחם ענישה נפרד לכל אחד מהתיקים הפליליים הוא היה נקבע כדלקמן: ל</w:t>
      </w:r>
      <w:hyperlink r:id="rId53" w:history="1">
        <w:r w:rsidR="007A6FD3" w:rsidRPr="007A6FD3">
          <w:rPr>
            <w:color w:val="0000FF"/>
            <w:u w:val="single"/>
            <w:rtl/>
          </w:rPr>
          <w:t>ת"פ 60385-08-16</w:t>
        </w:r>
      </w:hyperlink>
      <w:r>
        <w:rPr>
          <w:rFonts w:hint="cs"/>
          <w:color w:val="000000"/>
          <w:rtl/>
        </w:rPr>
        <w:t>, בין תקופת מאסר קצרה, אותה ניתן לרצות בעבודות שירות בנסיבות מתאימות ועד 10 חודשי מאסר בפועל; ל</w:t>
      </w:r>
      <w:hyperlink r:id="rId54" w:history="1">
        <w:r w:rsidR="007A6FD3" w:rsidRPr="007A6FD3">
          <w:rPr>
            <w:color w:val="0000FF"/>
            <w:u w:val="single"/>
            <w:rtl/>
          </w:rPr>
          <w:t>ת"פ 48151-04-17</w:t>
        </w:r>
      </w:hyperlink>
      <w:r>
        <w:rPr>
          <w:rFonts w:hint="cs"/>
          <w:color w:val="000000"/>
          <w:rtl/>
        </w:rPr>
        <w:t xml:space="preserve">, שהעבירות במסגרתו בוצעו בעת שכתב האישום בת"פ 60385-08-16 היה תלוי ועומד כנגד הנאשם ובנסיבותיהן, </w:t>
      </w:r>
      <w:r w:rsidRPr="00F32226">
        <w:rPr>
          <w:rFonts w:hint="cs"/>
          <w:color w:val="000000"/>
          <w:rtl/>
        </w:rPr>
        <w:t>בין תקופת מאסר קצרה אותה ניתן לרצות בעבודות שירות ועד 10 חודשי מאסר בפועל. ל</w:t>
      </w:r>
      <w:hyperlink r:id="rId55" w:history="1">
        <w:r w:rsidR="007A6FD3" w:rsidRPr="007A6FD3">
          <w:rPr>
            <w:color w:val="0000FF"/>
            <w:u w:val="single"/>
            <w:rtl/>
          </w:rPr>
          <w:t>ת"פ 60884-05-17</w:t>
        </w:r>
      </w:hyperlink>
      <w:r>
        <w:rPr>
          <w:rFonts w:hint="cs"/>
          <w:color w:val="000000"/>
          <w:rtl/>
        </w:rPr>
        <w:t xml:space="preserve">, הגם </w:t>
      </w:r>
      <w:r w:rsidRPr="00F32226">
        <w:rPr>
          <w:rFonts w:hint="cs"/>
          <w:color w:val="000000"/>
          <w:rtl/>
        </w:rPr>
        <w:t>שהעבירה בו בוצעה גם היא בעת שהיה תלוי ועומד נגד הנאשם כתב האישום ב</w:t>
      </w:r>
      <w:hyperlink r:id="rId56" w:history="1">
        <w:r w:rsidR="007A6FD3" w:rsidRPr="007A6FD3">
          <w:rPr>
            <w:color w:val="0000FF"/>
            <w:u w:val="single"/>
            <w:rtl/>
          </w:rPr>
          <w:t>ת"פ 60385-08-16</w:t>
        </w:r>
      </w:hyperlink>
      <w:r>
        <w:rPr>
          <w:rFonts w:hint="cs"/>
          <w:color w:val="000000"/>
          <w:rtl/>
        </w:rPr>
        <w:t>,</w:t>
      </w:r>
      <w:r w:rsidRPr="00F32226">
        <w:rPr>
          <w:rFonts w:hint="cs"/>
          <w:color w:val="000000"/>
          <w:rtl/>
        </w:rPr>
        <w:t xml:space="preserve"> </w:t>
      </w:r>
      <w:r>
        <w:rPr>
          <w:rFonts w:hint="cs"/>
          <w:color w:val="000000"/>
          <w:rtl/>
        </w:rPr>
        <w:t xml:space="preserve">בנסיבותיה הקלות יחסית, בין מאסר על תנאי ועד 7 חודשי מאסר. </w:t>
      </w:r>
      <w:r>
        <w:rPr>
          <w:rFonts w:eastAsia="Times New Roman" w:hint="cs"/>
          <w:color w:val="000000"/>
          <w:rtl/>
        </w:rPr>
        <w:t xml:space="preserve">תוך התחשבות במפורט לעיל, מצאתי לקבוע בסופו של יום במקרה זה גם מתחם ענישה כולל, בין שישה חודשי מאסר, אותם ניתן לרצות בעבודות שירות בכפוף לחוות דעת הממונה על עבודות השירות, ועד 14 חודשי מאסר בפועל. </w:t>
      </w:r>
    </w:p>
    <w:p w14:paraId="0A071A55" w14:textId="77777777" w:rsidR="00D45F71" w:rsidRDefault="00D45F71" w:rsidP="00D45F71">
      <w:pPr>
        <w:spacing w:after="240" w:line="360" w:lineRule="auto"/>
        <w:ind w:left="-57" w:firstLine="777"/>
        <w:jc w:val="both"/>
        <w:rPr>
          <w:rFonts w:ascii="David" w:hAnsi="David"/>
          <w:rtl/>
        </w:rPr>
      </w:pPr>
      <w:r w:rsidRPr="00D44121">
        <w:rPr>
          <w:rFonts w:ascii="David" w:hAnsi="David"/>
          <w:rtl/>
        </w:rPr>
        <w:t>בקשר לקביעת מספר אירועים</w:t>
      </w:r>
      <w:r>
        <w:rPr>
          <w:rFonts w:ascii="David" w:hAnsi="David" w:hint="cs"/>
          <w:rtl/>
        </w:rPr>
        <w:t>,</w:t>
      </w:r>
      <w:r w:rsidRPr="00D44121">
        <w:rPr>
          <w:rFonts w:ascii="David" w:hAnsi="David"/>
          <w:rtl/>
        </w:rPr>
        <w:t xml:space="preserve"> ראו דברי בית </w:t>
      </w:r>
      <w:r w:rsidRPr="00D44121">
        <w:rPr>
          <w:rFonts w:ascii="David" w:eastAsia="David" w:hAnsi="David"/>
          <w:color w:val="000000"/>
          <w:rtl/>
        </w:rPr>
        <w:t>המשפט העליון ב</w:t>
      </w:r>
      <w:hyperlink r:id="rId57" w:history="1">
        <w:r w:rsidR="007A6FD3" w:rsidRPr="007A6FD3">
          <w:rPr>
            <w:rFonts w:ascii="David" w:eastAsia="David" w:hAnsi="David"/>
            <w:color w:val="0000FF"/>
            <w:u w:val="single"/>
            <w:rtl/>
          </w:rPr>
          <w:t>ע"פ 6888/17</w:t>
        </w:r>
      </w:hyperlink>
      <w:r w:rsidRPr="00D44121">
        <w:rPr>
          <w:rFonts w:ascii="David" w:hAnsi="David"/>
          <w:rtl/>
        </w:rPr>
        <w:t xml:space="preserve"> </w:t>
      </w:r>
      <w:r w:rsidRPr="00D44121">
        <w:rPr>
          <w:rFonts w:ascii="David" w:hAnsi="David"/>
          <w:b/>
          <w:bCs/>
          <w:rtl/>
        </w:rPr>
        <w:t>שירזי נ' מדינת ישראל</w:t>
      </w:r>
      <w:r w:rsidRPr="00D44121">
        <w:rPr>
          <w:rFonts w:ascii="David" w:hAnsi="David"/>
          <w:rtl/>
        </w:rPr>
        <w:t xml:space="preserve"> (10.12.2018) לפיהם הסיווג לאירועים נועד לתכלית פונקציונלית ככלי עזר, וממילא במישור המהותי מוטל על בית המשפט הקובע מתחם ענישה לשקול את מספר המעשים וחומרתם גם כאשר הם סווגו כאירוע עברייני אחד תוך הפנייה </w:t>
      </w:r>
      <w:r>
        <w:rPr>
          <w:rFonts w:ascii="David" w:hAnsi="David" w:hint="cs"/>
          <w:rtl/>
        </w:rPr>
        <w:t>ל</w:t>
      </w:r>
      <w:hyperlink r:id="rId58" w:history="1">
        <w:r w:rsidR="007A6FD3" w:rsidRPr="007A6FD3">
          <w:rPr>
            <w:color w:val="0000FF"/>
            <w:u w:val="single"/>
            <w:rtl/>
          </w:rPr>
          <w:t>ע"פ 4910/13</w:t>
        </w:r>
      </w:hyperlink>
      <w:r>
        <w:rPr>
          <w:rFonts w:hint="cs"/>
          <w:color w:val="000000"/>
          <w:rtl/>
        </w:rPr>
        <w:t xml:space="preserve"> </w:t>
      </w:r>
      <w:r w:rsidRPr="00832C12">
        <w:rPr>
          <w:rFonts w:hint="cs"/>
          <w:b/>
          <w:bCs/>
          <w:color w:val="000000"/>
          <w:rtl/>
        </w:rPr>
        <w:t>ג'אבר נ' מדינת ישראל</w:t>
      </w:r>
      <w:r>
        <w:rPr>
          <w:rFonts w:hint="cs"/>
          <w:color w:val="000000"/>
          <w:rtl/>
        </w:rPr>
        <w:t xml:space="preserve"> (29.10.2014)</w:t>
      </w:r>
      <w:r w:rsidRPr="00D03F6E">
        <w:rPr>
          <w:color w:val="000000"/>
          <w:rtl/>
        </w:rPr>
        <w:t>)</w:t>
      </w:r>
      <w:r w:rsidRPr="00D44121">
        <w:rPr>
          <w:rFonts w:ascii="David" w:hAnsi="David"/>
          <w:rtl/>
        </w:rPr>
        <w:t>. בנוסף, מ</w:t>
      </w:r>
      <w:r>
        <w:rPr>
          <w:rFonts w:ascii="David" w:hAnsi="David"/>
          <w:rtl/>
        </w:rPr>
        <w:t>קום בו גוזר בית המשפט עונש כולל</w:t>
      </w:r>
      <w:r w:rsidRPr="00D44121">
        <w:rPr>
          <w:rFonts w:ascii="David" w:hAnsi="David"/>
          <w:rtl/>
        </w:rPr>
        <w:t xml:space="preserve"> ולא עונש נפרד לכל אירוע, חשיבות מספר האירועים לגזירת העונש פחותה (</w:t>
      </w:r>
      <w:hyperlink r:id="rId59" w:history="1">
        <w:r w:rsidR="007A6FD3" w:rsidRPr="007A6FD3">
          <w:rPr>
            <w:color w:val="0000FF"/>
            <w:u w:val="single"/>
            <w:rtl/>
          </w:rPr>
          <w:t>ע"פ 2454/18</w:t>
        </w:r>
      </w:hyperlink>
      <w:r w:rsidRPr="00D44121">
        <w:rPr>
          <w:rFonts w:ascii="David" w:hAnsi="David"/>
          <w:rtl/>
        </w:rPr>
        <w:t xml:space="preserve"> </w:t>
      </w:r>
      <w:r w:rsidRPr="00D44121">
        <w:rPr>
          <w:rFonts w:ascii="David" w:hAnsi="David"/>
          <w:b/>
          <w:bCs/>
          <w:rtl/>
        </w:rPr>
        <w:t>שיינברג נ' מדינת ישראל</w:t>
      </w:r>
      <w:r>
        <w:rPr>
          <w:rFonts w:ascii="David" w:hAnsi="David"/>
          <w:rtl/>
        </w:rPr>
        <w:t xml:space="preserve"> (5.12.2018), פסקה 20</w:t>
      </w:r>
      <w:r>
        <w:rPr>
          <w:rFonts w:ascii="David" w:hAnsi="David" w:hint="cs"/>
          <w:rtl/>
        </w:rPr>
        <w:t>).</w:t>
      </w:r>
    </w:p>
    <w:p w14:paraId="4D89DA43" w14:textId="77777777" w:rsidR="00D45F71" w:rsidRPr="00FB7975" w:rsidRDefault="00D45F71" w:rsidP="00D45F71">
      <w:pPr>
        <w:pStyle w:val="a9"/>
        <w:spacing w:after="240" w:line="360" w:lineRule="auto"/>
        <w:ind w:left="17"/>
        <w:jc w:val="both"/>
      </w:pPr>
      <w:r w:rsidRPr="00B912F4">
        <w:rPr>
          <w:rFonts w:hint="cs"/>
          <w:b/>
          <w:bCs/>
          <w:color w:val="000000"/>
          <w:u w:val="single"/>
          <w:rtl/>
        </w:rPr>
        <w:t>קביעת העונש הקונקרטי לנאשם</w:t>
      </w:r>
    </w:p>
    <w:p w14:paraId="3C871CB3" w14:textId="77777777" w:rsidR="00D45F71" w:rsidRPr="00A70E4C" w:rsidRDefault="00D45F71" w:rsidP="00D45F71">
      <w:pPr>
        <w:pStyle w:val="a9"/>
        <w:numPr>
          <w:ilvl w:val="0"/>
          <w:numId w:val="1"/>
        </w:numPr>
        <w:spacing w:after="240" w:line="360" w:lineRule="auto"/>
        <w:ind w:left="-57" w:firstLine="74"/>
        <w:jc w:val="both"/>
        <w:rPr>
          <w:rFonts w:eastAsia="Times New Roman"/>
          <w:color w:val="000000"/>
        </w:rPr>
      </w:pPr>
      <w:r>
        <w:rPr>
          <w:rFonts w:hint="cs"/>
          <w:color w:val="000000"/>
          <w:rtl/>
        </w:rPr>
        <w:t xml:space="preserve">במקרה זה, אין מקום לסטות לקולא או לחומרה ממתחם העונש שנקבע. בעת קביעת עונשו של הנאשם יש לתת את הדעת לגילו הצעיר כיום, 26, לנטילת האחריות על ידו ולצירוף התיקים שביצע, אשר הביא לחיסכון זמן שיפוטי ניכר, ויש בו כדי להעיד על חרטתו. </w:t>
      </w:r>
      <w:r w:rsidRPr="007069CF">
        <w:rPr>
          <w:color w:val="000000"/>
          <w:rtl/>
        </w:rPr>
        <w:t>אלה ישקלו לזכותו</w:t>
      </w:r>
      <w:r>
        <w:rPr>
          <w:rFonts w:hint="cs"/>
          <w:color w:val="000000"/>
          <w:rtl/>
        </w:rPr>
        <w:t xml:space="preserve">. </w:t>
      </w:r>
    </w:p>
    <w:p w14:paraId="2664C922" w14:textId="77777777" w:rsidR="00D45F71" w:rsidRPr="00A70E4C" w:rsidRDefault="00D45F71" w:rsidP="00D45F71">
      <w:pPr>
        <w:pStyle w:val="a9"/>
        <w:spacing w:after="240"/>
        <w:ind w:left="17"/>
        <w:jc w:val="both"/>
        <w:rPr>
          <w:rFonts w:eastAsia="Times New Roman"/>
          <w:color w:val="000000"/>
          <w:sz w:val="20"/>
          <w:szCs w:val="20"/>
        </w:rPr>
      </w:pPr>
    </w:p>
    <w:p w14:paraId="0384E97C" w14:textId="77777777" w:rsidR="00D45F71" w:rsidRPr="0002592A" w:rsidRDefault="00D45F71" w:rsidP="00D45F71">
      <w:pPr>
        <w:pStyle w:val="a9"/>
        <w:numPr>
          <w:ilvl w:val="0"/>
          <w:numId w:val="1"/>
        </w:numPr>
        <w:spacing w:after="240" w:line="360" w:lineRule="auto"/>
        <w:ind w:left="-57" w:firstLine="74"/>
        <w:jc w:val="both"/>
        <w:rPr>
          <w:color w:val="FF0000"/>
        </w:rPr>
      </w:pPr>
      <w:r w:rsidRPr="0002592A">
        <w:rPr>
          <w:color w:val="000000"/>
          <w:rtl/>
        </w:rPr>
        <w:t xml:space="preserve">שקלתי </w:t>
      </w:r>
      <w:r w:rsidRPr="0002592A">
        <w:rPr>
          <w:rFonts w:hint="cs"/>
          <w:color w:val="000000"/>
          <w:rtl/>
        </w:rPr>
        <w:t xml:space="preserve">גם </w:t>
      </w:r>
      <w:r w:rsidRPr="0002592A">
        <w:rPr>
          <w:color w:val="000000"/>
          <w:rtl/>
        </w:rPr>
        <w:t xml:space="preserve">את מאפייני הנאשם </w:t>
      </w:r>
      <w:r w:rsidRPr="0002592A">
        <w:rPr>
          <w:rFonts w:hint="cs"/>
          <w:color w:val="000000"/>
          <w:rtl/>
        </w:rPr>
        <w:t xml:space="preserve">על פי התסקיר שהתקבל: מחד, את העובדה שהנאשם שיתף באופן לקוני ומצמצם, שלל נזקקות טיפולית, עלה קושי בהערכת מצבו ההתמכרותי משלא שיתף פעולה בביצוע בדיקות שתן וההתרשמות היא שלאור </w:t>
      </w:r>
      <w:r w:rsidRPr="0002592A">
        <w:rPr>
          <w:rFonts w:eastAsia="Times New Roman"/>
          <w:color w:val="000000"/>
          <w:rtl/>
        </w:rPr>
        <w:t>גורמי הסיכון בעניינו</w:t>
      </w:r>
      <w:r w:rsidRPr="0002592A">
        <w:rPr>
          <w:rFonts w:eastAsia="Times New Roman" w:hint="cs"/>
          <w:color w:val="000000"/>
          <w:rtl/>
        </w:rPr>
        <w:t xml:space="preserve">, </w:t>
      </w:r>
      <w:r w:rsidRPr="0002592A">
        <w:rPr>
          <w:rFonts w:eastAsia="Times New Roman"/>
          <w:color w:val="000000"/>
          <w:rtl/>
        </w:rPr>
        <w:t>ביניהם מעורבותו בעבירות וחומרתן, דפוסי התמכרותו, היותו ממוקד בצרכיו, מעורב</w:t>
      </w:r>
      <w:r w:rsidRPr="0002592A">
        <w:rPr>
          <w:rFonts w:eastAsia="Times New Roman" w:hint="cs"/>
          <w:color w:val="000000"/>
          <w:rtl/>
        </w:rPr>
        <w:t>ותו</w:t>
      </w:r>
      <w:r w:rsidRPr="0002592A">
        <w:rPr>
          <w:rFonts w:eastAsia="Times New Roman"/>
          <w:color w:val="000000"/>
          <w:rtl/>
        </w:rPr>
        <w:t xml:space="preserve"> בקשרים חברתיים שוליים והיעדר גורמי תמיכה</w:t>
      </w:r>
      <w:r w:rsidRPr="0002592A">
        <w:rPr>
          <w:rFonts w:eastAsia="Times New Roman" w:hint="cs"/>
          <w:color w:val="000000"/>
          <w:rtl/>
        </w:rPr>
        <w:t xml:space="preserve"> מספקים</w:t>
      </w:r>
      <w:r>
        <w:rPr>
          <w:rFonts w:eastAsia="Times New Roman" w:hint="cs"/>
          <w:color w:val="000000"/>
          <w:rtl/>
        </w:rPr>
        <w:t>,</w:t>
      </w:r>
      <w:r w:rsidRPr="0002592A">
        <w:rPr>
          <w:rFonts w:eastAsia="Times New Roman" w:hint="cs"/>
          <w:color w:val="000000"/>
          <w:rtl/>
        </w:rPr>
        <w:t xml:space="preserve"> לא ניתן לשלול סיכון להתנהגות שולית. מאידך, </w:t>
      </w:r>
      <w:r w:rsidRPr="00A70E4C">
        <w:rPr>
          <w:rFonts w:hint="cs"/>
          <w:rtl/>
        </w:rPr>
        <w:t xml:space="preserve">את העובדה שהנאשם נדרש להתמודד </w:t>
      </w:r>
      <w:r>
        <w:rPr>
          <w:rFonts w:hint="cs"/>
          <w:rtl/>
        </w:rPr>
        <w:t>מ</w:t>
      </w:r>
      <w:r w:rsidRPr="00A70E4C">
        <w:rPr>
          <w:rFonts w:hint="cs"/>
          <w:rtl/>
        </w:rPr>
        <w:t>גיל צעיר עם מציאות קשה, לאחר ש</w:t>
      </w:r>
      <w:r>
        <w:rPr>
          <w:rFonts w:hint="cs"/>
          <w:rtl/>
        </w:rPr>
        <w:t xml:space="preserve">אף </w:t>
      </w:r>
      <w:r w:rsidRPr="00A70E4C">
        <w:rPr>
          <w:rFonts w:hint="cs"/>
          <w:rtl/>
        </w:rPr>
        <w:t xml:space="preserve">התייתם בגיל צעיר </w:t>
      </w:r>
      <w:r>
        <w:rPr>
          <w:rFonts w:hint="cs"/>
          <w:rtl/>
        </w:rPr>
        <w:t>מאוד מהוריו ועלה ארצה מאתיופיה,</w:t>
      </w:r>
      <w:r w:rsidRPr="0002592A">
        <w:rPr>
          <w:rFonts w:eastAsia="Times New Roman" w:hint="cs"/>
          <w:color w:val="000000"/>
          <w:rtl/>
        </w:rPr>
        <w:t xml:space="preserve"> ונראה, גם לדעת שירות המבחן, ש</w:t>
      </w:r>
      <w:r w:rsidRPr="0002592A">
        <w:rPr>
          <w:rFonts w:eastAsia="Times New Roman"/>
          <w:color w:val="000000"/>
          <w:rtl/>
        </w:rPr>
        <w:t>בשנים האחרונות הוא מגלה כוחות מסוימים ומגויס לשיקום</w:t>
      </w:r>
      <w:r w:rsidRPr="0002592A">
        <w:rPr>
          <w:rFonts w:eastAsia="Times New Roman" w:hint="cs"/>
          <w:color w:val="000000"/>
          <w:rtl/>
        </w:rPr>
        <w:t xml:space="preserve">, ואף לא פתח תיקים חדשים משך תקופה ממושכת. </w:t>
      </w:r>
    </w:p>
    <w:p w14:paraId="1CFDDC24" w14:textId="77777777" w:rsidR="00D45F71" w:rsidRPr="000F023B" w:rsidRDefault="00D45F71" w:rsidP="00D45F71">
      <w:pPr>
        <w:pStyle w:val="a9"/>
        <w:rPr>
          <w:sz w:val="20"/>
          <w:szCs w:val="20"/>
          <w:rtl/>
        </w:rPr>
      </w:pPr>
    </w:p>
    <w:p w14:paraId="51F31D5B" w14:textId="77777777" w:rsidR="00D45F71" w:rsidRPr="00BF02EC" w:rsidRDefault="00D45F71" w:rsidP="00D45F71">
      <w:pPr>
        <w:pStyle w:val="a9"/>
        <w:numPr>
          <w:ilvl w:val="0"/>
          <w:numId w:val="1"/>
        </w:numPr>
        <w:spacing w:after="240" w:line="360" w:lineRule="auto"/>
        <w:ind w:left="-57" w:firstLine="74"/>
        <w:jc w:val="both"/>
      </w:pPr>
      <w:r>
        <w:rPr>
          <w:rFonts w:hint="cs"/>
          <w:rtl/>
        </w:rPr>
        <w:t>נתתי דעתי גם לעברו הפלילי של הנאשם (</w:t>
      </w:r>
      <w:r w:rsidRPr="00A24153">
        <w:rPr>
          <w:rFonts w:hint="cs"/>
          <w:b/>
          <w:bCs/>
          <w:rtl/>
        </w:rPr>
        <w:t>עת/1</w:t>
      </w:r>
      <w:r>
        <w:rPr>
          <w:rFonts w:hint="cs"/>
          <w:rtl/>
        </w:rPr>
        <w:t>), הכולל הרשעה משנת 2019 בהחזקת נכס חשוד כגנוב וגניבה בשנים 2012-2013 (לפני ביצוע העבירות הנדונות), וכן הרשעה בעבירה של הפרעה לשוטר שתאריך ביצועה ינואר 2014 והעדר מן השרות שלא ברשות משנת 2015.</w:t>
      </w:r>
      <w:r w:rsidRPr="00A24153">
        <w:rPr>
          <w:rFonts w:hint="cs"/>
          <w:color w:val="FF0000"/>
          <w:rtl/>
        </w:rPr>
        <w:t xml:space="preserve"> </w:t>
      </w:r>
      <w:r w:rsidRPr="0002592A">
        <w:rPr>
          <w:rFonts w:hint="cs"/>
          <w:rtl/>
        </w:rPr>
        <w:t>כלל העבירות בוצעו לפני וסביב מועד ביצוע העבירות בעניינ</w:t>
      </w:r>
      <w:r>
        <w:rPr>
          <w:rFonts w:hint="cs"/>
          <w:rtl/>
        </w:rPr>
        <w:t>נ</w:t>
      </w:r>
      <w:r w:rsidRPr="0002592A">
        <w:rPr>
          <w:rFonts w:hint="cs"/>
          <w:rtl/>
        </w:rPr>
        <w:t xml:space="preserve">ו, ומאז ביצוע העבירה האחרונה בשנת 2017, לפני כחמש שנים, לא נפתחו לנאשם תיקים חדשים. </w:t>
      </w:r>
      <w:r w:rsidRPr="00A24153">
        <w:rPr>
          <w:rFonts w:hint="cs"/>
          <w:color w:val="000000"/>
          <w:rtl/>
        </w:rPr>
        <w:t xml:space="preserve">הסנגורית ציינה ובצדק את </w:t>
      </w:r>
      <w:r>
        <w:rPr>
          <w:rFonts w:hint="cs"/>
          <w:color w:val="000000"/>
          <w:rtl/>
        </w:rPr>
        <w:t xml:space="preserve">חשיבות </w:t>
      </w:r>
      <w:r w:rsidRPr="00A24153">
        <w:rPr>
          <w:rFonts w:hint="cs"/>
          <w:color w:val="000000"/>
          <w:rtl/>
        </w:rPr>
        <w:t>חלוף הזמן מאז ביצוע העבירות במקרה זה, הגם שמרביתו נח לפתח הנאשם.</w:t>
      </w:r>
      <w:r>
        <w:rPr>
          <w:rFonts w:hint="cs"/>
          <w:color w:val="000000"/>
          <w:rtl/>
        </w:rPr>
        <w:t xml:space="preserve"> </w:t>
      </w:r>
    </w:p>
    <w:p w14:paraId="76BA0273" w14:textId="77777777" w:rsidR="00D45F71" w:rsidRPr="00BF02EC" w:rsidRDefault="00D45F71" w:rsidP="00D45F71">
      <w:pPr>
        <w:pStyle w:val="a9"/>
        <w:rPr>
          <w:color w:val="000000"/>
          <w:rtl/>
        </w:rPr>
      </w:pPr>
    </w:p>
    <w:p w14:paraId="58FCE02D" w14:textId="77777777" w:rsidR="00D45F71" w:rsidRPr="008E1582" w:rsidRDefault="00D45F71" w:rsidP="00D45F71">
      <w:pPr>
        <w:pStyle w:val="a9"/>
        <w:numPr>
          <w:ilvl w:val="0"/>
          <w:numId w:val="1"/>
        </w:numPr>
        <w:spacing w:after="240" w:line="360" w:lineRule="auto"/>
        <w:ind w:left="-57" w:firstLine="74"/>
        <w:jc w:val="both"/>
        <w:rPr>
          <w:sz w:val="20"/>
          <w:szCs w:val="20"/>
          <w:rtl/>
        </w:rPr>
      </w:pPr>
      <w:r w:rsidRPr="008E1582">
        <w:rPr>
          <w:rFonts w:hint="cs"/>
          <w:color w:val="000000"/>
          <w:rtl/>
        </w:rPr>
        <w:t xml:space="preserve">בקשר להתנהלות הנאשם אשר הביאה גם לדחייה בדיונים יש לציין כי </w:t>
      </w:r>
      <w:r>
        <w:rPr>
          <w:rFonts w:hint="cs"/>
          <w:rtl/>
        </w:rPr>
        <w:t xml:space="preserve">בחינת השתלשלות העניינים בכל אחד מהתיקים מלמדת על התנהגות מתחמקת, צווי הבאה אשר הוצאו בשל אי-התייצבותו לדיונים ואף צו מעצר, ניתוק קשר עם הסנגורית וכן התליית ההליכים. לאחר הכרעת הדין </w:t>
      </w:r>
      <w:r>
        <w:rPr>
          <w:rtl/>
        </w:rPr>
        <w:t xml:space="preserve">נשלח </w:t>
      </w:r>
      <w:r>
        <w:rPr>
          <w:rFonts w:hint="cs"/>
          <w:rtl/>
        </w:rPr>
        <w:t xml:space="preserve">הנאשם </w:t>
      </w:r>
      <w:r>
        <w:rPr>
          <w:rtl/>
        </w:rPr>
        <w:t>לקבלת תסקיר לעונש</w:t>
      </w:r>
      <w:r>
        <w:rPr>
          <w:rFonts w:hint="cs"/>
          <w:rtl/>
        </w:rPr>
        <w:t xml:space="preserve"> ו</w:t>
      </w:r>
      <w:r>
        <w:rPr>
          <w:rtl/>
        </w:rPr>
        <w:t>חוות דעת של הממונה על עבודות שירות</w:t>
      </w:r>
      <w:r>
        <w:rPr>
          <w:rFonts w:hint="cs"/>
          <w:rtl/>
        </w:rPr>
        <w:t xml:space="preserve">, ולא התייצב, ורק כאשר ניתנה לו הזדמנות חוזרת התייצב אצל שירות המבחן. הנאשם אף לא התייצב אצל הממונה על עבודות השירות הגם שזומן, ורק לאחר הזדמנויות חוזרות התקבלה חוות דעת הממונה על עבודות השירות, שמצאה אותו מתאים לרצות עונש מאסר בעבודות שירות. </w:t>
      </w:r>
    </w:p>
    <w:p w14:paraId="7830F57C" w14:textId="77777777" w:rsidR="00D45F71" w:rsidRPr="00852A7F" w:rsidRDefault="00D45F71" w:rsidP="00D45F71">
      <w:pPr>
        <w:pStyle w:val="a9"/>
        <w:numPr>
          <w:ilvl w:val="0"/>
          <w:numId w:val="1"/>
        </w:numPr>
        <w:spacing w:after="240" w:line="360" w:lineRule="auto"/>
        <w:ind w:left="-57" w:firstLine="74"/>
        <w:jc w:val="both"/>
        <w:rPr>
          <w:color w:val="000000"/>
          <w:sz w:val="20"/>
          <w:szCs w:val="20"/>
        </w:rPr>
      </w:pPr>
      <w:r>
        <w:rPr>
          <w:rFonts w:hint="cs"/>
          <w:rtl/>
        </w:rPr>
        <w:t xml:space="preserve">מבלי להתעלם מהמפורט לעיל ומעברו הפלילי של הנאשם, אך גם בשים לב להודייתו, לצירוף התיקים, לגילו ולכך שלא פתח תיקים חדשים משך 5 שנים, ותוך מתן משקל גם לגילן של העבירות, עונש המאסר לנאשם יקבע באופן מתון יחסית קרוב לתחתית מתחם הענישה, אך לא בתחתיתו, ולריצוי בעבודות שירות, על מנת לאפשר אופק לנאשם לשקם את חייו. אינני מוצאת כי הנסיבות הכוללות מצדיקות גזירת עונש חמור מזה, חרף עתירת המאשימה על נימוקיה. </w:t>
      </w:r>
    </w:p>
    <w:p w14:paraId="09469FC5" w14:textId="77777777" w:rsidR="00D45F71" w:rsidRPr="00852A7F" w:rsidRDefault="00D45F71" w:rsidP="00D45F71">
      <w:pPr>
        <w:pStyle w:val="a9"/>
        <w:spacing w:after="240"/>
        <w:ind w:left="17"/>
        <w:jc w:val="both"/>
        <w:rPr>
          <w:color w:val="000000"/>
          <w:sz w:val="20"/>
          <w:szCs w:val="20"/>
          <w:rtl/>
        </w:rPr>
      </w:pPr>
    </w:p>
    <w:p w14:paraId="756BF6A5" w14:textId="77777777" w:rsidR="00D45F71" w:rsidRPr="000F023B" w:rsidRDefault="00D45F71" w:rsidP="00D45F71">
      <w:pPr>
        <w:pStyle w:val="a9"/>
        <w:numPr>
          <w:ilvl w:val="0"/>
          <w:numId w:val="1"/>
        </w:numPr>
        <w:spacing w:after="240" w:line="360" w:lineRule="auto"/>
        <w:ind w:left="-57" w:firstLine="74"/>
        <w:jc w:val="both"/>
      </w:pPr>
      <w:r w:rsidRPr="000F023B">
        <w:rPr>
          <w:color w:val="000000"/>
          <w:rtl/>
        </w:rPr>
        <w:t xml:space="preserve">סוף דבר, </w:t>
      </w:r>
      <w:r>
        <w:rPr>
          <w:rFonts w:hint="cs"/>
          <w:color w:val="000000"/>
          <w:rtl/>
        </w:rPr>
        <w:t xml:space="preserve">לאור </w:t>
      </w:r>
      <w:r w:rsidRPr="000F023B">
        <w:rPr>
          <w:color w:val="000000"/>
          <w:rtl/>
        </w:rPr>
        <w:t>המפורט לעיל, אני גוזרת על הנאשם את העונשים הבאים</w:t>
      </w:r>
      <w:r w:rsidRPr="000F023B">
        <w:rPr>
          <w:rFonts w:hint="cs"/>
          <w:color w:val="000000"/>
          <w:rtl/>
        </w:rPr>
        <w:t>:</w:t>
      </w:r>
    </w:p>
    <w:p w14:paraId="49E20CFB" w14:textId="77777777" w:rsidR="00D45F71" w:rsidRPr="000F023B" w:rsidRDefault="00D45F71" w:rsidP="00D45F71">
      <w:pPr>
        <w:pStyle w:val="a9"/>
        <w:rPr>
          <w:color w:val="000000"/>
          <w:sz w:val="20"/>
          <w:szCs w:val="20"/>
          <w:rtl/>
        </w:rPr>
      </w:pPr>
    </w:p>
    <w:p w14:paraId="0018C889" w14:textId="77777777" w:rsidR="00D45F71" w:rsidRDefault="00D45F71" w:rsidP="00D45F71">
      <w:pPr>
        <w:pStyle w:val="a9"/>
        <w:numPr>
          <w:ilvl w:val="0"/>
          <w:numId w:val="3"/>
        </w:numPr>
        <w:spacing w:line="360" w:lineRule="auto"/>
        <w:jc w:val="both"/>
        <w:rPr>
          <w:color w:val="000000"/>
        </w:rPr>
      </w:pPr>
      <w:r>
        <w:rPr>
          <w:color w:val="000000"/>
          <w:rtl/>
        </w:rPr>
        <w:t xml:space="preserve">מאסר בפועל לתקופה של </w:t>
      </w:r>
      <w:r>
        <w:rPr>
          <w:rFonts w:hint="cs"/>
          <w:color w:val="000000"/>
          <w:rtl/>
        </w:rPr>
        <w:t>7</w:t>
      </w:r>
      <w:r>
        <w:rPr>
          <w:color w:val="000000"/>
          <w:rtl/>
        </w:rPr>
        <w:t xml:space="preserve"> חודשים שירוצה בדרך של עבודות שירות על פי חוות דעת הממונה על עבודות השירות </w:t>
      </w:r>
      <w:r>
        <w:rPr>
          <w:rFonts w:hint="cs"/>
          <w:color w:val="000000"/>
          <w:rtl/>
        </w:rPr>
        <w:t>במרכז יום לקשיש פגה, רח' פפר יוסף 20, פתח תקווה</w:t>
      </w:r>
      <w:r>
        <w:rPr>
          <w:color w:val="000000"/>
          <w:rtl/>
        </w:rPr>
        <w:t xml:space="preserve">. הנאשם יתייצב ביום </w:t>
      </w:r>
      <w:r>
        <w:rPr>
          <w:rFonts w:hint="cs"/>
          <w:color w:val="000000"/>
          <w:rtl/>
        </w:rPr>
        <w:t>21.7.2022</w:t>
      </w:r>
      <w:r>
        <w:rPr>
          <w:color w:val="000000"/>
          <w:rtl/>
        </w:rPr>
        <w:t xml:space="preserve"> שעה 8:00 במפקדת מחוז מרכז, יח' עבודות שירות, רמלה.  מובהר כי יתכנו שינויים במקום העבודה ושעות העבודה כמפורט בחוות דעת הממונה על עבודות השירות. הובהרה לנאשם המשמעות של אי עמידה בעבודות שירות.</w:t>
      </w:r>
    </w:p>
    <w:p w14:paraId="51D1F0F5" w14:textId="77777777" w:rsidR="00D45F71" w:rsidRDefault="00D45F71" w:rsidP="00D45F71">
      <w:pPr>
        <w:pStyle w:val="a9"/>
        <w:numPr>
          <w:ilvl w:val="0"/>
          <w:numId w:val="3"/>
        </w:numPr>
        <w:spacing w:after="240" w:line="360" w:lineRule="auto"/>
        <w:jc w:val="both"/>
        <w:rPr>
          <w:color w:val="000000"/>
        </w:rPr>
      </w:pPr>
      <w:r w:rsidRPr="00657580">
        <w:rPr>
          <w:color w:val="000000"/>
          <w:rtl/>
        </w:rPr>
        <w:t xml:space="preserve">מאסר </w:t>
      </w:r>
      <w:r>
        <w:rPr>
          <w:rFonts w:hint="cs"/>
          <w:color w:val="000000"/>
          <w:rtl/>
        </w:rPr>
        <w:t xml:space="preserve">על תנאי </w:t>
      </w:r>
      <w:r w:rsidRPr="00657580">
        <w:rPr>
          <w:color w:val="000000"/>
          <w:rtl/>
        </w:rPr>
        <w:t xml:space="preserve">למשך </w:t>
      </w:r>
      <w:r>
        <w:rPr>
          <w:rFonts w:hint="cs"/>
          <w:color w:val="000000"/>
          <w:rtl/>
        </w:rPr>
        <w:t>5</w:t>
      </w:r>
      <w:r w:rsidRPr="00657580">
        <w:rPr>
          <w:color w:val="000000"/>
          <w:rtl/>
        </w:rPr>
        <w:t xml:space="preserve"> חודשים, לתקופה של 3 שנים, והתנאי שהנאשם לא יעבור עבירת </w:t>
      </w:r>
      <w:r w:rsidRPr="00657580">
        <w:rPr>
          <w:rFonts w:hint="cs"/>
          <w:color w:val="000000"/>
          <w:rtl/>
        </w:rPr>
        <w:t>רכוש</w:t>
      </w:r>
      <w:r>
        <w:rPr>
          <w:rFonts w:hint="cs"/>
          <w:color w:val="000000"/>
          <w:rtl/>
        </w:rPr>
        <w:t xml:space="preserve"> או עבירה מסוג פשע על פקודת הסמים</w:t>
      </w:r>
      <w:r w:rsidRPr="00657580">
        <w:rPr>
          <w:color w:val="000000"/>
          <w:rtl/>
        </w:rPr>
        <w:t>.</w:t>
      </w:r>
    </w:p>
    <w:p w14:paraId="7E15C1E4" w14:textId="77777777" w:rsidR="00D45F71" w:rsidRPr="00657580" w:rsidRDefault="00D45F71" w:rsidP="00D45F71">
      <w:pPr>
        <w:pStyle w:val="a9"/>
        <w:numPr>
          <w:ilvl w:val="0"/>
          <w:numId w:val="3"/>
        </w:numPr>
        <w:spacing w:after="240" w:line="360" w:lineRule="auto"/>
        <w:jc w:val="both"/>
        <w:rPr>
          <w:color w:val="000000"/>
        </w:rPr>
      </w:pPr>
      <w:r>
        <w:rPr>
          <w:rFonts w:hint="cs"/>
          <w:color w:val="000000"/>
          <w:rtl/>
        </w:rPr>
        <w:t xml:space="preserve">הנאשם יתחייב על סך של 1,500 ₪ להימנע משך שנתיים מהיום מביצוע העבירות בהן הורשע. </w:t>
      </w:r>
    </w:p>
    <w:p w14:paraId="23BC3BF8" w14:textId="77777777" w:rsidR="00D45F71" w:rsidRDefault="00D45F71" w:rsidP="00D45F71">
      <w:pPr>
        <w:spacing w:line="360" w:lineRule="auto"/>
        <w:rPr>
          <w:rFonts w:ascii="David" w:hAnsi="David"/>
          <w:b/>
          <w:bCs/>
          <w:u w:val="single"/>
          <w:rtl/>
        </w:rPr>
      </w:pPr>
      <w:r w:rsidRPr="008D13C2">
        <w:rPr>
          <w:rFonts w:ascii="David" w:hAnsi="David" w:hint="cs"/>
          <w:b/>
          <w:bCs/>
          <w:u w:val="single"/>
          <w:rtl/>
        </w:rPr>
        <w:t>זכות ערעור לבית המשפט המחוזי כחוק תוך 45 ימים.</w:t>
      </w:r>
    </w:p>
    <w:p w14:paraId="0755618E" w14:textId="77777777" w:rsidR="00D45F71" w:rsidRDefault="00D45F71" w:rsidP="00D45F71">
      <w:pPr>
        <w:spacing w:line="360" w:lineRule="auto"/>
        <w:rPr>
          <w:rFonts w:ascii="David" w:hAnsi="David"/>
          <w:b/>
          <w:bCs/>
          <w:u w:val="single"/>
          <w:rtl/>
        </w:rPr>
      </w:pPr>
    </w:p>
    <w:p w14:paraId="718C2A7F" w14:textId="77777777" w:rsidR="00D45F71" w:rsidRPr="008D13C2" w:rsidRDefault="00D45F71" w:rsidP="00D45F71">
      <w:pPr>
        <w:spacing w:line="360" w:lineRule="auto"/>
        <w:rPr>
          <w:rFonts w:ascii="David" w:hAnsi="David"/>
          <w:b/>
          <w:bCs/>
          <w:u w:val="single"/>
          <w:rtl/>
        </w:rPr>
      </w:pPr>
      <w:r>
        <w:rPr>
          <w:rFonts w:ascii="David" w:hAnsi="David" w:hint="cs"/>
          <w:b/>
          <w:bCs/>
          <w:u w:val="single"/>
          <w:rtl/>
        </w:rPr>
        <w:t>המזכירות תעביר עותק מגזר הדין לממונה על עבודות השירות ולשירות המבחן.</w:t>
      </w:r>
    </w:p>
    <w:p w14:paraId="294746E5" w14:textId="77777777" w:rsidR="00D45F71" w:rsidRPr="001521C6" w:rsidRDefault="00D45F71" w:rsidP="00D45F71">
      <w:pPr>
        <w:rPr>
          <w:rFonts w:ascii="David" w:hAnsi="David"/>
          <w:rtl/>
        </w:rPr>
      </w:pPr>
    </w:p>
    <w:p w14:paraId="2E77834D" w14:textId="77777777" w:rsidR="00D45F71" w:rsidRPr="001521C6" w:rsidRDefault="00D45F71" w:rsidP="00D45F71">
      <w:pPr>
        <w:rPr>
          <w:rFonts w:ascii="David" w:hAnsi="David"/>
          <w:rtl/>
        </w:rPr>
      </w:pPr>
    </w:p>
    <w:p w14:paraId="39F4FF15" w14:textId="77777777" w:rsidR="00D45F71" w:rsidRPr="007A6FD3" w:rsidRDefault="007A6FD3" w:rsidP="00D45F71">
      <w:pPr>
        <w:rPr>
          <w:rFonts w:ascii="David" w:hAnsi="David"/>
          <w:color w:val="FFFFFF"/>
          <w:sz w:val="2"/>
          <w:szCs w:val="2"/>
          <w:rtl/>
        </w:rPr>
      </w:pPr>
      <w:r w:rsidRPr="007A6FD3">
        <w:rPr>
          <w:rFonts w:ascii="David" w:hAnsi="David"/>
          <w:color w:val="FFFFFF"/>
          <w:sz w:val="2"/>
          <w:szCs w:val="2"/>
          <w:rtl/>
        </w:rPr>
        <w:t>5129371</w:t>
      </w:r>
    </w:p>
    <w:p w14:paraId="06EAA7DE" w14:textId="77777777" w:rsidR="00D45F71" w:rsidRPr="001521C6" w:rsidRDefault="007A6FD3" w:rsidP="00D45F71">
      <w:pPr>
        <w:rPr>
          <w:rFonts w:ascii="David" w:hAnsi="David"/>
          <w:rtl/>
        </w:rPr>
      </w:pPr>
      <w:bookmarkStart w:id="8" w:name="Nitan"/>
      <w:r w:rsidRPr="007A6FD3">
        <w:rPr>
          <w:rFonts w:ascii="David" w:hAnsi="David"/>
          <w:color w:val="FFFFFF"/>
          <w:sz w:val="2"/>
          <w:szCs w:val="2"/>
          <w:rtl/>
        </w:rPr>
        <w:t>54678313</w:t>
      </w:r>
      <w:r>
        <w:rPr>
          <w:rFonts w:ascii="David" w:hAnsi="David"/>
          <w:rtl/>
        </w:rPr>
        <w:t xml:space="preserve">ניתן היום,  ב' סיוון תשפ"ב, 01 יוני 2022, במעמד הצדדים. </w:t>
      </w:r>
      <w:bookmarkEnd w:id="8"/>
    </w:p>
    <w:p w14:paraId="73369DF4" w14:textId="77777777" w:rsidR="00D45F71" w:rsidRPr="001521C6" w:rsidRDefault="00D45F71" w:rsidP="007A6FD3">
      <w:pPr>
        <w:jc w:val="center"/>
      </w:pPr>
      <w:r w:rsidRPr="001521C6">
        <w:rPr>
          <w:rFonts w:ascii="David" w:hAnsi="David"/>
          <w:rtl/>
        </w:rPr>
        <w:t xml:space="preserve">   </w:t>
      </w:r>
      <w:r w:rsidRPr="001521C6">
        <w:rPr>
          <w:rFonts w:ascii="David" w:hAnsi="David"/>
          <w:rtl/>
        </w:rPr>
        <w:tab/>
      </w:r>
      <w:r w:rsidRPr="001521C6">
        <w:rPr>
          <w:rFonts w:ascii="David" w:hAnsi="David"/>
          <w:rtl/>
        </w:rPr>
        <w:tab/>
      </w:r>
      <w:r w:rsidRPr="001521C6">
        <w:rPr>
          <w:rFonts w:ascii="David" w:hAnsi="David"/>
          <w:rtl/>
        </w:rPr>
        <w:tab/>
      </w:r>
      <w:r w:rsidRPr="001521C6">
        <w:rPr>
          <w:rFonts w:ascii="David" w:hAnsi="David"/>
          <w:rtl/>
        </w:rPr>
        <w:tab/>
      </w:r>
      <w:r w:rsidRPr="001521C6">
        <w:rPr>
          <w:rFonts w:ascii="David" w:hAnsi="David"/>
          <w:rtl/>
        </w:rPr>
        <w:tab/>
      </w:r>
    </w:p>
    <w:p w14:paraId="11567D39" w14:textId="77777777" w:rsidR="00D45F71" w:rsidRPr="001521C6" w:rsidRDefault="00D45F71" w:rsidP="00D45F71">
      <w:pPr>
        <w:jc w:val="center"/>
        <w:rPr>
          <w:rFonts w:ascii="David" w:hAnsi="David"/>
          <w:rtl/>
        </w:rPr>
      </w:pPr>
    </w:p>
    <w:p w14:paraId="3E0EB69E" w14:textId="77777777" w:rsidR="00D45F71" w:rsidRPr="001521C6" w:rsidRDefault="00D45F71" w:rsidP="00D45F71">
      <w:pPr>
        <w:rPr>
          <w:rFonts w:ascii="David" w:hAnsi="David"/>
          <w:rtl/>
        </w:rPr>
      </w:pPr>
    </w:p>
    <w:p w14:paraId="5580AD1B" w14:textId="77777777" w:rsidR="00D45F71" w:rsidRPr="001521C6" w:rsidRDefault="00D45F71" w:rsidP="00D45F71">
      <w:pPr>
        <w:pStyle w:val="a3"/>
        <w:jc w:val="center"/>
        <w:rPr>
          <w:rFonts w:ascii="David" w:hAnsi="David"/>
          <w:rtl/>
        </w:rPr>
      </w:pPr>
    </w:p>
    <w:p w14:paraId="447DB941" w14:textId="77777777" w:rsidR="00B458CD" w:rsidRPr="007A6FD3" w:rsidRDefault="00B458CD" w:rsidP="007A6FD3">
      <w:pPr>
        <w:keepNext/>
        <w:rPr>
          <w:rFonts w:ascii="David" w:hAnsi="David"/>
          <w:color w:val="000000"/>
          <w:sz w:val="22"/>
          <w:szCs w:val="22"/>
          <w:rtl/>
        </w:rPr>
      </w:pPr>
    </w:p>
    <w:p w14:paraId="2638C14A" w14:textId="77777777" w:rsidR="007A6FD3" w:rsidRPr="007A6FD3" w:rsidRDefault="007A6FD3" w:rsidP="007A6FD3">
      <w:pPr>
        <w:keepNext/>
        <w:rPr>
          <w:rFonts w:ascii="David" w:hAnsi="David"/>
          <w:color w:val="000000"/>
          <w:sz w:val="22"/>
          <w:szCs w:val="22"/>
          <w:rtl/>
        </w:rPr>
      </w:pPr>
      <w:r w:rsidRPr="007A6FD3">
        <w:rPr>
          <w:rFonts w:ascii="David" w:hAnsi="David"/>
          <w:color w:val="000000"/>
          <w:sz w:val="22"/>
          <w:szCs w:val="22"/>
          <w:rtl/>
        </w:rPr>
        <w:t>דנה אמיר 54678313</w:t>
      </w:r>
    </w:p>
    <w:p w14:paraId="6A5C0314" w14:textId="77777777" w:rsidR="007A6FD3" w:rsidRDefault="007A6FD3" w:rsidP="007A6FD3">
      <w:r w:rsidRPr="007A6FD3">
        <w:rPr>
          <w:color w:val="000000"/>
          <w:rtl/>
        </w:rPr>
        <w:t>נוסח מסמך זה כפוף לשינויי ניסוח ועריכה</w:t>
      </w:r>
    </w:p>
    <w:p w14:paraId="66EF163E" w14:textId="77777777" w:rsidR="007A6FD3" w:rsidRDefault="007A6FD3" w:rsidP="007A6FD3">
      <w:pPr>
        <w:rPr>
          <w:rtl/>
        </w:rPr>
      </w:pPr>
    </w:p>
    <w:p w14:paraId="7D352BA6" w14:textId="77777777" w:rsidR="007A6FD3" w:rsidRDefault="007A6FD3" w:rsidP="007A6FD3">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7BD88B6B" w14:textId="77777777" w:rsidR="007A6FD3" w:rsidRPr="007A6FD3" w:rsidRDefault="007A6FD3" w:rsidP="007A6FD3">
      <w:pPr>
        <w:jc w:val="center"/>
        <w:rPr>
          <w:color w:val="0000FF"/>
          <w:u w:val="single"/>
        </w:rPr>
      </w:pPr>
    </w:p>
    <w:sectPr w:rsidR="007A6FD3" w:rsidRPr="007A6FD3" w:rsidSect="007A6FD3">
      <w:headerReference w:type="even" r:id="rId61"/>
      <w:headerReference w:type="default" r:id="rId62"/>
      <w:footerReference w:type="even" r:id="rId63"/>
      <w:footerReference w:type="default" r:id="rId6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EB18E" w14:textId="77777777" w:rsidR="00216D0B" w:rsidRDefault="00216D0B" w:rsidP="00CF7EF0">
      <w:r>
        <w:separator/>
      </w:r>
    </w:p>
  </w:endnote>
  <w:endnote w:type="continuationSeparator" w:id="0">
    <w:p w14:paraId="452DC93E" w14:textId="77777777" w:rsidR="00216D0B" w:rsidRDefault="00216D0B" w:rsidP="00CF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53C" w14:textId="77777777" w:rsidR="007A6FD3" w:rsidRDefault="007A6FD3" w:rsidP="007A6F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EACF7F" w14:textId="77777777" w:rsidR="00D10228" w:rsidRPr="007A6FD3" w:rsidRDefault="007A6FD3" w:rsidP="007A6F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78532" w14:textId="77777777" w:rsidR="007A6FD3" w:rsidRDefault="007A6FD3" w:rsidP="007A6FD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44D5">
      <w:rPr>
        <w:rFonts w:ascii="FrankRuehl" w:hAnsi="FrankRuehl" w:cs="FrankRuehl"/>
        <w:noProof/>
        <w:rtl/>
      </w:rPr>
      <w:t>1</w:t>
    </w:r>
    <w:r>
      <w:rPr>
        <w:rFonts w:ascii="FrankRuehl" w:hAnsi="FrankRuehl" w:cs="FrankRuehl"/>
        <w:rtl/>
      </w:rPr>
      <w:fldChar w:fldCharType="end"/>
    </w:r>
  </w:p>
  <w:p w14:paraId="51FD960C" w14:textId="77777777" w:rsidR="00D10228" w:rsidRPr="007A6FD3" w:rsidRDefault="007A6FD3" w:rsidP="007A6FD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920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32861" w14:textId="77777777" w:rsidR="00216D0B" w:rsidRDefault="00216D0B" w:rsidP="00CF7EF0">
      <w:r>
        <w:separator/>
      </w:r>
    </w:p>
  </w:footnote>
  <w:footnote w:type="continuationSeparator" w:id="0">
    <w:p w14:paraId="4B6683CC" w14:textId="77777777" w:rsidR="00216D0B" w:rsidRDefault="00216D0B" w:rsidP="00CF7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706CA" w14:textId="77777777" w:rsidR="007A6FD3" w:rsidRPr="007A6FD3" w:rsidRDefault="007A6FD3" w:rsidP="007A6F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60385-08-16</w:t>
    </w:r>
    <w:r>
      <w:rPr>
        <w:rFonts w:ascii="David" w:hAnsi="David"/>
        <w:color w:val="000000"/>
        <w:sz w:val="22"/>
        <w:szCs w:val="22"/>
        <w:rtl/>
      </w:rPr>
      <w:tab/>
      <w:t xml:space="preserve"> מדינת ישראל נ' גיזאצ'או קנאו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55FB9" w14:textId="77777777" w:rsidR="007A6FD3" w:rsidRPr="007A6FD3" w:rsidRDefault="007A6FD3" w:rsidP="007A6FD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60385-08-16</w:t>
    </w:r>
    <w:r>
      <w:rPr>
        <w:rFonts w:ascii="David" w:hAnsi="David"/>
        <w:color w:val="000000"/>
        <w:sz w:val="22"/>
        <w:szCs w:val="22"/>
        <w:rtl/>
      </w:rPr>
      <w:tab/>
      <w:t xml:space="preserve"> מדינת ישראל נ' גיזאצ'או קנאו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C4AAF"/>
    <w:multiLevelType w:val="hybridMultilevel"/>
    <w:tmpl w:val="BECA06DC"/>
    <w:lvl w:ilvl="0" w:tplc="A3545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D223F"/>
    <w:multiLevelType w:val="hybridMultilevel"/>
    <w:tmpl w:val="F15AC680"/>
    <w:lvl w:ilvl="0" w:tplc="9678041E">
      <w:start w:val="1"/>
      <w:numFmt w:val="decimal"/>
      <w:lvlText w:val="%1."/>
      <w:lvlJc w:val="left"/>
      <w:pPr>
        <w:ind w:left="502" w:hanging="360"/>
      </w:pPr>
      <w:rPr>
        <w:b w:val="0"/>
        <w:bCs w:val="0"/>
        <w:color w:val="auto"/>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970C48"/>
    <w:multiLevelType w:val="hybridMultilevel"/>
    <w:tmpl w:val="DC82FD76"/>
    <w:lvl w:ilvl="0" w:tplc="62D05C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B2564"/>
    <w:multiLevelType w:val="hybridMultilevel"/>
    <w:tmpl w:val="1EA04A62"/>
    <w:lvl w:ilvl="0" w:tplc="AD9E22AA">
      <w:start w:val="1"/>
      <w:numFmt w:val="hebrew1"/>
      <w:lvlText w:val="%1."/>
      <w:lvlJc w:val="left"/>
      <w:pPr>
        <w:ind w:left="1080" w:hanging="360"/>
      </w:pPr>
      <w:rPr>
        <w:rFonts w:ascii="Times New Roman" w:hAnsi="Times New Roman" w:hint="default"/>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232546">
    <w:abstractNumId w:val="1"/>
  </w:num>
  <w:num w:numId="2" w16cid:durableId="1422945813">
    <w:abstractNumId w:val="2"/>
  </w:num>
  <w:num w:numId="3" w16cid:durableId="1796436810">
    <w:abstractNumId w:val="3"/>
  </w:num>
  <w:num w:numId="4" w16cid:durableId="61063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5F71"/>
    <w:rsid w:val="0004089E"/>
    <w:rsid w:val="001B5A3B"/>
    <w:rsid w:val="00216D0B"/>
    <w:rsid w:val="004D44D5"/>
    <w:rsid w:val="007A6FD3"/>
    <w:rsid w:val="00881C54"/>
    <w:rsid w:val="009E3E97"/>
    <w:rsid w:val="00A33AE6"/>
    <w:rsid w:val="00AC0211"/>
    <w:rsid w:val="00B26677"/>
    <w:rsid w:val="00B458CD"/>
    <w:rsid w:val="00CF7EF0"/>
    <w:rsid w:val="00D10228"/>
    <w:rsid w:val="00D45F71"/>
    <w:rsid w:val="00E60FD9"/>
    <w:rsid w:val="00E95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EC079A"/>
  <w15:chartTrackingRefBased/>
  <w15:docId w15:val="{9ABB239E-5EC8-44C6-849A-E847B923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5F7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5F71"/>
    <w:pPr>
      <w:tabs>
        <w:tab w:val="center" w:pos="4153"/>
        <w:tab w:val="right" w:pos="8306"/>
      </w:tabs>
    </w:pPr>
  </w:style>
  <w:style w:type="character" w:customStyle="1" w:styleId="a4">
    <w:name w:val="כותרת עליונה תו"/>
    <w:link w:val="a3"/>
    <w:rsid w:val="00D45F71"/>
    <w:rPr>
      <w:rFonts w:ascii="Times New Roman" w:eastAsia="Times New Roman" w:hAnsi="Times New Roman" w:cs="David"/>
      <w:sz w:val="24"/>
      <w:szCs w:val="24"/>
    </w:rPr>
  </w:style>
  <w:style w:type="paragraph" w:styleId="a5">
    <w:name w:val="footer"/>
    <w:basedOn w:val="a"/>
    <w:link w:val="a6"/>
    <w:rsid w:val="00D45F71"/>
    <w:pPr>
      <w:tabs>
        <w:tab w:val="center" w:pos="4153"/>
        <w:tab w:val="right" w:pos="8306"/>
      </w:tabs>
    </w:pPr>
  </w:style>
  <w:style w:type="character" w:customStyle="1" w:styleId="a6">
    <w:name w:val="כותרת תחתונה תו"/>
    <w:link w:val="a5"/>
    <w:rsid w:val="00D45F71"/>
    <w:rPr>
      <w:rFonts w:ascii="Times New Roman" w:eastAsia="Times New Roman" w:hAnsi="Times New Roman" w:cs="David"/>
      <w:sz w:val="24"/>
      <w:szCs w:val="24"/>
    </w:rPr>
  </w:style>
  <w:style w:type="table" w:styleId="a7">
    <w:name w:val="Table Grid"/>
    <w:basedOn w:val="a1"/>
    <w:rsid w:val="00D45F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5F71"/>
  </w:style>
  <w:style w:type="paragraph" w:styleId="a9">
    <w:name w:val="List Paragraph"/>
    <w:basedOn w:val="a"/>
    <w:link w:val="aa"/>
    <w:qFormat/>
    <w:rsid w:val="00D45F71"/>
    <w:pPr>
      <w:ind w:left="720"/>
      <w:contextualSpacing/>
    </w:pPr>
    <w:rPr>
      <w:rFonts w:ascii="David" w:eastAsia="David" w:hAnsi="David"/>
    </w:rPr>
  </w:style>
  <w:style w:type="character" w:customStyle="1" w:styleId="aa">
    <w:name w:val="פיסקת רשימה תו"/>
    <w:link w:val="a9"/>
    <w:locked/>
    <w:rsid w:val="00D45F71"/>
    <w:rPr>
      <w:rFonts w:ascii="David" w:eastAsia="David" w:hAnsi="David" w:cs="David"/>
      <w:sz w:val="24"/>
      <w:szCs w:val="24"/>
    </w:rPr>
  </w:style>
  <w:style w:type="character" w:styleId="Hyperlink">
    <w:name w:val="Hyperlink"/>
    <w:rsid w:val="007A6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case/22054267" TargetMode="External"/><Relationship Id="rId34" Type="http://schemas.openxmlformats.org/officeDocument/2006/relationships/hyperlink" Target="http://www.nevo.co.il/case/18773868" TargetMode="External"/><Relationship Id="rId42" Type="http://schemas.openxmlformats.org/officeDocument/2006/relationships/hyperlink" Target="http://www.nevo.co.il/case/21603247" TargetMode="External"/><Relationship Id="rId47" Type="http://schemas.openxmlformats.org/officeDocument/2006/relationships/hyperlink" Target="http://www.nevo.co.il/case/11330695" TargetMode="External"/><Relationship Id="rId50" Type="http://schemas.openxmlformats.org/officeDocument/2006/relationships/hyperlink" Target="http://www.nevo.co.il/case/20075002" TargetMode="External"/><Relationship Id="rId55" Type="http://schemas.openxmlformats.org/officeDocument/2006/relationships/hyperlink" Target="http://www.nevo.co.il/case/22654659"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case/22556594" TargetMode="External"/><Relationship Id="rId11" Type="http://schemas.openxmlformats.org/officeDocument/2006/relationships/hyperlink" Target="http://www.nevo.co.il/law/70301/447.a" TargetMode="External"/><Relationship Id="rId24" Type="http://schemas.openxmlformats.org/officeDocument/2006/relationships/hyperlink" Target="http://www.nevo.co.il/law/70301/413" TargetMode="External"/><Relationship Id="rId32" Type="http://schemas.openxmlformats.org/officeDocument/2006/relationships/hyperlink" Target="http://www.nevo.co.il/case/22654659" TargetMode="External"/><Relationship Id="rId37" Type="http://schemas.openxmlformats.org/officeDocument/2006/relationships/hyperlink" Target="http://www.nevo.co.il/case/25105695" TargetMode="External"/><Relationship Id="rId40" Type="http://schemas.openxmlformats.org/officeDocument/2006/relationships/hyperlink" Target="http://www.nevo.co.il/case/20564056" TargetMode="External"/><Relationship Id="rId45" Type="http://schemas.openxmlformats.org/officeDocument/2006/relationships/hyperlink" Target="http://www.nevo.co.il/case/20574164" TargetMode="External"/><Relationship Id="rId53" Type="http://schemas.openxmlformats.org/officeDocument/2006/relationships/hyperlink" Target="http://www.nevo.co.il/case/22054267" TargetMode="External"/><Relationship Id="rId58" Type="http://schemas.openxmlformats.org/officeDocument/2006/relationships/hyperlink" Target="http://www.nevo.co.il/case/1309372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29" TargetMode="External"/><Relationship Id="rId14" Type="http://schemas.openxmlformats.org/officeDocument/2006/relationships/hyperlink" Target="http://www.nevo.co.il/law/4216/14" TargetMode="External"/><Relationship Id="rId22" Type="http://schemas.openxmlformats.org/officeDocument/2006/relationships/hyperlink" Target="http://www.nevo.co.il/law/4216/14" TargetMode="External"/><Relationship Id="rId27" Type="http://schemas.openxmlformats.org/officeDocument/2006/relationships/hyperlink" Target="http://www.nevo.co.il/case/22654659" TargetMode="External"/><Relationship Id="rId30" Type="http://schemas.openxmlformats.org/officeDocument/2006/relationships/hyperlink" Target="http://www.nevo.co.il/case/22654659" TargetMode="External"/><Relationship Id="rId35" Type="http://schemas.openxmlformats.org/officeDocument/2006/relationships/hyperlink" Target="http://www.nevo.co.il/case/18056873" TargetMode="External"/><Relationship Id="rId43" Type="http://schemas.openxmlformats.org/officeDocument/2006/relationships/hyperlink" Target="http://www.nevo.co.il/case/21605133" TargetMode="External"/><Relationship Id="rId48" Type="http://schemas.openxmlformats.org/officeDocument/2006/relationships/hyperlink" Target="http://www.nevo.co.il/case/20111369" TargetMode="External"/><Relationship Id="rId56" Type="http://schemas.openxmlformats.org/officeDocument/2006/relationships/hyperlink" Target="http://www.nevo.co.il/case/22054267" TargetMode="External"/><Relationship Id="rId64"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22556594" TargetMode="External"/><Relationship Id="rId3" Type="http://schemas.openxmlformats.org/officeDocument/2006/relationships/settings" Target="settings.xml"/><Relationship Id="rId12" Type="http://schemas.openxmlformats.org/officeDocument/2006/relationships/hyperlink" Target="http://www.nevo.co.il/law/70301/45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556594" TargetMode="External"/><Relationship Id="rId33" Type="http://schemas.openxmlformats.org/officeDocument/2006/relationships/hyperlink" Target="http://www.nevo.co.il/case/22556594" TargetMode="External"/><Relationship Id="rId38" Type="http://schemas.openxmlformats.org/officeDocument/2006/relationships/hyperlink" Target="http://www.nevo.co.il/case/25024567" TargetMode="External"/><Relationship Id="rId46" Type="http://schemas.openxmlformats.org/officeDocument/2006/relationships/hyperlink" Target="http://www.nevo.co.il/case/20332988" TargetMode="External"/><Relationship Id="rId59" Type="http://schemas.openxmlformats.org/officeDocument/2006/relationships/hyperlink" Target="http://www.nevo.co.il/case/23825973" TargetMode="External"/><Relationship Id="rId20" Type="http://schemas.openxmlformats.org/officeDocument/2006/relationships/hyperlink" Target="http://www.nevo.co.il/law/70301/452" TargetMode="External"/><Relationship Id="rId41" Type="http://schemas.openxmlformats.org/officeDocument/2006/relationships/hyperlink" Target="http://www.nevo.co.il/case/23659432" TargetMode="External"/><Relationship Id="rId54" Type="http://schemas.openxmlformats.org/officeDocument/2006/relationships/hyperlink" Target="http://www.nevo.co.il/case/22556594"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2054267" TargetMode="External"/><Relationship Id="rId36" Type="http://schemas.openxmlformats.org/officeDocument/2006/relationships/hyperlink" Target="http://www.nevo.co.il/case/20799119" TargetMode="External"/><Relationship Id="rId49" Type="http://schemas.openxmlformats.org/officeDocument/2006/relationships/hyperlink" Target="http://www.nevo.co.il/case/13100363" TargetMode="External"/><Relationship Id="rId57" Type="http://schemas.openxmlformats.org/officeDocument/2006/relationships/hyperlink" Target="http://www.nevo.co.il/case/24976046" TargetMode="External"/><Relationship Id="rId10" Type="http://schemas.openxmlformats.org/officeDocument/2006/relationships/hyperlink" Target="http://www.nevo.co.il/law/70301/413" TargetMode="External"/><Relationship Id="rId31" Type="http://schemas.openxmlformats.org/officeDocument/2006/relationships/hyperlink" Target="http://www.nevo.co.il/case/22054267" TargetMode="External"/><Relationship Id="rId44" Type="http://schemas.openxmlformats.org/officeDocument/2006/relationships/hyperlink" Target="http://www.nevo.co.il/case/21051144" TargetMode="External"/><Relationship Id="rId52" Type="http://schemas.openxmlformats.org/officeDocument/2006/relationships/hyperlink" Target="http://www.nevo.co.il/case/22054267"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384" TargetMode="External"/><Relationship Id="rId39" Type="http://schemas.openxmlformats.org/officeDocument/2006/relationships/hyperlink" Target="http://www.nevo.co.il/case/2312512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3660</Words>
  <Characters>18302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21919</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3670140</vt:i4>
      </vt:variant>
      <vt:variant>
        <vt:i4>156</vt:i4>
      </vt:variant>
      <vt:variant>
        <vt:i4>0</vt:i4>
      </vt:variant>
      <vt:variant>
        <vt:i4>5</vt:i4>
      </vt:variant>
      <vt:variant>
        <vt:lpwstr>http://www.nevo.co.il/case/23825973</vt:lpwstr>
      </vt:variant>
      <vt:variant>
        <vt:lpwstr/>
      </vt:variant>
      <vt:variant>
        <vt:i4>3145849</vt:i4>
      </vt:variant>
      <vt:variant>
        <vt:i4>153</vt:i4>
      </vt:variant>
      <vt:variant>
        <vt:i4>0</vt:i4>
      </vt:variant>
      <vt:variant>
        <vt:i4>5</vt:i4>
      </vt:variant>
      <vt:variant>
        <vt:lpwstr>http://www.nevo.co.il/case/13093721</vt:lpwstr>
      </vt:variant>
      <vt:variant>
        <vt:lpwstr/>
      </vt:variant>
      <vt:variant>
        <vt:i4>3735671</vt:i4>
      </vt:variant>
      <vt:variant>
        <vt:i4>150</vt:i4>
      </vt:variant>
      <vt:variant>
        <vt:i4>0</vt:i4>
      </vt:variant>
      <vt:variant>
        <vt:i4>5</vt:i4>
      </vt:variant>
      <vt:variant>
        <vt:lpwstr>http://www.nevo.co.il/case/24976046</vt:lpwstr>
      </vt:variant>
      <vt:variant>
        <vt:lpwstr/>
      </vt:variant>
      <vt:variant>
        <vt:i4>3145841</vt:i4>
      </vt:variant>
      <vt:variant>
        <vt:i4>147</vt:i4>
      </vt:variant>
      <vt:variant>
        <vt:i4>0</vt:i4>
      </vt:variant>
      <vt:variant>
        <vt:i4>5</vt:i4>
      </vt:variant>
      <vt:variant>
        <vt:lpwstr>http://www.nevo.co.il/case/22054267</vt:lpwstr>
      </vt:variant>
      <vt:variant>
        <vt:lpwstr/>
      </vt:variant>
      <vt:variant>
        <vt:i4>3473525</vt:i4>
      </vt:variant>
      <vt:variant>
        <vt:i4>144</vt:i4>
      </vt:variant>
      <vt:variant>
        <vt:i4>0</vt:i4>
      </vt:variant>
      <vt:variant>
        <vt:i4>5</vt:i4>
      </vt:variant>
      <vt:variant>
        <vt:lpwstr>http://www.nevo.co.il/case/22654659</vt:lpwstr>
      </vt:variant>
      <vt:variant>
        <vt:lpwstr/>
      </vt:variant>
      <vt:variant>
        <vt:i4>3670134</vt:i4>
      </vt:variant>
      <vt:variant>
        <vt:i4>141</vt:i4>
      </vt:variant>
      <vt:variant>
        <vt:i4>0</vt:i4>
      </vt:variant>
      <vt:variant>
        <vt:i4>5</vt:i4>
      </vt:variant>
      <vt:variant>
        <vt:lpwstr>http://www.nevo.co.il/case/22556594</vt:lpwstr>
      </vt:variant>
      <vt:variant>
        <vt:lpwstr/>
      </vt:variant>
      <vt:variant>
        <vt:i4>3145841</vt:i4>
      </vt:variant>
      <vt:variant>
        <vt:i4>138</vt:i4>
      </vt:variant>
      <vt:variant>
        <vt:i4>0</vt:i4>
      </vt:variant>
      <vt:variant>
        <vt:i4>5</vt:i4>
      </vt:variant>
      <vt:variant>
        <vt:lpwstr>http://www.nevo.co.il/case/22054267</vt:lpwstr>
      </vt:variant>
      <vt:variant>
        <vt:lpwstr/>
      </vt:variant>
      <vt:variant>
        <vt:i4>3145841</vt:i4>
      </vt:variant>
      <vt:variant>
        <vt:i4>135</vt:i4>
      </vt:variant>
      <vt:variant>
        <vt:i4>0</vt:i4>
      </vt:variant>
      <vt:variant>
        <vt:i4>5</vt:i4>
      </vt:variant>
      <vt:variant>
        <vt:lpwstr>http://www.nevo.co.il/case/22054267</vt:lpwstr>
      </vt:variant>
      <vt:variant>
        <vt:lpwstr/>
      </vt:variant>
      <vt:variant>
        <vt:i4>3670134</vt:i4>
      </vt:variant>
      <vt:variant>
        <vt:i4>132</vt:i4>
      </vt:variant>
      <vt:variant>
        <vt:i4>0</vt:i4>
      </vt:variant>
      <vt:variant>
        <vt:i4>5</vt:i4>
      </vt:variant>
      <vt:variant>
        <vt:lpwstr>http://www.nevo.co.il/case/22556594</vt:lpwstr>
      </vt:variant>
      <vt:variant>
        <vt:lpwstr/>
      </vt:variant>
      <vt:variant>
        <vt:i4>3604595</vt:i4>
      </vt:variant>
      <vt:variant>
        <vt:i4>129</vt:i4>
      </vt:variant>
      <vt:variant>
        <vt:i4>0</vt:i4>
      </vt:variant>
      <vt:variant>
        <vt:i4>5</vt:i4>
      </vt:variant>
      <vt:variant>
        <vt:lpwstr>http://www.nevo.co.il/case/20075002</vt:lpwstr>
      </vt:variant>
      <vt:variant>
        <vt:lpwstr/>
      </vt:variant>
      <vt:variant>
        <vt:i4>3539060</vt:i4>
      </vt:variant>
      <vt:variant>
        <vt:i4>126</vt:i4>
      </vt:variant>
      <vt:variant>
        <vt:i4>0</vt:i4>
      </vt:variant>
      <vt:variant>
        <vt:i4>5</vt:i4>
      </vt:variant>
      <vt:variant>
        <vt:lpwstr>http://www.nevo.co.il/case/13100363</vt:lpwstr>
      </vt:variant>
      <vt:variant>
        <vt:lpwstr/>
      </vt:variant>
      <vt:variant>
        <vt:i4>3407990</vt:i4>
      </vt:variant>
      <vt:variant>
        <vt:i4>123</vt:i4>
      </vt:variant>
      <vt:variant>
        <vt:i4>0</vt:i4>
      </vt:variant>
      <vt:variant>
        <vt:i4>5</vt:i4>
      </vt:variant>
      <vt:variant>
        <vt:lpwstr>http://www.nevo.co.il/case/20111369</vt:lpwstr>
      </vt:variant>
      <vt:variant>
        <vt:lpwstr/>
      </vt:variant>
      <vt:variant>
        <vt:i4>3866736</vt:i4>
      </vt:variant>
      <vt:variant>
        <vt:i4>120</vt:i4>
      </vt:variant>
      <vt:variant>
        <vt:i4>0</vt:i4>
      </vt:variant>
      <vt:variant>
        <vt:i4>5</vt:i4>
      </vt:variant>
      <vt:variant>
        <vt:lpwstr>http://www.nevo.co.il/case/11330695</vt:lpwstr>
      </vt:variant>
      <vt:variant>
        <vt:lpwstr/>
      </vt:variant>
      <vt:variant>
        <vt:i4>3866750</vt:i4>
      </vt:variant>
      <vt:variant>
        <vt:i4>117</vt:i4>
      </vt:variant>
      <vt:variant>
        <vt:i4>0</vt:i4>
      </vt:variant>
      <vt:variant>
        <vt:i4>5</vt:i4>
      </vt:variant>
      <vt:variant>
        <vt:lpwstr>http://www.nevo.co.il/case/20332988</vt:lpwstr>
      </vt:variant>
      <vt:variant>
        <vt:lpwstr/>
      </vt:variant>
      <vt:variant>
        <vt:i4>3473522</vt:i4>
      </vt:variant>
      <vt:variant>
        <vt:i4>114</vt:i4>
      </vt:variant>
      <vt:variant>
        <vt:i4>0</vt:i4>
      </vt:variant>
      <vt:variant>
        <vt:i4>5</vt:i4>
      </vt:variant>
      <vt:variant>
        <vt:lpwstr>http://www.nevo.co.il/case/20574164</vt:lpwstr>
      </vt:variant>
      <vt:variant>
        <vt:lpwstr/>
      </vt:variant>
      <vt:variant>
        <vt:i4>3604593</vt:i4>
      </vt:variant>
      <vt:variant>
        <vt:i4>111</vt:i4>
      </vt:variant>
      <vt:variant>
        <vt:i4>0</vt:i4>
      </vt:variant>
      <vt:variant>
        <vt:i4>5</vt:i4>
      </vt:variant>
      <vt:variant>
        <vt:lpwstr>http://www.nevo.co.il/case/21051144</vt:lpwstr>
      </vt:variant>
      <vt:variant>
        <vt:lpwstr/>
      </vt:variant>
      <vt:variant>
        <vt:i4>3276916</vt:i4>
      </vt:variant>
      <vt:variant>
        <vt:i4>108</vt:i4>
      </vt:variant>
      <vt:variant>
        <vt:i4>0</vt:i4>
      </vt:variant>
      <vt:variant>
        <vt:i4>5</vt:i4>
      </vt:variant>
      <vt:variant>
        <vt:lpwstr>http://www.nevo.co.il/case/21605133</vt:lpwstr>
      </vt:variant>
      <vt:variant>
        <vt:lpwstr/>
      </vt:variant>
      <vt:variant>
        <vt:i4>3342455</vt:i4>
      </vt:variant>
      <vt:variant>
        <vt:i4>105</vt:i4>
      </vt:variant>
      <vt:variant>
        <vt:i4>0</vt:i4>
      </vt:variant>
      <vt:variant>
        <vt:i4>5</vt:i4>
      </vt:variant>
      <vt:variant>
        <vt:lpwstr>http://www.nevo.co.il/case/21603247</vt:lpwstr>
      </vt:variant>
      <vt:variant>
        <vt:lpwstr/>
      </vt:variant>
      <vt:variant>
        <vt:i4>4063350</vt:i4>
      </vt:variant>
      <vt:variant>
        <vt:i4>102</vt:i4>
      </vt:variant>
      <vt:variant>
        <vt:i4>0</vt:i4>
      </vt:variant>
      <vt:variant>
        <vt:i4>5</vt:i4>
      </vt:variant>
      <vt:variant>
        <vt:lpwstr>http://www.nevo.co.il/case/23659432</vt:lpwstr>
      </vt:variant>
      <vt:variant>
        <vt:lpwstr/>
      </vt:variant>
      <vt:variant>
        <vt:i4>3539058</vt:i4>
      </vt:variant>
      <vt:variant>
        <vt:i4>99</vt:i4>
      </vt:variant>
      <vt:variant>
        <vt:i4>0</vt:i4>
      </vt:variant>
      <vt:variant>
        <vt:i4>5</vt:i4>
      </vt:variant>
      <vt:variant>
        <vt:lpwstr>http://www.nevo.co.il/case/20564056</vt:lpwstr>
      </vt:variant>
      <vt:variant>
        <vt:lpwstr/>
      </vt:variant>
      <vt:variant>
        <vt:i4>3407988</vt:i4>
      </vt:variant>
      <vt:variant>
        <vt:i4>96</vt:i4>
      </vt:variant>
      <vt:variant>
        <vt:i4>0</vt:i4>
      </vt:variant>
      <vt:variant>
        <vt:i4>5</vt:i4>
      </vt:variant>
      <vt:variant>
        <vt:lpwstr>http://www.nevo.co.il/case/23125126</vt:lpwstr>
      </vt:variant>
      <vt:variant>
        <vt:lpwstr/>
      </vt:variant>
      <vt:variant>
        <vt:i4>3145846</vt:i4>
      </vt:variant>
      <vt:variant>
        <vt:i4>93</vt:i4>
      </vt:variant>
      <vt:variant>
        <vt:i4>0</vt:i4>
      </vt:variant>
      <vt:variant>
        <vt:i4>5</vt:i4>
      </vt:variant>
      <vt:variant>
        <vt:lpwstr>http://www.nevo.co.il/case/25024567</vt:lpwstr>
      </vt:variant>
      <vt:variant>
        <vt:lpwstr/>
      </vt:variant>
      <vt:variant>
        <vt:i4>4128887</vt:i4>
      </vt:variant>
      <vt:variant>
        <vt:i4>90</vt:i4>
      </vt:variant>
      <vt:variant>
        <vt:i4>0</vt:i4>
      </vt:variant>
      <vt:variant>
        <vt:i4>5</vt:i4>
      </vt:variant>
      <vt:variant>
        <vt:lpwstr>http://www.nevo.co.il/case/25105695</vt:lpwstr>
      </vt:variant>
      <vt:variant>
        <vt:lpwstr/>
      </vt:variant>
      <vt:variant>
        <vt:i4>3997820</vt:i4>
      </vt:variant>
      <vt:variant>
        <vt:i4>87</vt:i4>
      </vt:variant>
      <vt:variant>
        <vt:i4>0</vt:i4>
      </vt:variant>
      <vt:variant>
        <vt:i4>5</vt:i4>
      </vt:variant>
      <vt:variant>
        <vt:lpwstr>http://www.nevo.co.il/case/20799119</vt:lpwstr>
      </vt:variant>
      <vt:variant>
        <vt:lpwstr/>
      </vt:variant>
      <vt:variant>
        <vt:i4>3145841</vt:i4>
      </vt:variant>
      <vt:variant>
        <vt:i4>84</vt:i4>
      </vt:variant>
      <vt:variant>
        <vt:i4>0</vt:i4>
      </vt:variant>
      <vt:variant>
        <vt:i4>5</vt:i4>
      </vt:variant>
      <vt:variant>
        <vt:lpwstr>http://www.nevo.co.il/case/18056873</vt:lpwstr>
      </vt:variant>
      <vt:variant>
        <vt:lpwstr/>
      </vt:variant>
      <vt:variant>
        <vt:i4>3342451</vt:i4>
      </vt:variant>
      <vt:variant>
        <vt:i4>81</vt:i4>
      </vt:variant>
      <vt:variant>
        <vt:i4>0</vt:i4>
      </vt:variant>
      <vt:variant>
        <vt:i4>5</vt:i4>
      </vt:variant>
      <vt:variant>
        <vt:lpwstr>http://www.nevo.co.il/case/18773868</vt:lpwstr>
      </vt:variant>
      <vt:variant>
        <vt:lpwstr/>
      </vt:variant>
      <vt:variant>
        <vt:i4>3670134</vt:i4>
      </vt:variant>
      <vt:variant>
        <vt:i4>78</vt:i4>
      </vt:variant>
      <vt:variant>
        <vt:i4>0</vt:i4>
      </vt:variant>
      <vt:variant>
        <vt:i4>5</vt:i4>
      </vt:variant>
      <vt:variant>
        <vt:lpwstr>http://www.nevo.co.il/case/22556594</vt:lpwstr>
      </vt:variant>
      <vt:variant>
        <vt:lpwstr/>
      </vt:variant>
      <vt:variant>
        <vt:i4>3473525</vt:i4>
      </vt:variant>
      <vt:variant>
        <vt:i4>75</vt:i4>
      </vt:variant>
      <vt:variant>
        <vt:i4>0</vt:i4>
      </vt:variant>
      <vt:variant>
        <vt:i4>5</vt:i4>
      </vt:variant>
      <vt:variant>
        <vt:lpwstr>http://www.nevo.co.il/case/22654659</vt:lpwstr>
      </vt:variant>
      <vt:variant>
        <vt:lpwstr/>
      </vt:variant>
      <vt:variant>
        <vt:i4>3145841</vt:i4>
      </vt:variant>
      <vt:variant>
        <vt:i4>72</vt:i4>
      </vt:variant>
      <vt:variant>
        <vt:i4>0</vt:i4>
      </vt:variant>
      <vt:variant>
        <vt:i4>5</vt:i4>
      </vt:variant>
      <vt:variant>
        <vt:lpwstr>http://www.nevo.co.il/case/22054267</vt:lpwstr>
      </vt:variant>
      <vt:variant>
        <vt:lpwstr/>
      </vt:variant>
      <vt:variant>
        <vt:i4>3473525</vt:i4>
      </vt:variant>
      <vt:variant>
        <vt:i4>69</vt:i4>
      </vt:variant>
      <vt:variant>
        <vt:i4>0</vt:i4>
      </vt:variant>
      <vt:variant>
        <vt:i4>5</vt:i4>
      </vt:variant>
      <vt:variant>
        <vt:lpwstr>http://www.nevo.co.il/case/22654659</vt:lpwstr>
      </vt:variant>
      <vt:variant>
        <vt:lpwstr/>
      </vt:variant>
      <vt:variant>
        <vt:i4>3670134</vt:i4>
      </vt:variant>
      <vt:variant>
        <vt:i4>66</vt:i4>
      </vt:variant>
      <vt:variant>
        <vt:i4>0</vt:i4>
      </vt:variant>
      <vt:variant>
        <vt:i4>5</vt:i4>
      </vt:variant>
      <vt:variant>
        <vt:lpwstr>http://www.nevo.co.il/case/22556594</vt:lpwstr>
      </vt:variant>
      <vt:variant>
        <vt:lpwstr/>
      </vt:variant>
      <vt:variant>
        <vt:i4>3145841</vt:i4>
      </vt:variant>
      <vt:variant>
        <vt:i4>63</vt:i4>
      </vt:variant>
      <vt:variant>
        <vt:i4>0</vt:i4>
      </vt:variant>
      <vt:variant>
        <vt:i4>5</vt:i4>
      </vt:variant>
      <vt:variant>
        <vt:lpwstr>http://www.nevo.co.il/case/22054267</vt:lpwstr>
      </vt:variant>
      <vt:variant>
        <vt:lpwstr/>
      </vt:variant>
      <vt:variant>
        <vt:i4>3473525</vt:i4>
      </vt:variant>
      <vt:variant>
        <vt:i4>60</vt:i4>
      </vt:variant>
      <vt:variant>
        <vt:i4>0</vt:i4>
      </vt:variant>
      <vt:variant>
        <vt:i4>5</vt:i4>
      </vt:variant>
      <vt:variant>
        <vt:lpwstr>http://www.nevo.co.il/case/22654659</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3670134</vt:i4>
      </vt:variant>
      <vt:variant>
        <vt:i4>54</vt:i4>
      </vt:variant>
      <vt:variant>
        <vt:i4>0</vt:i4>
      </vt:variant>
      <vt:variant>
        <vt:i4>5</vt:i4>
      </vt:variant>
      <vt:variant>
        <vt:lpwstr>http://www.nevo.co.il/case/22556594</vt:lpwstr>
      </vt:variant>
      <vt:variant>
        <vt:lpwstr/>
      </vt:variant>
      <vt:variant>
        <vt:i4>6553697</vt:i4>
      </vt:variant>
      <vt:variant>
        <vt:i4>51</vt:i4>
      </vt:variant>
      <vt:variant>
        <vt:i4>0</vt:i4>
      </vt:variant>
      <vt:variant>
        <vt:i4>5</vt:i4>
      </vt:variant>
      <vt:variant>
        <vt:lpwstr>http://www.nevo.co.il/law/70301/413</vt:lpwstr>
      </vt:variant>
      <vt:variant>
        <vt:lpwstr/>
      </vt:variant>
      <vt:variant>
        <vt:i4>8257637</vt:i4>
      </vt:variant>
      <vt:variant>
        <vt:i4>48</vt:i4>
      </vt:variant>
      <vt:variant>
        <vt:i4>0</vt:i4>
      </vt:variant>
      <vt:variant>
        <vt:i4>5</vt:i4>
      </vt:variant>
      <vt:variant>
        <vt:lpwstr>http://www.nevo.co.il/law/4216</vt:lpwstr>
      </vt:variant>
      <vt:variant>
        <vt:lpwstr/>
      </vt:variant>
      <vt:variant>
        <vt:i4>5177418</vt:i4>
      </vt:variant>
      <vt:variant>
        <vt:i4>45</vt:i4>
      </vt:variant>
      <vt:variant>
        <vt:i4>0</vt:i4>
      </vt:variant>
      <vt:variant>
        <vt:i4>5</vt:i4>
      </vt:variant>
      <vt:variant>
        <vt:lpwstr>http://www.nevo.co.il/law/4216/14</vt:lpwstr>
      </vt:variant>
      <vt:variant>
        <vt:lpwstr/>
      </vt:variant>
      <vt:variant>
        <vt:i4>3145841</vt:i4>
      </vt:variant>
      <vt:variant>
        <vt:i4>42</vt:i4>
      </vt:variant>
      <vt:variant>
        <vt:i4>0</vt:i4>
      </vt:variant>
      <vt:variant>
        <vt:i4>5</vt:i4>
      </vt:variant>
      <vt:variant>
        <vt:lpwstr>http://www.nevo.co.il/case/22054267</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5177430</vt:i4>
      </vt:variant>
      <vt:variant>
        <vt:i4>24</vt:i4>
      </vt:variant>
      <vt:variant>
        <vt:i4>0</vt:i4>
      </vt:variant>
      <vt:variant>
        <vt:i4>5</vt:i4>
      </vt:variant>
      <vt:variant>
        <vt:lpwstr>http://www.nevo.co.il/law/70301/447.a</vt:lpwstr>
      </vt:variant>
      <vt:variant>
        <vt:lpwstr/>
      </vt:variant>
      <vt:variant>
        <vt:i4>5177418</vt:i4>
      </vt:variant>
      <vt:variant>
        <vt:i4>21</vt:i4>
      </vt:variant>
      <vt:variant>
        <vt:i4>0</vt:i4>
      </vt:variant>
      <vt:variant>
        <vt:i4>5</vt:i4>
      </vt:variant>
      <vt:variant>
        <vt:lpwstr>http://www.nevo.co.il/law/4216/14</vt:lpwstr>
      </vt:variant>
      <vt:variant>
        <vt:lpwstr/>
      </vt:variant>
      <vt:variant>
        <vt:i4>8257637</vt:i4>
      </vt:variant>
      <vt:variant>
        <vt:i4>18</vt:i4>
      </vt:variant>
      <vt:variant>
        <vt:i4>0</vt:i4>
      </vt:variant>
      <vt:variant>
        <vt:i4>5</vt:i4>
      </vt:variant>
      <vt:variant>
        <vt:lpwstr>http://www.nevo.co.il/law/4216</vt:lpwstr>
      </vt:variant>
      <vt:variant>
        <vt:lpwstr/>
      </vt:variant>
      <vt:variant>
        <vt:i4>6291553</vt:i4>
      </vt:variant>
      <vt:variant>
        <vt:i4>15</vt:i4>
      </vt:variant>
      <vt:variant>
        <vt:i4>0</vt:i4>
      </vt:variant>
      <vt:variant>
        <vt:i4>5</vt:i4>
      </vt:variant>
      <vt:variant>
        <vt:lpwstr>http://www.nevo.co.il/law/70301/452</vt:lpwstr>
      </vt:variant>
      <vt:variant>
        <vt:lpwstr/>
      </vt:variant>
      <vt:variant>
        <vt:i4>5177430</vt:i4>
      </vt:variant>
      <vt:variant>
        <vt:i4>12</vt:i4>
      </vt:variant>
      <vt:variant>
        <vt:i4>0</vt:i4>
      </vt:variant>
      <vt:variant>
        <vt:i4>5</vt:i4>
      </vt:variant>
      <vt:variant>
        <vt:lpwstr>http://www.nevo.co.il/law/70301/447.a</vt:lpwstr>
      </vt:variant>
      <vt:variant>
        <vt:lpwstr/>
      </vt:variant>
      <vt:variant>
        <vt:i4>6553697</vt:i4>
      </vt:variant>
      <vt:variant>
        <vt:i4>9</vt:i4>
      </vt:variant>
      <vt:variant>
        <vt:i4>0</vt:i4>
      </vt:variant>
      <vt:variant>
        <vt:i4>5</vt:i4>
      </vt:variant>
      <vt:variant>
        <vt:lpwstr>http://www.nevo.co.il/law/70301/413</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60385</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גיזאצ'או קנאו</vt:lpwstr>
  </property>
  <property fmtid="{D5CDD505-2E9C-101B-9397-08002B2CF9AE}" pid="10" name="LAWYER">
    <vt:lpwstr>אבישג לוי ברקוביץ';ענבר קינן</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20220601</vt:lpwstr>
  </property>
  <property fmtid="{D5CDD505-2E9C-101B-9397-08002B2CF9AE}" pid="14" name="TYPE_N_DATE">
    <vt:lpwstr>38020220601</vt:lpwstr>
  </property>
  <property fmtid="{D5CDD505-2E9C-101B-9397-08002B2CF9AE}" pid="15" name="WORDNUMPAGES">
    <vt:lpwstr>9</vt:lpwstr>
  </property>
  <property fmtid="{D5CDD505-2E9C-101B-9397-08002B2CF9AE}" pid="16" name="TYPE_ABS_DATE">
    <vt:lpwstr>380020220601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22054267:6;22556594:5;22654659:4;18773868;18056873;20799119;25105695;25024567;23125126;20564056;23659432;21603247;21605133;21051144;20574164;20332988;11330695;20111369;13100363;20075002;24976046;13093721;23825973</vt:lpwstr>
  </property>
  <property fmtid="{D5CDD505-2E9C-101B-9397-08002B2CF9AE}" pid="36" name="LAWLISTTMP1">
    <vt:lpwstr>70301/447.a;029:2;384:2;452;413</vt:lpwstr>
  </property>
  <property fmtid="{D5CDD505-2E9C-101B-9397-08002B2CF9AE}" pid="37" name="LAWLISTTMP2">
    <vt:lpwstr>4216/014</vt:lpwstr>
  </property>
</Properties>
</file>