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47D57" w:rsidRPr="00867ECD" w14:paraId="772F6219" w14:textId="77777777" w:rsidTr="002F10EA">
        <w:trPr>
          <w:trHeight w:hRule="exact" w:val="418"/>
          <w:jc w:val="center"/>
        </w:trPr>
        <w:tc>
          <w:tcPr>
            <w:tcW w:w="8721" w:type="dxa"/>
            <w:gridSpan w:val="2"/>
          </w:tcPr>
          <w:p w14:paraId="381E22F2" w14:textId="77777777" w:rsidR="00247D57" w:rsidRPr="00867ECD" w:rsidRDefault="00247D57" w:rsidP="00C036D4">
            <w:pPr>
              <w:pStyle w:val="a3"/>
              <w:jc w:val="center"/>
              <w:rPr>
                <w:rFonts w:ascii="Tahoma" w:hAnsi="Tahoma" w:cs="Tahoma"/>
                <w:color w:val="000080"/>
                <w:rtl/>
              </w:rPr>
            </w:pPr>
            <w:r w:rsidRPr="00867ECD">
              <w:rPr>
                <w:rFonts w:ascii="Tahoma" w:hAnsi="Tahoma" w:cs="Tahoma"/>
                <w:b/>
                <w:bCs/>
                <w:color w:val="000080"/>
                <w:rtl/>
              </w:rPr>
              <w:t>בית משפט השלום ברחובות</w:t>
            </w:r>
          </w:p>
        </w:tc>
      </w:tr>
      <w:tr w:rsidR="00247D57" w:rsidRPr="00867ECD" w14:paraId="6A99E262" w14:textId="77777777" w:rsidTr="002F10EA">
        <w:trPr>
          <w:trHeight w:val="337"/>
          <w:jc w:val="center"/>
        </w:trPr>
        <w:tc>
          <w:tcPr>
            <w:tcW w:w="5054" w:type="dxa"/>
          </w:tcPr>
          <w:p w14:paraId="6FD33E28" w14:textId="77777777" w:rsidR="00247D57" w:rsidRPr="00867ECD" w:rsidRDefault="00247D57" w:rsidP="00C036D4">
            <w:pPr>
              <w:rPr>
                <w:rFonts w:cs="FrankRuehl"/>
                <w:sz w:val="28"/>
                <w:szCs w:val="28"/>
                <w:rtl/>
              </w:rPr>
            </w:pPr>
            <w:r w:rsidRPr="00867ECD">
              <w:rPr>
                <w:rFonts w:cs="FrankRuehl"/>
                <w:sz w:val="28"/>
                <w:szCs w:val="28"/>
                <w:rtl/>
              </w:rPr>
              <w:t>ת"פ</w:t>
            </w:r>
            <w:r w:rsidRPr="00867ECD">
              <w:rPr>
                <w:rFonts w:cs="FrankRuehl" w:hint="cs"/>
                <w:sz w:val="28"/>
                <w:szCs w:val="28"/>
                <w:rtl/>
              </w:rPr>
              <w:t xml:space="preserve"> </w:t>
            </w:r>
            <w:r w:rsidRPr="00867ECD">
              <w:rPr>
                <w:rFonts w:cs="FrankRuehl"/>
                <w:sz w:val="28"/>
                <w:szCs w:val="28"/>
                <w:rtl/>
              </w:rPr>
              <w:t>60843-08-16</w:t>
            </w:r>
            <w:r w:rsidRPr="00867ECD">
              <w:rPr>
                <w:rFonts w:cs="FrankRuehl" w:hint="cs"/>
                <w:sz w:val="28"/>
                <w:szCs w:val="28"/>
                <w:rtl/>
              </w:rPr>
              <w:t xml:space="preserve"> </w:t>
            </w:r>
            <w:r w:rsidRPr="00867ECD">
              <w:rPr>
                <w:rFonts w:cs="FrankRuehl"/>
                <w:sz w:val="28"/>
                <w:szCs w:val="28"/>
                <w:rtl/>
              </w:rPr>
              <w:t>מדינת ישראל נ' סבג</w:t>
            </w:r>
          </w:p>
          <w:p w14:paraId="16048616" w14:textId="77777777" w:rsidR="00247D57" w:rsidRPr="00867ECD" w:rsidRDefault="00247D57" w:rsidP="00C036D4">
            <w:pPr>
              <w:pStyle w:val="a3"/>
              <w:rPr>
                <w:rFonts w:cs="FrankRuehl"/>
                <w:sz w:val="28"/>
                <w:szCs w:val="28"/>
                <w:rtl/>
              </w:rPr>
            </w:pPr>
            <w:r w:rsidRPr="00867ECD">
              <w:rPr>
                <w:rFonts w:cs="FrankRuehl" w:hint="cs"/>
                <w:sz w:val="28"/>
                <w:szCs w:val="28"/>
                <w:rtl/>
              </w:rPr>
              <w:t>ת"פ 37149-10-17</w:t>
            </w:r>
          </w:p>
        </w:tc>
        <w:tc>
          <w:tcPr>
            <w:tcW w:w="3667" w:type="dxa"/>
          </w:tcPr>
          <w:p w14:paraId="4698AFB7" w14:textId="77777777" w:rsidR="00247D57" w:rsidRPr="00867ECD" w:rsidRDefault="00247D57" w:rsidP="00C036D4">
            <w:pPr>
              <w:pStyle w:val="a3"/>
              <w:jc w:val="right"/>
              <w:rPr>
                <w:rFonts w:cs="FrankRuehl"/>
                <w:sz w:val="28"/>
                <w:szCs w:val="28"/>
                <w:rtl/>
              </w:rPr>
            </w:pPr>
          </w:p>
        </w:tc>
      </w:tr>
    </w:tbl>
    <w:p w14:paraId="2C8EC0D0" w14:textId="77777777" w:rsidR="00247D57" w:rsidRPr="00867ECD" w:rsidRDefault="00247D57" w:rsidP="00247D57">
      <w:pPr>
        <w:pStyle w:val="a3"/>
        <w:rPr>
          <w:rtl/>
        </w:rPr>
      </w:pPr>
      <w:r w:rsidRPr="00867ECD">
        <w:rPr>
          <w:rFonts w:hint="cs"/>
          <w:rtl/>
        </w:rPr>
        <w:t xml:space="preserve"> </w:t>
      </w:r>
    </w:p>
    <w:p w14:paraId="7B87C506" w14:textId="77777777" w:rsidR="00247D57" w:rsidRPr="00867ECD" w:rsidRDefault="00247D57" w:rsidP="00247D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247D57" w:rsidRPr="00867ECD" w14:paraId="5B545B08" w14:textId="77777777" w:rsidTr="00247D57">
        <w:trPr>
          <w:trHeight w:val="295"/>
          <w:jc w:val="center"/>
        </w:trPr>
        <w:tc>
          <w:tcPr>
            <w:tcW w:w="923" w:type="dxa"/>
            <w:tcBorders>
              <w:top w:val="nil"/>
              <w:left w:val="nil"/>
              <w:bottom w:val="nil"/>
              <w:right w:val="nil"/>
            </w:tcBorders>
            <w:shd w:val="clear" w:color="auto" w:fill="auto"/>
          </w:tcPr>
          <w:p w14:paraId="229E72BD" w14:textId="77777777" w:rsidR="00247D57" w:rsidRPr="00867ECD" w:rsidRDefault="00247D57" w:rsidP="00247D57">
            <w:pPr>
              <w:jc w:val="both"/>
              <w:rPr>
                <w:rFonts w:ascii="Arial" w:hAnsi="Arial" w:cs="FrankRuehl"/>
                <w:sz w:val="28"/>
                <w:szCs w:val="28"/>
              </w:rPr>
            </w:pPr>
            <w:r w:rsidRPr="00867ECD">
              <w:rPr>
                <w:rFonts w:ascii="Arial" w:hAnsi="Arial" w:cs="FrankRuehl" w:hint="cs"/>
                <w:sz w:val="28"/>
                <w:szCs w:val="28"/>
                <w:rtl/>
              </w:rPr>
              <w:t>ב</w:t>
            </w:r>
            <w:r w:rsidRPr="00867EC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3A4845E" w14:textId="77777777" w:rsidR="00247D57" w:rsidRPr="00867ECD" w:rsidRDefault="00247D57" w:rsidP="00C036D4">
            <w:pPr>
              <w:rPr>
                <w:rFonts w:ascii="Arial" w:hAnsi="Arial"/>
                <w:b/>
                <w:bCs/>
                <w:rtl/>
              </w:rPr>
            </w:pPr>
            <w:r w:rsidRPr="00867ECD">
              <w:rPr>
                <w:rFonts w:ascii="Arial" w:hAnsi="Arial" w:hint="cs"/>
                <w:b/>
                <w:bCs/>
                <w:rtl/>
              </w:rPr>
              <w:t>כבוד ה</w:t>
            </w:r>
            <w:r w:rsidRPr="00867ECD">
              <w:rPr>
                <w:rFonts w:ascii="Arial" w:hAnsi="Arial"/>
                <w:b/>
                <w:bCs/>
                <w:rtl/>
              </w:rPr>
              <w:t>שופטת, סגנית הנשיאה</w:t>
            </w:r>
            <w:r w:rsidRPr="00867ECD">
              <w:rPr>
                <w:rFonts w:ascii="Arial" w:hAnsi="Arial" w:hint="cs"/>
                <w:b/>
                <w:bCs/>
                <w:rtl/>
              </w:rPr>
              <w:t xml:space="preserve">  </w:t>
            </w:r>
            <w:r w:rsidRPr="00867ECD">
              <w:rPr>
                <w:rFonts w:ascii="Arial" w:hAnsi="Arial"/>
                <w:b/>
                <w:bCs/>
                <w:rtl/>
              </w:rPr>
              <w:t>אפרת פינק</w:t>
            </w:r>
          </w:p>
          <w:p w14:paraId="4976DD78" w14:textId="77777777" w:rsidR="00247D57" w:rsidRPr="00867ECD" w:rsidRDefault="00247D57" w:rsidP="00C036D4">
            <w:pPr>
              <w:rPr>
                <w:rtl/>
              </w:rPr>
            </w:pPr>
          </w:p>
          <w:p w14:paraId="701B1DD5" w14:textId="77777777" w:rsidR="00247D57" w:rsidRPr="00867ECD" w:rsidRDefault="00247D57" w:rsidP="00247D57">
            <w:pPr>
              <w:jc w:val="both"/>
              <w:rPr>
                <w:rFonts w:ascii="Arial" w:hAnsi="Arial" w:cs="FrankRuehl"/>
                <w:sz w:val="28"/>
                <w:szCs w:val="28"/>
              </w:rPr>
            </w:pPr>
          </w:p>
        </w:tc>
      </w:tr>
      <w:tr w:rsidR="00247D57" w:rsidRPr="00867ECD" w14:paraId="32A92EEC" w14:textId="77777777" w:rsidTr="00247D57">
        <w:trPr>
          <w:trHeight w:val="355"/>
          <w:jc w:val="center"/>
        </w:trPr>
        <w:tc>
          <w:tcPr>
            <w:tcW w:w="923" w:type="dxa"/>
            <w:tcBorders>
              <w:top w:val="nil"/>
              <w:left w:val="nil"/>
              <w:bottom w:val="nil"/>
              <w:right w:val="nil"/>
            </w:tcBorders>
            <w:shd w:val="clear" w:color="auto" w:fill="auto"/>
          </w:tcPr>
          <w:p w14:paraId="4E35160D" w14:textId="77777777" w:rsidR="00247D57" w:rsidRPr="00867ECD" w:rsidRDefault="00247D57" w:rsidP="00247D57">
            <w:pPr>
              <w:jc w:val="both"/>
              <w:rPr>
                <w:rFonts w:ascii="Arial" w:hAnsi="Arial"/>
                <w:b/>
                <w:bCs/>
                <w:sz w:val="28"/>
                <w:szCs w:val="28"/>
              </w:rPr>
            </w:pPr>
            <w:bookmarkStart w:id="0" w:name="FirstAppellant"/>
            <w:bookmarkStart w:id="1" w:name="LastJudge"/>
            <w:bookmarkEnd w:id="1"/>
            <w:r w:rsidRPr="00867EC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659BC9E3" w14:textId="77777777" w:rsidR="00247D57" w:rsidRPr="00867ECD" w:rsidRDefault="00247D57" w:rsidP="00C036D4">
            <w:pPr>
              <w:rPr>
                <w:b/>
                <w:bCs/>
              </w:rPr>
            </w:pPr>
            <w:r w:rsidRPr="00867ECD">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249CE926" w14:textId="77777777" w:rsidR="00247D57" w:rsidRPr="00867ECD" w:rsidRDefault="00247D57" w:rsidP="00247D57">
            <w:pPr>
              <w:jc w:val="both"/>
              <w:rPr>
                <w:rFonts w:ascii="Arial" w:hAnsi="Arial"/>
                <w:b/>
                <w:bCs/>
                <w:sz w:val="28"/>
                <w:szCs w:val="28"/>
              </w:rPr>
            </w:pPr>
          </w:p>
        </w:tc>
      </w:tr>
      <w:tr w:rsidR="00247D57" w:rsidRPr="00867ECD" w14:paraId="55B40EEB" w14:textId="77777777" w:rsidTr="00247D57">
        <w:trPr>
          <w:trHeight w:val="355"/>
          <w:jc w:val="center"/>
        </w:trPr>
        <w:tc>
          <w:tcPr>
            <w:tcW w:w="923" w:type="dxa"/>
            <w:tcBorders>
              <w:top w:val="nil"/>
              <w:left w:val="nil"/>
              <w:bottom w:val="nil"/>
              <w:right w:val="nil"/>
            </w:tcBorders>
            <w:shd w:val="clear" w:color="auto" w:fill="auto"/>
          </w:tcPr>
          <w:p w14:paraId="1F79DE97" w14:textId="77777777" w:rsidR="00247D57" w:rsidRPr="00867ECD" w:rsidRDefault="00247D57" w:rsidP="00247D57">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215D0BF1" w14:textId="77777777" w:rsidR="00247D57" w:rsidRPr="00867ECD" w:rsidRDefault="00247D57" w:rsidP="00247D57">
            <w:pPr>
              <w:jc w:val="both"/>
              <w:rPr>
                <w:rtl/>
              </w:rPr>
            </w:pPr>
            <w:r w:rsidRPr="00867ECD">
              <w:rPr>
                <w:rFonts w:hint="cs"/>
                <w:rtl/>
              </w:rPr>
              <w:t>ע"י ב"כ עו"ד שרית כץ ועו"ד שירן קון יגר</w:t>
            </w:r>
          </w:p>
        </w:tc>
        <w:tc>
          <w:tcPr>
            <w:tcW w:w="3771" w:type="dxa"/>
            <w:tcBorders>
              <w:top w:val="nil"/>
              <w:left w:val="nil"/>
              <w:bottom w:val="nil"/>
              <w:right w:val="nil"/>
            </w:tcBorders>
            <w:shd w:val="clear" w:color="auto" w:fill="auto"/>
          </w:tcPr>
          <w:p w14:paraId="099FE22A" w14:textId="77777777" w:rsidR="00247D57" w:rsidRPr="00867ECD" w:rsidRDefault="00247D57" w:rsidP="00247D57">
            <w:pPr>
              <w:jc w:val="right"/>
              <w:rPr>
                <w:rFonts w:ascii="Arial" w:hAnsi="Arial"/>
                <w:b/>
                <w:bCs/>
                <w:sz w:val="28"/>
                <w:szCs w:val="28"/>
                <w:rtl/>
              </w:rPr>
            </w:pPr>
            <w:r w:rsidRPr="00867ECD">
              <w:rPr>
                <w:rFonts w:ascii="Arial" w:hAnsi="Arial" w:hint="cs"/>
                <w:b/>
                <w:bCs/>
                <w:sz w:val="28"/>
                <w:szCs w:val="28"/>
                <w:rtl/>
              </w:rPr>
              <w:t>ה</w:t>
            </w:r>
            <w:r w:rsidRPr="00867ECD">
              <w:rPr>
                <w:rFonts w:ascii="Arial" w:hAnsi="Arial"/>
                <w:b/>
                <w:bCs/>
                <w:sz w:val="28"/>
                <w:szCs w:val="28"/>
                <w:rtl/>
              </w:rPr>
              <w:t>מאשימה</w:t>
            </w:r>
          </w:p>
        </w:tc>
      </w:tr>
      <w:bookmarkEnd w:id="2"/>
      <w:tr w:rsidR="00247D57" w:rsidRPr="00867ECD" w14:paraId="53418217" w14:textId="77777777" w:rsidTr="00247D57">
        <w:trPr>
          <w:trHeight w:val="355"/>
          <w:jc w:val="center"/>
        </w:trPr>
        <w:tc>
          <w:tcPr>
            <w:tcW w:w="923" w:type="dxa"/>
            <w:tcBorders>
              <w:top w:val="nil"/>
              <w:left w:val="nil"/>
              <w:bottom w:val="nil"/>
              <w:right w:val="nil"/>
            </w:tcBorders>
            <w:shd w:val="clear" w:color="auto" w:fill="auto"/>
          </w:tcPr>
          <w:p w14:paraId="77AD26E8" w14:textId="77777777" w:rsidR="00247D57" w:rsidRPr="00867ECD" w:rsidRDefault="00247D57" w:rsidP="00247D5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8BA94CE" w14:textId="77777777" w:rsidR="00247D57" w:rsidRPr="00867ECD" w:rsidRDefault="00247D57" w:rsidP="00247D57">
            <w:pPr>
              <w:jc w:val="center"/>
              <w:rPr>
                <w:rFonts w:ascii="Arial" w:hAnsi="Arial"/>
                <w:b/>
                <w:bCs/>
                <w:sz w:val="28"/>
                <w:szCs w:val="28"/>
                <w:rtl/>
              </w:rPr>
            </w:pPr>
          </w:p>
          <w:p w14:paraId="38EB8CDC" w14:textId="77777777" w:rsidR="00247D57" w:rsidRPr="00867ECD" w:rsidRDefault="00247D57" w:rsidP="00247D57">
            <w:pPr>
              <w:jc w:val="center"/>
              <w:rPr>
                <w:rFonts w:ascii="Arial" w:hAnsi="Arial"/>
                <w:b/>
                <w:bCs/>
                <w:sz w:val="28"/>
                <w:szCs w:val="28"/>
                <w:rtl/>
              </w:rPr>
            </w:pPr>
            <w:r w:rsidRPr="00867ECD">
              <w:rPr>
                <w:rFonts w:ascii="Arial" w:hAnsi="Arial"/>
                <w:b/>
                <w:bCs/>
                <w:sz w:val="28"/>
                <w:szCs w:val="28"/>
                <w:rtl/>
              </w:rPr>
              <w:t>נגד</w:t>
            </w:r>
          </w:p>
          <w:p w14:paraId="3F87AE96" w14:textId="77777777" w:rsidR="00247D57" w:rsidRPr="00867ECD" w:rsidRDefault="00247D57" w:rsidP="00247D57">
            <w:pPr>
              <w:jc w:val="both"/>
              <w:rPr>
                <w:rFonts w:ascii="Arial" w:hAnsi="Arial"/>
                <w:b/>
                <w:bCs/>
                <w:sz w:val="28"/>
                <w:szCs w:val="28"/>
              </w:rPr>
            </w:pPr>
          </w:p>
        </w:tc>
      </w:tr>
      <w:tr w:rsidR="00247D57" w:rsidRPr="00867ECD" w14:paraId="0B81E682" w14:textId="77777777" w:rsidTr="00247D57">
        <w:trPr>
          <w:trHeight w:val="355"/>
          <w:jc w:val="center"/>
        </w:trPr>
        <w:tc>
          <w:tcPr>
            <w:tcW w:w="923" w:type="dxa"/>
            <w:tcBorders>
              <w:top w:val="nil"/>
              <w:left w:val="nil"/>
              <w:bottom w:val="nil"/>
              <w:right w:val="nil"/>
            </w:tcBorders>
            <w:shd w:val="clear" w:color="auto" w:fill="auto"/>
          </w:tcPr>
          <w:p w14:paraId="13287EC8" w14:textId="77777777" w:rsidR="00247D57" w:rsidRPr="00867ECD" w:rsidRDefault="00247D57" w:rsidP="00C036D4">
            <w:pPr>
              <w:rPr>
                <w:rFonts w:ascii="Arial" w:hAnsi="Arial"/>
                <w:b/>
                <w:bCs/>
                <w:sz w:val="28"/>
                <w:szCs w:val="28"/>
                <w:rtl/>
              </w:rPr>
            </w:pPr>
          </w:p>
        </w:tc>
        <w:tc>
          <w:tcPr>
            <w:tcW w:w="4126" w:type="dxa"/>
            <w:tcBorders>
              <w:top w:val="nil"/>
              <w:left w:val="nil"/>
              <w:bottom w:val="nil"/>
              <w:right w:val="nil"/>
            </w:tcBorders>
            <w:shd w:val="clear" w:color="auto" w:fill="auto"/>
          </w:tcPr>
          <w:p w14:paraId="13946AA4" w14:textId="77777777" w:rsidR="00247D57" w:rsidRPr="00867ECD" w:rsidRDefault="00247D57" w:rsidP="00C036D4">
            <w:pPr>
              <w:rPr>
                <w:b/>
                <w:bCs/>
                <w:rtl/>
              </w:rPr>
            </w:pPr>
            <w:r w:rsidRPr="00867ECD">
              <w:rPr>
                <w:rFonts w:ascii="Arial" w:hAnsi="Arial"/>
                <w:b/>
                <w:bCs/>
                <w:sz w:val="28"/>
                <w:szCs w:val="28"/>
                <w:rtl/>
              </w:rPr>
              <w:t>גל סבג</w:t>
            </w:r>
            <w:r w:rsidRPr="00867ECD">
              <w:rPr>
                <w:rFonts w:hint="cs"/>
                <w:b/>
                <w:bCs/>
                <w:rtl/>
              </w:rPr>
              <w:t xml:space="preserve"> </w:t>
            </w:r>
            <w:r w:rsidRPr="00867ECD">
              <w:rPr>
                <w:b/>
                <w:bCs/>
                <w:rtl/>
              </w:rPr>
              <w:t>–</w:t>
            </w:r>
            <w:r w:rsidRPr="00867ECD">
              <w:rPr>
                <w:rFonts w:hint="cs"/>
                <w:b/>
                <w:bCs/>
                <w:rtl/>
              </w:rPr>
              <w:t xml:space="preserve"> בעצמו</w:t>
            </w:r>
          </w:p>
        </w:tc>
        <w:tc>
          <w:tcPr>
            <w:tcW w:w="3771" w:type="dxa"/>
            <w:tcBorders>
              <w:top w:val="nil"/>
              <w:left w:val="nil"/>
              <w:bottom w:val="nil"/>
              <w:right w:val="nil"/>
            </w:tcBorders>
            <w:shd w:val="clear" w:color="auto" w:fill="auto"/>
          </w:tcPr>
          <w:p w14:paraId="3FCBE0F5" w14:textId="77777777" w:rsidR="00247D57" w:rsidRPr="00867ECD" w:rsidRDefault="00247D57" w:rsidP="00247D57">
            <w:pPr>
              <w:jc w:val="right"/>
              <w:rPr>
                <w:rFonts w:ascii="Arial" w:hAnsi="Arial"/>
                <w:b/>
                <w:bCs/>
                <w:sz w:val="28"/>
                <w:szCs w:val="28"/>
              </w:rPr>
            </w:pPr>
          </w:p>
        </w:tc>
      </w:tr>
      <w:tr w:rsidR="00247D57" w:rsidRPr="00867ECD" w14:paraId="019CBE20" w14:textId="77777777" w:rsidTr="00247D57">
        <w:trPr>
          <w:trHeight w:val="355"/>
          <w:jc w:val="center"/>
        </w:trPr>
        <w:tc>
          <w:tcPr>
            <w:tcW w:w="923" w:type="dxa"/>
            <w:tcBorders>
              <w:top w:val="nil"/>
              <w:left w:val="nil"/>
              <w:bottom w:val="nil"/>
              <w:right w:val="nil"/>
            </w:tcBorders>
            <w:shd w:val="clear" w:color="auto" w:fill="auto"/>
          </w:tcPr>
          <w:p w14:paraId="1174B1FE" w14:textId="77777777" w:rsidR="00247D57" w:rsidRPr="00867ECD" w:rsidRDefault="00247D57" w:rsidP="00247D57">
            <w:pPr>
              <w:jc w:val="both"/>
              <w:rPr>
                <w:rFonts w:ascii="Arial" w:hAnsi="Arial"/>
                <w:b/>
                <w:bCs/>
                <w:sz w:val="28"/>
                <w:szCs w:val="28"/>
                <w:rtl/>
              </w:rPr>
            </w:pPr>
          </w:p>
        </w:tc>
        <w:tc>
          <w:tcPr>
            <w:tcW w:w="4126" w:type="dxa"/>
            <w:tcBorders>
              <w:top w:val="nil"/>
              <w:left w:val="nil"/>
              <w:bottom w:val="nil"/>
              <w:right w:val="nil"/>
            </w:tcBorders>
            <w:shd w:val="clear" w:color="auto" w:fill="auto"/>
          </w:tcPr>
          <w:p w14:paraId="44DD098E" w14:textId="77777777" w:rsidR="00247D57" w:rsidRPr="00867ECD" w:rsidRDefault="00247D57" w:rsidP="00247D57">
            <w:pPr>
              <w:jc w:val="both"/>
              <w:rPr>
                <w:rtl/>
              </w:rPr>
            </w:pPr>
            <w:r w:rsidRPr="00867ECD">
              <w:rPr>
                <w:rFonts w:hint="cs"/>
                <w:rtl/>
              </w:rPr>
              <w:t>ע"י ב"כ עו"ד אסף טל</w:t>
            </w:r>
          </w:p>
        </w:tc>
        <w:tc>
          <w:tcPr>
            <w:tcW w:w="3771" w:type="dxa"/>
            <w:tcBorders>
              <w:top w:val="nil"/>
              <w:left w:val="nil"/>
              <w:bottom w:val="nil"/>
              <w:right w:val="nil"/>
            </w:tcBorders>
            <w:shd w:val="clear" w:color="auto" w:fill="auto"/>
          </w:tcPr>
          <w:p w14:paraId="6EC473D6" w14:textId="77777777" w:rsidR="00247D57" w:rsidRPr="00867ECD" w:rsidRDefault="00247D57" w:rsidP="00247D57">
            <w:pPr>
              <w:jc w:val="right"/>
              <w:rPr>
                <w:rFonts w:ascii="Arial" w:hAnsi="Arial"/>
                <w:b/>
                <w:bCs/>
                <w:sz w:val="28"/>
                <w:szCs w:val="28"/>
              </w:rPr>
            </w:pPr>
            <w:r w:rsidRPr="00867ECD">
              <w:rPr>
                <w:rFonts w:ascii="Arial" w:hAnsi="Arial" w:hint="cs"/>
                <w:b/>
                <w:bCs/>
                <w:sz w:val="28"/>
                <w:szCs w:val="28"/>
                <w:rtl/>
              </w:rPr>
              <w:t>ה</w:t>
            </w:r>
            <w:r w:rsidRPr="00867ECD">
              <w:rPr>
                <w:rFonts w:ascii="Arial" w:hAnsi="Arial"/>
                <w:b/>
                <w:bCs/>
                <w:sz w:val="28"/>
                <w:szCs w:val="28"/>
                <w:rtl/>
              </w:rPr>
              <w:t>נאשם</w:t>
            </w:r>
          </w:p>
        </w:tc>
      </w:tr>
    </w:tbl>
    <w:p w14:paraId="75367BF5" w14:textId="77777777" w:rsidR="00514839" w:rsidRDefault="00514839" w:rsidP="00247D57">
      <w:pPr>
        <w:rPr>
          <w:rtl/>
        </w:rPr>
      </w:pPr>
      <w:bookmarkStart w:id="3" w:name="LawTable"/>
      <w:bookmarkEnd w:id="3"/>
    </w:p>
    <w:p w14:paraId="463E57E5" w14:textId="77777777" w:rsidR="00514839" w:rsidRPr="00514839" w:rsidRDefault="00514839" w:rsidP="00514839">
      <w:pPr>
        <w:spacing w:after="120" w:line="240" w:lineRule="exact"/>
        <w:ind w:left="283" w:hanging="283"/>
        <w:jc w:val="both"/>
        <w:rPr>
          <w:rFonts w:ascii="FrankRuehl" w:hAnsi="FrankRuehl" w:cs="FrankRuehl"/>
          <w:rtl/>
        </w:rPr>
      </w:pPr>
    </w:p>
    <w:p w14:paraId="60BED52A" w14:textId="77777777" w:rsidR="00514839" w:rsidRPr="00514839" w:rsidRDefault="00514839" w:rsidP="00514839">
      <w:pPr>
        <w:spacing w:after="120" w:line="240" w:lineRule="exact"/>
        <w:ind w:left="283" w:hanging="283"/>
        <w:jc w:val="both"/>
        <w:rPr>
          <w:rFonts w:ascii="FrankRuehl" w:hAnsi="FrankRuehl" w:cs="FrankRuehl"/>
          <w:rtl/>
        </w:rPr>
      </w:pPr>
      <w:r w:rsidRPr="00514839">
        <w:rPr>
          <w:rFonts w:ascii="FrankRuehl" w:hAnsi="FrankRuehl" w:cs="FrankRuehl"/>
          <w:rtl/>
        </w:rPr>
        <w:t xml:space="preserve">חקיקה שאוזכרה: </w:t>
      </w:r>
    </w:p>
    <w:p w14:paraId="14049875" w14:textId="77777777" w:rsidR="00514839" w:rsidRPr="00514839" w:rsidRDefault="00514839" w:rsidP="00514839">
      <w:pPr>
        <w:spacing w:after="120" w:line="240" w:lineRule="exact"/>
        <w:ind w:left="283" w:hanging="283"/>
        <w:jc w:val="both"/>
        <w:rPr>
          <w:rFonts w:ascii="FrankRuehl" w:hAnsi="FrankRuehl" w:cs="FrankRuehl"/>
          <w:rtl/>
        </w:rPr>
      </w:pPr>
      <w:hyperlink r:id="rId7" w:history="1">
        <w:r w:rsidRPr="00514839">
          <w:rPr>
            <w:rFonts w:ascii="FrankRuehl" w:hAnsi="FrankRuehl" w:cs="FrankRuehl"/>
            <w:color w:val="0000FF"/>
            <w:u w:val="single"/>
            <w:rtl/>
          </w:rPr>
          <w:t>חוק העונשין, תשל"ז-1977</w:t>
        </w:r>
      </w:hyperlink>
      <w:r w:rsidRPr="00514839">
        <w:rPr>
          <w:rFonts w:ascii="FrankRuehl" w:hAnsi="FrankRuehl" w:cs="FrankRuehl"/>
          <w:rtl/>
        </w:rPr>
        <w:t xml:space="preserve">: סע'  </w:t>
      </w:r>
      <w:hyperlink r:id="rId8" w:history="1">
        <w:r w:rsidRPr="00514839">
          <w:rPr>
            <w:rFonts w:ascii="FrankRuehl" w:hAnsi="FrankRuehl" w:cs="FrankRuehl"/>
            <w:color w:val="0000FF"/>
            <w:u w:val="single"/>
            <w:rtl/>
          </w:rPr>
          <w:t>186(א)</w:t>
        </w:r>
      </w:hyperlink>
    </w:p>
    <w:p w14:paraId="0F597F13" w14:textId="77777777" w:rsidR="00514839" w:rsidRPr="00514839" w:rsidRDefault="00514839" w:rsidP="00514839">
      <w:pPr>
        <w:spacing w:after="120" w:line="240" w:lineRule="exact"/>
        <w:ind w:left="283" w:hanging="283"/>
        <w:jc w:val="both"/>
        <w:rPr>
          <w:rFonts w:ascii="FrankRuehl" w:hAnsi="FrankRuehl" w:cs="FrankRuehl"/>
          <w:rtl/>
        </w:rPr>
      </w:pPr>
      <w:hyperlink r:id="rId9" w:history="1">
        <w:r w:rsidRPr="00514839">
          <w:rPr>
            <w:rFonts w:ascii="FrankRuehl" w:hAnsi="FrankRuehl" w:cs="FrankRuehl"/>
            <w:color w:val="0000FF"/>
            <w:u w:val="single"/>
            <w:rtl/>
          </w:rPr>
          <w:t>פקודת הסמים המסוכנים [נוסח חדש], תשל"ג-1973</w:t>
        </w:r>
      </w:hyperlink>
      <w:r w:rsidRPr="00514839">
        <w:rPr>
          <w:rFonts w:ascii="FrankRuehl" w:hAnsi="FrankRuehl" w:cs="FrankRuehl"/>
          <w:rtl/>
        </w:rPr>
        <w:t xml:space="preserve">: סע'  </w:t>
      </w:r>
      <w:hyperlink r:id="rId10" w:history="1">
        <w:r w:rsidRPr="00514839">
          <w:rPr>
            <w:rFonts w:ascii="FrankRuehl" w:hAnsi="FrankRuehl" w:cs="FrankRuehl"/>
            <w:color w:val="0000FF"/>
            <w:u w:val="single"/>
            <w:rtl/>
          </w:rPr>
          <w:t>7(א)</w:t>
        </w:r>
      </w:hyperlink>
      <w:r w:rsidRPr="00514839">
        <w:rPr>
          <w:rFonts w:ascii="FrankRuehl" w:hAnsi="FrankRuehl" w:cs="FrankRuehl"/>
          <w:rtl/>
        </w:rPr>
        <w:t xml:space="preserve">, </w:t>
      </w:r>
      <w:hyperlink r:id="rId11" w:history="1">
        <w:r w:rsidRPr="00514839">
          <w:rPr>
            <w:rFonts w:ascii="FrankRuehl" w:hAnsi="FrankRuehl" w:cs="FrankRuehl"/>
            <w:color w:val="0000FF"/>
            <w:u w:val="single"/>
            <w:rtl/>
          </w:rPr>
          <w:t>7(ג)</w:t>
        </w:r>
      </w:hyperlink>
      <w:r w:rsidRPr="00514839">
        <w:rPr>
          <w:rFonts w:ascii="FrankRuehl" w:hAnsi="FrankRuehl" w:cs="FrankRuehl"/>
          <w:rtl/>
        </w:rPr>
        <w:t xml:space="preserve">, </w:t>
      </w:r>
      <w:hyperlink r:id="rId12" w:history="1">
        <w:r w:rsidRPr="00514839">
          <w:rPr>
            <w:rFonts w:ascii="FrankRuehl" w:hAnsi="FrankRuehl" w:cs="FrankRuehl"/>
            <w:color w:val="0000FF"/>
            <w:u w:val="single"/>
            <w:rtl/>
          </w:rPr>
          <w:t>10</w:t>
        </w:r>
      </w:hyperlink>
    </w:p>
    <w:p w14:paraId="776CA2B6" w14:textId="77777777" w:rsidR="00514839" w:rsidRPr="00514839" w:rsidRDefault="00514839" w:rsidP="00514839">
      <w:pPr>
        <w:spacing w:after="120" w:line="240" w:lineRule="exact"/>
        <w:ind w:left="283" w:hanging="283"/>
        <w:jc w:val="both"/>
        <w:rPr>
          <w:rFonts w:ascii="FrankRuehl" w:hAnsi="FrankRuehl" w:cs="FrankRuehl"/>
          <w:rtl/>
        </w:rPr>
      </w:pPr>
    </w:p>
    <w:p w14:paraId="1DAB23C5" w14:textId="77777777" w:rsidR="00514839" w:rsidRPr="00514839" w:rsidRDefault="00514839" w:rsidP="00247D57">
      <w:pPr>
        <w:rPr>
          <w:rtl/>
        </w:rPr>
      </w:pPr>
      <w:bookmarkStart w:id="4" w:name="LawTable_End"/>
      <w:bookmarkEnd w:id="4"/>
    </w:p>
    <w:p w14:paraId="4987F596" w14:textId="77777777" w:rsidR="00867ECD" w:rsidRPr="00867ECD" w:rsidRDefault="00867ECD" w:rsidP="00247D57">
      <w:pPr>
        <w:rPr>
          <w:rtl/>
        </w:rPr>
      </w:pPr>
    </w:p>
    <w:p w14:paraId="7FE55E18" w14:textId="77777777" w:rsidR="00867ECD" w:rsidRPr="00867ECD" w:rsidRDefault="00867ECD" w:rsidP="00247D57">
      <w:pPr>
        <w:rPr>
          <w:rtl/>
        </w:rPr>
      </w:pPr>
    </w:p>
    <w:p w14:paraId="1D57C06C" w14:textId="77777777" w:rsidR="00247D57" w:rsidRPr="00867ECD" w:rsidRDefault="00247D57" w:rsidP="00247D5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7D57" w14:paraId="12CD0429" w14:textId="77777777" w:rsidTr="00247D57">
        <w:trPr>
          <w:trHeight w:val="355"/>
          <w:jc w:val="center"/>
        </w:trPr>
        <w:tc>
          <w:tcPr>
            <w:tcW w:w="8820" w:type="dxa"/>
            <w:tcBorders>
              <w:top w:val="nil"/>
              <w:left w:val="nil"/>
              <w:bottom w:val="nil"/>
              <w:right w:val="nil"/>
            </w:tcBorders>
            <w:shd w:val="clear" w:color="auto" w:fill="auto"/>
          </w:tcPr>
          <w:p w14:paraId="4A7DB2E5" w14:textId="77777777" w:rsidR="00867ECD" w:rsidRPr="00867ECD" w:rsidRDefault="00867ECD" w:rsidP="00867ECD">
            <w:pPr>
              <w:jc w:val="center"/>
              <w:rPr>
                <w:rFonts w:ascii="Arial" w:hAnsi="Arial" w:cs="FrankRuehl"/>
                <w:b/>
                <w:bCs/>
                <w:sz w:val="32"/>
                <w:szCs w:val="32"/>
                <w:u w:val="single"/>
                <w:rtl/>
              </w:rPr>
            </w:pPr>
            <w:bookmarkStart w:id="5" w:name="PsakDin" w:colFirst="0" w:colLast="0"/>
            <w:r w:rsidRPr="00867ECD">
              <w:rPr>
                <w:rFonts w:ascii="Arial" w:hAnsi="Arial" w:cs="FrankRuehl"/>
                <w:b/>
                <w:bCs/>
                <w:sz w:val="32"/>
                <w:szCs w:val="32"/>
                <w:u w:val="single"/>
                <w:rtl/>
              </w:rPr>
              <w:t>גזר דין</w:t>
            </w:r>
          </w:p>
          <w:p w14:paraId="5344D5DB" w14:textId="77777777" w:rsidR="00247D57" w:rsidRPr="00867ECD" w:rsidRDefault="00247D57" w:rsidP="00867ECD">
            <w:pPr>
              <w:jc w:val="center"/>
              <w:rPr>
                <w:rFonts w:ascii="Arial" w:hAnsi="Arial" w:cs="FrankRuehl"/>
                <w:bCs/>
                <w:sz w:val="32"/>
                <w:szCs w:val="32"/>
                <w:u w:val="single"/>
                <w:rtl/>
              </w:rPr>
            </w:pPr>
          </w:p>
        </w:tc>
      </w:tr>
      <w:bookmarkEnd w:id="5"/>
    </w:tbl>
    <w:p w14:paraId="5E2544F3" w14:textId="77777777" w:rsidR="00247D57" w:rsidRPr="00B05847" w:rsidRDefault="00247D57" w:rsidP="00247D57">
      <w:pPr>
        <w:rPr>
          <w:rFonts w:ascii="Arial" w:hAnsi="Arial"/>
          <w:rtl/>
        </w:rPr>
      </w:pPr>
    </w:p>
    <w:p w14:paraId="56D316FC" w14:textId="77777777" w:rsidR="00247D57" w:rsidRPr="00B05847" w:rsidRDefault="00247D57" w:rsidP="00247D57">
      <w:pPr>
        <w:rPr>
          <w:rFonts w:ascii="Arial" w:hAnsi="Arial"/>
          <w:rtl/>
        </w:rPr>
      </w:pPr>
    </w:p>
    <w:p w14:paraId="7B25B349" w14:textId="77777777" w:rsidR="00247D57" w:rsidRDefault="00247D57" w:rsidP="00247D57">
      <w:pPr>
        <w:spacing w:before="120" w:after="120"/>
        <w:ind w:left="509" w:hanging="567"/>
        <w:contextualSpacing/>
        <w:rPr>
          <w:b/>
          <w:bCs/>
          <w:u w:val="single"/>
        </w:rPr>
      </w:pPr>
      <w:r>
        <w:rPr>
          <w:rFonts w:hint="cs"/>
          <w:b/>
          <w:bCs/>
          <w:u w:val="single"/>
          <w:rtl/>
        </w:rPr>
        <w:t>מבוא</w:t>
      </w:r>
    </w:p>
    <w:p w14:paraId="705BED61" w14:textId="77777777" w:rsidR="00247D57" w:rsidRDefault="00247D57" w:rsidP="00247D57">
      <w:pPr>
        <w:pStyle w:val="ListParagraph1"/>
        <w:numPr>
          <w:ilvl w:val="0"/>
          <w:numId w:val="1"/>
        </w:numPr>
        <w:bidi/>
        <w:spacing w:before="120" w:after="120"/>
        <w:ind w:left="567" w:hanging="567"/>
        <w:jc w:val="both"/>
        <w:rPr>
          <w:rFonts w:cs="David"/>
          <w:sz w:val="24"/>
          <w:szCs w:val="24"/>
          <w:rtl/>
        </w:rPr>
      </w:pPr>
      <w:bookmarkStart w:id="6" w:name="ABSTRACT_START"/>
      <w:bookmarkEnd w:id="6"/>
      <w:r>
        <w:rPr>
          <w:rFonts w:cs="David" w:hint="cs"/>
          <w:sz w:val="24"/>
          <w:szCs w:val="24"/>
          <w:rtl/>
        </w:rPr>
        <w:t>הנאשם הורשע בשני כתבי אישום שצורפו זה לזה.</w:t>
      </w:r>
    </w:p>
    <w:p w14:paraId="11AE97CE" w14:textId="77777777" w:rsidR="00247D57" w:rsidRDefault="00247D57" w:rsidP="00247D57">
      <w:pPr>
        <w:pStyle w:val="ListParagraph1"/>
        <w:numPr>
          <w:ilvl w:val="0"/>
          <w:numId w:val="1"/>
        </w:numPr>
        <w:bidi/>
        <w:spacing w:before="120" w:after="120"/>
        <w:ind w:left="567" w:hanging="567"/>
        <w:jc w:val="both"/>
        <w:rPr>
          <w:rFonts w:cs="David"/>
          <w:sz w:val="24"/>
          <w:szCs w:val="24"/>
        </w:rPr>
      </w:pPr>
      <w:r>
        <w:rPr>
          <w:rFonts w:cs="David" w:hint="cs"/>
          <w:sz w:val="24"/>
          <w:szCs w:val="24"/>
          <w:rtl/>
        </w:rPr>
        <w:t>בהכרעת דין ב</w:t>
      </w:r>
      <w:hyperlink r:id="rId13" w:history="1">
        <w:r w:rsidR="00867ECD" w:rsidRPr="00867ECD">
          <w:rPr>
            <w:rFonts w:cs="David" w:hint="cs"/>
            <w:color w:val="0000FF"/>
            <w:sz w:val="24"/>
            <w:szCs w:val="24"/>
            <w:u w:val="single"/>
            <w:rtl/>
          </w:rPr>
          <w:t>ת</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60843-08-16</w:t>
        </w:r>
      </w:hyperlink>
      <w:r>
        <w:rPr>
          <w:rFonts w:cs="David" w:hint="cs"/>
          <w:sz w:val="24"/>
          <w:szCs w:val="24"/>
          <w:rtl/>
        </w:rPr>
        <w:t xml:space="preserve"> מיום 27.3.17, הורשע הנאשם, לפי הודאתו בעובדות כתב האישום המתוקן, בעבירה של עבירת החזקת סכין, לפי </w:t>
      </w:r>
      <w:hyperlink r:id="rId14" w:history="1">
        <w:r w:rsidR="002F10EA" w:rsidRPr="002F10EA">
          <w:rPr>
            <w:rFonts w:cs="David" w:hint="cs"/>
            <w:color w:val="0000FF"/>
            <w:sz w:val="24"/>
            <w:szCs w:val="24"/>
            <w:u w:val="single"/>
            <w:rtl/>
          </w:rPr>
          <w:t>סעיף</w:t>
        </w:r>
        <w:r w:rsidR="002F10EA" w:rsidRPr="002F10EA">
          <w:rPr>
            <w:rFonts w:cs="David"/>
            <w:color w:val="0000FF"/>
            <w:sz w:val="24"/>
            <w:szCs w:val="24"/>
            <w:u w:val="single"/>
            <w:rtl/>
          </w:rPr>
          <w:t xml:space="preserve"> 186(</w:t>
        </w:r>
        <w:r w:rsidR="002F10EA" w:rsidRPr="002F10EA">
          <w:rPr>
            <w:rFonts w:cs="David" w:hint="cs"/>
            <w:color w:val="0000FF"/>
            <w:sz w:val="24"/>
            <w:szCs w:val="24"/>
            <w:u w:val="single"/>
            <w:rtl/>
          </w:rPr>
          <w:t>א</w:t>
        </w:r>
        <w:r w:rsidR="002F10EA" w:rsidRPr="002F10EA">
          <w:rPr>
            <w:rFonts w:cs="David"/>
            <w:color w:val="0000FF"/>
            <w:sz w:val="24"/>
            <w:szCs w:val="24"/>
            <w:u w:val="single"/>
            <w:rtl/>
          </w:rPr>
          <w:t>)</w:t>
        </w:r>
      </w:hyperlink>
      <w:r>
        <w:rPr>
          <w:rFonts w:cs="David" w:hint="cs"/>
          <w:sz w:val="24"/>
          <w:szCs w:val="24"/>
          <w:rtl/>
        </w:rPr>
        <w:t xml:space="preserve"> ל</w:t>
      </w:r>
      <w:hyperlink r:id="rId15" w:history="1">
        <w:r w:rsidR="00867ECD" w:rsidRPr="00867ECD">
          <w:rPr>
            <w:rFonts w:cs="David" w:hint="cs"/>
            <w:color w:val="0000FF"/>
            <w:sz w:val="24"/>
            <w:szCs w:val="24"/>
            <w:u w:val="single"/>
            <w:rtl/>
          </w:rPr>
          <w:t>חוק</w:t>
        </w:r>
        <w:r w:rsidR="00867ECD" w:rsidRPr="00867ECD">
          <w:rPr>
            <w:rFonts w:cs="David"/>
            <w:color w:val="0000FF"/>
            <w:sz w:val="24"/>
            <w:szCs w:val="24"/>
            <w:u w:val="single"/>
            <w:rtl/>
          </w:rPr>
          <w:t xml:space="preserve"> </w:t>
        </w:r>
        <w:r w:rsidR="00867ECD" w:rsidRPr="00867ECD">
          <w:rPr>
            <w:rFonts w:cs="David" w:hint="cs"/>
            <w:color w:val="0000FF"/>
            <w:sz w:val="24"/>
            <w:szCs w:val="24"/>
            <w:u w:val="single"/>
            <w:rtl/>
          </w:rPr>
          <w:t>העונשין</w:t>
        </w:r>
      </w:hyperlink>
      <w:r>
        <w:rPr>
          <w:rFonts w:cs="David" w:hint="cs"/>
          <w:sz w:val="24"/>
          <w:szCs w:val="24"/>
          <w:rtl/>
        </w:rPr>
        <w:t>, התשל"ז – 1977 (להלן – "</w:t>
      </w:r>
      <w:r>
        <w:rPr>
          <w:rFonts w:cs="David" w:hint="cs"/>
          <w:b/>
          <w:bCs/>
          <w:sz w:val="24"/>
          <w:szCs w:val="24"/>
          <w:rtl/>
        </w:rPr>
        <w:t>כתב האישום הראשון</w:t>
      </w:r>
      <w:r>
        <w:rPr>
          <w:rFonts w:cs="David" w:hint="cs"/>
          <w:sz w:val="24"/>
          <w:szCs w:val="24"/>
          <w:rtl/>
        </w:rPr>
        <w:t xml:space="preserve">"). </w:t>
      </w:r>
    </w:p>
    <w:p w14:paraId="72026D29" w14:textId="77777777" w:rsidR="00247D57" w:rsidRDefault="00247D57" w:rsidP="00247D57">
      <w:pPr>
        <w:pStyle w:val="ListParagraph1"/>
        <w:bidi/>
        <w:spacing w:before="120" w:after="120"/>
        <w:ind w:left="567"/>
        <w:jc w:val="both"/>
        <w:rPr>
          <w:rFonts w:cs="David"/>
          <w:sz w:val="24"/>
          <w:szCs w:val="24"/>
        </w:rPr>
      </w:pPr>
      <w:r>
        <w:rPr>
          <w:rFonts w:cs="David" w:hint="cs"/>
          <w:sz w:val="24"/>
          <w:szCs w:val="24"/>
          <w:rtl/>
        </w:rPr>
        <w:t xml:space="preserve">לפי כתב האישום המתוקן, בבוקר יום 19.4.16 נסע הנאשם ברכב באזור התעשייה פארק ראם, ובארנק שהוציא מכיס מכנסיו החזיק סכין מתקפלת שאורך להבה 9.5 ס"מ.   </w:t>
      </w:r>
    </w:p>
    <w:p w14:paraId="6222A7FE" w14:textId="77777777" w:rsidR="00247D57" w:rsidRDefault="00247D57" w:rsidP="00247D57">
      <w:pPr>
        <w:pStyle w:val="ListParagraph1"/>
        <w:bidi/>
        <w:spacing w:before="120" w:after="120"/>
        <w:ind w:left="567"/>
        <w:jc w:val="both"/>
        <w:rPr>
          <w:rFonts w:cs="David"/>
          <w:sz w:val="24"/>
          <w:szCs w:val="24"/>
          <w:rtl/>
        </w:rPr>
      </w:pPr>
      <w:r>
        <w:rPr>
          <w:rFonts w:cs="David" w:hint="cs"/>
          <w:sz w:val="24"/>
          <w:szCs w:val="24"/>
          <w:rtl/>
        </w:rPr>
        <w:t>לפי הסדר הטיעון שהוצג, נשלח הנאשם לשירות המבחן ולממונה על עבודות שירות. כן הוסכם כי ככל שהתסקיר יהיה חיובי בפרמטרים שפורטו, תעתור התביעה להטלת עונש של מאסר שיכול ויבוצע בדרך של עבודות שירות לצד ענישה נלווית, וכי ההגנה תהיה, בכל מקרה, חופשית בטיעוניה.</w:t>
      </w:r>
    </w:p>
    <w:p w14:paraId="66939CE7" w14:textId="77777777" w:rsidR="00247D57" w:rsidRDefault="00247D57" w:rsidP="00247D57">
      <w:pPr>
        <w:pStyle w:val="ListParagraph1"/>
        <w:numPr>
          <w:ilvl w:val="0"/>
          <w:numId w:val="1"/>
        </w:numPr>
        <w:bidi/>
        <w:spacing w:before="120" w:after="120"/>
        <w:ind w:left="509" w:hanging="567"/>
        <w:jc w:val="both"/>
        <w:rPr>
          <w:rFonts w:cs="David"/>
          <w:sz w:val="24"/>
          <w:szCs w:val="24"/>
        </w:rPr>
      </w:pPr>
      <w:bookmarkStart w:id="7" w:name="ABSTRACT_END"/>
      <w:bookmarkEnd w:id="7"/>
      <w:r>
        <w:rPr>
          <w:rFonts w:cs="David" w:hint="cs"/>
          <w:sz w:val="24"/>
          <w:szCs w:val="24"/>
          <w:rtl/>
        </w:rPr>
        <w:lastRenderedPageBreak/>
        <w:t>בהכרעת דין ב</w:t>
      </w:r>
      <w:hyperlink r:id="rId16" w:history="1">
        <w:r w:rsidR="00867ECD" w:rsidRPr="00867ECD">
          <w:rPr>
            <w:rFonts w:cs="David" w:hint="cs"/>
            <w:color w:val="0000FF"/>
            <w:sz w:val="24"/>
            <w:szCs w:val="24"/>
            <w:u w:val="single"/>
            <w:rtl/>
          </w:rPr>
          <w:t>ת</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37149-10-17</w:t>
        </w:r>
      </w:hyperlink>
      <w:r>
        <w:rPr>
          <w:rFonts w:cs="David" w:hint="cs"/>
          <w:sz w:val="24"/>
          <w:szCs w:val="24"/>
          <w:rtl/>
        </w:rPr>
        <w:t xml:space="preserve">, הורשע הנאשם, לפי הודאתו בעובדות כתב האישום המתוקן, בעבירה של החזקת סם מסוכן שלא לצריכה עצמית, לפי </w:t>
      </w:r>
      <w:hyperlink r:id="rId17" w:history="1">
        <w:r w:rsidR="002F10EA" w:rsidRPr="002F10EA">
          <w:rPr>
            <w:rFonts w:cs="David" w:hint="cs"/>
            <w:color w:val="0000FF"/>
            <w:sz w:val="24"/>
            <w:szCs w:val="24"/>
            <w:u w:val="single"/>
            <w:rtl/>
          </w:rPr>
          <w:t>סעיף</w:t>
        </w:r>
        <w:r w:rsidR="002F10EA" w:rsidRPr="002F10EA">
          <w:rPr>
            <w:rFonts w:cs="David"/>
            <w:color w:val="0000FF"/>
            <w:sz w:val="24"/>
            <w:szCs w:val="24"/>
            <w:u w:val="single"/>
            <w:rtl/>
          </w:rPr>
          <w:t xml:space="preserve"> 7(</w:t>
        </w:r>
        <w:r w:rsidR="002F10EA" w:rsidRPr="002F10EA">
          <w:rPr>
            <w:rFonts w:cs="David" w:hint="cs"/>
            <w:color w:val="0000FF"/>
            <w:sz w:val="24"/>
            <w:szCs w:val="24"/>
            <w:u w:val="single"/>
            <w:rtl/>
          </w:rPr>
          <w:t>א</w:t>
        </w:r>
        <w:r w:rsidR="002F10EA" w:rsidRPr="002F10EA">
          <w:rPr>
            <w:rFonts w:cs="David"/>
            <w:color w:val="0000FF"/>
            <w:sz w:val="24"/>
            <w:szCs w:val="24"/>
            <w:u w:val="single"/>
            <w:rtl/>
          </w:rPr>
          <w:t>)</w:t>
        </w:r>
      </w:hyperlink>
      <w:r>
        <w:rPr>
          <w:rFonts w:cs="David" w:hint="cs"/>
          <w:sz w:val="24"/>
          <w:szCs w:val="24"/>
          <w:rtl/>
        </w:rPr>
        <w:t xml:space="preserve"> יחד עם </w:t>
      </w:r>
      <w:hyperlink r:id="rId18" w:history="1">
        <w:r w:rsidR="002F10EA" w:rsidRPr="002F10EA">
          <w:rPr>
            <w:rFonts w:cs="David" w:hint="cs"/>
            <w:color w:val="0000FF"/>
            <w:sz w:val="24"/>
            <w:szCs w:val="24"/>
            <w:u w:val="single"/>
            <w:rtl/>
          </w:rPr>
          <w:t>סעיף</w:t>
        </w:r>
        <w:r w:rsidR="002F10EA" w:rsidRPr="002F10EA">
          <w:rPr>
            <w:rFonts w:cs="David"/>
            <w:color w:val="0000FF"/>
            <w:sz w:val="24"/>
            <w:szCs w:val="24"/>
            <w:u w:val="single"/>
            <w:rtl/>
          </w:rPr>
          <w:t xml:space="preserve"> 7(</w:t>
        </w:r>
        <w:r w:rsidR="002F10EA" w:rsidRPr="002F10EA">
          <w:rPr>
            <w:rFonts w:cs="David" w:hint="cs"/>
            <w:color w:val="0000FF"/>
            <w:sz w:val="24"/>
            <w:szCs w:val="24"/>
            <w:u w:val="single"/>
            <w:rtl/>
          </w:rPr>
          <w:t>ג</w:t>
        </w:r>
        <w:r w:rsidR="002F10EA" w:rsidRPr="002F10EA">
          <w:rPr>
            <w:rFonts w:cs="David"/>
            <w:color w:val="0000FF"/>
            <w:sz w:val="24"/>
            <w:szCs w:val="24"/>
            <w:u w:val="single"/>
            <w:rtl/>
          </w:rPr>
          <w:t>)</w:t>
        </w:r>
      </w:hyperlink>
      <w:r>
        <w:rPr>
          <w:rFonts w:cs="David" w:hint="cs"/>
          <w:sz w:val="24"/>
          <w:szCs w:val="24"/>
          <w:rtl/>
        </w:rPr>
        <w:t xml:space="preserve"> רישא ל</w:t>
      </w:r>
      <w:hyperlink r:id="rId19" w:history="1">
        <w:r w:rsidR="00867ECD" w:rsidRPr="00867ECD">
          <w:rPr>
            <w:rFonts w:cs="David" w:hint="cs"/>
            <w:color w:val="0000FF"/>
            <w:sz w:val="24"/>
            <w:szCs w:val="24"/>
            <w:u w:val="single"/>
            <w:rtl/>
          </w:rPr>
          <w:t>פקודת</w:t>
        </w:r>
        <w:r w:rsidR="00867ECD" w:rsidRPr="00867ECD">
          <w:rPr>
            <w:rFonts w:cs="David"/>
            <w:color w:val="0000FF"/>
            <w:sz w:val="24"/>
            <w:szCs w:val="24"/>
            <w:u w:val="single"/>
            <w:rtl/>
          </w:rPr>
          <w:t xml:space="preserve"> </w:t>
        </w:r>
        <w:r w:rsidR="00867ECD" w:rsidRPr="00867ECD">
          <w:rPr>
            <w:rFonts w:cs="David" w:hint="cs"/>
            <w:color w:val="0000FF"/>
            <w:sz w:val="24"/>
            <w:szCs w:val="24"/>
            <w:u w:val="single"/>
            <w:rtl/>
          </w:rPr>
          <w:t>הסמים</w:t>
        </w:r>
        <w:r w:rsidR="00867ECD" w:rsidRPr="00867ECD">
          <w:rPr>
            <w:rFonts w:cs="David"/>
            <w:color w:val="0000FF"/>
            <w:sz w:val="24"/>
            <w:szCs w:val="24"/>
            <w:u w:val="single"/>
            <w:rtl/>
          </w:rPr>
          <w:t xml:space="preserve"> </w:t>
        </w:r>
        <w:r w:rsidR="00867ECD" w:rsidRPr="00867ECD">
          <w:rPr>
            <w:rFonts w:cs="David" w:hint="cs"/>
            <w:color w:val="0000FF"/>
            <w:sz w:val="24"/>
            <w:szCs w:val="24"/>
            <w:u w:val="single"/>
            <w:rtl/>
          </w:rPr>
          <w:t>המסוכנים</w:t>
        </w:r>
      </w:hyperlink>
      <w:r>
        <w:rPr>
          <w:rFonts w:cs="David" w:hint="cs"/>
          <w:sz w:val="24"/>
          <w:szCs w:val="24"/>
          <w:rtl/>
        </w:rPr>
        <w:t xml:space="preserve">, התשל"ג – 1973, ובעבירה של החזקת כלים להכנת סם שלא לצריכה עצמית, לפי </w:t>
      </w:r>
      <w:hyperlink r:id="rId20" w:history="1">
        <w:r w:rsidR="002F10EA" w:rsidRPr="002F10EA">
          <w:rPr>
            <w:rFonts w:cs="David" w:hint="cs"/>
            <w:color w:val="0000FF"/>
            <w:sz w:val="24"/>
            <w:szCs w:val="24"/>
            <w:u w:val="single"/>
            <w:rtl/>
          </w:rPr>
          <w:t>סעיף</w:t>
        </w:r>
        <w:r w:rsidR="002F10EA" w:rsidRPr="002F10EA">
          <w:rPr>
            <w:rFonts w:cs="David"/>
            <w:color w:val="0000FF"/>
            <w:sz w:val="24"/>
            <w:szCs w:val="24"/>
            <w:u w:val="single"/>
            <w:rtl/>
          </w:rPr>
          <w:t xml:space="preserve"> 10</w:t>
        </w:r>
      </w:hyperlink>
      <w:r>
        <w:rPr>
          <w:rFonts w:cs="David" w:hint="cs"/>
          <w:sz w:val="24"/>
          <w:szCs w:val="24"/>
          <w:rtl/>
        </w:rPr>
        <w:t xml:space="preserve"> רישא לפקודת הסמים המסוכנים (להלן – "</w:t>
      </w:r>
      <w:r>
        <w:rPr>
          <w:rFonts w:cs="David" w:hint="cs"/>
          <w:b/>
          <w:bCs/>
          <w:sz w:val="24"/>
          <w:szCs w:val="24"/>
          <w:rtl/>
        </w:rPr>
        <w:t>כתב האישום השני</w:t>
      </w:r>
      <w:r>
        <w:rPr>
          <w:rFonts w:cs="David" w:hint="cs"/>
          <w:sz w:val="24"/>
          <w:szCs w:val="24"/>
          <w:rtl/>
        </w:rPr>
        <w:t xml:space="preserve">"). </w:t>
      </w:r>
    </w:p>
    <w:p w14:paraId="47F73DC2" w14:textId="77777777" w:rsidR="00247D57" w:rsidRDefault="00247D57" w:rsidP="00247D57">
      <w:pPr>
        <w:pStyle w:val="ListParagraph1"/>
        <w:bidi/>
        <w:spacing w:before="120" w:after="120"/>
        <w:ind w:left="509"/>
        <w:jc w:val="both"/>
        <w:rPr>
          <w:rFonts w:cs="David"/>
          <w:sz w:val="24"/>
          <w:szCs w:val="24"/>
        </w:rPr>
      </w:pPr>
      <w:r>
        <w:rPr>
          <w:rFonts w:cs="David" w:hint="cs"/>
          <w:sz w:val="24"/>
          <w:szCs w:val="24"/>
          <w:rtl/>
        </w:rPr>
        <w:t xml:space="preserve">לפי כתב האישום המתוקן, בליל יום 7.9.16, במהלך חיפוש שנערך לפי צו בית המשפט נתפסו הפריטים הבאים: סם מסוכן מסוג קוקאין במשקל 5.9992 גרם נטו; סם מסוכן מסוג חשיש במשקל 83.51 גרם נטו; ומשקל אלקטרוני. </w:t>
      </w:r>
    </w:p>
    <w:p w14:paraId="73090E45" w14:textId="77777777" w:rsidR="00247D57" w:rsidRDefault="00247D57" w:rsidP="00247D57">
      <w:pPr>
        <w:pStyle w:val="ListParagraph1"/>
        <w:bidi/>
        <w:spacing w:before="120" w:after="120"/>
        <w:ind w:left="509"/>
        <w:jc w:val="both"/>
        <w:rPr>
          <w:rFonts w:cs="David"/>
          <w:sz w:val="24"/>
          <w:szCs w:val="24"/>
        </w:rPr>
      </w:pPr>
      <w:r>
        <w:rPr>
          <w:rFonts w:cs="David" w:hint="cs"/>
          <w:sz w:val="24"/>
          <w:szCs w:val="24"/>
          <w:rtl/>
        </w:rPr>
        <w:t xml:space="preserve">בהסדר הטיעון הנוסף, לא הוצגה הסכמה עונשית, והנאשם נשלח לשירות המבחן לעריכת תסקיר בנוגע לשני התיקים. </w:t>
      </w:r>
    </w:p>
    <w:p w14:paraId="3D756241" w14:textId="77777777" w:rsidR="00247D57" w:rsidRDefault="00247D57" w:rsidP="00247D57">
      <w:pPr>
        <w:spacing w:before="120" w:after="120"/>
        <w:ind w:left="-58"/>
        <w:jc w:val="both"/>
        <w:rPr>
          <w:b/>
          <w:bCs/>
          <w:i/>
          <w:iCs/>
          <w:u w:val="single"/>
          <w:rtl/>
        </w:rPr>
      </w:pPr>
    </w:p>
    <w:p w14:paraId="5B4734BF" w14:textId="77777777" w:rsidR="00247D57" w:rsidRDefault="00247D57" w:rsidP="00247D57">
      <w:pPr>
        <w:spacing w:before="120" w:after="120"/>
        <w:ind w:left="-58"/>
        <w:jc w:val="both"/>
        <w:rPr>
          <w:b/>
          <w:bCs/>
          <w:u w:val="single"/>
          <w:rtl/>
        </w:rPr>
      </w:pPr>
      <w:r>
        <w:rPr>
          <w:rFonts w:hint="cs"/>
          <w:b/>
          <w:bCs/>
          <w:u w:val="single"/>
          <w:rtl/>
        </w:rPr>
        <w:t>תסקיר שירות המבחן וחוות דעת הממונה על עבודות שירות</w:t>
      </w:r>
    </w:p>
    <w:p w14:paraId="55BF7B1F" w14:textId="77777777" w:rsidR="00247D57" w:rsidRDefault="00247D57" w:rsidP="00247D57">
      <w:pPr>
        <w:pStyle w:val="ListParagraph1"/>
        <w:numPr>
          <w:ilvl w:val="0"/>
          <w:numId w:val="1"/>
        </w:numPr>
        <w:bidi/>
        <w:spacing w:before="120" w:after="120"/>
        <w:ind w:left="509" w:hanging="567"/>
        <w:jc w:val="both"/>
        <w:rPr>
          <w:rFonts w:cs="David"/>
          <w:b/>
          <w:bCs/>
          <w:i/>
          <w:iCs/>
          <w:sz w:val="24"/>
          <w:szCs w:val="24"/>
          <w:u w:val="single"/>
        </w:rPr>
      </w:pPr>
      <w:r>
        <w:rPr>
          <w:rFonts w:cs="David" w:hint="cs"/>
          <w:sz w:val="24"/>
          <w:szCs w:val="24"/>
          <w:rtl/>
        </w:rPr>
        <w:t xml:space="preserve">תסקירו הראשון של שירות המבחן מיום 17.9.17 עניינו בכתב האישום הראשון בלבד. בתסקירו, ציין שירות המבחן כי הנאשם בן 26, רווק ומתגורר בבית הוריו בגדרה. הנאשם עובד כקצב באטליז. כן התייחס שירות המבחן להרשעותיו הקודמות של הנאשם מהשנים 2010 - 2014 בעבירות סמים, היעדר משירות צבאי ואלימות, בגינן נדון למאסר על תנאי וענישה נלווית. </w:t>
      </w:r>
    </w:p>
    <w:p w14:paraId="2DE33824" w14:textId="77777777" w:rsidR="00247D57" w:rsidRDefault="00247D57" w:rsidP="00247D57">
      <w:pPr>
        <w:pStyle w:val="ListParagraph1"/>
        <w:bidi/>
        <w:spacing w:before="120" w:after="120"/>
        <w:ind w:left="509"/>
        <w:jc w:val="both"/>
        <w:rPr>
          <w:rFonts w:cs="David"/>
          <w:sz w:val="24"/>
          <w:szCs w:val="24"/>
        </w:rPr>
      </w:pPr>
      <w:r>
        <w:rPr>
          <w:rFonts w:cs="David" w:hint="cs"/>
          <w:sz w:val="24"/>
          <w:szCs w:val="24"/>
          <w:rtl/>
        </w:rPr>
        <w:t>להתרשמות שירות המבחן, הנאשם נטל אחריות למעשיו, הבין את הפסול בהם והביע צער, חרטה ובושה על התנהגותו. כן מסר הנאשם כי פנה מיוזמתו ליחדה להתמכרויות בגדרה. שירות המבחן הוסיף, כי הנאשם מתמיד בטיפול, ולא נמצאו שרידי סם בבדיקות שתן שמסר הנאשם. לאור האמור, המליץ שירות המבחן באותה העת, להטיל על הנאשם צו מבחן למשך שנה לצד מאסר בדרך של עבודות שירות.</w:t>
      </w:r>
    </w:p>
    <w:p w14:paraId="00ED9BCB" w14:textId="77777777" w:rsidR="00247D57" w:rsidRDefault="00247D57" w:rsidP="00247D57">
      <w:pPr>
        <w:pStyle w:val="ListParagraph1"/>
        <w:bidi/>
        <w:spacing w:before="120" w:after="120"/>
        <w:ind w:left="509"/>
        <w:jc w:val="both"/>
        <w:rPr>
          <w:rFonts w:cs="David"/>
          <w:sz w:val="24"/>
          <w:szCs w:val="24"/>
          <w:rtl/>
        </w:rPr>
      </w:pPr>
      <w:r>
        <w:rPr>
          <w:rFonts w:cs="David" w:hint="cs"/>
          <w:sz w:val="24"/>
          <w:szCs w:val="24"/>
          <w:rtl/>
        </w:rPr>
        <w:t>כאן מקום להעיר, כי באותה העת סבר שירות המבחן, בשגגה, כי ישנה הסכמה בין הצדדים להטיל על הנאשם עונש של מאסר בדרך של עבודות שירות.</w:t>
      </w:r>
    </w:p>
    <w:p w14:paraId="367E5EA3" w14:textId="77777777" w:rsidR="00247D57" w:rsidRDefault="00247D57" w:rsidP="00247D57">
      <w:pPr>
        <w:pStyle w:val="ListParagraph1"/>
        <w:numPr>
          <w:ilvl w:val="0"/>
          <w:numId w:val="1"/>
        </w:numPr>
        <w:bidi/>
        <w:spacing w:before="120" w:after="120"/>
        <w:ind w:left="509" w:hanging="567"/>
        <w:jc w:val="both"/>
        <w:rPr>
          <w:rFonts w:cs="David"/>
          <w:b/>
          <w:bCs/>
          <w:i/>
          <w:iCs/>
          <w:sz w:val="24"/>
          <w:szCs w:val="24"/>
          <w:u w:val="single"/>
          <w:rtl/>
        </w:rPr>
      </w:pPr>
      <w:r>
        <w:rPr>
          <w:rFonts w:cs="David" w:hint="cs"/>
          <w:sz w:val="24"/>
          <w:szCs w:val="24"/>
          <w:rtl/>
        </w:rPr>
        <w:t>תסקירו השני של שירות המבחן מיום 8.3.18 התייחס לשני כתבי האישום. בתסקירו המשלים ציין שירות המבחן כי הנאשם מתמיד במסגרת הטיפולית, משתף פעולה, ולא נמצאו שרידי סם בשלוש בדיקות שתן שנערכו לנאשם. לאור השינוי החיובי באורח חייו של הנאשם, המליץ שירות המבחן להטיל עליו צו מבחן למשך שנה, צו שירות לתועלת הציבור בהיקף של 160 שעות, ולהאריך המאסר על תנאי התלוי ועומד נגדו. עוד הוסיף שירות המבחן, כי ככל שלא תתקבל המלצתו זו, יש מקום להטיל על הנאשם מאסר לתקופה קצרה בלבד, בדרך של עבודות שירות, על מנת שלא לפגוע בתפקודו התעסוקתי.</w:t>
      </w:r>
    </w:p>
    <w:p w14:paraId="29016D48" w14:textId="77777777" w:rsidR="00247D57" w:rsidRDefault="00247D57" w:rsidP="00247D57">
      <w:pPr>
        <w:pStyle w:val="ListParagraph1"/>
        <w:numPr>
          <w:ilvl w:val="0"/>
          <w:numId w:val="1"/>
        </w:numPr>
        <w:bidi/>
        <w:spacing w:before="120" w:after="120"/>
        <w:ind w:left="509" w:hanging="567"/>
        <w:jc w:val="both"/>
        <w:rPr>
          <w:rFonts w:cs="David"/>
          <w:b/>
          <w:bCs/>
          <w:i/>
          <w:iCs/>
          <w:sz w:val="24"/>
          <w:szCs w:val="24"/>
          <w:u w:val="single"/>
        </w:rPr>
      </w:pPr>
      <w:r>
        <w:rPr>
          <w:rFonts w:cs="David" w:hint="cs"/>
          <w:sz w:val="24"/>
          <w:szCs w:val="24"/>
          <w:rtl/>
        </w:rPr>
        <w:t xml:space="preserve">לפי חוות דעת הממונה על עבודות שירות מיום 6.6.18, הנאשם נמצא מתאים לביצוע עבודות שירות. </w:t>
      </w:r>
    </w:p>
    <w:p w14:paraId="36CA2ED6" w14:textId="77777777" w:rsidR="00247D57" w:rsidRDefault="00247D57" w:rsidP="00247D57">
      <w:pPr>
        <w:pStyle w:val="ListParagraph1"/>
        <w:bidi/>
        <w:spacing w:before="120" w:after="120"/>
        <w:ind w:left="509"/>
        <w:jc w:val="both"/>
        <w:rPr>
          <w:rFonts w:cs="David"/>
          <w:b/>
          <w:bCs/>
          <w:i/>
          <w:iCs/>
          <w:sz w:val="24"/>
          <w:szCs w:val="24"/>
          <w:highlight w:val="yellow"/>
          <w:u w:val="single"/>
        </w:rPr>
      </w:pPr>
    </w:p>
    <w:p w14:paraId="05738CC1" w14:textId="77777777" w:rsidR="00247D57" w:rsidRDefault="00247D57" w:rsidP="00247D57">
      <w:pPr>
        <w:spacing w:before="120" w:after="120"/>
        <w:ind w:left="509" w:hanging="567"/>
        <w:contextualSpacing/>
        <w:rPr>
          <w:b/>
          <w:bCs/>
          <w:u w:val="single"/>
          <w:rtl/>
        </w:rPr>
      </w:pPr>
      <w:r>
        <w:rPr>
          <w:rFonts w:hint="cs"/>
          <w:b/>
          <w:bCs/>
          <w:u w:val="single"/>
          <w:rtl/>
        </w:rPr>
        <w:lastRenderedPageBreak/>
        <w:t>עדויות לעונש</w:t>
      </w:r>
    </w:p>
    <w:p w14:paraId="3CEB86C1" w14:textId="77777777" w:rsidR="00247D57" w:rsidRDefault="00247D57" w:rsidP="00247D57">
      <w:pPr>
        <w:pStyle w:val="ListParagraph1"/>
        <w:numPr>
          <w:ilvl w:val="0"/>
          <w:numId w:val="1"/>
        </w:numPr>
        <w:bidi/>
        <w:spacing w:before="120" w:after="120"/>
        <w:ind w:left="509" w:hanging="567"/>
        <w:jc w:val="both"/>
        <w:rPr>
          <w:rFonts w:cs="David"/>
          <w:sz w:val="24"/>
          <w:szCs w:val="24"/>
          <w:rtl/>
        </w:rPr>
      </w:pPr>
      <w:r>
        <w:rPr>
          <w:rFonts w:cs="David" w:hint="cs"/>
          <w:sz w:val="24"/>
          <w:szCs w:val="24"/>
          <w:rtl/>
        </w:rPr>
        <w:t>העיד עמוס סבג, אביו של הנאשם. בעדותו מסר, שמאז שמע על מעשיו של הנאשם, הוא מלווה אותו בשיקום ובבדיקות, הנאשם מרוכז בעבודתו, זכה לקידום בעבודה ולא עושה שימוש מסמים. לנאשם בת זוג והוא מעוניין להינשא לה.</w:t>
      </w:r>
    </w:p>
    <w:p w14:paraId="329D6E42"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עוד העידה מירי סבג, אמו של הנאשם. בעדותה מסרה כי בעבודתה עם ילדים בעלי צרכים מיוחדים, היא נעזרת, לעתים, בנאשם ומתייעצת עמו. עוד הוסיפה, כי בעקבות ההליך הפלילי, הנאשם נרתם להליך של טיפול, עבר כברת דרך והמשפחה תומכת בו. לדבריה, הנאשם התנתק מכל חבריו השליליים והפסיק השימוש בסמים. כן ציינה כי הנאשם עובד למחייתו. מכאן ביקשה מבית המשפט שלא לקטוע את הליך השיקום.</w:t>
      </w:r>
    </w:p>
    <w:p w14:paraId="5C9BB32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כן העידה שקד לוי, בת זוגו של הנאשם. בעדותו מסרה כי היא בת זוג של הנאשם כ-3 שנים, והנאשם עבר מהפך בעקבות טיפול ושיקום. עוד ציינה כי הנאשם עובד קשה והיא מבקשת את התחשבות בית המשפט בהטלת העונש.   </w:t>
      </w:r>
    </w:p>
    <w:p w14:paraId="5C344BC3" w14:textId="77777777" w:rsidR="00247D57" w:rsidRDefault="00247D57" w:rsidP="00247D57">
      <w:pPr>
        <w:spacing w:before="120" w:after="120"/>
        <w:ind w:left="509" w:hanging="567"/>
        <w:contextualSpacing/>
        <w:rPr>
          <w:b/>
          <w:bCs/>
          <w:highlight w:val="yellow"/>
          <w:u w:val="single"/>
          <w:rtl/>
        </w:rPr>
      </w:pPr>
    </w:p>
    <w:p w14:paraId="5D4B4FF4" w14:textId="77777777" w:rsidR="00247D57" w:rsidRDefault="00247D57" w:rsidP="00247D57">
      <w:pPr>
        <w:spacing w:before="120" w:after="120"/>
        <w:ind w:left="509" w:hanging="567"/>
        <w:contextualSpacing/>
        <w:rPr>
          <w:b/>
          <w:bCs/>
          <w:u w:val="single"/>
          <w:rtl/>
        </w:rPr>
      </w:pPr>
      <w:r>
        <w:rPr>
          <w:rFonts w:hint="cs"/>
          <w:b/>
          <w:bCs/>
          <w:u w:val="single"/>
          <w:rtl/>
        </w:rPr>
        <w:t>טענות הצדדים לעונש</w:t>
      </w:r>
    </w:p>
    <w:p w14:paraId="2D4734DC" w14:textId="77777777" w:rsidR="00247D57" w:rsidRDefault="00247D57" w:rsidP="00247D57">
      <w:pPr>
        <w:pStyle w:val="ListParagraph1"/>
        <w:numPr>
          <w:ilvl w:val="0"/>
          <w:numId w:val="1"/>
        </w:numPr>
        <w:bidi/>
        <w:spacing w:before="120" w:after="120"/>
        <w:ind w:left="509" w:hanging="567"/>
        <w:jc w:val="both"/>
        <w:rPr>
          <w:rFonts w:cs="David"/>
          <w:b/>
          <w:bCs/>
          <w:sz w:val="24"/>
          <w:szCs w:val="24"/>
          <w:u w:val="single"/>
          <w:rtl/>
        </w:rPr>
      </w:pPr>
      <w:r>
        <w:rPr>
          <w:rFonts w:cs="David" w:hint="cs"/>
          <w:sz w:val="24"/>
          <w:szCs w:val="24"/>
          <w:rtl/>
        </w:rPr>
        <w:t xml:space="preserve">לטענת באת כוח התביעה, כתוצאה מביצוע העבירות נפגעו הערכים החברתיים של הגנה על שלמות גופו ובטחונו של הציבור. לטענתה, מידת הפגיעה בערכים המוגנים בכתב האישום הראשון היא בינונית, לאור סוג הסכין ומיקומה, ואילו מידת הפגיעה בכתב האישום השני היא בינונית – גבוהה, לאור סוג הסמים וכמותם. </w:t>
      </w:r>
    </w:p>
    <w:p w14:paraId="1FC3A102"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עוד טענה באת כוח התביעה, כי לאור מדיניות הפסיקה ונסיבות ביצוע העבירות, מתחם העונש ההולם את העבירה מושא כתב האישום הראשון נע בין מאסר לתקופה של מספר חודשים ובין מאסר לתקופה של שנה, ואילו מתחם העונש ההולם את העבירות מושא כתב האישום השני, נע בין מאסר לתקופה של 6 חודשים ובין מאסר לתקופה של 14 חודשים, והכל לצד ענישה נלווית.</w:t>
      </w:r>
    </w:p>
    <w:p w14:paraId="2F048F56"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עוד הוסיפה וטענה, כי יש לקחת בחשבון את הנסיבות הבאות, אשר אינן קשורות בביצוע העבירות: הנאשם הודה במיוחס לו וחסך זמן שיפוטי; לחובתו של הנאשם עומד עברו הפלילי, מאסר על תנאי ופסילה על תנאי; מהתסקיר האחרון עולה, כי הנאשם אמנם עבר דרך חיובית וטיפול, אולם לא די בכך על מנת להמעיט מחומרת מעשיו ואין לאמץ המלצת שירות המבחן המהווה סטייה של ממש ממתחמי העונש ההולם.  </w:t>
      </w:r>
    </w:p>
    <w:p w14:paraId="5CFBA64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לאור האמור עתרה באת כוח התביעה, להטיל על הנאשם מאסר לתקופה של 7 חודשים, ולהפעיל במצטבר את המאסר על תנאי כך שסך הכל יוטל עליו מאסר לתקופה של 12 חודשים. כן עתרה להפעיל פסילת הרישיון על תנאי, ולהטיל מאסר על תנאי, פסילה על תנאי וקנס.</w:t>
      </w:r>
    </w:p>
    <w:p w14:paraId="3D26583E"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לטענת בא כוח הנאשם, מתחם העונש ההולם את העבירה מושא כתב האישום הראשון, לאור מדיניות הפסיקה ונסיבות ביצוע העבירה, נע בין צו שירות לתועלת הציבור ובין מאסר בדרך של עבודות שירות, ואילו מתחם העונש ההולם את העבירות מושא כתב האישום השני נע בין צו שירות לתועלת הציבור ובין מאסר קצר בדרך של עבודות שירות.</w:t>
      </w:r>
    </w:p>
    <w:p w14:paraId="03141EB0"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עוד טען בא כוח הנאשם, כי עתירת התביעה מתעלמת מההליך השיקומי שעבר ועודנו עובר הנאשם. לטענתו, בנסיבות הליך השיקום המוצלח שעבר הנאשם, אין להטיל עליו מאסר בפועל. עוד טען, כי לפי תיקון 113 מעמד השיקום גבוה יותר מהרתעת הציבור, הרבים והיחיד. </w:t>
      </w:r>
    </w:p>
    <w:p w14:paraId="35EA0973"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לטענת בא כוח הנאשם, יש לקחת גם בחשבון, כי מתסקירי שירות המבחן עולות תמורות ממשיות בחייו של הנאשם. יתר על כן, הליך השיקום החל עוד לפני הגשת כתב האישום בכתב האישום השני ומיד לאחר שחרורו ממעצר. </w:t>
      </w:r>
    </w:p>
    <w:p w14:paraId="6E794D81"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לטענתו, שיקומו של הנאשם ישרת לא רק את האינטרס הפרטי שלו אלא גם את האינטרס החברתי שבשיקום עבריינים. מכאן, כי החלטה שלא לאמץ את המלצת שירות המבחן תוריד לטמיון את הליך השיקום הקשה והממושך שעבר הנאשם. הטלת עונש של מאסר בפועל גם עלולה להוביל לחבירה של הנאשם לגורמים עבריינים. עוד טען, כי גם הטלת מאסר בדרך של עבודות שירות תפגע בתעסוקתו מזה למעלה משנה, ובכך יהווה הנאשם נטל על החברה. לטענתו, בני משפחתו של הנאשם מלווים אותו בהליך השיקומי, לרבות בעת עריכת הבדיקות, שנמצאו כולן נקיות משרידי סם.</w:t>
      </w:r>
    </w:p>
    <w:p w14:paraId="3E9F3EB5"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מכאן עתר בא כוח הנאשם לאמץ את המלצת שירות המבחן, לסטות ממתחם העונש ההולם לטובת שיקום, ולהטיל עליו צו שירות לתועלת הציבור וצו מבחן. עוד עתר להאריך את המאסר על תנאי לאור הליך השיקום המוצלח שעבר הנאשם, להאריך הפסילה על תנאי ולהסתפק בהטלת קנס מתון.</w:t>
      </w:r>
    </w:p>
    <w:p w14:paraId="7E356E81"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בדברו האחרון מסר הנאשם כי סוג הסכין מלמד כי לא היתה לו כוונה לעשות בו שימוש לא חוקי. לטענתו, אמנם עשה שימוש בסמים בכמות גדולה, אולם לא סחר בסמים. לדבריו, עבר הליך של שיקום, הבין את טעויותיו ואינו מעוניין לחזור אחורה. </w:t>
      </w:r>
    </w:p>
    <w:p w14:paraId="62DD5960" w14:textId="77777777" w:rsidR="00247D57" w:rsidRDefault="00247D57" w:rsidP="00247D57">
      <w:pPr>
        <w:spacing w:before="120" w:after="120"/>
        <w:ind w:left="-58"/>
        <w:jc w:val="both"/>
        <w:rPr>
          <w:b/>
          <w:bCs/>
          <w:u w:val="single"/>
        </w:rPr>
      </w:pPr>
    </w:p>
    <w:p w14:paraId="60BAA44B" w14:textId="77777777" w:rsidR="00247D57" w:rsidRDefault="00247D57" w:rsidP="00247D57">
      <w:pPr>
        <w:spacing w:before="120" w:after="120"/>
        <w:ind w:left="-58"/>
        <w:jc w:val="both"/>
        <w:rPr>
          <w:rtl/>
        </w:rPr>
      </w:pPr>
      <w:r>
        <w:rPr>
          <w:rFonts w:hint="cs"/>
          <w:b/>
          <w:bCs/>
          <w:u w:val="single"/>
          <w:rtl/>
        </w:rPr>
        <w:t>דיון והכרעה</w:t>
      </w:r>
    </w:p>
    <w:p w14:paraId="733DCB1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בקביעת מתחם העונש ההולם את מעשה העבירה אותה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העבירה,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24A4A572"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כתוצאה מביצוע העבירה מושא כתב האישום הראשון נפגעו הערכים החברתיים של הגנה על שלומו של הציבור ובטחונו. הפגיעה היא ברף נמוך - בינוני, לאור החזקת סכין מתקפלת שאורך להבה 9.5 ס"מ בארנק שבכיס המכנסיים. </w:t>
      </w:r>
    </w:p>
    <w:p w14:paraId="5B6BBE89"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לפי מדיניות הענישה ונסיבות ביצוע העבירה, מתחם העונש ההולם את העבירה של החזקת סכין מושא כתב האישום הראשון, בנסיבות העניין, נע בין מאסר על תנאי, לצד ענישה נלווית ובין מאסר לתקופה של מספר חודשים (ראו, למשל: </w:t>
      </w:r>
      <w:hyperlink r:id="rId21"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1490/12</w:t>
        </w:r>
      </w:hyperlink>
      <w:r>
        <w:rPr>
          <w:rFonts w:cs="David" w:hint="cs"/>
          <w:sz w:val="24"/>
          <w:szCs w:val="24"/>
          <w:rtl/>
        </w:rPr>
        <w:t xml:space="preserve"> </w:t>
      </w:r>
      <w:r>
        <w:rPr>
          <w:rFonts w:cs="David" w:hint="cs"/>
          <w:b/>
          <w:bCs/>
          <w:sz w:val="24"/>
          <w:szCs w:val="24"/>
          <w:rtl/>
        </w:rPr>
        <w:t>אבו גוש נ' מדינת ישראל</w:t>
      </w:r>
      <w:r>
        <w:rPr>
          <w:rFonts w:cs="David" w:hint="cs"/>
          <w:sz w:val="24"/>
          <w:szCs w:val="24"/>
          <w:rtl/>
        </w:rPr>
        <w:t xml:space="preserve"> (15.7.12); </w:t>
      </w:r>
      <w:hyperlink r:id="rId22"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4200/12</w:t>
        </w:r>
      </w:hyperlink>
      <w:r>
        <w:rPr>
          <w:rFonts w:cs="David" w:hint="cs"/>
          <w:sz w:val="24"/>
          <w:szCs w:val="24"/>
          <w:rtl/>
        </w:rPr>
        <w:t xml:space="preserve"> </w:t>
      </w:r>
      <w:r>
        <w:rPr>
          <w:rFonts w:cs="David" w:hint="cs"/>
          <w:b/>
          <w:bCs/>
          <w:sz w:val="24"/>
          <w:szCs w:val="24"/>
          <w:rtl/>
        </w:rPr>
        <w:t>אבו זניד נ' מדינת ישראל</w:t>
      </w:r>
      <w:r>
        <w:rPr>
          <w:rFonts w:cs="David" w:hint="cs"/>
          <w:sz w:val="24"/>
          <w:szCs w:val="24"/>
          <w:rtl/>
        </w:rPr>
        <w:t xml:space="preserve"> (27.6.12); </w:t>
      </w:r>
      <w:hyperlink r:id="rId23"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3446/10</w:t>
        </w:r>
      </w:hyperlink>
      <w:r>
        <w:rPr>
          <w:rFonts w:cs="David" w:hint="cs"/>
          <w:sz w:val="24"/>
          <w:szCs w:val="24"/>
          <w:rtl/>
        </w:rPr>
        <w:t xml:space="preserve"> </w:t>
      </w:r>
      <w:r>
        <w:rPr>
          <w:rFonts w:cs="David" w:hint="cs"/>
          <w:b/>
          <w:bCs/>
          <w:sz w:val="24"/>
          <w:szCs w:val="24"/>
          <w:rtl/>
        </w:rPr>
        <w:t>אלחלים נ' מדינת ישראל</w:t>
      </w:r>
      <w:r>
        <w:rPr>
          <w:rFonts w:cs="David" w:hint="cs"/>
          <w:sz w:val="24"/>
          <w:szCs w:val="24"/>
          <w:rtl/>
        </w:rPr>
        <w:t xml:space="preserve"> </w:t>
      </w:r>
      <w:r w:rsidRPr="00247D57">
        <w:rPr>
          <w:rFonts w:cs="David" w:hint="cs"/>
          <w:color w:val="000000"/>
          <w:sz w:val="24"/>
          <w:szCs w:val="24"/>
          <w:rtl/>
        </w:rPr>
        <w:t xml:space="preserve">(6.4.11); </w:t>
      </w:r>
      <w:hyperlink r:id="rId24"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2945/10</w:t>
        </w:r>
      </w:hyperlink>
      <w:r w:rsidRPr="00247D57">
        <w:rPr>
          <w:rFonts w:cs="David" w:hint="cs"/>
          <w:color w:val="000000"/>
          <w:sz w:val="24"/>
          <w:szCs w:val="24"/>
          <w:rtl/>
        </w:rPr>
        <w:t xml:space="preserve"> </w:t>
      </w:r>
      <w:r>
        <w:rPr>
          <w:rFonts w:cs="David" w:hint="cs"/>
          <w:b/>
          <w:bCs/>
          <w:sz w:val="24"/>
          <w:szCs w:val="24"/>
          <w:rtl/>
        </w:rPr>
        <w:t>איסקוב נ' מדינת ישראל</w:t>
      </w:r>
      <w:r>
        <w:rPr>
          <w:rFonts w:cs="David" w:hint="cs"/>
          <w:sz w:val="24"/>
          <w:szCs w:val="24"/>
          <w:rtl/>
        </w:rPr>
        <w:t xml:space="preserve"> (21.4.10); </w:t>
      </w:r>
      <w:hyperlink r:id="rId25"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5127/09</w:t>
        </w:r>
      </w:hyperlink>
      <w:r w:rsidRPr="00247D57">
        <w:rPr>
          <w:rFonts w:cs="David" w:hint="cs"/>
          <w:color w:val="000000"/>
          <w:sz w:val="24"/>
          <w:szCs w:val="24"/>
          <w:rtl/>
        </w:rPr>
        <w:t xml:space="preserve"> </w:t>
      </w:r>
      <w:r>
        <w:rPr>
          <w:rFonts w:cs="David" w:hint="cs"/>
          <w:b/>
          <w:bCs/>
          <w:sz w:val="24"/>
          <w:szCs w:val="24"/>
          <w:rtl/>
        </w:rPr>
        <w:t>יפקח נ' מדינת ישראל</w:t>
      </w:r>
      <w:r>
        <w:rPr>
          <w:rFonts w:cs="David" w:hint="cs"/>
          <w:sz w:val="24"/>
          <w:szCs w:val="24"/>
          <w:rtl/>
        </w:rPr>
        <w:t xml:space="preserve"> (19.6.09); </w:t>
      </w:r>
      <w:hyperlink r:id="rId26"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5791/07</w:t>
        </w:r>
      </w:hyperlink>
      <w:r>
        <w:rPr>
          <w:rFonts w:cs="David" w:hint="cs"/>
          <w:sz w:val="24"/>
          <w:szCs w:val="24"/>
          <w:rtl/>
        </w:rPr>
        <w:t xml:space="preserve">  </w:t>
      </w:r>
      <w:r>
        <w:rPr>
          <w:rFonts w:cs="David" w:hint="cs"/>
          <w:b/>
          <w:bCs/>
          <w:sz w:val="24"/>
          <w:szCs w:val="24"/>
          <w:rtl/>
        </w:rPr>
        <w:t xml:space="preserve">דואהדה נ' מדינת ישראל </w:t>
      </w:r>
      <w:r>
        <w:rPr>
          <w:rFonts w:cs="David" w:hint="cs"/>
          <w:sz w:val="24"/>
          <w:szCs w:val="24"/>
          <w:rtl/>
        </w:rPr>
        <w:t>(7.8.07</w:t>
      </w:r>
      <w:r w:rsidRPr="00247D57">
        <w:rPr>
          <w:rFonts w:cs="David" w:hint="cs"/>
          <w:color w:val="000000"/>
          <w:sz w:val="24"/>
          <w:szCs w:val="24"/>
          <w:rtl/>
        </w:rPr>
        <w:t>)).</w:t>
      </w:r>
    </w:p>
    <w:p w14:paraId="4F79697B"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כתוצאה מביצוע העבירות מושא כתב האישום השני נפגעו הערכים החברתיים של הגנה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הפגיעה בערכים המוגנים היא ברף בינוני - גבוה, לאור סוג הסמים הכוללים קוקאין במשקל של 5.9992 גרם נטו, וחשיש במשקל 83.51 גרם נטו ומשקל אלקטרוני. </w:t>
      </w:r>
    </w:p>
    <w:p w14:paraId="7FD07A1B"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מדיניות בענישה בעבירות של החזקת סמים שלא לצריכה עצמית, מטבע הדברים, היא מגוונת, והכל בהתאם לנסיבות ביצוע העבירות, סוג הסמים ומשקלם. עם זאת, ניתן ללמוד על המנעד הרלוונטי לנסיבות העניין מתוך הפסיקה שלהלן: </w:t>
      </w:r>
    </w:p>
    <w:p w14:paraId="7BE9699F" w14:textId="77777777" w:rsidR="00247D57" w:rsidRDefault="00867ECD" w:rsidP="00247D57">
      <w:pPr>
        <w:pStyle w:val="ListParagraph1"/>
        <w:numPr>
          <w:ilvl w:val="0"/>
          <w:numId w:val="2"/>
        </w:numPr>
        <w:bidi/>
        <w:spacing w:before="120" w:after="120"/>
        <w:jc w:val="both"/>
        <w:rPr>
          <w:rFonts w:cs="David"/>
          <w:sz w:val="24"/>
          <w:szCs w:val="24"/>
        </w:rPr>
      </w:pPr>
      <w:hyperlink r:id="rId27" w:history="1">
        <w:r w:rsidRPr="00867ECD">
          <w:rPr>
            <w:rFonts w:cs="David" w:hint="cs"/>
            <w:color w:val="0000FF"/>
            <w:sz w:val="24"/>
            <w:szCs w:val="24"/>
            <w:u w:val="single"/>
            <w:rtl/>
          </w:rPr>
          <w:t>רע</w:t>
        </w:r>
        <w:r w:rsidRPr="00867ECD">
          <w:rPr>
            <w:rFonts w:cs="David"/>
            <w:color w:val="0000FF"/>
            <w:sz w:val="24"/>
            <w:szCs w:val="24"/>
            <w:u w:val="single"/>
            <w:rtl/>
          </w:rPr>
          <w:t>"</w:t>
        </w:r>
        <w:r w:rsidRPr="00867ECD">
          <w:rPr>
            <w:rFonts w:cs="David" w:hint="cs"/>
            <w:color w:val="0000FF"/>
            <w:sz w:val="24"/>
            <w:szCs w:val="24"/>
            <w:u w:val="single"/>
            <w:rtl/>
          </w:rPr>
          <w:t>פ</w:t>
        </w:r>
        <w:r w:rsidRPr="00867ECD">
          <w:rPr>
            <w:rFonts w:cs="David"/>
            <w:color w:val="0000FF"/>
            <w:sz w:val="24"/>
            <w:szCs w:val="24"/>
            <w:u w:val="single"/>
            <w:rtl/>
          </w:rPr>
          <w:t xml:space="preserve"> 4862/10</w:t>
        </w:r>
      </w:hyperlink>
      <w:r w:rsidR="00247D57">
        <w:rPr>
          <w:rFonts w:cs="David" w:hint="cs"/>
          <w:sz w:val="24"/>
          <w:szCs w:val="24"/>
          <w:rtl/>
        </w:rPr>
        <w:t xml:space="preserve"> </w:t>
      </w:r>
      <w:r w:rsidR="00247D57">
        <w:rPr>
          <w:rFonts w:cs="David" w:hint="cs"/>
          <w:b/>
          <w:bCs/>
          <w:sz w:val="24"/>
          <w:szCs w:val="24"/>
          <w:rtl/>
        </w:rPr>
        <w:t>אנקרי נ' מדינת ישראל</w:t>
      </w:r>
      <w:r w:rsidR="00247D57">
        <w:rPr>
          <w:rFonts w:cs="David" w:hint="cs"/>
          <w:sz w:val="24"/>
          <w:szCs w:val="24"/>
          <w:rtl/>
        </w:rPr>
        <w:t xml:space="preserve"> (29.06.10): בית המשפט השלום הרשיע את הנאשם, לפי הודאתו, בעבירות של החזקת סם שלא לצריכה עצמית והפרעה לשוטר בשעת מילוי תפקידו. לפי הכרעת הדין, הנאשם החזיק בביתו סם מסוכן מסוג קוקאין במשקל של 11.6 גרם. בית משפט השלום הטיל על הנאשם מאסר לתקופה של 20 חודשים, מאסר על תנאי, וכן הפעיל עונש מאסר על תנאי לתקופה של 6 חודשים. בית משפט המחוזי הפחית את עונשו של הנאשם למאסר לתקופה של 16 חודשים. בית המשפט העליון דחה את בקשת הנאשם להרשות ערעור.  </w:t>
      </w:r>
    </w:p>
    <w:p w14:paraId="4485F6DE" w14:textId="77777777" w:rsidR="00247D57" w:rsidRDefault="00867ECD" w:rsidP="00247D57">
      <w:pPr>
        <w:pStyle w:val="ListParagraph1"/>
        <w:numPr>
          <w:ilvl w:val="0"/>
          <w:numId w:val="2"/>
        </w:numPr>
        <w:bidi/>
        <w:spacing w:before="120" w:after="120"/>
        <w:jc w:val="both"/>
        <w:rPr>
          <w:rFonts w:cs="David"/>
          <w:sz w:val="24"/>
          <w:szCs w:val="24"/>
        </w:rPr>
      </w:pPr>
      <w:hyperlink r:id="rId28" w:history="1">
        <w:r w:rsidRPr="00867ECD">
          <w:rPr>
            <w:rFonts w:cs="David" w:hint="cs"/>
            <w:color w:val="0000FF"/>
            <w:sz w:val="24"/>
            <w:szCs w:val="24"/>
            <w:u w:val="single"/>
            <w:rtl/>
          </w:rPr>
          <w:t>רע</w:t>
        </w:r>
        <w:r w:rsidRPr="00867ECD">
          <w:rPr>
            <w:rFonts w:cs="David"/>
            <w:color w:val="0000FF"/>
            <w:sz w:val="24"/>
            <w:szCs w:val="24"/>
            <w:u w:val="single"/>
            <w:rtl/>
          </w:rPr>
          <w:t>"</w:t>
        </w:r>
        <w:r w:rsidRPr="00867ECD">
          <w:rPr>
            <w:rFonts w:cs="David" w:hint="cs"/>
            <w:color w:val="0000FF"/>
            <w:sz w:val="24"/>
            <w:szCs w:val="24"/>
            <w:u w:val="single"/>
            <w:rtl/>
          </w:rPr>
          <w:t>פ</w:t>
        </w:r>
        <w:r w:rsidRPr="00867ECD">
          <w:rPr>
            <w:rFonts w:cs="David"/>
            <w:color w:val="0000FF"/>
            <w:sz w:val="24"/>
            <w:szCs w:val="24"/>
            <w:u w:val="single"/>
            <w:rtl/>
          </w:rPr>
          <w:t xml:space="preserve"> 10423/09</w:t>
        </w:r>
      </w:hyperlink>
      <w:r w:rsidR="00247D57">
        <w:rPr>
          <w:rFonts w:cs="David" w:hint="cs"/>
          <w:sz w:val="24"/>
          <w:szCs w:val="24"/>
          <w:rtl/>
        </w:rPr>
        <w:t xml:space="preserve"> </w:t>
      </w:r>
      <w:r w:rsidR="00247D57">
        <w:rPr>
          <w:rFonts w:cs="David" w:hint="cs"/>
          <w:b/>
          <w:bCs/>
          <w:sz w:val="24"/>
          <w:szCs w:val="24"/>
          <w:rtl/>
        </w:rPr>
        <w:t>שורר נ' מדינת ישראל</w:t>
      </w:r>
      <w:r w:rsidR="00247D57">
        <w:rPr>
          <w:rFonts w:cs="David" w:hint="cs"/>
          <w:sz w:val="24"/>
          <w:szCs w:val="24"/>
          <w:rtl/>
        </w:rPr>
        <w:t xml:space="preserve"> (26.4.10): בית המשפט השלום הרשיע את הנאשם, לפי הודאתו, בעבירה של החזקת סם שלא לצריכה עצמית, בכך שהחזיק בביתו סם מסוג קנבוס במשקל של 574.75 גרם נטו. בית המשפט השלום הטיל על הנאשם מאסר לתקופה של 6 חודשים, שיבוצע בדרך של עבודות שירות, מאסר על תנאי, קנס בסכום של 2,500 ₪ והתחייבות בסכום של 3,000 ₪. בית המשפט המחוזי דחה את ערעורו של הנאשם. גם הבקשה להרשות ערעור שהגיש לבית המשפט העליון נדחתה. </w:t>
      </w:r>
    </w:p>
    <w:p w14:paraId="625C7119" w14:textId="77777777" w:rsidR="00247D57" w:rsidRDefault="00867ECD" w:rsidP="00247D57">
      <w:pPr>
        <w:pStyle w:val="ListParagraph1"/>
        <w:numPr>
          <w:ilvl w:val="0"/>
          <w:numId w:val="2"/>
        </w:numPr>
        <w:bidi/>
        <w:spacing w:before="120" w:after="120"/>
        <w:jc w:val="both"/>
        <w:rPr>
          <w:rFonts w:cs="David"/>
          <w:sz w:val="24"/>
          <w:szCs w:val="24"/>
        </w:rPr>
      </w:pPr>
      <w:hyperlink r:id="rId29" w:history="1">
        <w:r w:rsidRPr="00867ECD">
          <w:rPr>
            <w:rFonts w:ascii="FrankRuehl" w:hAnsi="FrankRuehl" w:cs="David"/>
            <w:color w:val="0000FF"/>
            <w:sz w:val="24"/>
            <w:szCs w:val="24"/>
            <w:u w:val="single"/>
            <w:rtl/>
          </w:rPr>
          <w:t>עפ"ג (י-ם) 49086-06-11</w:t>
        </w:r>
      </w:hyperlink>
      <w:r w:rsidR="00247D57">
        <w:rPr>
          <w:rFonts w:ascii="FrankRuehl" w:hAnsi="FrankRuehl" w:cs="David" w:hint="cs"/>
          <w:color w:val="000000"/>
          <w:sz w:val="24"/>
          <w:szCs w:val="24"/>
          <w:rtl/>
        </w:rPr>
        <w:t xml:space="preserve"> </w:t>
      </w:r>
      <w:r w:rsidR="00247D57">
        <w:rPr>
          <w:rFonts w:ascii="FrankRuehl" w:hAnsi="FrankRuehl" w:cs="David" w:hint="cs"/>
          <w:b/>
          <w:bCs/>
          <w:color w:val="000000"/>
          <w:sz w:val="24"/>
          <w:szCs w:val="24"/>
          <w:rtl/>
        </w:rPr>
        <w:t>מדינת ישראל נ' פיטוסי</w:t>
      </w:r>
      <w:r w:rsidR="00247D57">
        <w:rPr>
          <w:rFonts w:cs="David" w:hint="cs"/>
          <w:sz w:val="24"/>
          <w:szCs w:val="24"/>
          <w:rtl/>
        </w:rPr>
        <w:t xml:space="preserve"> (14.9.11) : בית המשפט השלום הרשיע את הנאשם, לפי הודאתו, בעבירה של החזקת סם מסוכן שלא לצריכה עצמית, מכירת סם והחזקת סם מסוכן לצריכה עצמית. לפי הכרעת הדין, הנאשם החזיק סם מסוג קוקאין במשקל של 9.3 גרם, מכר סם מסוג קוקאין במשקל של 2.0615 גרם, והחזיק סם מסוג חשיש במשקל של 4.95 גרם. בית המשפט השלום הטיל על הנאשם מאסר על תנאי וצו שירות לתועלת הציבור. בית המשפט המחוזי קיבל את ערעור המדינה והטיל על הנאשם מאסר בפועל לתקופה של 5 חודשים, תחת צו השירות לתועלת הציבור שנגזר. </w:t>
      </w:r>
    </w:p>
    <w:p w14:paraId="0F6BACBE" w14:textId="77777777" w:rsidR="00247D57" w:rsidRDefault="00247D57" w:rsidP="00247D57">
      <w:pPr>
        <w:pStyle w:val="ListParagraph1"/>
        <w:numPr>
          <w:ilvl w:val="0"/>
          <w:numId w:val="2"/>
        </w:numPr>
        <w:bidi/>
        <w:spacing w:before="120" w:after="120"/>
        <w:jc w:val="both"/>
        <w:rPr>
          <w:rFonts w:cs="David"/>
          <w:sz w:val="24"/>
          <w:szCs w:val="24"/>
        </w:rPr>
      </w:pPr>
      <w:r>
        <w:rPr>
          <w:rFonts w:cs="David" w:hint="cs"/>
          <w:sz w:val="24"/>
          <w:szCs w:val="24"/>
          <w:rtl/>
        </w:rPr>
        <w:t xml:space="preserve"> </w:t>
      </w:r>
      <w:hyperlink r:id="rId30" w:history="1">
        <w:r w:rsidR="00867ECD" w:rsidRPr="00867ECD">
          <w:rPr>
            <w:rFonts w:cs="David" w:hint="cs"/>
            <w:color w:val="0000FF"/>
            <w:sz w:val="24"/>
            <w:szCs w:val="24"/>
            <w:u w:val="single"/>
            <w:rtl/>
          </w:rPr>
          <w:t>ת</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w:t>
        </w:r>
        <w:r w:rsidR="00867ECD" w:rsidRPr="00867ECD">
          <w:rPr>
            <w:rFonts w:cs="David" w:hint="cs"/>
            <w:color w:val="0000FF"/>
            <w:sz w:val="24"/>
            <w:szCs w:val="24"/>
            <w:u w:val="single"/>
            <w:rtl/>
          </w:rPr>
          <w:t>רח</w:t>
        </w:r>
        <w:r w:rsidR="00867ECD" w:rsidRPr="00867ECD">
          <w:rPr>
            <w:rFonts w:cs="David"/>
            <w:color w:val="0000FF"/>
            <w:sz w:val="24"/>
            <w:szCs w:val="24"/>
            <w:u w:val="single"/>
            <w:rtl/>
          </w:rPr>
          <w:t>') 10316-06-13</w:t>
        </w:r>
      </w:hyperlink>
      <w:r>
        <w:rPr>
          <w:rFonts w:cs="David" w:hint="cs"/>
          <w:sz w:val="24"/>
          <w:szCs w:val="24"/>
          <w:rtl/>
        </w:rPr>
        <w:t xml:space="preserve"> </w:t>
      </w:r>
      <w:r>
        <w:rPr>
          <w:rFonts w:cs="David" w:hint="cs"/>
          <w:b/>
          <w:bCs/>
          <w:sz w:val="24"/>
          <w:szCs w:val="24"/>
          <w:rtl/>
        </w:rPr>
        <w:t>מדינת ישראל נ' עשיוי</w:t>
      </w:r>
      <w:r>
        <w:rPr>
          <w:rFonts w:cs="David" w:hint="cs"/>
          <w:sz w:val="24"/>
          <w:szCs w:val="24"/>
          <w:rtl/>
        </w:rPr>
        <w:t xml:space="preserve"> (6.1.16): בית המשפט השלום הרשיע את הנאשם, לאחר הליך הוכחות, בעבירה של החזקת סמים מסוכנים שלא לצריכה עצמית, בכך שהחזיק סם מסוג קוקאין במשקל של 9.83 גרם נטו. בית המשפט קבע מתחם ענישה הנע בין מאסר בפועל לתקופה של 6 חודשים ובין מאסר בפועל לתקופה של 24 חודשים, והטיל על הנאשם עונש של מאסר לתקופה של 14 חודשים, מאסר על תנאי, לצד פסילת רישיון נהיגה וקנס בסכום של 2000 ₪. </w:t>
      </w:r>
    </w:p>
    <w:p w14:paraId="30CEB4A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לא התעלמתי מפסיקה נוספת שהגישו הצדדים. התביעה הגישה פסיקה הכוללות נסיבות מחמירות יותר. כך למשל, פסיקה שעניינה בעבירות של החזקת סכין והחזקת סמים שלא לצריכה עצמית, יחדיו, שבמסגרתה לא היתה הפרדה בין המתחמים (ראו, למשל: </w:t>
      </w:r>
      <w:hyperlink r:id="rId31" w:history="1">
        <w:r w:rsidR="00867ECD" w:rsidRPr="00867ECD">
          <w:rPr>
            <w:rFonts w:cs="David" w:hint="cs"/>
            <w:color w:val="0000FF"/>
            <w:sz w:val="24"/>
            <w:szCs w:val="24"/>
            <w:u w:val="single"/>
            <w:rtl/>
          </w:rPr>
          <w:t>רע</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322/15</w:t>
        </w:r>
      </w:hyperlink>
      <w:r>
        <w:rPr>
          <w:rFonts w:cs="David" w:hint="cs"/>
          <w:sz w:val="24"/>
          <w:szCs w:val="24"/>
          <w:rtl/>
        </w:rPr>
        <w:t xml:space="preserve"> </w:t>
      </w:r>
      <w:r>
        <w:rPr>
          <w:rFonts w:cs="David" w:hint="cs"/>
          <w:b/>
          <w:bCs/>
          <w:sz w:val="24"/>
          <w:szCs w:val="24"/>
          <w:rtl/>
        </w:rPr>
        <w:t>ג'אנח נ' מדינת ישראל</w:t>
      </w:r>
      <w:r>
        <w:rPr>
          <w:rFonts w:cs="David" w:hint="cs"/>
          <w:sz w:val="24"/>
          <w:szCs w:val="24"/>
          <w:rtl/>
        </w:rPr>
        <w:t xml:space="preserve"> (22.1.15)). לעומת זאת, בא כוח הנאשם הגיש פסיקה הכוללת נסיבות מקלות יותר, כמו למשל, כמות פחותה של סמים.</w:t>
      </w:r>
    </w:p>
    <w:p w14:paraId="04F4B33A"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לאור מדיניות הפסיקה ונסיבות ביצוע העבירות, מתחם העונש ההולם את עבירות הסמים מושא כתב האישום השני, נע בין מאסר לתקופה של מספר חודשים, שיכול ויבוצע בדרך של עבודות שירות, ובין מאסר לתקופה של 20 חודשים, וזאת לצד ענישה נלווית, לרבות ענישה כלכלית.</w:t>
      </w:r>
    </w:p>
    <w:p w14:paraId="3A8C5BA9"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בקביעת העונש ההולם בתוך המתחם לקחתי בחשבון את הנסיבות הבאות שאינן קשורות בביצוע העבירות: </w:t>
      </w:r>
    </w:p>
    <w:p w14:paraId="35A546F3" w14:textId="77777777" w:rsidR="00247D57" w:rsidRDefault="00247D57" w:rsidP="00247D57">
      <w:pPr>
        <w:pStyle w:val="ListParagraph1"/>
        <w:bidi/>
        <w:spacing w:before="120" w:after="120"/>
        <w:ind w:left="509"/>
        <w:jc w:val="both"/>
        <w:rPr>
          <w:rFonts w:cs="David"/>
          <w:sz w:val="24"/>
          <w:szCs w:val="24"/>
        </w:rPr>
      </w:pPr>
      <w:r>
        <w:rPr>
          <w:rFonts w:cs="David" w:hint="cs"/>
          <w:sz w:val="24"/>
          <w:szCs w:val="24"/>
          <w:rtl/>
        </w:rPr>
        <w:t xml:space="preserve">לחובתו של הנאשם עומד בעיקר עברו הפלילי, הכולל עבירות של החזקת סמים לצריכה עצמית והחזקת כלים להכנת סם לצריכה עצמית. עם זאת, אין המדובר בעבר מכביד, ועניינו בעיקר בעבירות של החזקת סמים וכלים לצריכה עצמית. </w:t>
      </w:r>
    </w:p>
    <w:p w14:paraId="209FA8FA" w14:textId="77777777" w:rsidR="00247D57" w:rsidRDefault="00247D57" w:rsidP="00247D57">
      <w:pPr>
        <w:pStyle w:val="ListParagraph1"/>
        <w:bidi/>
        <w:spacing w:before="120" w:after="120"/>
        <w:ind w:left="509"/>
        <w:jc w:val="both"/>
        <w:rPr>
          <w:rFonts w:cs="David"/>
          <w:b/>
          <w:bCs/>
          <w:i/>
          <w:iCs/>
          <w:sz w:val="24"/>
          <w:szCs w:val="24"/>
          <w:u w:val="single"/>
          <w:rtl/>
        </w:rPr>
      </w:pPr>
      <w:r>
        <w:rPr>
          <w:rFonts w:cs="David" w:hint="cs"/>
          <w:sz w:val="24"/>
          <w:szCs w:val="24"/>
          <w:rtl/>
        </w:rPr>
        <w:t>לזכותו של הנאשם עומדת הודאתו במיוחס לו, נטילת האחריות על מעשיו, וההליך הטיפולי המשמעותי שעבר. הנאשם מועסק בעבודה קבועה בשנה וחצי האחרונים, והוא מתכנן להינשא ולהקים משפחה. מדברי בני משפחתו עולה, כי הנאשם נרתם לשיקום ושינה התנהלותו. גם מתסקירי שירות המבחן עולה, כי הנאשם נרתם להליך טיפולי ביוזמתו ביחידה להתמכרויות בגדרה. הנאשם שיתף פעולה באופן מלא עם שירות המבחן, התמיד בטיפול, ולא נמצאו שרידי סם בבדיקות שתן שמסר הנאשם. שירות המבחן התרשם מהשינוי החיובי באורח חייו של הנאשם, ומכאן כי המליץ להאריך את המאסר על תנאי התלוי ועומד נגדו, ולצד זאת להטיל עליו צו מבחן וצו שירות לתועלת הציבור. עוד הוסיף שירות המבחן, כי ככל שלא תתקבל המלצתו, מתבקש בית המשפט להטיל על הנאשם מאסר לתקופה קצרה בלבד בדרך של עבודות שירות, על מנת שלא לפגוע בתפקודו התעסוקתי.</w:t>
      </w:r>
    </w:p>
    <w:p w14:paraId="28224A5A"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נגד הנאשם תלוי ועומד מאסר על תנאי ב</w:t>
      </w:r>
      <w:hyperlink r:id="rId32" w:history="1">
        <w:r w:rsidR="00514839" w:rsidRPr="00514839">
          <w:rPr>
            <w:rFonts w:cs="David"/>
            <w:color w:val="0000FF"/>
            <w:sz w:val="24"/>
            <w:szCs w:val="24"/>
            <w:u w:val="single"/>
            <w:rtl/>
          </w:rPr>
          <w:t xml:space="preserve">ת"פ (רח') 17972-05-14 </w:t>
        </w:r>
      </w:hyperlink>
      <w:r>
        <w:rPr>
          <w:rFonts w:cs="David" w:hint="cs"/>
          <w:sz w:val="24"/>
          <w:szCs w:val="24"/>
          <w:rtl/>
        </w:rPr>
        <w:t xml:space="preserve"> לתקופה של 5 חודשים, בגין עבירות סמים שביצע בעברו.</w:t>
      </w:r>
    </w:p>
    <w:p w14:paraId="468B15C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הצדדים הציגו שתי עמדות קוטביות. התביעה עתרה להטיל על הנאשם עונש של מאסר בפועל ולהפעיל המאסר על תנאי, ואילו בא כוח הנאשם עתר לאמץ את המלצת שירות המבחן, להטיל על הנאשם צו שירות לתועלת הציבור וצו מבחן, ולהאריך המאסר על תנאי התלוי ועומד נגד הנאשם.</w:t>
      </w:r>
    </w:p>
    <w:p w14:paraId="60CEED72"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לעמדתי, עתירת התביעה אינה הולמת את מכלול הנסיבות ובעיקר את הליך השיקום המשמעותי שעבר הנאשם, כפי שעולה הן מתוך תסקיר שירות המבחן והן מהמסמכים שהגיש בא כוחו לבית המשפט (ענ/1). למעשה, שיקומו של הנאשם ישרת לא רק את האינטרס הפרטי של הנאשם אלא גם את האינטרס החברתי שבשיקום עבריינים.  אימוץ המלצת שירות המבחן לאפשר לנאשם להמשיך בטיפול, גם תעביר מסר שיש בו כדי לחזק את ידי הנאשם ואת ידי שירות המבחן שתמך בנאשם לאורך הליך השיקום. מנגד, הטלת עונש של מאסר בפועל עלולה להוביל לחבירה של הנאשם לגורמים עבריינים ולגדוע את הליך השיקום. </w:t>
      </w:r>
    </w:p>
    <w:p w14:paraId="7D78282B"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בה בעת, גם עתירת בא כוח הנאשם אינה הולמת, לעמדתי, את מכלול הנסיבות. עתירה זו מהווה חריגה משמעותית ממתחם העונש ההולם, ולא מצאתי כי מתקיימות נסיבות המצדיקות זאת, ובפרט לאור עברו הפלילי של הנאשם בעבירות סמים. הנאשם אמנם עבר הליך שיקומי משמעותי, אולם אין מדובר בהליך שיקום חריג, כדוגמת שהייה ממושכת בקהילה סגורה, אשפוזית, וכיוצא באלו.  </w:t>
      </w:r>
    </w:p>
    <w:p w14:paraId="05AA0032"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 xml:space="preserve">מכאן, כי יש להטיל על הנאשם עונש שהוא בחלקו התחתון של מתחם העונש ההולם, והוא כולל מאסר, שיכול ויבוצע בדרך של עבודות שירות, מאסר על תנאי, צו מבחן, קנס והתחייבות. בקביעת הקנס לקחתי בחשבון כי מדובר בעבירות שיש להן היבט כלכלי. </w:t>
      </w:r>
    </w:p>
    <w:p w14:paraId="65D63A54"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מטעמים דומים, גם הגעתי לכלל מסקנה, כי יש להפעיל המאסר על תנאי התלוי ועומד נגד הנאשם, אולם בשל הליך השיקום המוצלח, ומכלול הנסיבות העומדות לזכותו, המאסר על תנאי יופעל בחופף למאסר שיוטל. לאור הליך השיקום המוצלח, ועל מנת לאפשר לנאשם ניידות בתקופת עבודות השירות, מצאתי לנכון גם להאריך פסילת הרישיון על תנאי.</w:t>
      </w:r>
    </w:p>
    <w:p w14:paraId="6688A33F"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לא התעלמתי מהעובדה, כי הטלת מאסר בדרך של עבודות שירות תפגע בתעסוקתו של הנאשם, כטענת בא כוחו וכעמדת שירות המבחן. עם זאת, הגעתי לכלל מסקנה, כי זהו העונש ההולם את מכלול נסיבות העניין, ואין טעם מספק לחריגה ממנו.</w:t>
      </w:r>
    </w:p>
    <w:p w14:paraId="22EB95F5"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לפי חוות דעת הממונה על עבודות שירות מיום 6.6.18, הנאשם נמצא מתאים לביצוע עבודות שירות.</w:t>
      </w:r>
    </w:p>
    <w:p w14:paraId="42E4AB53" w14:textId="77777777" w:rsidR="00247D57" w:rsidRDefault="00247D57" w:rsidP="00247D57">
      <w:pPr>
        <w:pStyle w:val="ListParagraph1"/>
        <w:bidi/>
        <w:spacing w:before="120" w:after="120"/>
        <w:ind w:left="509"/>
        <w:jc w:val="both"/>
        <w:rPr>
          <w:rFonts w:cs="David"/>
          <w:sz w:val="24"/>
          <w:szCs w:val="24"/>
          <w:highlight w:val="yellow"/>
        </w:rPr>
      </w:pPr>
    </w:p>
    <w:p w14:paraId="598D6864" w14:textId="77777777" w:rsidR="00247D57" w:rsidRDefault="00247D57" w:rsidP="00247D57">
      <w:pPr>
        <w:spacing w:before="120" w:after="120"/>
        <w:ind w:left="-58"/>
        <w:jc w:val="both"/>
        <w:rPr>
          <w:rtl/>
        </w:rPr>
      </w:pPr>
      <w:r>
        <w:rPr>
          <w:rFonts w:hint="cs"/>
          <w:b/>
          <w:bCs/>
          <w:u w:val="single"/>
          <w:rtl/>
        </w:rPr>
        <w:t>סוף דבר</w:t>
      </w:r>
    </w:p>
    <w:p w14:paraId="20EAAAFB" w14:textId="77777777" w:rsidR="00247D57" w:rsidRDefault="00247D57" w:rsidP="00247D57">
      <w:pPr>
        <w:pStyle w:val="ListParagraph1"/>
        <w:numPr>
          <w:ilvl w:val="0"/>
          <w:numId w:val="1"/>
        </w:numPr>
        <w:bidi/>
        <w:spacing w:before="120" w:after="120"/>
        <w:ind w:left="509" w:hanging="567"/>
        <w:jc w:val="both"/>
        <w:rPr>
          <w:rFonts w:cs="David"/>
          <w:sz w:val="24"/>
          <w:szCs w:val="24"/>
        </w:rPr>
      </w:pPr>
      <w:r>
        <w:rPr>
          <w:rFonts w:cs="David" w:hint="cs"/>
          <w:sz w:val="24"/>
          <w:szCs w:val="24"/>
          <w:rtl/>
        </w:rPr>
        <w:t>לפיכך, אני גוזרת על הנאשם את העונשים הבאים:</w:t>
      </w:r>
    </w:p>
    <w:p w14:paraId="65AE332D"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מאסר לתקופה של 6 חודשים שיבוצע בדרך של עבודות שירות, בהתאם לחוות דעת הממונה על עבודות שירות מיום 6.6.18. את עבודות השירות יחל הנאשם ביום 27.8.18. מובהר בזאת לנאשם, כי כל חריגה מהוראות הממונה עלולה להוביל לנשיאת המאסר בפועל.</w:t>
      </w:r>
    </w:p>
    <w:p w14:paraId="66EE36F0"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יופעל המאסר על תנאי מ</w:t>
      </w:r>
      <w:hyperlink r:id="rId33" w:history="1">
        <w:r w:rsidR="00867ECD" w:rsidRPr="00867ECD">
          <w:rPr>
            <w:rFonts w:cs="David" w:hint="cs"/>
            <w:color w:val="0000FF"/>
            <w:sz w:val="24"/>
            <w:szCs w:val="24"/>
            <w:u w:val="single"/>
            <w:rtl/>
          </w:rPr>
          <w:t>ת</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w:t>
        </w:r>
        <w:r w:rsidR="00867ECD" w:rsidRPr="00867ECD">
          <w:rPr>
            <w:rFonts w:cs="David" w:hint="cs"/>
            <w:color w:val="0000FF"/>
            <w:sz w:val="24"/>
            <w:szCs w:val="24"/>
            <w:u w:val="single"/>
            <w:rtl/>
          </w:rPr>
          <w:t>רח</w:t>
        </w:r>
        <w:r w:rsidR="00867ECD" w:rsidRPr="00867ECD">
          <w:rPr>
            <w:rFonts w:cs="David"/>
            <w:color w:val="0000FF"/>
            <w:sz w:val="24"/>
            <w:szCs w:val="24"/>
            <w:u w:val="single"/>
            <w:rtl/>
          </w:rPr>
          <w:t>') 17972-05-14</w:t>
        </w:r>
      </w:hyperlink>
      <w:r>
        <w:rPr>
          <w:rFonts w:cs="David" w:hint="cs"/>
          <w:sz w:val="24"/>
          <w:szCs w:val="24"/>
          <w:rtl/>
        </w:rPr>
        <w:t xml:space="preserve"> לתקופה של 5 חודשים, וזאת בחופף לעונש המאסר שהוטל, כך שסך הכל יוטל על הנאשם מאסר לתקופה של 6 חודשים, בדרך של עבודות שירות;</w:t>
      </w:r>
    </w:p>
    <w:p w14:paraId="5BBE7D1D"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מאסר על תנאי לתקופה של 6 חודשים, והתנאי הוא שבמשך 3 שנים מהיום לא יעבור כל עבירת סמים מסוג פשע;</w:t>
      </w:r>
    </w:p>
    <w:p w14:paraId="35D298E7"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מאסר על תנאי לתקופה של 3 חודשים, והתנאי הוא שבמשך 3 שנים מהיום לא יעבור כל עבירת סמים מסוג עוון;</w:t>
      </w:r>
    </w:p>
    <w:p w14:paraId="6B40A7D0"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מאסר על תנאי לתקופה של 2 חודשים, והתנאי הוא שבמשך 24 חודשים מהיום לא יעבור כל עבירה של החזקת סכין;</w:t>
      </w:r>
    </w:p>
    <w:p w14:paraId="2A72C4DC"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צו מבחן לתקופה של 12 חודשים, בהתאם לתסקיר שירות המבחן מיום 8.3.18. רשמתי לפניי נכונות הנאשם לבצע את צו המבחן. מובהר בזאת לנאשם, כי כל חריגה מהוראות שירות המבחן עלולה להוביל לנשיאת המאסר בפועל;</w:t>
      </w:r>
    </w:p>
    <w:p w14:paraId="0FF6EDC9"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יוארך עונש פסילת הרישיון על תנאי מ</w:t>
      </w:r>
      <w:hyperlink r:id="rId34" w:history="1">
        <w:r w:rsidR="00867ECD" w:rsidRPr="00867ECD">
          <w:rPr>
            <w:rFonts w:cs="David" w:hint="cs"/>
            <w:color w:val="0000FF"/>
            <w:sz w:val="24"/>
            <w:szCs w:val="24"/>
            <w:u w:val="single"/>
            <w:rtl/>
          </w:rPr>
          <w:t>ת</w:t>
        </w:r>
        <w:r w:rsidR="00867ECD" w:rsidRPr="00867ECD">
          <w:rPr>
            <w:rFonts w:cs="David"/>
            <w:color w:val="0000FF"/>
            <w:sz w:val="24"/>
            <w:szCs w:val="24"/>
            <w:u w:val="single"/>
            <w:rtl/>
          </w:rPr>
          <w:t>"</w:t>
        </w:r>
        <w:r w:rsidR="00867ECD" w:rsidRPr="00867ECD">
          <w:rPr>
            <w:rFonts w:cs="David" w:hint="cs"/>
            <w:color w:val="0000FF"/>
            <w:sz w:val="24"/>
            <w:szCs w:val="24"/>
            <w:u w:val="single"/>
            <w:rtl/>
          </w:rPr>
          <w:t>פ</w:t>
        </w:r>
        <w:r w:rsidR="00867ECD" w:rsidRPr="00867ECD">
          <w:rPr>
            <w:rFonts w:cs="David"/>
            <w:color w:val="0000FF"/>
            <w:sz w:val="24"/>
            <w:szCs w:val="24"/>
            <w:u w:val="single"/>
            <w:rtl/>
          </w:rPr>
          <w:t xml:space="preserve"> 17972-05-14</w:t>
        </w:r>
      </w:hyperlink>
      <w:r>
        <w:rPr>
          <w:rFonts w:cs="David" w:hint="cs"/>
          <w:sz w:val="24"/>
          <w:szCs w:val="24"/>
          <w:rtl/>
        </w:rPr>
        <w:t xml:space="preserve"> לתקופה של 5 חודשים, וזאת במשך 24 חודשים מהיום.</w:t>
      </w:r>
    </w:p>
    <w:p w14:paraId="0F0D04E6" w14:textId="77777777" w:rsidR="00247D57" w:rsidRDefault="00247D57" w:rsidP="00247D57">
      <w:pPr>
        <w:pStyle w:val="ListParagraph1"/>
        <w:numPr>
          <w:ilvl w:val="0"/>
          <w:numId w:val="3"/>
        </w:numPr>
        <w:bidi/>
        <w:spacing w:before="120" w:after="120"/>
        <w:ind w:left="1218" w:hanging="709"/>
        <w:jc w:val="both"/>
        <w:rPr>
          <w:rFonts w:cs="David"/>
          <w:sz w:val="24"/>
          <w:szCs w:val="24"/>
        </w:rPr>
      </w:pPr>
      <w:r>
        <w:rPr>
          <w:rFonts w:cs="David" w:hint="cs"/>
          <w:sz w:val="24"/>
          <w:szCs w:val="24"/>
          <w:rtl/>
        </w:rPr>
        <w:t>קנס בסכום של 2,000 ₪ או 20 ימי מאסר תמורתו. את הקנס ישלם הנאשם ב-5 תשלומים שווים, הראשון ביום 1.7.18 והיתרה ב-1 לכל חודש קלנדרי שלאחר מכן.</w:t>
      </w:r>
    </w:p>
    <w:p w14:paraId="0181ACF9" w14:textId="77777777" w:rsidR="00247D57" w:rsidRDefault="00247D57" w:rsidP="00247D57">
      <w:pPr>
        <w:pStyle w:val="ListParagraph1"/>
        <w:numPr>
          <w:ilvl w:val="0"/>
          <w:numId w:val="3"/>
        </w:numPr>
        <w:bidi/>
        <w:spacing w:before="120" w:after="60"/>
        <w:ind w:left="1218" w:hanging="709"/>
        <w:jc w:val="both"/>
        <w:rPr>
          <w:rFonts w:cs="David"/>
          <w:sz w:val="24"/>
          <w:szCs w:val="24"/>
        </w:rPr>
      </w:pPr>
      <w:r>
        <w:rPr>
          <w:rFonts w:cs="David" w:hint="cs"/>
          <w:sz w:val="24"/>
          <w:szCs w:val="24"/>
          <w:rtl/>
        </w:rPr>
        <w:t>הנאשם יחתום על התחייבות בסך של 2,000 ₪ להימנע מלעבור עבירה מהסוג בה הורשע בתיק זה וזאת לתקופה של שנתיים מהיום. לא יחתום, ייאסר לתקופה של 3 ימים.</w:t>
      </w:r>
    </w:p>
    <w:p w14:paraId="66D56F85" w14:textId="77777777" w:rsidR="00247D57" w:rsidRDefault="00247D57" w:rsidP="00247D57">
      <w:pPr>
        <w:spacing w:before="120" w:after="120"/>
        <w:ind w:left="509" w:hanging="567"/>
        <w:contextualSpacing/>
        <w:jc w:val="both"/>
        <w:rPr>
          <w:highlight w:val="yellow"/>
        </w:rPr>
      </w:pPr>
    </w:p>
    <w:p w14:paraId="252441D2" w14:textId="77777777" w:rsidR="00247D57" w:rsidRDefault="00247D57" w:rsidP="00247D57">
      <w:pPr>
        <w:spacing w:before="120" w:after="120"/>
        <w:ind w:left="509" w:hanging="567"/>
        <w:contextualSpacing/>
        <w:jc w:val="both"/>
        <w:rPr>
          <w:b/>
          <w:bCs/>
          <w:rtl/>
        </w:rPr>
      </w:pPr>
      <w:r>
        <w:rPr>
          <w:rFonts w:hint="cs"/>
          <w:b/>
          <w:bCs/>
          <w:rtl/>
        </w:rPr>
        <w:t>הסכין והסמים יושמדו בהסכמה.</w:t>
      </w:r>
    </w:p>
    <w:p w14:paraId="7AFDE7EF" w14:textId="77777777" w:rsidR="00247D57" w:rsidRDefault="00247D57" w:rsidP="00247D57">
      <w:pPr>
        <w:spacing w:before="120" w:after="120"/>
        <w:ind w:left="509" w:hanging="567"/>
        <w:contextualSpacing/>
        <w:jc w:val="both"/>
        <w:rPr>
          <w:b/>
          <w:bCs/>
          <w:rtl/>
        </w:rPr>
      </w:pPr>
    </w:p>
    <w:p w14:paraId="79B7A312" w14:textId="77777777" w:rsidR="00247D57" w:rsidRDefault="00247D57" w:rsidP="00247D57">
      <w:pPr>
        <w:spacing w:before="120" w:after="120"/>
        <w:ind w:left="509" w:hanging="567"/>
        <w:contextualSpacing/>
        <w:jc w:val="both"/>
        <w:rPr>
          <w:rtl/>
        </w:rPr>
      </w:pPr>
      <w:r>
        <w:rPr>
          <w:rFonts w:hint="cs"/>
          <w:b/>
          <w:bCs/>
          <w:rtl/>
        </w:rPr>
        <w:t xml:space="preserve">זכות ערעור כחוק תוך 45 ימים. </w:t>
      </w:r>
    </w:p>
    <w:p w14:paraId="14F7F56F" w14:textId="77777777" w:rsidR="00247D57" w:rsidRPr="00B05847" w:rsidRDefault="00247D57" w:rsidP="00247D57">
      <w:pPr>
        <w:rPr>
          <w:rtl/>
        </w:rPr>
      </w:pPr>
    </w:p>
    <w:p w14:paraId="078F5B99" w14:textId="77777777" w:rsidR="00247D57" w:rsidRPr="00867ECD" w:rsidRDefault="00867ECD" w:rsidP="00247D57">
      <w:pPr>
        <w:rPr>
          <w:color w:val="FFFFFF"/>
          <w:sz w:val="2"/>
          <w:szCs w:val="2"/>
          <w:rtl/>
        </w:rPr>
      </w:pPr>
      <w:r w:rsidRPr="00867ECD">
        <w:rPr>
          <w:color w:val="FFFFFF"/>
          <w:sz w:val="2"/>
          <w:szCs w:val="2"/>
          <w:rtl/>
        </w:rPr>
        <w:t>5129371</w:t>
      </w:r>
    </w:p>
    <w:p w14:paraId="21B9BFDF" w14:textId="77777777" w:rsidR="00247D57" w:rsidRDefault="00867ECD" w:rsidP="00247D57">
      <w:pPr>
        <w:rPr>
          <w:rFonts w:cs="FrankRuehl"/>
          <w:sz w:val="28"/>
          <w:szCs w:val="28"/>
          <w:rtl/>
        </w:rPr>
      </w:pPr>
      <w:r w:rsidRPr="00867ECD">
        <w:rPr>
          <w:rFonts w:ascii="Arial" w:hAnsi="Arial"/>
          <w:color w:val="FFFFFF"/>
          <w:sz w:val="2"/>
          <w:szCs w:val="2"/>
          <w:rtl/>
        </w:rPr>
        <w:t>54678313</w:t>
      </w:r>
      <w:r>
        <w:rPr>
          <w:rFonts w:ascii="Arial" w:hAnsi="Arial"/>
          <w:rtl/>
        </w:rPr>
        <w:t xml:space="preserve">ניתן היום,  כ"ג סיוון תשע"ח, 06 יוני 2018, במעמד הצדדים. </w:t>
      </w:r>
    </w:p>
    <w:p w14:paraId="6E0285D5" w14:textId="77777777" w:rsidR="00247D57" w:rsidRDefault="00247D57" w:rsidP="00247D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1D52294" w14:textId="77777777" w:rsidR="00247D57" w:rsidRDefault="00247D57" w:rsidP="00247D57">
      <w:pPr>
        <w:jc w:val="center"/>
        <w:rPr>
          <w:rFonts w:ascii="Arial" w:hAnsi="Arial" w:cs="FrankRuehl"/>
          <w:sz w:val="28"/>
          <w:szCs w:val="28"/>
          <w:rtl/>
        </w:rPr>
      </w:pPr>
    </w:p>
    <w:p w14:paraId="189C7EAE" w14:textId="77777777" w:rsidR="00867ECD" w:rsidRDefault="00867ECD" w:rsidP="00867ECD">
      <w:pPr>
        <w:rPr>
          <w:rtl/>
        </w:rPr>
      </w:pPr>
    </w:p>
    <w:p w14:paraId="46B496E0" w14:textId="77777777" w:rsidR="00867ECD" w:rsidRDefault="00867ECD" w:rsidP="00867EC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r w:rsidR="00514839">
        <w:rPr>
          <w:rFonts w:hint="cs"/>
          <w:color w:val="0000FF"/>
          <w:u w:val="single"/>
          <w:rtl/>
        </w:rPr>
        <w:t xml:space="preserve"> </w:t>
      </w:r>
    </w:p>
    <w:p w14:paraId="190CFC06" w14:textId="77777777" w:rsidR="002F10EA" w:rsidRPr="002F10EA" w:rsidRDefault="002F10EA" w:rsidP="002F10EA">
      <w:pPr>
        <w:keepNext/>
        <w:rPr>
          <w:rFonts w:ascii="David" w:hAnsi="David"/>
          <w:color w:val="000000"/>
          <w:sz w:val="22"/>
          <w:szCs w:val="22"/>
          <w:rtl/>
        </w:rPr>
      </w:pPr>
    </w:p>
    <w:p w14:paraId="222D3432" w14:textId="77777777" w:rsidR="002F10EA" w:rsidRPr="002F10EA" w:rsidRDefault="002F10EA" w:rsidP="002F10EA">
      <w:pPr>
        <w:keepNext/>
        <w:rPr>
          <w:rFonts w:ascii="David" w:hAnsi="David"/>
          <w:color w:val="000000"/>
          <w:sz w:val="22"/>
          <w:szCs w:val="22"/>
          <w:rtl/>
        </w:rPr>
      </w:pPr>
      <w:r w:rsidRPr="002F10EA">
        <w:rPr>
          <w:rFonts w:ascii="David" w:hAnsi="David"/>
          <w:color w:val="000000"/>
          <w:sz w:val="22"/>
          <w:szCs w:val="22"/>
          <w:rtl/>
        </w:rPr>
        <w:t>אפרת פינק 54678313-/</w:t>
      </w:r>
    </w:p>
    <w:p w14:paraId="3B38169D" w14:textId="77777777" w:rsidR="00867ECD" w:rsidRPr="00867ECD" w:rsidRDefault="002F10EA" w:rsidP="002F10EA">
      <w:pPr>
        <w:rPr>
          <w:color w:val="0000FF"/>
          <w:u w:val="single"/>
        </w:rPr>
      </w:pPr>
      <w:r w:rsidRPr="002F10EA">
        <w:rPr>
          <w:color w:val="000000"/>
          <w:u w:val="single"/>
          <w:rtl/>
        </w:rPr>
        <w:t>נוסח מסמך זה כפוף לשינויי ניסוח ועריכה</w:t>
      </w:r>
    </w:p>
    <w:sectPr w:rsidR="00867ECD" w:rsidRPr="00867ECD" w:rsidSect="002F10EA">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CD610" w14:textId="77777777" w:rsidR="00FA2F63" w:rsidRDefault="00FA2F63" w:rsidP="00EC2D22">
      <w:r>
        <w:separator/>
      </w:r>
    </w:p>
  </w:endnote>
  <w:endnote w:type="continuationSeparator" w:id="0">
    <w:p w14:paraId="62EA5CC1" w14:textId="77777777" w:rsidR="00FA2F63" w:rsidRDefault="00FA2F63" w:rsidP="00EC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D738" w14:textId="77777777" w:rsidR="002F10EA" w:rsidRDefault="002F10EA" w:rsidP="002F10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E5659E" w14:textId="77777777" w:rsidR="00C036D4" w:rsidRPr="002F10EA" w:rsidRDefault="002F10EA" w:rsidP="002F10EA">
    <w:pPr>
      <w:pStyle w:val="a5"/>
      <w:pBdr>
        <w:top w:val="single" w:sz="4" w:space="1" w:color="auto"/>
        <w:between w:val="single" w:sz="4" w:space="0" w:color="auto"/>
      </w:pBdr>
      <w:spacing w:after="60"/>
      <w:jc w:val="center"/>
      <w:rPr>
        <w:rFonts w:ascii="FrankRuehl" w:hAnsi="FrankRuehl" w:cs="FrankRuehl"/>
        <w:color w:val="000000"/>
      </w:rPr>
    </w:pPr>
    <w:r w:rsidRPr="002F10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BCF92" w14:textId="77777777" w:rsidR="002F10EA" w:rsidRDefault="002F10EA" w:rsidP="002F10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48C9">
      <w:rPr>
        <w:rFonts w:ascii="FrankRuehl" w:hAnsi="FrankRuehl" w:cs="FrankRuehl"/>
        <w:noProof/>
        <w:rtl/>
      </w:rPr>
      <w:t>2</w:t>
    </w:r>
    <w:r>
      <w:rPr>
        <w:rFonts w:ascii="FrankRuehl" w:hAnsi="FrankRuehl" w:cs="FrankRuehl"/>
        <w:rtl/>
      </w:rPr>
      <w:fldChar w:fldCharType="end"/>
    </w:r>
  </w:p>
  <w:p w14:paraId="09D6FCF1" w14:textId="77777777" w:rsidR="00C036D4" w:rsidRPr="002F10EA" w:rsidRDefault="002F10EA" w:rsidP="002F10EA">
    <w:pPr>
      <w:pStyle w:val="a5"/>
      <w:pBdr>
        <w:top w:val="single" w:sz="4" w:space="1" w:color="auto"/>
        <w:between w:val="single" w:sz="4" w:space="0" w:color="auto"/>
      </w:pBdr>
      <w:spacing w:after="60"/>
      <w:jc w:val="center"/>
      <w:rPr>
        <w:rFonts w:ascii="FrankRuehl" w:hAnsi="FrankRuehl" w:cs="FrankRuehl"/>
        <w:color w:val="000000"/>
      </w:rPr>
    </w:pPr>
    <w:r w:rsidRPr="002F10EA">
      <w:rPr>
        <w:rFonts w:ascii="FrankRuehl" w:hAnsi="FrankRuehl" w:cs="FrankRuehl"/>
        <w:color w:val="000000"/>
      </w:rPr>
      <w:pict w14:anchorId="2495A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6FF38" w14:textId="77777777" w:rsidR="00FA2F63" w:rsidRDefault="00FA2F63" w:rsidP="00EC2D22">
      <w:r>
        <w:separator/>
      </w:r>
    </w:p>
  </w:footnote>
  <w:footnote w:type="continuationSeparator" w:id="0">
    <w:p w14:paraId="4683A520" w14:textId="77777777" w:rsidR="00FA2F63" w:rsidRDefault="00FA2F63" w:rsidP="00EC2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FC9F" w14:textId="77777777" w:rsidR="00867ECD" w:rsidRPr="002F10EA" w:rsidRDefault="002F10EA" w:rsidP="002F10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60843-08-16</w:t>
    </w:r>
    <w:r>
      <w:rPr>
        <w:rFonts w:ascii="David" w:hAnsi="David"/>
        <w:color w:val="000000"/>
        <w:sz w:val="22"/>
        <w:szCs w:val="22"/>
        <w:rtl/>
      </w:rPr>
      <w:tab/>
      <w:t xml:space="preserve"> מדינת ישראל נ' גל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4A4DA" w14:textId="77777777" w:rsidR="00867ECD" w:rsidRPr="002F10EA" w:rsidRDefault="002F10EA" w:rsidP="002F10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60843-08-16</w:t>
    </w:r>
    <w:r>
      <w:rPr>
        <w:rFonts w:ascii="David" w:hAnsi="David"/>
        <w:color w:val="000000"/>
        <w:sz w:val="22"/>
        <w:szCs w:val="22"/>
        <w:rtl/>
      </w:rPr>
      <w:tab/>
      <w:t xml:space="preserve"> מדינת ישראל נ' גל סבג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9722F"/>
    <w:multiLevelType w:val="hybridMultilevel"/>
    <w:tmpl w:val="EB8E679C"/>
    <w:lvl w:ilvl="0" w:tplc="0EDED29E">
      <w:numFmt w:val="bullet"/>
      <w:lvlText w:val="-"/>
      <w:lvlJc w:val="left"/>
      <w:pPr>
        <w:ind w:left="869" w:hanging="360"/>
      </w:pPr>
      <w:rPr>
        <w:rFonts w:ascii="Calibri" w:eastAsia="Calibri" w:hAnsi="Calibri" w:cs="David" w:hint="default"/>
      </w:rPr>
    </w:lvl>
    <w:lvl w:ilvl="1" w:tplc="9716BCAE">
      <w:start w:val="1"/>
      <w:numFmt w:val="bullet"/>
      <w:lvlText w:val="o"/>
      <w:lvlJc w:val="left"/>
      <w:pPr>
        <w:ind w:left="1589" w:hanging="360"/>
      </w:pPr>
      <w:rPr>
        <w:rFonts w:ascii="Courier New" w:hAnsi="Courier New" w:cs="Courier New" w:hint="default"/>
      </w:rPr>
    </w:lvl>
    <w:lvl w:ilvl="2" w:tplc="12CEE112">
      <w:start w:val="1"/>
      <w:numFmt w:val="bullet"/>
      <w:lvlText w:val=""/>
      <w:lvlJc w:val="left"/>
      <w:pPr>
        <w:ind w:left="2309" w:hanging="360"/>
      </w:pPr>
      <w:rPr>
        <w:rFonts w:ascii="Wingdings" w:hAnsi="Wingdings" w:hint="default"/>
      </w:rPr>
    </w:lvl>
    <w:lvl w:ilvl="3" w:tplc="02A6EAE2">
      <w:start w:val="1"/>
      <w:numFmt w:val="bullet"/>
      <w:lvlText w:val=""/>
      <w:lvlJc w:val="left"/>
      <w:pPr>
        <w:ind w:left="3029" w:hanging="360"/>
      </w:pPr>
      <w:rPr>
        <w:rFonts w:ascii="Symbol" w:hAnsi="Symbol" w:hint="default"/>
      </w:rPr>
    </w:lvl>
    <w:lvl w:ilvl="4" w:tplc="8C9803A0">
      <w:start w:val="1"/>
      <w:numFmt w:val="bullet"/>
      <w:lvlText w:val="o"/>
      <w:lvlJc w:val="left"/>
      <w:pPr>
        <w:ind w:left="3749" w:hanging="360"/>
      </w:pPr>
      <w:rPr>
        <w:rFonts w:ascii="Courier New" w:hAnsi="Courier New" w:cs="Courier New" w:hint="default"/>
      </w:rPr>
    </w:lvl>
    <w:lvl w:ilvl="5" w:tplc="751E7496">
      <w:start w:val="1"/>
      <w:numFmt w:val="bullet"/>
      <w:lvlText w:val=""/>
      <w:lvlJc w:val="left"/>
      <w:pPr>
        <w:ind w:left="4469" w:hanging="360"/>
      </w:pPr>
      <w:rPr>
        <w:rFonts w:ascii="Wingdings" w:hAnsi="Wingdings" w:hint="default"/>
      </w:rPr>
    </w:lvl>
    <w:lvl w:ilvl="6" w:tplc="148806EC">
      <w:start w:val="1"/>
      <w:numFmt w:val="bullet"/>
      <w:lvlText w:val=""/>
      <w:lvlJc w:val="left"/>
      <w:pPr>
        <w:ind w:left="5189" w:hanging="360"/>
      </w:pPr>
      <w:rPr>
        <w:rFonts w:ascii="Symbol" w:hAnsi="Symbol" w:hint="default"/>
      </w:rPr>
    </w:lvl>
    <w:lvl w:ilvl="7" w:tplc="EF228A00">
      <w:start w:val="1"/>
      <w:numFmt w:val="bullet"/>
      <w:lvlText w:val="o"/>
      <w:lvlJc w:val="left"/>
      <w:pPr>
        <w:ind w:left="5909" w:hanging="360"/>
      </w:pPr>
      <w:rPr>
        <w:rFonts w:ascii="Courier New" w:hAnsi="Courier New" w:cs="Courier New" w:hint="default"/>
      </w:rPr>
    </w:lvl>
    <w:lvl w:ilvl="8" w:tplc="B366DF80">
      <w:start w:val="1"/>
      <w:numFmt w:val="bullet"/>
      <w:lvlText w:val=""/>
      <w:lvlJc w:val="left"/>
      <w:pPr>
        <w:ind w:left="6629" w:hanging="360"/>
      </w:pPr>
      <w:rPr>
        <w:rFonts w:ascii="Wingdings" w:hAnsi="Wingdings" w:hint="default"/>
      </w:rPr>
    </w:lvl>
  </w:abstractNum>
  <w:abstractNum w:abstractNumId="1" w15:restartNumberingAfterBreak="0">
    <w:nsid w:val="76F1561D"/>
    <w:multiLevelType w:val="hybridMultilevel"/>
    <w:tmpl w:val="FA66C600"/>
    <w:lvl w:ilvl="0" w:tplc="774CFEB4">
      <w:start w:val="1"/>
      <w:numFmt w:val="hebrew1"/>
      <w:lvlText w:val="%1."/>
      <w:lvlJc w:val="left"/>
      <w:pPr>
        <w:ind w:left="1439" w:hanging="93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21CE289A"/>
    <w:lvl w:ilvl="0" w:tplc="FBD4A1D4">
      <w:start w:val="1"/>
      <w:numFmt w:val="decimal"/>
      <w:lvlText w:val="%1."/>
      <w:lvlJc w:val="left"/>
      <w:pPr>
        <w:ind w:left="927" w:hanging="360"/>
      </w:pPr>
      <w:rPr>
        <w:b w:val="0"/>
        <w:bCs w:val="0"/>
        <w:lang w:val="en-US"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12286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9651652">
    <w:abstractNumId w:val="0"/>
  </w:num>
  <w:num w:numId="3" w16cid:durableId="235016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7D57"/>
    <w:rsid w:val="000D3F56"/>
    <w:rsid w:val="00247D57"/>
    <w:rsid w:val="002F10EA"/>
    <w:rsid w:val="00514839"/>
    <w:rsid w:val="006D42D7"/>
    <w:rsid w:val="00844506"/>
    <w:rsid w:val="00851094"/>
    <w:rsid w:val="00867ECD"/>
    <w:rsid w:val="00AB47D2"/>
    <w:rsid w:val="00BB0276"/>
    <w:rsid w:val="00C036D4"/>
    <w:rsid w:val="00C948C9"/>
    <w:rsid w:val="00EC2D22"/>
    <w:rsid w:val="00FA2F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3FF27F"/>
  <w15:chartTrackingRefBased/>
  <w15:docId w15:val="{5A528F90-AF2E-485F-B2C9-81FE16C7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7D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7D57"/>
    <w:pPr>
      <w:tabs>
        <w:tab w:val="center" w:pos="4153"/>
        <w:tab w:val="right" w:pos="8306"/>
      </w:tabs>
    </w:pPr>
  </w:style>
  <w:style w:type="character" w:customStyle="1" w:styleId="a4">
    <w:name w:val="כותרת עליונה תו"/>
    <w:link w:val="a3"/>
    <w:rsid w:val="00247D57"/>
    <w:rPr>
      <w:rFonts w:ascii="Times New Roman" w:eastAsia="Times New Roman" w:hAnsi="Times New Roman" w:cs="David"/>
      <w:sz w:val="24"/>
      <w:szCs w:val="24"/>
    </w:rPr>
  </w:style>
  <w:style w:type="paragraph" w:styleId="a5">
    <w:name w:val="footer"/>
    <w:basedOn w:val="a"/>
    <w:link w:val="a6"/>
    <w:rsid w:val="00247D57"/>
    <w:pPr>
      <w:tabs>
        <w:tab w:val="center" w:pos="4153"/>
        <w:tab w:val="right" w:pos="8306"/>
      </w:tabs>
    </w:pPr>
  </w:style>
  <w:style w:type="character" w:customStyle="1" w:styleId="a6">
    <w:name w:val="כותרת תחתונה תו"/>
    <w:link w:val="a5"/>
    <w:rsid w:val="00247D57"/>
    <w:rPr>
      <w:rFonts w:ascii="Times New Roman" w:eastAsia="Times New Roman" w:hAnsi="Times New Roman" w:cs="David"/>
      <w:sz w:val="24"/>
      <w:szCs w:val="24"/>
    </w:rPr>
  </w:style>
  <w:style w:type="table" w:styleId="a7">
    <w:name w:val="Table Grid"/>
    <w:basedOn w:val="a1"/>
    <w:rsid w:val="00247D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7D57"/>
  </w:style>
  <w:style w:type="character" w:customStyle="1" w:styleId="ListParagraphChar">
    <w:name w:val="List Paragraph Char"/>
    <w:link w:val="ListParagraph1"/>
    <w:locked/>
    <w:rsid w:val="00247D57"/>
  </w:style>
  <w:style w:type="paragraph" w:customStyle="1" w:styleId="ListParagraph1">
    <w:name w:val="List Paragraph1"/>
    <w:basedOn w:val="a"/>
    <w:link w:val="ListParagraphChar"/>
    <w:qFormat/>
    <w:rsid w:val="00247D57"/>
    <w:pPr>
      <w:bidi w:val="0"/>
      <w:spacing w:line="360" w:lineRule="auto"/>
      <w:ind w:left="720"/>
      <w:contextualSpacing/>
    </w:pPr>
    <w:rPr>
      <w:rFonts w:ascii="Calibri" w:eastAsia="Calibri" w:hAnsi="Calibri" w:cs="Arial"/>
      <w:sz w:val="22"/>
      <w:szCs w:val="22"/>
    </w:rPr>
  </w:style>
  <w:style w:type="character" w:styleId="Hyperlink">
    <w:name w:val="Hyperlink"/>
    <w:rsid w:val="00867ECD"/>
    <w:rPr>
      <w:color w:val="0563C1"/>
      <w:u w:val="single"/>
    </w:rPr>
  </w:style>
  <w:style w:type="character" w:styleId="a9">
    <w:name w:val="Unresolved Mention"/>
    <w:uiPriority w:val="99"/>
    <w:semiHidden/>
    <w:unhideWhenUsed/>
    <w:rsid w:val="00514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894422"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6032722" TargetMode="External"/><Relationship Id="rId39" Type="http://schemas.openxmlformats.org/officeDocument/2006/relationships/footer" Target="footer2.xml"/><Relationship Id="rId21" Type="http://schemas.openxmlformats.org/officeDocument/2006/relationships/hyperlink" Target="http://www.nevo.co.il/case/5576278" TargetMode="External"/><Relationship Id="rId34" Type="http://schemas.openxmlformats.org/officeDocument/2006/relationships/hyperlink" Target="http://www.nevo.co.il/case/16922835"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3357435"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242777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5866450" TargetMode="External"/><Relationship Id="rId32" Type="http://schemas.openxmlformats.org/officeDocument/2006/relationships/hyperlink" Target="http://www.nevo.co.il/case/1692283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896402" TargetMode="External"/><Relationship Id="rId28" Type="http://schemas.openxmlformats.org/officeDocument/2006/relationships/hyperlink" Target="http://www.nevo.co.il/case/6169989" TargetMode="External"/><Relationship Id="rId36"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9999565"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86.a" TargetMode="External"/><Relationship Id="rId22" Type="http://schemas.openxmlformats.org/officeDocument/2006/relationships/hyperlink" Target="http://www.nevo.co.il/case/5585964" TargetMode="External"/><Relationship Id="rId27" Type="http://schemas.openxmlformats.org/officeDocument/2006/relationships/hyperlink" Target="http://www.nevo.co.il/case/5980328" TargetMode="External"/><Relationship Id="rId30" Type="http://schemas.openxmlformats.org/officeDocument/2006/relationships/hyperlink" Target="http://www.nevo.co.il/case/766413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86.a"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995351" TargetMode="External"/><Relationship Id="rId33" Type="http://schemas.openxmlformats.org/officeDocument/2006/relationships/hyperlink" Target="http://www.nevo.co.il/case/1692283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2806</Words>
  <Characters>14035</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16808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3735672</vt:i4>
      </vt:variant>
      <vt:variant>
        <vt:i4>81</vt:i4>
      </vt:variant>
      <vt:variant>
        <vt:i4>0</vt:i4>
      </vt:variant>
      <vt:variant>
        <vt:i4>5</vt:i4>
      </vt:variant>
      <vt:variant>
        <vt:lpwstr>http://www.nevo.co.il/case/16922835</vt:lpwstr>
      </vt:variant>
      <vt:variant>
        <vt:lpwstr/>
      </vt:variant>
      <vt:variant>
        <vt:i4>3735672</vt:i4>
      </vt:variant>
      <vt:variant>
        <vt:i4>78</vt:i4>
      </vt:variant>
      <vt:variant>
        <vt:i4>0</vt:i4>
      </vt:variant>
      <vt:variant>
        <vt:i4>5</vt:i4>
      </vt:variant>
      <vt:variant>
        <vt:lpwstr>http://www.nevo.co.il/case/16922835</vt:lpwstr>
      </vt:variant>
      <vt:variant>
        <vt:lpwstr/>
      </vt:variant>
      <vt:variant>
        <vt:i4>3735672</vt:i4>
      </vt:variant>
      <vt:variant>
        <vt:i4>75</vt:i4>
      </vt:variant>
      <vt:variant>
        <vt:i4>0</vt:i4>
      </vt:variant>
      <vt:variant>
        <vt:i4>5</vt:i4>
      </vt:variant>
      <vt:variant>
        <vt:lpwstr>http://www.nevo.co.il/case/16922835</vt:lpwstr>
      </vt:variant>
      <vt:variant>
        <vt:lpwstr/>
      </vt:variant>
      <vt:variant>
        <vt:i4>3604593</vt:i4>
      </vt:variant>
      <vt:variant>
        <vt:i4>72</vt:i4>
      </vt:variant>
      <vt:variant>
        <vt:i4>0</vt:i4>
      </vt:variant>
      <vt:variant>
        <vt:i4>5</vt:i4>
      </vt:variant>
      <vt:variant>
        <vt:lpwstr>http://www.nevo.co.il/case/19999565</vt:lpwstr>
      </vt:variant>
      <vt:variant>
        <vt:lpwstr/>
      </vt:variant>
      <vt:variant>
        <vt:i4>3211381</vt:i4>
      </vt:variant>
      <vt:variant>
        <vt:i4>69</vt:i4>
      </vt:variant>
      <vt:variant>
        <vt:i4>0</vt:i4>
      </vt:variant>
      <vt:variant>
        <vt:i4>5</vt:i4>
      </vt:variant>
      <vt:variant>
        <vt:lpwstr>http://www.nevo.co.il/case/7664131</vt:lpwstr>
      </vt:variant>
      <vt:variant>
        <vt:lpwstr/>
      </vt:variant>
      <vt:variant>
        <vt:i4>3539056</vt:i4>
      </vt:variant>
      <vt:variant>
        <vt:i4>66</vt:i4>
      </vt:variant>
      <vt:variant>
        <vt:i4>0</vt:i4>
      </vt:variant>
      <vt:variant>
        <vt:i4>5</vt:i4>
      </vt:variant>
      <vt:variant>
        <vt:lpwstr>http://www.nevo.co.il/case/2427771</vt:lpwstr>
      </vt:variant>
      <vt:variant>
        <vt:lpwstr/>
      </vt:variant>
      <vt:variant>
        <vt:i4>3145844</vt:i4>
      </vt:variant>
      <vt:variant>
        <vt:i4>63</vt:i4>
      </vt:variant>
      <vt:variant>
        <vt:i4>0</vt:i4>
      </vt:variant>
      <vt:variant>
        <vt:i4>5</vt:i4>
      </vt:variant>
      <vt:variant>
        <vt:lpwstr>http://www.nevo.co.il/case/6169989</vt:lpwstr>
      </vt:variant>
      <vt:variant>
        <vt:lpwstr/>
      </vt:variant>
      <vt:variant>
        <vt:i4>3539071</vt:i4>
      </vt:variant>
      <vt:variant>
        <vt:i4>60</vt:i4>
      </vt:variant>
      <vt:variant>
        <vt:i4>0</vt:i4>
      </vt:variant>
      <vt:variant>
        <vt:i4>5</vt:i4>
      </vt:variant>
      <vt:variant>
        <vt:lpwstr>http://www.nevo.co.il/case/5980328</vt:lpwstr>
      </vt:variant>
      <vt:variant>
        <vt:lpwstr/>
      </vt:variant>
      <vt:variant>
        <vt:i4>3145844</vt:i4>
      </vt:variant>
      <vt:variant>
        <vt:i4>57</vt:i4>
      </vt:variant>
      <vt:variant>
        <vt:i4>0</vt:i4>
      </vt:variant>
      <vt:variant>
        <vt:i4>5</vt:i4>
      </vt:variant>
      <vt:variant>
        <vt:lpwstr>http://www.nevo.co.il/case/6032722</vt:lpwstr>
      </vt:variant>
      <vt:variant>
        <vt:lpwstr/>
      </vt:variant>
      <vt:variant>
        <vt:i4>4063357</vt:i4>
      </vt:variant>
      <vt:variant>
        <vt:i4>54</vt:i4>
      </vt:variant>
      <vt:variant>
        <vt:i4>0</vt:i4>
      </vt:variant>
      <vt:variant>
        <vt:i4>5</vt:i4>
      </vt:variant>
      <vt:variant>
        <vt:lpwstr>http://www.nevo.co.il/case/5995351</vt:lpwstr>
      </vt:variant>
      <vt:variant>
        <vt:lpwstr/>
      </vt:variant>
      <vt:variant>
        <vt:i4>3604607</vt:i4>
      </vt:variant>
      <vt:variant>
        <vt:i4>51</vt:i4>
      </vt:variant>
      <vt:variant>
        <vt:i4>0</vt:i4>
      </vt:variant>
      <vt:variant>
        <vt:i4>5</vt:i4>
      </vt:variant>
      <vt:variant>
        <vt:lpwstr>http://www.nevo.co.il/case/5866450</vt:lpwstr>
      </vt:variant>
      <vt:variant>
        <vt:lpwstr/>
      </vt:variant>
      <vt:variant>
        <vt:i4>3801210</vt:i4>
      </vt:variant>
      <vt:variant>
        <vt:i4>48</vt:i4>
      </vt:variant>
      <vt:variant>
        <vt:i4>0</vt:i4>
      </vt:variant>
      <vt:variant>
        <vt:i4>5</vt:i4>
      </vt:variant>
      <vt:variant>
        <vt:lpwstr>http://www.nevo.co.il/case/5896402</vt:lpwstr>
      </vt:variant>
      <vt:variant>
        <vt:lpwstr/>
      </vt:variant>
      <vt:variant>
        <vt:i4>3145842</vt:i4>
      </vt:variant>
      <vt:variant>
        <vt:i4>45</vt:i4>
      </vt:variant>
      <vt:variant>
        <vt:i4>0</vt:i4>
      </vt:variant>
      <vt:variant>
        <vt:i4>5</vt:i4>
      </vt:variant>
      <vt:variant>
        <vt:lpwstr>http://www.nevo.co.il/case/5585964</vt:lpwstr>
      </vt:variant>
      <vt:variant>
        <vt:lpwstr/>
      </vt:variant>
      <vt:variant>
        <vt:i4>3670128</vt:i4>
      </vt:variant>
      <vt:variant>
        <vt:i4>42</vt:i4>
      </vt:variant>
      <vt:variant>
        <vt:i4>0</vt:i4>
      </vt:variant>
      <vt:variant>
        <vt:i4>5</vt:i4>
      </vt:variant>
      <vt:variant>
        <vt:lpwstr>http://www.nevo.co.il/case/5576278</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3473526</vt:i4>
      </vt:variant>
      <vt:variant>
        <vt:i4>27</vt:i4>
      </vt:variant>
      <vt:variant>
        <vt:i4>0</vt:i4>
      </vt:variant>
      <vt:variant>
        <vt:i4>5</vt:i4>
      </vt:variant>
      <vt:variant>
        <vt:lpwstr>http://www.nevo.co.il/case/23357435</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3932280</vt:i4>
      </vt:variant>
      <vt:variant>
        <vt:i4>18</vt:i4>
      </vt:variant>
      <vt:variant>
        <vt:i4>0</vt:i4>
      </vt:variant>
      <vt:variant>
        <vt:i4>5</vt:i4>
      </vt:variant>
      <vt:variant>
        <vt:lpwstr>http://www.nevo.co.il/case/21894422</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60843;37149</vt:lpwstr>
  </property>
  <property fmtid="{D5CDD505-2E9C-101B-9397-08002B2CF9AE}" pid="6" name="NEWPARTB">
    <vt:lpwstr>08;10</vt:lpwstr>
  </property>
  <property fmtid="{D5CDD505-2E9C-101B-9397-08002B2CF9AE}" pid="7" name="NEWPARTC">
    <vt:lpwstr>16;17</vt:lpwstr>
  </property>
  <property fmtid="{D5CDD505-2E9C-101B-9397-08002B2CF9AE}" pid="8" name="APPELLANT">
    <vt:lpwstr>מדינת ישראל</vt:lpwstr>
  </property>
  <property fmtid="{D5CDD505-2E9C-101B-9397-08002B2CF9AE}" pid="9" name="APPELLEE">
    <vt:lpwstr>גל סבג</vt:lpwstr>
  </property>
  <property fmtid="{D5CDD505-2E9C-101B-9397-08002B2CF9AE}" pid="10" name="LAWYER">
    <vt:lpwstr>שרית כץ;שירן קון יגר;אסף טל</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20180606</vt:lpwstr>
  </property>
  <property fmtid="{D5CDD505-2E9C-101B-9397-08002B2CF9AE}" pid="14" name="TYPE_N_DATE">
    <vt:lpwstr>38020180606</vt:lpwstr>
  </property>
  <property fmtid="{D5CDD505-2E9C-101B-9397-08002B2CF9AE}" pid="15" name="WORDNUMPAGES">
    <vt:lpwstr>8</vt:lpwstr>
  </property>
  <property fmtid="{D5CDD505-2E9C-101B-9397-08002B2CF9AE}" pid="16" name="TYPE_ABS_DATE">
    <vt:lpwstr>380020180606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21894422;23357435;5576278;5585964;5896402;5866450;5995351;6032722;5980328;6169989;2427771;7664131;19999565;16922835:3</vt:lpwstr>
  </property>
  <property fmtid="{D5CDD505-2E9C-101B-9397-08002B2CF9AE}" pid="36" name="LAWLISTTMP1">
    <vt:lpwstr>70301/186.a</vt:lpwstr>
  </property>
  <property fmtid="{D5CDD505-2E9C-101B-9397-08002B2CF9AE}" pid="37" name="LAWLISTTMP2">
    <vt:lpwstr>4216/007.a;007.c;010</vt:lpwstr>
  </property>
</Properties>
</file>